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5ECF" w14:textId="77777777" w:rsidR="00F138B6" w:rsidRPr="00F138B6" w:rsidRDefault="009506A9" w:rsidP="00105A85">
      <w:pPr>
        <w:pStyle w:val="BDocStart"/>
      </w:pPr>
      <w:sdt>
        <w:sdtPr>
          <w:tag w:val="unit.start.head"/>
          <w:id w:val="-1504889435"/>
          <w:lock w:val="sdtLocked"/>
          <w:placeholder>
            <w:docPart w:val="3B8579CA897D44E8BD8273B8A2897B64"/>
          </w:placeholder>
          <w15:appearance w15:val="hidden"/>
        </w:sdtPr>
        <w:sdtEndPr/>
        <w:sdtContent>
          <w:r w:rsidR="00105A85">
            <w:t>Unit.Start</w:t>
          </w:r>
        </w:sdtContent>
      </w:sdt>
    </w:p>
    <w:sdt>
      <w:sdtPr>
        <w:rPr>
          <w:rStyle w:val="BContentControl"/>
        </w:rPr>
        <w:alias w:val="unit.start"/>
        <w:tag w:val="Unit1"/>
        <w:id w:val="-814100677"/>
        <w:placeholder>
          <w:docPart w:val="DefaultPlaceholder_-1854013440"/>
        </w:placeholder>
        <w15:appearance w15:val="tags"/>
      </w:sdtPr>
      <w:sdtEndPr>
        <w:rPr>
          <w:rStyle w:val="DefaultParagraphFont"/>
          <w:rFonts w:ascii="Times New Roman" w:hAnsi="Times New Roman"/>
          <w:sz w:val="24"/>
          <w:shd w:val="clear" w:color="auto" w:fill="auto"/>
        </w:rPr>
      </w:sdtEndPr>
      <w:sdtContent>
        <w:bookmarkStart w:id="0" w:name="Unit1" w:displacedByCustomXml="prev"/>
        <w:p w14:paraId="31490999" w14:textId="30768DED" w:rsidR="00F138B6" w:rsidRPr="00F138B6" w:rsidRDefault="009506A9" w:rsidP="00105A85">
          <w:pPr>
            <w:pStyle w:val="BNormal"/>
          </w:pPr>
          <w:sdt>
            <w:sdtPr>
              <w:rPr>
                <w:rStyle w:val="BContentControl"/>
              </w:rPr>
              <w:alias w:val="acct.code"/>
              <w:tag w:val="acct.code"/>
              <w:id w:val="1753079092"/>
              <w:lock w:val="sdtLocked"/>
              <w:placeholder>
                <w:docPart w:val="D763A12F54274CF593ED61AC6C1E9B0D"/>
              </w:placeholder>
              <w:dataBinding w:prefixMappings="xmlns:ns0='http://www.bna.com/gateway/unit.start' " w:xpath="/ns0:document[1]/ns0:unit.start[1]/@acct.code" w:storeItemID="{B04FCA99-13B0-422B-ADC9-9491644FA79D}"/>
              <w15:appearance w15:val="tags"/>
              <w:text/>
            </w:sdtPr>
            <w:sdtEndPr>
              <w:rPr>
                <w:rStyle w:val="BContentControl"/>
              </w:rPr>
            </w:sdtEndPr>
            <w:sdtContent>
              <w:r w:rsidR="00105A85">
                <w:rPr>
                  <w:rStyle w:val="BContentControl"/>
                </w:rPr>
                <w:t>TD2M20</w:t>
              </w:r>
            </w:sdtContent>
          </w:sdt>
          <w:sdt>
            <w:sdtPr>
              <w:rPr>
                <w:rStyle w:val="BContentControl"/>
              </w:rPr>
              <w:alias w:val="bna.id.prefix"/>
              <w:tag w:val="bna.id.prefix"/>
              <w:id w:val="-1585901963"/>
              <w:lock w:val="sdtLocked"/>
              <w:placeholder>
                <w:docPart w:val="10AB5438C3484F558983FCF01102A04C"/>
              </w:placeholder>
              <w:dataBinding w:prefixMappings="xmlns:ns0='http://www.bna.com/gateway/unit.start' " w:xpath="/ns0:document[1]/ns0:unit.start[1]/@bna.id.prefix" w:storeItemID="{B04FCA99-13B0-422B-ADC9-9491644FA79D}"/>
              <w15:appearance w15:val="tags"/>
              <w:text/>
            </w:sdtPr>
            <w:sdtEndPr>
              <w:rPr>
                <w:rStyle w:val="BContentControl"/>
              </w:rPr>
            </w:sdtEndPr>
            <w:sdtContent>
              <w:r w:rsidR="00105A85">
                <w:rPr>
                  <w:rStyle w:val="BContentControl"/>
                </w:rPr>
                <w:t>5</w:t>
              </w:r>
            </w:sdtContent>
          </w:sdt>
          <w:r w:rsidR="00F138B6">
            <w:rPr>
              <w:rStyle w:val="BContentControl"/>
            </w:rPr>
            <w:t xml:space="preserve"> </w:t>
          </w:r>
          <w:sdt>
            <w:sdtPr>
              <w:rPr>
                <w:rStyle w:val="BContentControl"/>
              </w:rPr>
              <w:alias w:val="class.code*"/>
              <w:tag w:val="class.code"/>
              <w:id w:val="1836263041"/>
              <w:lock w:val="sdtLocked"/>
              <w:placeholder>
                <w:docPart w:val="EAE1460F78F4451AA786FD3A00CF436C"/>
              </w:placeholder>
              <w:dataBinding w:prefixMappings="xmlns:ns0='http://www.bna.com/gateway/unit.start' " w:xpath="/ns0:document[1]/ns0:unit.start[1]/@class.code" w:storeItemID="{B04FCA99-13B0-422B-ADC9-9491644FA79D}"/>
              <w15:appearance w15:val="tags"/>
              <w:text/>
            </w:sdtPr>
            <w:sdtEndPr>
              <w:rPr>
                <w:rStyle w:val="BContentControl"/>
              </w:rPr>
            </w:sdtEndPr>
            <w:sdtContent>
              <w:r w:rsidR="00105A85">
                <w:rPr>
                  <w:rStyle w:val="BContentControl"/>
                </w:rPr>
                <w:t>A</w:t>
              </w:r>
            </w:sdtContent>
          </w:sdt>
          <w:r w:rsidR="00F138B6">
            <w:rPr>
              <w:rStyle w:val="BContentControl"/>
            </w:rPr>
            <w:t xml:space="preserve"> </w:t>
          </w:r>
          <w:sdt>
            <w:sdtPr>
              <w:rPr>
                <w:rStyle w:val="BContentControl"/>
              </w:rPr>
              <w:alias w:val="class.name*"/>
              <w:tag w:val="class.name"/>
              <w:id w:val="-1474903840"/>
              <w:lock w:val="sdtLocked"/>
              <w:placeholder>
                <w:docPart w:val="896572641D0D4B0BAE33E3B867418D5E"/>
              </w:placeholder>
              <w:dataBinding w:prefixMappings="xmlns:ns0='http://www.bna.com/gateway/unit.start' " w:xpath="/ns0:document[1]/ns0:unit.start[1]/@class.name" w:storeItemID="{B04FCA99-13B0-422B-ADC9-9491644FA79D}"/>
              <w15:appearance w15:val="tags"/>
              <w:text/>
            </w:sdtPr>
            <w:sdtEndPr>
              <w:rPr>
                <w:rStyle w:val="BContentControl"/>
              </w:rPr>
            </w:sdtEndPr>
            <w:sdtContent>
              <w:r w:rsidR="00105A85">
                <w:rPr>
                  <w:rStyle w:val="BContentControl"/>
                </w:rPr>
                <w:t>Book</w:t>
              </w:r>
              <w:r w:rsidR="00F138B6">
                <w:rPr>
                  <w:rStyle w:val="BContentControl"/>
                </w:rPr>
                <w:t xml:space="preserve"> </w:t>
              </w:r>
              <w:r w:rsidR="00105A85">
                <w:rPr>
                  <w:rStyle w:val="BContentControl"/>
                </w:rPr>
                <w:t>Body</w:t>
              </w:r>
            </w:sdtContent>
          </w:sdt>
          <w:r w:rsidR="00F138B6">
            <w:rPr>
              <w:rStyle w:val="BContentControl"/>
            </w:rPr>
            <w:t xml:space="preserve"> </w:t>
          </w:r>
          <w:sdt>
            <w:sdtPr>
              <w:rPr>
                <w:rStyle w:val="BContentControl"/>
              </w:rPr>
              <w:alias w:val="copyright.owner"/>
              <w:tag w:val="copyright.owner"/>
              <w:id w:val="46966785"/>
              <w:lock w:val="sdtLocked"/>
              <w:placeholder>
                <w:docPart w:val="7B95C07F63CE45B7BBEA1A593CCC1F1E"/>
              </w:placeholder>
              <w:dataBinding w:prefixMappings="xmlns:ns0='http://www.bna.com/gateway/unit.start' " w:xpath="/ns0:document[1]/ns0:unit.start[1]/@copyright.owner" w:storeItemID="{B04FCA99-13B0-422B-ADC9-9491644FA79D}"/>
              <w15:appearance w15:val="tags"/>
              <w:text/>
            </w:sdtPr>
            <w:sdtEndPr>
              <w:rPr>
                <w:rStyle w:val="BContentControl"/>
              </w:rPr>
            </w:sdtEndPr>
            <w:sdtContent>
              <w:r w:rsidR="00105A85" w:rsidRPr="00105A85">
                <w:rPr>
                  <w:rStyle w:val="BContentControl"/>
                </w:rPr>
                <w:t>enter</w:t>
              </w:r>
              <w:r w:rsidR="00F138B6">
                <w:rPr>
                  <w:rStyle w:val="BContentControl"/>
                </w:rPr>
                <w:t xml:space="preserve"> </w:t>
              </w:r>
              <w:r w:rsidR="00105A85" w:rsidRPr="00105A85">
                <w:rPr>
                  <w:rStyle w:val="BContentControl"/>
                </w:rPr>
                <w:t>text</w:t>
              </w:r>
            </w:sdtContent>
          </w:sdt>
          <w:r w:rsidR="00F138B6">
            <w:rPr>
              <w:rStyle w:val="BContentControl"/>
            </w:rPr>
            <w:t xml:space="preserve"> </w:t>
          </w:r>
          <w:sdt>
            <w:sdtPr>
              <w:rPr>
                <w:rStyle w:val="BContentControl"/>
              </w:rPr>
              <w:alias w:val="date"/>
              <w:tag w:val="date"/>
              <w:id w:val="1883743797"/>
              <w:lock w:val="sdtLocked"/>
              <w:placeholder>
                <w:docPart w:val="BD923CEF0F9343F8A81549FB45418745"/>
              </w:placeholder>
              <w:dataBinding w:prefixMappings="xmlns:ns0='http://www.bna.com/gateway/unit.start' " w:xpath="/ns0:document[1]/ns0:unit.start[1]/@date" w:storeItemID="{B04FCA99-13B0-422B-ADC9-9491644FA79D}"/>
              <w15:appearance w15:val="tags"/>
              <w:text/>
            </w:sdtPr>
            <w:sdtEndPr>
              <w:rPr>
                <w:rStyle w:val="BContentControl"/>
              </w:rPr>
            </w:sdtEndPr>
            <w:sdtContent>
              <w:r w:rsidR="00105A85">
                <w:rPr>
                  <w:rStyle w:val="BContentControl"/>
                </w:rPr>
                <w:t>2025-09-25</w:t>
              </w:r>
            </w:sdtContent>
          </w:sdt>
          <w:r w:rsidR="00F138B6">
            <w:rPr>
              <w:rStyle w:val="BContentControl"/>
            </w:rPr>
            <w:t xml:space="preserve"> </w:t>
          </w:r>
          <w:sdt>
            <w:sdtPr>
              <w:rPr>
                <w:rStyle w:val="BContentControl"/>
              </w:rPr>
              <w:alias w:val="folio"/>
              <w:tag w:val="folio"/>
              <w:id w:val="-1432804"/>
              <w:lock w:val="sdtLocked"/>
              <w:placeholder>
                <w:docPart w:val="2EDEC40868EF429186907B96F272BA21"/>
              </w:placeholder>
              <w:dataBinding w:prefixMappings="xmlns:ns0='http://www.bna.com/gateway/unit.start' " w:xpath="/ns0:document[1]/ns0:unit.start[1]/@folio" w:storeItemID="{B04FCA99-13B0-422B-ADC9-9491644FA79D}"/>
              <w15:appearance w15:val="tags"/>
              <w:text/>
            </w:sdtPr>
            <w:sdtEndPr>
              <w:rPr>
                <w:rStyle w:val="BContentControl"/>
              </w:rPr>
            </w:sdtEndPr>
            <w:sdtContent>
              <w:r w:rsidR="00105A85">
                <w:rPr>
                  <w:rStyle w:val="BContentControl"/>
                </w:rPr>
                <w:t>201</w:t>
              </w:r>
            </w:sdtContent>
          </w:sdt>
          <w:r w:rsidR="00F138B6">
            <w:rPr>
              <w:rStyle w:val="BContentControl"/>
            </w:rPr>
            <w:t xml:space="preserve"> </w:t>
          </w:r>
          <w:sdt>
            <w:sdtPr>
              <w:rPr>
                <w:rStyle w:val="BContentControl"/>
              </w:rPr>
              <w:alias w:val="part.name"/>
              <w:tag w:val="part.name"/>
              <w:id w:val="511954116"/>
              <w:lock w:val="sdtLocked"/>
              <w:placeholder>
                <w:docPart w:val="59FD74E3BC0645AF9D9CC4DB88A2783C"/>
              </w:placeholder>
              <w:dataBinding w:prefixMappings="xmlns:ns0='http://www.bna.com/gateway/unit.start' " w:xpath="/ns0:document[1]/ns0:unit.start[1]/@part.name" w:storeItemID="{B04FCA99-13B0-422B-ADC9-9491644FA79D}"/>
              <w15:appearance w15:val="tags"/>
              <w:text/>
            </w:sdtPr>
            <w:sdtContent>
              <w:r w:rsidR="00F138B6" w:rsidRPr="00F138B6">
                <w:rPr>
                  <w:rStyle w:val="BContentControl"/>
                </w:rPr>
                <w:t>Part</w:t>
              </w:r>
              <w:r w:rsidR="00F138B6">
                <w:rPr>
                  <w:rStyle w:val="BContentControl"/>
                </w:rPr>
                <w:t xml:space="preserve"> </w:t>
              </w:r>
              <w:r w:rsidR="00F138B6" w:rsidRPr="00F138B6">
                <w:rPr>
                  <w:rStyle w:val="BContentControl"/>
                </w:rPr>
                <w:t>I.</w:t>
              </w:r>
              <w:r w:rsidR="00F138B6">
                <w:rPr>
                  <w:rStyle w:val="BContentControl"/>
                </w:rPr>
                <w:t xml:space="preserve"> </w:t>
              </w:r>
              <w:r w:rsidR="00F138B6" w:rsidRPr="00F138B6">
                <w:rPr>
                  <w:rStyle w:val="BContentControl"/>
                </w:rPr>
                <w:t>General</w:t>
              </w:r>
              <w:r w:rsidR="00F138B6">
                <w:rPr>
                  <w:rStyle w:val="BContentControl"/>
                </w:rPr>
                <w:t xml:space="preserve"> </w:t>
              </w:r>
              <w:r w:rsidR="00F138B6" w:rsidRPr="00F138B6">
                <w:rPr>
                  <w:rStyle w:val="BContentControl"/>
                </w:rPr>
                <w:t>Principles</w:t>
              </w:r>
              <w:r w:rsidR="00F138B6">
                <w:rPr>
                  <w:rStyle w:val="BContentControl"/>
                </w:rPr>
                <w:t xml:space="preserve"> </w:t>
              </w:r>
              <w:proofErr w:type="gramStart"/>
              <w:r w:rsidR="00F138B6" w:rsidRPr="00F138B6">
                <w:rPr>
                  <w:rStyle w:val="BContentControl"/>
                </w:rPr>
                <w:t>And</w:t>
              </w:r>
              <w:proofErr w:type="gramEnd"/>
              <w:r w:rsidR="00F138B6">
                <w:rPr>
                  <w:rStyle w:val="BContentControl"/>
                </w:rPr>
                <w:t xml:space="preserve"> </w:t>
              </w:r>
              <w:r w:rsidR="00F138B6" w:rsidRPr="00F138B6">
                <w:rPr>
                  <w:rStyle w:val="BContentControl"/>
                </w:rPr>
                <w:t>State</w:t>
              </w:r>
              <w:r w:rsidR="00F138B6">
                <w:rPr>
                  <w:rStyle w:val="BContentControl"/>
                </w:rPr>
                <w:t xml:space="preserve"> </w:t>
              </w:r>
              <w:r w:rsidR="00F138B6" w:rsidRPr="00F138B6">
                <w:rPr>
                  <w:rStyle w:val="BContentControl"/>
                </w:rPr>
                <w:t>Law</w:t>
              </w:r>
              <w:r w:rsidR="00F138B6">
                <w:rPr>
                  <w:rStyle w:val="BContentControl"/>
                </w:rPr>
                <w:t xml:space="preserve"> </w:t>
              </w:r>
              <w:r w:rsidR="00F138B6" w:rsidRPr="00F138B6">
                <w:rPr>
                  <w:rStyle w:val="BContentControl"/>
                </w:rPr>
                <w:t>Applications</w:t>
              </w:r>
            </w:sdtContent>
          </w:sdt>
          <w:r w:rsidR="00F138B6">
            <w:rPr>
              <w:rStyle w:val="BContentControl"/>
            </w:rPr>
            <w:t xml:space="preserve"> </w:t>
          </w:r>
          <w:sdt>
            <w:sdtPr>
              <w:rPr>
                <w:rStyle w:val="BContentControl"/>
              </w:rPr>
              <w:alias w:val="part.num"/>
              <w:tag w:val="part.num"/>
              <w:id w:val="-237182413"/>
              <w:lock w:val="sdtLocked"/>
              <w:placeholder>
                <w:docPart w:val="B92A4910F26841D687BBE5E1E3A0C31E"/>
              </w:placeholder>
              <w:dataBinding w:prefixMappings="xmlns:ns0='http://www.bna.com/gateway/unit.start' " w:xpath="/ns0:document[1]/ns0:unit.start[1]/@part.num" w:storeItemID="{B04FCA99-13B0-422B-ADC9-9491644FA79D}"/>
              <w15:appearance w15:val="tags"/>
              <w:text/>
            </w:sdtPr>
            <w:sdtEndPr>
              <w:rPr>
                <w:rStyle w:val="BContentControl"/>
              </w:rPr>
            </w:sdtEndPr>
            <w:sdtContent>
              <w:r w:rsidR="00105A85">
                <w:rPr>
                  <w:rStyle w:val="BContentControl"/>
                </w:rPr>
                <w:t>1</w:t>
              </w:r>
            </w:sdtContent>
          </w:sdt>
          <w:r w:rsidR="00F138B6">
            <w:rPr>
              <w:rStyle w:val="BContentControl"/>
            </w:rPr>
            <w:t xml:space="preserve"> </w:t>
          </w:r>
          <w:sdt>
            <w:sdtPr>
              <w:rPr>
                <w:rStyle w:val="BContentControl"/>
              </w:rPr>
              <w:alias w:val="subpart.name"/>
              <w:tag w:val="subpart.name"/>
              <w:id w:val="-1737701437"/>
              <w:lock w:val="sdtLocked"/>
              <w:placeholder>
                <w:docPart w:val="BB44BD83BC2C4FE6B1B5F09DC46E1E10"/>
              </w:placeholder>
              <w:dataBinding w:prefixMappings="xmlns:ns0='http://www.bna.com/gateway/unit.start' " w:xpath="/ns0:document[1]/ns0:unit.start[1]/@subpart.name" w:storeItemID="{B04FCA99-13B0-422B-ADC9-9491644FA79D}"/>
              <w15:appearance w15:val="tags"/>
              <w:text/>
            </w:sdtPr>
            <w:sdtEndPr>
              <w:rPr>
                <w:rStyle w:val="BContentControl"/>
              </w:rPr>
            </w:sdtEndPr>
            <w:sdtContent>
              <w:r w:rsidR="00105A85" w:rsidRPr="00105A85">
                <w:rPr>
                  <w:rStyle w:val="BContentControl"/>
                </w:rPr>
                <w:t>enter</w:t>
              </w:r>
              <w:r w:rsidR="00F138B6">
                <w:rPr>
                  <w:rStyle w:val="BContentControl"/>
                </w:rPr>
                <w:t xml:space="preserve"> </w:t>
              </w:r>
              <w:r w:rsidR="00105A85" w:rsidRPr="00105A85">
                <w:rPr>
                  <w:rStyle w:val="BContentControl"/>
                </w:rPr>
                <w:t>text</w:t>
              </w:r>
            </w:sdtContent>
          </w:sdt>
          <w:r w:rsidR="00F138B6">
            <w:rPr>
              <w:rStyle w:val="BContentControl"/>
            </w:rPr>
            <w:t xml:space="preserve"> </w:t>
          </w:r>
          <w:sdt>
            <w:sdtPr>
              <w:rPr>
                <w:rStyle w:val="BContentControl"/>
              </w:rPr>
              <w:alias w:val="pdm.name"/>
              <w:tag w:val="pdm.name"/>
              <w:id w:val="855003603"/>
              <w:lock w:val="sdtLocked"/>
              <w:placeholder>
                <w:docPart w:val="35898A7A82464034A0F302BE9F989609"/>
              </w:placeholder>
              <w:dataBinding w:prefixMappings="xmlns:ns0='http://www.bna.com/gateway/unit.start' " w:xpath="/ns0:document[1]/ns0:unit.start[1]/@pdm.name" w:storeItemID="{B04FCA99-13B0-422B-ADC9-9491644FA79D}"/>
              <w15:appearance w15:val="tags"/>
              <w:text/>
            </w:sdtPr>
            <w:sdtEndPr>
              <w:rPr>
                <w:rStyle w:val="BContentControl"/>
              </w:rPr>
            </w:sdtEndPr>
            <w:sdtContent>
              <w:r w:rsidR="00105A85">
                <w:rPr>
                  <w:rStyle w:val="BContentControl"/>
                </w:rPr>
                <w:t>Chap05</w:t>
              </w:r>
            </w:sdtContent>
          </w:sdt>
          <w:r w:rsidR="00F138B6">
            <w:rPr>
              <w:rStyle w:val="BContentControl"/>
            </w:rPr>
            <w:t xml:space="preserve"> </w:t>
          </w:r>
          <w:sdt>
            <w:sdtPr>
              <w:rPr>
                <w:rStyle w:val="BContentControl"/>
              </w:rPr>
              <w:alias w:val="publication.name"/>
              <w:tag w:val="publication.name"/>
              <w:id w:val="-367835244"/>
              <w:lock w:val="sdtLocked"/>
              <w:placeholder>
                <w:docPart w:val="29E41AF7D3334346863A4AAC5DA9B67B"/>
              </w:placeholder>
              <w:dataBinding w:prefixMappings="xmlns:ns0='http://www.bna.com/gateway/unit.start' " w:xpath="/ns0:document[1]/ns0:unit.start[1]/@publication.name" w:storeItemID="{B04FCA99-13B0-422B-ADC9-9491644FA79D}"/>
              <w15:appearance w15:val="tags"/>
              <w:text/>
            </w:sdtPr>
            <w:sdtEndPr>
              <w:rPr>
                <w:rStyle w:val="BContentControl"/>
              </w:rPr>
            </w:sdtEndPr>
            <w:sdtContent>
              <w:r w:rsidR="00105A85">
                <w:rPr>
                  <w:rStyle w:val="BContentControl"/>
                </w:rPr>
                <w:t>Trademark</w:t>
              </w:r>
              <w:r w:rsidR="00F138B6">
                <w:rPr>
                  <w:rStyle w:val="BContentControl"/>
                </w:rPr>
                <w:t xml:space="preserve"> </w:t>
              </w:r>
              <w:r w:rsidR="00105A85">
                <w:rPr>
                  <w:rStyle w:val="BContentControl"/>
                </w:rPr>
                <w:t>Dilution</w:t>
              </w:r>
              <w:r w:rsidR="00F138B6">
                <w:rPr>
                  <w:rStyle w:val="BContentControl"/>
                </w:rPr>
                <w:t xml:space="preserve"> </w:t>
              </w:r>
              <w:r w:rsidR="00105A85">
                <w:rPr>
                  <w:rStyle w:val="BContentControl"/>
                </w:rPr>
                <w:t>-</w:t>
              </w:r>
              <w:r w:rsidR="00F138B6">
                <w:rPr>
                  <w:rStyle w:val="BContentControl"/>
                </w:rPr>
                <w:t xml:space="preserve"> </w:t>
              </w:r>
              <w:r w:rsidR="00105A85">
                <w:rPr>
                  <w:rStyle w:val="BContentControl"/>
                </w:rPr>
                <w:t>Federal,</w:t>
              </w:r>
              <w:r w:rsidR="00F138B6">
                <w:rPr>
                  <w:rStyle w:val="BContentControl"/>
                </w:rPr>
                <w:t xml:space="preserve"> </w:t>
              </w:r>
              <w:r w:rsidR="00105A85">
                <w:rPr>
                  <w:rStyle w:val="BContentControl"/>
                </w:rPr>
                <w:t>State,</w:t>
              </w:r>
              <w:r w:rsidR="00F138B6">
                <w:rPr>
                  <w:rStyle w:val="BContentControl"/>
                </w:rPr>
                <w:t xml:space="preserve"> </w:t>
              </w:r>
              <w:r w:rsidR="00105A85">
                <w:rPr>
                  <w:rStyle w:val="BContentControl"/>
                </w:rPr>
                <w:t>and</w:t>
              </w:r>
              <w:r w:rsidR="00F138B6">
                <w:rPr>
                  <w:rStyle w:val="BContentControl"/>
                </w:rPr>
                <w:t xml:space="preserve"> </w:t>
              </w:r>
              <w:r w:rsidR="00105A85">
                <w:rPr>
                  <w:rStyle w:val="BContentControl"/>
                </w:rPr>
                <w:t>International</w:t>
              </w:r>
              <w:r w:rsidR="00F138B6">
                <w:rPr>
                  <w:rStyle w:val="BContentControl"/>
                </w:rPr>
                <w:t xml:space="preserve"> </w:t>
              </w:r>
              <w:r w:rsidR="00105A85">
                <w:rPr>
                  <w:rStyle w:val="BContentControl"/>
                </w:rPr>
                <w:t>Law,</w:t>
              </w:r>
              <w:r w:rsidR="00F138B6">
                <w:rPr>
                  <w:rStyle w:val="BContentControl"/>
                </w:rPr>
                <w:t xml:space="preserve"> </w:t>
              </w:r>
              <w:r w:rsidR="00105A85">
                <w:rPr>
                  <w:rStyle w:val="BContentControl"/>
                </w:rPr>
                <w:t>Second</w:t>
              </w:r>
              <w:r w:rsidR="00F138B6">
                <w:rPr>
                  <w:rStyle w:val="BContentControl"/>
                </w:rPr>
                <w:t xml:space="preserve"> </w:t>
              </w:r>
              <w:r w:rsidR="00105A85">
                <w:rPr>
                  <w:rStyle w:val="BContentControl"/>
                </w:rPr>
                <w:t>Edition</w:t>
              </w:r>
            </w:sdtContent>
          </w:sdt>
          <w:r w:rsidR="00F138B6">
            <w:rPr>
              <w:rStyle w:val="BContentControl"/>
            </w:rPr>
            <w:t xml:space="preserve"> </w:t>
          </w:r>
          <w:sdt>
            <w:sdtPr>
              <w:rPr>
                <w:rStyle w:val="BContentControl"/>
              </w:rPr>
              <w:alias w:val="service.code*"/>
              <w:tag w:val="mUnit1"/>
              <w:id w:val="-51390746"/>
              <w:lock w:val="sdtLocked"/>
              <w:placeholder>
                <w:docPart w:val="6950B10D75B34D1BA0163B334A35458E"/>
              </w:placeholder>
              <w:dataBinding w:prefixMappings="xmlns:ns0='http://www.bna.com/gateway/unit.start' " w:xpath="/ns0:document[1]/ns0:unit.start[1]/@service.code" w:storeItemID="{B04FCA99-13B0-422B-ADC9-9491644FA79D}"/>
              <w15:appearance w15:val="tags"/>
              <w:dropDownList w:lastValue="td-book">
                <w:listItem w:displayText="aca-book" w:value="aca-book"/>
                <w:listItem w:displayText="aclc-book" w:value="aclc-book"/>
                <w:listItem w:displayText="adel-book" w:value="adel-book"/>
                <w:listItem w:displayText="adrel-book" w:value="adrel-book"/>
                <w:listItem w:displayText="aetr-book" w:value="aetr-book"/>
                <w:listItem w:displayText="afl-book" w:value="afl-book"/>
                <w:listItem w:displayText="ald-book" w:value="ald-book"/>
                <w:listItem w:displayText="apc-book" w:value="apc-book"/>
                <w:listItem w:displayText="apsf-book" w:value="apsf-book"/>
                <w:listItem w:displayText="arb18-book" w:value="arb18-book"/>
                <w:listItem w:displayText="arb19-book" w:value="arb19-book"/>
                <w:listItem w:displayText="bam-book" w:value="bam-book"/>
                <w:listItem w:displayText="bfc-book" w:value="bfc-book"/>
                <w:listItem w:displayText="biot-book" w:value="biot-book"/>
                <w:listItem w:displayText="bkyov-book" w:value="bkyov-book"/>
                <w:listItem w:displayText="bkyp-book" w:value="bkyp-book"/>
                <w:listItem w:displayText="blm-book" w:value="blm-book"/>
                <w:listItem w:displayText="bna-book" w:value="bna-book"/>
                <w:listItem w:displayText="bplr-book" w:value="bplr-book"/>
                <w:listItem w:displayText="cbglf-book" w:value="cbglf-book"/>
                <w:listItem w:displayText="cbh-book" w:value="cbh-book"/>
                <w:listItem w:displayText="cdpat-book" w:value="cdpat-book"/>
                <w:listItem w:displayText="cfcjpp-book" w:value="cfcjpp-book"/>
                <w:listItem w:displayText="cflc-book" w:value="cflc-book"/>
                <w:listItem w:displayText="cgdl-book" w:value="cgdl-book"/>
                <w:listItem w:displayText="cic-book" w:value="cic-book"/>
                <w:listItem w:displayText="cilel-book" w:value="cilel-book"/>
                <w:listItem w:displayText="clcdp-book" w:value="clcdp-book"/>
                <w:listItem w:displayText="cld-book" w:value="cld-book"/>
                <w:listItem w:displayText="cle-book" w:value="cle-book"/>
                <w:listItem w:displayText="clwva-book" w:value="clwva-book"/>
                <w:listItem w:displayText="cmb-book" w:value="cmb-book"/>
                <w:listItem w:displayText="cnc-book" w:value="cnc-book"/>
                <w:listItem w:displayText="colp-book" w:value="colp-book"/>
                <w:listItem w:displayText="cps1-book" w:value="cps1-book"/>
                <w:listItem w:displayText="cps61-book" w:value="cps61-book"/>
                <w:listItem w:displayText="cps63-book" w:value="cps63-book"/>
                <w:listItem w:displayText="cps67-book" w:value="cps67-book"/>
                <w:listItem w:displayText="cps68-book" w:value="cps68-book"/>
                <w:listItem w:displayText="cps75-book" w:value="cps75-book"/>
                <w:listItem w:displayText="cps88-book" w:value="cps88-book"/>
                <w:listItem w:displayText="crbc-book" w:value="crbc-book"/>
                <w:listItem w:displayText="cst-book" w:value="cst-book"/>
                <w:listItem w:displayText="dat-book" w:value="dat-book"/>
                <w:listItem w:displayText="dcalfc-book" w:value="dcalfc-book"/>
                <w:listItem w:displayText="dda-book" w:value="dda-book"/>
                <w:listItem w:displayText="ddw-book" w:value="ddw-book"/>
                <w:listItem w:displayText="dec-book" w:value="dec-book"/>
                <w:listItem w:displayText="desi-book" w:value="desi-book"/>
                <w:listItem w:displayText="dlit-book" w:value="dlit-book"/>
                <w:listItem w:displayText="dll-book" w:value="dll-book"/>
                <w:listItem w:displayText="dolfi-book" w:value="dolfi-book"/>
                <w:listItem w:displayText="dpl-book" w:value="dpl-book"/>
                <w:listItem w:displayText="dsfc-book" w:value="dsfc-book"/>
                <w:listItem w:displayText="dulg-book" w:value="dulg-book"/>
                <w:listItem w:displayText="ebl-book" w:value="ebl-book"/>
                <w:listItem w:displayText="eclas-book" w:value="eclas-book"/>
                <w:listItem w:displayText="edd-book" w:value="edd-book"/>
                <w:listItem w:displayText="ediel-book" w:value="ediel-book"/>
                <w:listItem w:displayText="edcl-book" w:value="edcl-book"/>
                <w:listItem w:displayText="edl-book" w:value="edl-book"/>
                <w:listItem w:displayText="edpf-book" w:value="edpf-book"/>
                <w:listItem w:displayText="edy-book" w:value="edy-book"/>
                <w:listItem w:displayText="efl-book" w:value="efl-book"/>
                <w:listItem w:displayText="ehl-book" w:value="ehl-book"/>
                <w:listItem w:displayText="eipl-book" w:value="eipl-book"/>
                <w:listItem w:displayText="el-book" w:value="el-book"/>
                <w:listItem w:displayText="elc-book" w:value="elc-book"/>
                <w:listItem w:displayText="elcr-book" w:value="elcr-book"/>
                <w:listItem w:displayText="emp-book" w:value="emp-book"/>
                <w:listItem w:displayText="epc-book" w:value="epc-book"/>
                <w:listItem w:displayText="erisadl-book" w:value="erisadl-book"/>
                <w:listItem w:displayText="err-book" w:value="err-book"/>
                <w:listItem w:displayText="esp-book" w:value="esp-book"/>
                <w:listItem w:displayText="etpg-book" w:value="etpg-book"/>
                <w:listItem w:displayText="eupl-book" w:value="eupl-book"/>
                <w:listItem w:displayText="evd-book" w:value="evd-book"/>
                <w:listItem w:displayText="fah-book" w:value="fah-book"/>
                <w:listItem w:displayText="fap-book" w:value="fap-book"/>
                <w:listItem w:displayText="fcawl-book" w:value="fcawl-book"/>
                <w:listItem w:displayText="ffapl-book" w:value="ffapl-book"/>
                <w:listItem w:displayText="ffua-book" w:value="ffua-book"/>
                <w:listItem w:displayText="fhcdl-book" w:value="fhcdl-book"/>
                <w:listItem w:displayText="fiflp-book" w:value="fiflp-book"/>
                <w:listItem w:displayText="fitic-book" w:value="fitic-book"/>
                <w:listItem w:displayText="flfs-book" w:value="flfs-book"/>
                <w:listItem w:displayText="flsa-book" w:value="flsa-book"/>
                <w:listItem w:displayText="fmla-book" w:value="fmla-book"/>
                <w:listItem w:displayText="fotn-book" w:value="fotn-book"/>
                <w:listItem w:displayText="frd-book" w:value="frd-book"/>
                <w:listItem w:displayText="ftecorp-book" w:value="ftecorp-book"/>
                <w:listItem w:displayText="fteind-book" w:value="fteind-book"/>
                <w:listItem w:displayText="ftepart-book" w:value="ftepart-book"/>
                <w:listItem w:displayText="ftescorp-book" w:value="ftescorp-book"/>
                <w:listItem w:displayText="ftl-book" w:value="ftl-book"/>
                <w:listItem w:displayText="gdttc-book" w:value="gdttc-book"/>
                <w:listItem w:displayText="gdttii-book" w:value="gdttii-book"/>
                <w:listItem w:displayText="gep-book" w:value="gep-book"/>
                <w:listItem w:displayText="gg-book" w:value="gg-book"/>
                <w:listItem w:displayText="gisod-book" w:value="gisod-book"/>
                <w:listItem w:displayText="gof-book" w:value="gof-book"/>
                <w:listItem w:displayText="gpl-book" w:value="gpl-book"/>
                <w:listItem w:displayText="hadrw-book" w:value="hadrw-book"/>
                <w:listItem w:displayText="haw-book" w:value="haw-book"/>
                <w:listItem w:displayText="hcf-book" w:value="hcf-book"/>
                <w:listItem w:displayText="hcylc-book" w:value="hcylc-book"/>
                <w:listItem w:displayText="hee-book" w:value="hee-book"/>
                <w:listItem w:displayText="heg-book" w:value="heg-book"/>
                <w:listItem w:displayText="hlbs1500-book" w:value="hlbs1500-book"/>
                <w:listItem w:displayText="hlbs2100-book" w:value="hlbs2100-book"/>
                <w:listItem w:displayText="hlbs2300-book" w:value="hlbs2300-book"/>
                <w:listItem w:displayText="hlbs2400-book" w:value="hlbs2400-book"/>
                <w:listItem w:displayText="hlbs2600-book" w:value="hlbs2600-book"/>
                <w:listItem w:displayText="hlbs2650-book" w:value="hlbs2650-book"/>
                <w:listItem w:displayText="hlbs2800-book" w:value="hlbs2800-book"/>
                <w:listItem w:displayText="hlbs2900-book" w:value="hlbs2900-book"/>
                <w:listItem w:displayText="hlbs3300-book" w:value="hlbs3300-book"/>
                <w:listItem w:displayText="hop-book" w:value="hop-book"/>
                <w:listItem w:displayText="hpplac-book" w:value="hpplac-book"/>
                <w:listItem w:displayText="hrcc-book" w:value="hrcc-book"/>
                <w:listItem w:displayText="htcb-book" w:value="htcb-book"/>
                <w:listItem w:displayText="iedcm-book" w:value="iedcm-book"/>
                <w:listItem w:displayText="igai-book" w:value="igai-book"/>
                <w:listItem w:displayText="iipd-book" w:value="iipd-book"/>
                <w:listItem w:displayText="ile-book" w:value="ile-book"/>
                <w:listItem w:displayText="ilfg-book" w:value="ilfg-book"/>
                <w:listItem w:displayText="ilu337-book" w:value="ilu337-book"/>
                <w:listItem w:displayText="ipl-book" w:value="ipl-book"/>
                <w:listItem w:displayText="iplc-book" w:value="iplc-book"/>
                <w:listItem w:displayText="ipsil-book" w:value="ipsil-book"/>
                <w:listItem w:displayText="ipt-book" w:value="ipt-book"/>
                <w:listItem w:displayText="iptt-book" w:value="iptt-book"/>
                <w:listItem w:displayText="irc-book" w:value="irc-book"/>
                <w:listItem w:displayText="isa-book" w:value="isa-book"/>
                <w:listItem w:displayText="ishc-book" w:value="ishc-book"/>
                <w:listItem w:displayText="jcst-book" w:value="jcst-book"/>
                <w:listItem w:displayText="labp-book" w:value="labp-book"/>
                <w:listItem w:displayText="lacma-book" w:value="lacma-book"/>
                <w:listItem w:displayText="ladh-book" w:value="ladh-book"/>
                <w:listItem w:displayText="lana-book" w:value="lana-book"/>
                <w:listItem w:displayText="lapga-book" w:value="lapga-book"/>
                <w:listItem w:displayText="lbd-book" w:value="lbd-book"/>
                <w:listItem w:displayText="lfgp-book" w:value="lfgp-book"/>
                <w:listItem w:displayText="llcbps-book" w:value="llcbps-book"/>
                <w:listItem w:displayText="lml-book" w:value="lml-book"/>
                <w:listItem w:displayText="lopm-book" w:value="lopm-book"/>
                <w:listItem w:displayText="lpdi-book" w:value="lpdi-book"/>
                <w:listItem w:displayText="lptsda-book" w:value="lptsda-book"/>
                <w:listItem w:displayText="lsfl-book" w:value="lsfl-book"/>
                <w:listItem w:displayText="lulr-book" w:value="lulr-book"/>
                <w:listItem w:displayText="mapc-book" w:value="mapc-book"/>
                <w:listItem w:displayText="mcl-book" w:value="mcl-book"/>
                <w:listItem w:displayText="mdbsc-book" w:value="mdbsc-book"/>
                <w:listItem w:displayText="mdedl-book" w:value="mdedl-book"/>
                <w:listItem w:displayText="meip-book" w:value="meip-book"/>
                <w:listItem w:displayText="mlprco-book" w:value="mlprco-book"/>
                <w:listItem w:displayText="naat-book" w:value="naat-book"/>
                <w:listItem w:displayText="net-book" w:value="net-book"/>
                <w:listItem w:displayText="nlc-book" w:value="nlc-book"/>
                <w:listItem w:displayText="nlrr-book" w:value="nlrr-book"/>
                <w:listItem w:displayText="nwic-book" w:value="nwic-book"/>
                <w:listItem w:displayText="ops-book" w:value="ops-book"/>
                <w:listItem w:displayText="oshl-book" w:value="oshl-book"/>
                <w:listItem w:displayText="paaa-book" w:value="paaa-book"/>
                <w:listItem w:displayText="paed-book" w:value="paed-book"/>
                <w:listItem w:displayText="paia-book" w:value="paia-book"/>
                <w:listItem w:displayText="papc-book" w:value="papc-book"/>
                <w:listItem w:displayText="patstan-book" w:value="patstan-book"/>
                <w:listItem w:displayText="pbcr-book" w:value="pbcr-book"/>
                <w:listItem w:displayText="pce-book" w:value="pce-book"/>
                <w:listItem w:displayText="pcmt-book" w:value="pcmt-book"/>
                <w:listItem w:displayText="pda-book" w:value="pda-book"/>
                <w:listItem w:displayText="pel-book" w:value="pel-book"/>
                <w:listItem w:displayText="pesi-book" w:value="pesi-book"/>
                <w:listItem w:displayText="pfc-book" w:value="pfc-book"/>
                <w:listItem w:displayText="pfo-book" w:value="pfo-book"/>
                <w:listItem w:displayText="pgfafl-book" w:value="pgfafl-book"/>
                <w:listItem w:displayText="pgpp-book" w:value="pgpp-book"/>
                <w:listItem w:displayText="pgofacsc-book" w:value="pgofacsc-book"/>
                <w:listItem w:displayText="pjae-book" w:value="pjae-book"/>
                <w:listItem w:displayText="phrm-book" w:value="phrm-book"/>
                <w:listItem w:displayText="pir-book" w:value="pir-book"/>
                <w:listItem w:displayText="plp-book" w:value="plp-book"/>
                <w:listItem w:displayText="pls-book" w:value="pls-book"/>
                <w:listItem w:displayText="ppat-book" w:value="ppat-book"/>
                <w:listItem w:displayText="ppla-book" w:value="ppla-book"/>
                <w:listItem w:displayText="pppp-book" w:value="pppp-book"/>
                <w:listItem w:displayText="pro1-book" w:value="pro1-book"/>
                <w:listItem w:displayText="pro2-book" w:value="pro2-book"/>
                <w:listItem w:displayText="pswh-book" w:value="pswh-book"/>
                <w:listItem w:displayText="ptabh-book" w:value="ptabh-book"/>
                <w:listItem w:displayText="ptcl-book" w:value="ptcl-book"/>
                <w:listItem w:displayText="ptcr-book" w:value="ptcr-book"/>
                <w:listItem w:displayText="qeh-book" w:value="qeh-book"/>
                <w:listItem w:displayText="rcci-book" w:value="rcci-book"/>
                <w:listItem w:displayText="rctse-book" w:value="rctse-book"/>
                <w:listItem w:displayText="rgi-book" w:value="rgi-book"/>
                <w:listItem w:displayText="rif-book" w:value="rif-book"/>
                <w:listItem w:displayText="rla-book" w:value="rla-book"/>
                <w:listItem w:displayText="rpe-book" w:value="rpe-book"/>
                <w:listItem w:displayText="scp-book" w:value="scp-book"/>
                <w:listItem w:displayText="sead-book" w:value="sead-book"/>
                <w:listItem w:displayText="sps203-book" w:value="sps203-book"/>
                <w:listItem w:displayText="srp-book" w:value="srp-book"/>
                <w:listItem w:displayText="ssfs-book" w:value="ssfs-book"/>
                <w:listItem w:displayText="sti-book" w:value="sti-book"/>
                <w:listItem w:displayText="tcs409a-book" w:value="tcs409a-book"/>
                <w:listItem w:displayText="td-book" w:value="td-book"/>
                <w:listItem w:displayText="teelm-book" w:value="teelm-book"/>
                <w:listItem w:displayText="tei-book" w:value="tei-book"/>
                <w:listItem w:displayText="tic-book" w:value="tic-book"/>
                <w:listItem w:displayText="tir-book" w:value="tir-book"/>
                <w:listItem w:displayText="tlp-book" w:value="tlp-book"/>
                <w:listItem w:displayText="tmftg-book" w:value="tmftg-book"/>
                <w:listItem w:displayText="tmftp-book" w:value="tmftp-book"/>
                <w:listItem w:displayText="tmitg-book" w:value="tmitg-book"/>
                <w:listItem w:displayText="tpt-book" w:value="tpt-book"/>
                <w:listItem w:displayText="trp-book" w:value="trp-book"/>
                <w:listItem w:displayText="tslip-book" w:value="tslip-book"/>
                <w:listItem w:displayText="tss-book" w:value="tss-book"/>
                <w:listItem w:displayText="tttp-book" w:value="tttp-book"/>
                <w:listItem w:displayText="ucipp-book" w:value="ucipp-book"/>
                <w:listItem w:displayText="ueus-book" w:value="ueus-book"/>
                <w:listItem w:displayText="userra-book" w:value="userra-book"/>
                <w:listItem w:displayText="usmt-book" w:value="usmt-book"/>
                <w:listItem w:displayText="vvil-book" w:value="vvil-book"/>
                <w:listItem w:displayText="vvp-book" w:value="vvp-book"/>
                <w:listItem w:displayText="waa-book" w:value="waa-book"/>
                <w:listItem w:displayText="wan-book" w:value="wan-book"/>
                <w:listItem w:displayText="wds-book" w:value="wds-book"/>
                <w:listItem w:displayText="whl-book" w:value="whl-book"/>
                <w:listItem w:displayText="wilbb-book" w:value="wilbb-book"/>
                <w:listItem w:displayText="wilbf-book" w:value="wilbf-book"/>
                <w:listItem w:displayText="wilfsarcw-book" w:value="wilfsarcw-book"/>
                <w:listItem w:displayText="willsh-book" w:value="willsh-book"/>
                <w:listItem w:displayText="wilmmlr-book" w:value="wilmmlr-book"/>
                <w:listItem w:displayText="wilpb-book" w:value="wilpb-book"/>
                <w:listItem w:displayText="wilrws-book" w:value="wilrws-book"/>
                <w:listItem w:displayText="wiltpb-book" w:value="wiltpb-book"/>
                <w:listItem w:displayText="wlrd-book" w:value="wlrd-book"/>
                <w:listItem w:displayText="wpd-book" w:value="wpd-book"/>
                <w:listItem w:displayText="wphl-book" w:value="wphl-book"/>
                <w:listItem w:displayText="wppg-book" w:value="wppg-book"/>
              </w:dropDownList>
            </w:sdtPr>
            <w:sdtEndPr>
              <w:rPr>
                <w:rStyle w:val="BContentControl"/>
              </w:rPr>
            </w:sdtEndPr>
            <w:sdtContent>
              <w:r w:rsidR="00105A85">
                <w:rPr>
                  <w:rStyle w:val="BContentControl"/>
                </w:rPr>
                <w:t>td-book</w:t>
              </w:r>
            </w:sdtContent>
          </w:sdt>
          <w:r w:rsidR="00F138B6">
            <w:rPr>
              <w:rStyle w:val="BContentControl"/>
            </w:rPr>
            <w:t xml:space="preserve"> </w:t>
          </w:r>
          <w:sdt>
            <w:sdtPr>
              <w:rPr>
                <w:rStyle w:val="BContentControl"/>
              </w:rPr>
              <w:alias w:val="supplement"/>
              <w:tag w:val="supplement"/>
              <w:id w:val="-169808496"/>
              <w:lock w:val="sdtLocked"/>
              <w:placeholder>
                <w:docPart w:val="3A0E0BB7EDB14B20B886D0D9F6244990"/>
              </w:placeholder>
              <w:dataBinding w:prefixMappings="xmlns:ns0='http://www.bna.com/gateway/unit.start' " w:xpath="/ns0:document[1]/ns0:unit.start[1]/@supplement" w:storeItemID="{B04FCA99-13B0-422B-ADC9-9491644FA79D}"/>
              <w15:appearance w15:val="tags"/>
              <w:text/>
            </w:sdtPr>
            <w:sdtEndPr>
              <w:rPr>
                <w:rStyle w:val="BContentControl"/>
              </w:rPr>
            </w:sdtEndPr>
            <w:sdtContent>
              <w:r w:rsidR="00105A85">
                <w:rPr>
                  <w:rStyle w:val="BContentControl"/>
                </w:rPr>
                <w:t>0</w:t>
              </w:r>
            </w:sdtContent>
          </w:sdt>
          <w:r w:rsidR="00F138B6">
            <w:rPr>
              <w:rStyle w:val="BContentControl"/>
            </w:rPr>
            <w:t xml:space="preserve"> </w:t>
          </w:r>
          <w:sdt>
            <w:sdtPr>
              <w:rPr>
                <w:rStyle w:val="BContentControl"/>
              </w:rPr>
              <w:alias w:val="unit.code"/>
              <w:tag w:val="unit.code"/>
              <w:id w:val="1012729003"/>
              <w:lock w:val="sdtLocked"/>
              <w:placeholder>
                <w:docPart w:val="42D1871E414245D0B526884852A2AD5C"/>
              </w:placeholder>
              <w:dataBinding w:prefixMappings="xmlns:ns0='http://www.bna.com/gateway/unit.start' " w:xpath="/ns0:document[1]/ns0:unit.start[1]/@unit.code" w:storeItemID="{B04FCA99-13B0-422B-ADC9-9491644FA79D}"/>
              <w15:appearance w15:val="tags"/>
              <w:text/>
            </w:sdtPr>
            <w:sdtEndPr>
              <w:rPr>
                <w:rStyle w:val="BContentControl"/>
              </w:rPr>
            </w:sdtEndPr>
            <w:sdtContent>
              <w:r w:rsidR="00105A85">
                <w:rPr>
                  <w:rStyle w:val="BContentControl"/>
                </w:rPr>
                <w:t>main0005</w:t>
              </w:r>
            </w:sdtContent>
          </w:sdt>
          <w:r w:rsidR="00F138B6">
            <w:rPr>
              <w:rStyle w:val="BContentControl"/>
            </w:rPr>
            <w:t xml:space="preserve"> </w:t>
          </w:r>
          <w:sdt>
            <w:sdtPr>
              <w:rPr>
                <w:rStyle w:val="BContentControl"/>
              </w:rPr>
              <w:alias w:val="unit.name*"/>
              <w:tag w:val="unit.name"/>
              <w:id w:val="-1333523611"/>
              <w:lock w:val="sdtLocked"/>
              <w:placeholder>
                <w:docPart w:val="9FAC363D8D0B4541B353619A8A28B61E"/>
              </w:placeholder>
              <w:dataBinding w:prefixMappings="xmlns:ns0='http://www.bna.com/gateway/unit.start' " w:xpath="/ns0:document[1]/ns0:unit.start[1]/@unit.name" w:storeItemID="{B04FCA99-13B0-422B-ADC9-9491644FA79D}"/>
              <w15:appearance w15:val="tags"/>
              <w:text/>
            </w:sdtPr>
            <w:sdtContent>
              <w:r w:rsidR="00F138B6" w:rsidRPr="00F138B6">
                <w:rPr>
                  <w:rStyle w:val="BContentControl"/>
                </w:rPr>
                <w:t>Chapter</w:t>
              </w:r>
              <w:r w:rsidR="00F138B6">
                <w:rPr>
                  <w:rStyle w:val="BContentControl"/>
                </w:rPr>
                <w:t xml:space="preserve"> </w:t>
              </w:r>
              <w:r w:rsidR="00F138B6" w:rsidRPr="00F138B6">
                <w:rPr>
                  <w:rStyle w:val="BContentControl"/>
                </w:rPr>
                <w:t>5.</w:t>
              </w:r>
              <w:r w:rsidR="00F138B6">
                <w:rPr>
                  <w:rStyle w:val="BContentControl"/>
                </w:rPr>
                <w:t xml:space="preserve"> </w:t>
              </w:r>
              <w:r w:rsidR="00F138B6" w:rsidRPr="00F138B6">
                <w:rPr>
                  <w:rStyle w:val="BContentControl"/>
                </w:rPr>
                <w:t>State</w:t>
              </w:r>
              <w:r w:rsidR="00F138B6">
                <w:rPr>
                  <w:rStyle w:val="BContentControl"/>
                </w:rPr>
                <w:t xml:space="preserve"> </w:t>
              </w:r>
              <w:r w:rsidR="00F138B6" w:rsidRPr="00F138B6">
                <w:rPr>
                  <w:rStyle w:val="BContentControl"/>
                </w:rPr>
                <w:t>Law</w:t>
              </w:r>
              <w:r w:rsidR="00F138B6">
                <w:rPr>
                  <w:rStyle w:val="BContentControl"/>
                </w:rPr>
                <w:t xml:space="preserve"> </w:t>
              </w:r>
              <w:r w:rsidR="00F138B6" w:rsidRPr="00F138B6">
                <w:rPr>
                  <w:rStyle w:val="BContentControl"/>
                </w:rPr>
                <w:t>Remedies</w:t>
              </w:r>
              <w:r w:rsidR="00F138B6">
                <w:rPr>
                  <w:rStyle w:val="BContentControl"/>
                </w:rPr>
                <w:t xml:space="preserve"> </w:t>
              </w:r>
              <w:r w:rsidR="00F138B6" w:rsidRPr="00F138B6">
                <w:rPr>
                  <w:rStyle w:val="BContentControl"/>
                </w:rPr>
                <w:t>for</w:t>
              </w:r>
              <w:r w:rsidR="00F138B6">
                <w:rPr>
                  <w:rStyle w:val="BContentControl"/>
                </w:rPr>
                <w:t xml:space="preserve"> </w:t>
              </w:r>
              <w:r w:rsidR="00F138B6" w:rsidRPr="00F138B6">
                <w:rPr>
                  <w:rStyle w:val="BContentControl"/>
                </w:rPr>
                <w:t>Dilution</w:t>
              </w:r>
            </w:sdtContent>
          </w:sdt>
          <w:r w:rsidR="00F138B6">
            <w:rPr>
              <w:rStyle w:val="BContentControl"/>
            </w:rPr>
            <w:t xml:space="preserve"> </w:t>
          </w:r>
          <w:sdt>
            <w:sdtPr>
              <w:rPr>
                <w:rStyle w:val="BContentControl"/>
              </w:rPr>
              <w:alias w:val="volume.num"/>
              <w:tag w:val="volume.num"/>
              <w:id w:val="-371619862"/>
              <w:lock w:val="sdtLocked"/>
              <w:placeholder>
                <w:docPart w:val="74B39DF5A27941B59AEBCAB0EC30A4C5"/>
              </w:placeholder>
              <w:dataBinding w:prefixMappings="xmlns:ns0='http://www.bna.com/gateway/unit.start' " w:xpath="/ns0:document[1]/ns0:unit.start[1]/@volume.num" w:storeItemID="{B04FCA99-13B0-422B-ADC9-9491644FA79D}"/>
              <w15:appearance w15:val="tags"/>
              <w:text/>
            </w:sdtPr>
            <w:sdtEndPr>
              <w:rPr>
                <w:rStyle w:val="BContentControl"/>
              </w:rPr>
            </w:sdtEndPr>
            <w:sdtContent>
              <w:r w:rsidR="00105A85">
                <w:rPr>
                  <w:rStyle w:val="BContentControl"/>
                </w:rPr>
                <w:t>1</w:t>
              </w:r>
            </w:sdtContent>
          </w:sdt>
        </w:p>
        <w:bookmarkEnd w:id="0" w:displacedByCustomXml="next"/>
      </w:sdtContent>
    </w:sdt>
    <w:p w14:paraId="7716C97C" w14:textId="77777777" w:rsidR="00F138B6" w:rsidRPr="00F138B6" w:rsidRDefault="009506A9" w:rsidP="00105A85">
      <w:pPr>
        <w:pStyle w:val="BDocStart"/>
      </w:pPr>
      <w:sdt>
        <w:sdtPr>
          <w:tag w:val="DocStart"/>
          <w:id w:val="-75672279"/>
          <w:lock w:val="sdtLocked"/>
          <w:placeholder>
            <w:docPart w:val="003DA370477947EB9C9D8AB62E2DFEFE"/>
          </w:placeholder>
          <w15:appearance w15:val="hidden"/>
        </w:sdtPr>
        <w:sdtEndPr/>
        <w:sdtContent>
          <w:r w:rsidR="00105A85">
            <w:t>Document</w:t>
          </w:r>
        </w:sdtContent>
      </w:sdt>
    </w:p>
    <w:p w14:paraId="6FD3DC8C" w14:textId="62117121" w:rsidR="00F138B6" w:rsidRPr="00F138B6" w:rsidRDefault="00AF6C63" w:rsidP="003E2EA3">
      <w:pPr>
        <w:pStyle w:val="BChapterName"/>
      </w:pPr>
      <w:r w:rsidRPr="00F138B6">
        <w:t>Chapter</w:t>
      </w:r>
      <w:r w:rsidR="00F138B6">
        <w:t xml:space="preserve"> </w:t>
      </w:r>
      <w:r w:rsidRPr="00F138B6">
        <w:t>5</w:t>
      </w:r>
      <w:r w:rsidR="00F138B6" w:rsidRPr="00F138B6">
        <w:t>.</w:t>
      </w:r>
      <w:r w:rsidR="00F138B6">
        <w:t xml:space="preserve"> </w:t>
      </w:r>
      <w:r w:rsidR="00F138B6" w:rsidRPr="00F138B6">
        <w:t>S</w:t>
      </w:r>
      <w:r w:rsidRPr="00F138B6">
        <w:t>tate</w:t>
      </w:r>
      <w:r w:rsidR="00F138B6">
        <w:t xml:space="preserve"> </w:t>
      </w:r>
      <w:r w:rsidRPr="00F138B6">
        <w:t>Law</w:t>
      </w:r>
      <w:r w:rsidR="00F138B6">
        <w:t xml:space="preserve"> </w:t>
      </w:r>
      <w:r w:rsidRPr="00F138B6">
        <w:t>Remedies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Dilution</w:t>
      </w:r>
    </w:p>
    <w:p w14:paraId="5950E675" w14:textId="6CB3DEC5" w:rsidR="00F138B6" w:rsidRPr="00F138B6" w:rsidRDefault="00F138B6" w:rsidP="00F138B6">
      <w:pPr>
        <w:pStyle w:val="BNormal"/>
      </w:pPr>
      <w:r w:rsidRPr="00F138B6">
        <w:rPr>
          <w:i/>
        </w:rPr>
        <w:t>This</w:t>
      </w:r>
      <w:r>
        <w:rPr>
          <w:i/>
        </w:rPr>
        <w:t xml:space="preserve"> </w:t>
      </w:r>
      <w:r w:rsidRPr="00F138B6">
        <w:rPr>
          <w:i/>
        </w:rPr>
        <w:t>chapter</w:t>
      </w:r>
      <w:r>
        <w:rPr>
          <w:i/>
        </w:rPr>
        <w:t xml:space="preserve"> </w:t>
      </w:r>
      <w:r w:rsidRPr="00F138B6">
        <w:rPr>
          <w:i/>
        </w:rPr>
        <w:t>is</w:t>
      </w:r>
      <w:r>
        <w:rPr>
          <w:i/>
        </w:rPr>
        <w:t xml:space="preserve"> </w:t>
      </w:r>
      <w:r w:rsidRPr="00F138B6">
        <w:rPr>
          <w:i/>
        </w:rPr>
        <w:t>current</w:t>
      </w:r>
      <w:r>
        <w:rPr>
          <w:i/>
        </w:rPr>
        <w:t xml:space="preserve"> </w:t>
      </w:r>
      <w:r w:rsidRPr="00F138B6">
        <w:rPr>
          <w:i/>
        </w:rPr>
        <w:t>through</w:t>
      </w:r>
      <w:r>
        <w:rPr>
          <w:i/>
        </w:rPr>
        <w:t xml:space="preserve"> </w:t>
      </w:r>
      <w:r w:rsidRPr="00F138B6">
        <w:rPr>
          <w:i/>
        </w:rPr>
        <w:t>May</w:t>
      </w:r>
      <w:r>
        <w:rPr>
          <w:i/>
        </w:rPr>
        <w:t xml:space="preserve"> </w:t>
      </w:r>
      <w:r w:rsidRPr="00F138B6">
        <w:rPr>
          <w:i/>
        </w:rPr>
        <w:t>2025</w:t>
      </w:r>
    </w:p>
    <w:p w14:paraId="29812AA6" w14:textId="23E66F71" w:rsidR="00F138B6" w:rsidRPr="00F138B6" w:rsidRDefault="009506A9" w:rsidP="00F138B6">
      <w:pPr>
        <w:pStyle w:val="BNormal"/>
      </w:pPr>
      <w:hyperlink r:id="rId13" w:history="1">
        <w:r w:rsidR="00F138B6" w:rsidRPr="00F138B6">
          <w:rPr>
            <w:rStyle w:val="Hyperlink"/>
          </w:rPr>
          <w:t>David</w:t>
        </w:r>
        <w:r w:rsidR="00F138B6">
          <w:rPr>
            <w:rStyle w:val="Hyperlink"/>
          </w:rPr>
          <w:t xml:space="preserve"> </w:t>
        </w:r>
        <w:r w:rsidR="00F138B6" w:rsidRPr="00F138B6">
          <w:rPr>
            <w:rStyle w:val="Hyperlink"/>
          </w:rPr>
          <w:t>Welkowitz</w:t>
        </w:r>
      </w:hyperlink>
      <w:r w:rsidR="00F138B6" w:rsidRPr="00F138B6">
        <w:rPr>
          <w:rFonts w:eastAsiaTheme="majorEastAsia"/>
          <w:vertAlign w:val="superscript"/>
        </w:rPr>
        <w:footnoteReference w:id="1"/>
      </w:r>
      <w:r w:rsidR="001763C1">
        <w:br/>
      </w:r>
      <w:r w:rsidR="00F138B6" w:rsidRPr="00F138B6">
        <w:rPr>
          <w:i/>
        </w:rPr>
        <w:t>Whittier</w:t>
      </w:r>
      <w:r w:rsidR="00F138B6">
        <w:rPr>
          <w:i/>
        </w:rPr>
        <w:t xml:space="preserve"> </w:t>
      </w:r>
      <w:r w:rsidR="00F138B6" w:rsidRPr="00F138B6">
        <w:rPr>
          <w:i/>
        </w:rPr>
        <w:t>Law</w:t>
      </w:r>
      <w:r w:rsidR="00F138B6">
        <w:rPr>
          <w:i/>
        </w:rPr>
        <w:t xml:space="preserve"> </w:t>
      </w:r>
      <w:r w:rsidR="00F138B6" w:rsidRPr="00F138B6">
        <w:rPr>
          <w:i/>
        </w:rPr>
        <w:t>School</w:t>
      </w:r>
      <w:r w:rsidR="001763C1">
        <w:rPr>
          <w:i/>
        </w:rPr>
        <w:br/>
      </w:r>
      <w:r w:rsidR="00F138B6" w:rsidRPr="00F138B6">
        <w:rPr>
          <w:i/>
        </w:rPr>
        <w:t>Costa</w:t>
      </w:r>
      <w:r w:rsidR="00F138B6">
        <w:rPr>
          <w:i/>
        </w:rPr>
        <w:t xml:space="preserve"> </w:t>
      </w:r>
      <w:r w:rsidR="00F138B6" w:rsidRPr="00F138B6">
        <w:rPr>
          <w:i/>
        </w:rPr>
        <w:t>Mesa,</w:t>
      </w:r>
      <w:r w:rsidR="00F138B6">
        <w:rPr>
          <w:i/>
        </w:rPr>
        <w:t xml:space="preserve"> </w:t>
      </w:r>
      <w:r w:rsidR="00F138B6" w:rsidRPr="00F138B6">
        <w:rPr>
          <w:i/>
        </w:rPr>
        <w:t>CA</w:t>
      </w:r>
    </w:p>
    <w:p w14:paraId="3C163365" w14:textId="14A1E268" w:rsidR="00F138B6" w:rsidRPr="00F138B6" w:rsidRDefault="00AF6C63" w:rsidP="00F138B6">
      <w:pPr>
        <w:pStyle w:val="BNormal"/>
        <w:rPr>
          <w:rFonts w:eastAsia="Arial Unicode MS"/>
        </w:rPr>
      </w:pPr>
      <w:r w:rsidRPr="00F138B6">
        <w:rPr>
          <w:rFonts w:eastAsia="Arial Unicode MS"/>
        </w:rPr>
        <w:t>Disclaimer</w:t>
      </w:r>
      <w:r w:rsidR="00F138B6" w:rsidRPr="00F138B6">
        <w:rPr>
          <w:rFonts w:eastAsia="Arial Unicode MS"/>
        </w:rPr>
        <w:t>:</w:t>
      </w:r>
      <w:r w:rsidR="00F138B6">
        <w:rPr>
          <w:rFonts w:eastAsia="Arial Unicode MS"/>
        </w:rPr>
        <w:t xml:space="preserve"> </w:t>
      </w:r>
      <w:r w:rsidR="00F138B6" w:rsidRPr="00F138B6">
        <w:rPr>
          <w:rFonts w:eastAsia="Arial Unicode MS"/>
        </w:rPr>
        <w:t>T</w:t>
      </w:r>
      <w:r w:rsidRPr="00F138B6">
        <w:rPr>
          <w:rFonts w:eastAsia="Arial Unicode MS"/>
        </w:rPr>
        <w:t>he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opinions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expressed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here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are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solely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those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of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the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author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and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should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not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be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construed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as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representing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the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opinions,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directly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or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indirectly,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of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the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U.S</w:t>
      </w:r>
      <w:r w:rsidR="00F138B6" w:rsidRPr="00F138B6">
        <w:rPr>
          <w:rFonts w:eastAsia="Arial Unicode MS"/>
        </w:rPr>
        <w:t>.</w:t>
      </w:r>
      <w:r w:rsidR="00F138B6">
        <w:rPr>
          <w:rFonts w:eastAsia="Arial Unicode MS"/>
        </w:rPr>
        <w:t xml:space="preserve"> </w:t>
      </w:r>
      <w:r w:rsidR="00F138B6" w:rsidRPr="00F138B6">
        <w:rPr>
          <w:rFonts w:eastAsia="Arial Unicode MS"/>
        </w:rPr>
        <w:t>C</w:t>
      </w:r>
      <w:r w:rsidRPr="00F138B6">
        <w:rPr>
          <w:rFonts w:eastAsia="Arial Unicode MS"/>
        </w:rPr>
        <w:t>opyright</w:t>
      </w:r>
      <w:r w:rsidR="00F138B6">
        <w:rPr>
          <w:rFonts w:eastAsia="Arial Unicode MS"/>
        </w:rPr>
        <w:t xml:space="preserve"> </w:t>
      </w:r>
      <w:r w:rsidRPr="00F138B6">
        <w:rPr>
          <w:rFonts w:eastAsia="Arial Unicode MS"/>
        </w:rPr>
        <w:t>Office.</w:t>
      </w:r>
    </w:p>
    <w:p w14:paraId="72526DA6" w14:textId="7195D636" w:rsidR="00F138B6" w:rsidRPr="00F138B6" w:rsidRDefault="003E2EA3" w:rsidP="003E2EA3">
      <w:pPr>
        <w:pStyle w:val="BHead1"/>
      </w:pPr>
      <w:r>
        <w:t>5.</w:t>
      </w:r>
      <w:r w:rsidR="00F138B6" w:rsidRPr="003E2EA3">
        <w:rPr>
          <w:rStyle w:val="BBNAidChar"/>
          <w:rFonts w:eastAsiaTheme="majorEastAsia"/>
        </w:rPr>
        <w:t>I</w:t>
      </w:r>
      <w:r w:rsidR="00F138B6" w:rsidRPr="00F138B6">
        <w:t>.</w:t>
      </w:r>
      <w:r>
        <w:t xml:space="preserve">  </w:t>
      </w:r>
      <w:r w:rsidR="00F138B6" w:rsidRPr="00F138B6">
        <w:t>Injunctive</w:t>
      </w:r>
      <w:r w:rsidR="00F138B6">
        <w:t xml:space="preserve"> </w:t>
      </w:r>
      <w:r w:rsidR="00F138B6" w:rsidRPr="00F138B6">
        <w:t>Relief</w:t>
      </w:r>
      <w:r w:rsidR="00F138B6">
        <w:t xml:space="preserve"> </w:t>
      </w:r>
      <w:r w:rsidR="00F138B6" w:rsidRPr="00F138B6">
        <w:t>in</w:t>
      </w:r>
      <w:r w:rsidR="00F138B6">
        <w:t xml:space="preserve"> </w:t>
      </w:r>
      <w:r w:rsidR="00F138B6" w:rsidRPr="00F138B6">
        <w:t>General</w:t>
      </w:r>
    </w:p>
    <w:p w14:paraId="585E20B9" w14:textId="322B7CB4" w:rsidR="00F138B6" w:rsidRPr="00F138B6" w:rsidRDefault="00AF6C63" w:rsidP="00F138B6">
      <w:pPr>
        <w:pStyle w:val="BNormal"/>
      </w:pPr>
      <w:r w:rsidRPr="00F138B6">
        <w:t>In</w:t>
      </w:r>
      <w:r w:rsidR="00F138B6">
        <w:t xml:space="preserve"> </w:t>
      </w:r>
      <w:proofErr w:type="gramStart"/>
      <w:r w:rsidRPr="00F138B6">
        <w:t>the</w:t>
      </w:r>
      <w:r w:rsidR="00F138B6">
        <w:t xml:space="preserve"> </w:t>
      </w:r>
      <w:r w:rsidRPr="00F138B6">
        <w:t>vast</w:t>
      </w:r>
      <w:r w:rsidR="00F138B6">
        <w:t xml:space="preserve"> </w:t>
      </w:r>
      <w:r w:rsidRPr="00F138B6">
        <w:t>majority</w:t>
      </w:r>
      <w:r w:rsidR="00F138B6">
        <w:t xml:space="preserve"> </w:t>
      </w:r>
      <w:r w:rsidRPr="00F138B6">
        <w:t>of</w:t>
      </w:r>
      <w:proofErr w:type="gramEnd"/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cases,</w:t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both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law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Trademark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Revision</w:t>
      </w:r>
      <w:r w:rsidR="00F138B6">
        <w:t xml:space="preserve"> </w:t>
      </w:r>
      <w:r w:rsidRPr="00F138B6">
        <w:t>Act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2006</w:t>
      </w:r>
      <w:r w:rsidR="00F138B6">
        <w:t xml:space="preserve"> </w:t>
      </w:r>
      <w:r w:rsidRPr="00F138B6">
        <w:t>(TDRA),</w:t>
      </w:r>
      <w:r w:rsidR="00F138B6" w:rsidRPr="00F138B6">
        <w:rPr>
          <w:vertAlign w:val="superscript"/>
        </w:rPr>
        <w:footnoteReference w:id="2"/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remedy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successful</w:t>
      </w:r>
      <w:r w:rsidR="00F138B6">
        <w:t xml:space="preserve"> </w:t>
      </w:r>
      <w:r w:rsidRPr="00F138B6">
        <w:t>plaintiff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injunction</w:t>
      </w:r>
      <w:r w:rsidR="00F138B6" w:rsidRPr="00F138B6">
        <w:t>.</w:t>
      </w:r>
      <w:r w:rsidR="00F138B6">
        <w:t xml:space="preserve"> </w:t>
      </w:r>
      <w:r w:rsidR="00F138B6" w:rsidRPr="00F138B6">
        <w:t>U</w:t>
      </w:r>
      <w:r w:rsidRPr="00F138B6">
        <w:t>nder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original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statutes,</w:t>
      </w:r>
      <w:r w:rsidR="00F138B6">
        <w:t xml:space="preserve"> </w:t>
      </w:r>
      <w:r w:rsidRPr="00F138B6">
        <w:t>injunctions</w:t>
      </w:r>
      <w:r w:rsidR="00F138B6">
        <w:t xml:space="preserve"> </w:t>
      </w:r>
      <w:r w:rsidRPr="00F138B6">
        <w:t>were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only</w:t>
      </w:r>
      <w:r w:rsidR="00F138B6">
        <w:t xml:space="preserve"> </w:t>
      </w:r>
      <w:r w:rsidRPr="00F138B6">
        <w:t>remedy</w:t>
      </w:r>
      <w:r w:rsidR="00F138B6">
        <w:t xml:space="preserve"> </w:t>
      </w:r>
      <w:r w:rsidRPr="00F138B6">
        <w:t>provided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law</w:t>
      </w:r>
      <w:r w:rsidR="00F138B6" w:rsidRPr="00F138B6">
        <w:t>:</w:t>
      </w:r>
      <w:r w:rsidR="00F138B6">
        <w:t xml:space="preserve"> </w:t>
      </w:r>
      <w:r w:rsidR="00F138B6" w:rsidRPr="00F138B6">
        <w:t>“</w:t>
      </w:r>
      <w:r w:rsidRPr="00F138B6">
        <w:t>Likelihood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injury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business</w:t>
      </w:r>
      <w:r w:rsidR="00F138B6">
        <w:t xml:space="preserve"> </w:t>
      </w:r>
      <w:r w:rsidRPr="00F138B6">
        <w:t>reputation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distinctive</w:t>
      </w:r>
      <w:r w:rsidR="00F138B6">
        <w:t xml:space="preserve"> </w:t>
      </w:r>
      <w:r w:rsidRPr="00F138B6">
        <w:t>quality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mark</w:t>
      </w:r>
      <w:r w:rsidR="00F138B6">
        <w:t xml:space="preserve"> </w:t>
      </w:r>
      <w:r w:rsidRPr="00F138B6">
        <w:t>…</w:t>
      </w:r>
      <w:r w:rsidR="00F138B6">
        <w:t xml:space="preserve"> </w:t>
      </w:r>
      <w:r w:rsidRPr="00F138B6">
        <w:t>shall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ground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injunctive</w:t>
      </w:r>
      <w:r w:rsidR="00F138B6">
        <w:t xml:space="preserve"> </w:t>
      </w:r>
      <w:r w:rsidRPr="00F138B6">
        <w:t>relief</w:t>
      </w:r>
      <w:r w:rsidR="00F138B6">
        <w:t xml:space="preserve"> </w:t>
      </w:r>
      <w:r w:rsidRPr="00F138B6">
        <w:t>…</w:t>
      </w:r>
      <w:r w:rsidR="00F138B6">
        <w:t xml:space="preserve"> </w:t>
      </w:r>
      <w:r w:rsidRPr="00F138B6">
        <w:t>.”</w:t>
      </w:r>
      <w:r w:rsidR="00F138B6" w:rsidRPr="00F138B6">
        <w:rPr>
          <w:vertAlign w:val="superscript"/>
        </w:rPr>
        <w:footnoteReference w:id="3"/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states</w:t>
      </w:r>
      <w:r w:rsidR="00F138B6">
        <w:t xml:space="preserve"> </w:t>
      </w:r>
      <w:r w:rsidRPr="00F138B6">
        <w:t>with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based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model,</w:t>
      </w:r>
      <w:r w:rsidR="00F138B6">
        <w:t xml:space="preserve"> </w:t>
      </w:r>
      <w:r w:rsidRPr="00F138B6">
        <w:t>injunctions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exclusive</w:t>
      </w:r>
      <w:r w:rsidR="00F138B6">
        <w:t xml:space="preserve"> </w:t>
      </w:r>
      <w:r w:rsidRPr="00F138B6">
        <w:t>remedy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violations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statute.</w:t>
      </w:r>
    </w:p>
    <w:p w14:paraId="3D1CB0EE" w14:textId="004FA25B" w:rsidR="00F138B6" w:rsidRPr="00F138B6" w:rsidRDefault="00AF6C63" w:rsidP="00F138B6">
      <w:pPr>
        <w:pStyle w:val="BNormal"/>
      </w:pPr>
      <w:r w:rsidRPr="00F138B6">
        <w:t>The</w:t>
      </w:r>
      <w:r w:rsidR="00F138B6">
        <w:t xml:space="preserve"> </w:t>
      </w:r>
      <w:r w:rsidRPr="00F138B6">
        <w:t>TDRA,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1992,</w:t>
      </w:r>
      <w:r w:rsidR="00F138B6">
        <w:t xml:space="preserve"> </w:t>
      </w:r>
      <w:r w:rsidRPr="00F138B6">
        <w:t>1996,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2007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Trademark</w:t>
      </w:r>
      <w:r w:rsidR="00F138B6">
        <w:t xml:space="preserve"> </w:t>
      </w:r>
      <w:r w:rsidRPr="00F138B6">
        <w:t>Bills,</w:t>
      </w:r>
      <w:r w:rsidR="00F138B6">
        <w:t xml:space="preserve"> </w:t>
      </w:r>
      <w:r w:rsidRPr="00F138B6">
        <w:t>also</w:t>
      </w:r>
      <w:r w:rsidR="00F138B6">
        <w:t xml:space="preserve"> </w:t>
      </w:r>
      <w:r w:rsidRPr="00F138B6">
        <w:t>provide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injunctions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usual</w:t>
      </w:r>
      <w:r w:rsidR="00F138B6">
        <w:t xml:space="preserve"> </w:t>
      </w:r>
      <w:r w:rsidRPr="00F138B6">
        <w:t>remedy.</w:t>
      </w:r>
      <w:r w:rsidR="00F138B6" w:rsidRPr="00F138B6">
        <w:rPr>
          <w:vertAlign w:val="superscript"/>
        </w:rPr>
        <w:footnoteReference w:id="4"/>
      </w:r>
      <w:r w:rsidR="00F138B6">
        <w:t xml:space="preserve"> </w:t>
      </w:r>
      <w:r w:rsidRPr="00F138B6">
        <w:t>Thus,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all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cases,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primary</w:t>
      </w:r>
      <w:r w:rsidR="00F138B6">
        <w:t xml:space="preserve"> </w:t>
      </w:r>
      <w:r w:rsidRPr="00F138B6">
        <w:t>remedy</w:t>
      </w:r>
      <w:r w:rsidR="00F138B6">
        <w:t xml:space="preserve"> </w:t>
      </w:r>
      <w:r w:rsidRPr="00F138B6">
        <w:t>will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injunction</w:t>
      </w:r>
      <w:r w:rsidR="00F138B6" w:rsidRPr="00F138B6">
        <w:t>.</w:t>
      </w:r>
      <w:r w:rsidR="00F138B6">
        <w:t xml:space="preserve"> </w:t>
      </w:r>
      <w:r w:rsidR="00F138B6" w:rsidRPr="00F138B6">
        <w:t>H</w:t>
      </w:r>
      <w:r w:rsidRPr="00F138B6">
        <w:t>owever,</w:t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lastRenderedPageBreak/>
        <w:t>exclusive</w:t>
      </w:r>
      <w:r w:rsidR="00F138B6">
        <w:t xml:space="preserve"> </w:t>
      </w:r>
      <w:r w:rsidRPr="00F138B6">
        <w:t>remedy</w:t>
      </w:r>
      <w:r w:rsidR="00F138B6">
        <w:t xml:space="preserve"> </w:t>
      </w:r>
      <w:r w:rsidRPr="00F138B6">
        <w:t>allowed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TDRA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based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these</w:t>
      </w:r>
      <w:r w:rsidR="00F138B6">
        <w:t xml:space="preserve"> </w:t>
      </w:r>
      <w:r w:rsidRPr="00F138B6">
        <w:t>more</w:t>
      </w:r>
      <w:r w:rsidR="00F138B6">
        <w:t xml:space="preserve"> </w:t>
      </w:r>
      <w:r w:rsidRPr="00F138B6">
        <w:t>recent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Bills</w:t>
      </w:r>
      <w:r w:rsidR="00F138B6" w:rsidRPr="00F138B6">
        <w:t>.</w:t>
      </w:r>
      <w:r w:rsidR="00F138B6">
        <w:t xml:space="preserve"> </w:t>
      </w:r>
      <w:r w:rsidR="00F138B6" w:rsidRPr="00F138B6">
        <w:t>I</w:t>
      </w:r>
      <w:r w:rsidRPr="00F138B6">
        <w:t>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famous</w:t>
      </w:r>
      <w:r w:rsidR="00F138B6">
        <w:t xml:space="preserve"> </w:t>
      </w:r>
      <w:r w:rsidRPr="00F138B6">
        <w:t>mark</w:t>
      </w:r>
      <w:r w:rsidR="00F138B6">
        <w:t xml:space="preserve"> </w:t>
      </w:r>
      <w:r w:rsidRPr="00F138B6">
        <w:t>owner</w:t>
      </w:r>
      <w:r w:rsidR="00F138B6">
        <w:t xml:space="preserve"> </w:t>
      </w:r>
      <w:r w:rsidRPr="00F138B6">
        <w:t>shows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defendant</w:t>
      </w:r>
      <w:r w:rsidR="00F138B6">
        <w:t xml:space="preserve"> </w:t>
      </w:r>
      <w:r w:rsidRPr="00F138B6">
        <w:t>intended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harm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reputation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famous</w:t>
      </w:r>
      <w:r w:rsidR="00F138B6">
        <w:t xml:space="preserve"> </w:t>
      </w:r>
      <w:r w:rsidRPr="00F138B6">
        <w:t>mark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trade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goodwill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famous</w:t>
      </w:r>
      <w:r w:rsidR="00F138B6">
        <w:t xml:space="preserve"> </w:t>
      </w:r>
      <w:r w:rsidRPr="00F138B6">
        <w:t>mark,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may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awarded.</w:t>
      </w:r>
      <w:r w:rsidR="00F138B6" w:rsidRPr="00F138B6">
        <w:rPr>
          <w:vertAlign w:val="superscript"/>
        </w:rPr>
        <w:footnoteReference w:id="5"/>
      </w:r>
      <w:r w:rsidR="00F138B6">
        <w:t xml:space="preserve"> </w:t>
      </w:r>
      <w:r w:rsidRPr="00F138B6">
        <w:t>Most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now</w:t>
      </w:r>
      <w:r w:rsidR="00F138B6">
        <w:t xml:space="preserve"> </w:t>
      </w:r>
      <w:r w:rsidRPr="00F138B6">
        <w:t>have</w:t>
      </w:r>
      <w:r w:rsidR="00F138B6">
        <w:t xml:space="preserve"> </w:t>
      </w:r>
      <w:r w:rsidRPr="00F138B6">
        <w:t>remedy</w:t>
      </w:r>
      <w:r w:rsidR="00F138B6">
        <w:t xml:space="preserve"> </w:t>
      </w:r>
      <w:r w:rsidRPr="00F138B6">
        <w:t>provisions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same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very</w:t>
      </w:r>
      <w:r w:rsidR="00F138B6">
        <w:t xml:space="preserve"> </w:t>
      </w:r>
      <w:r w:rsidRPr="00F138B6">
        <w:t>similar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those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TDRA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Federal</w:t>
      </w:r>
      <w:r w:rsidR="00F138B6">
        <w:t xml:space="preserve"> </w:t>
      </w:r>
      <w:r w:rsidRPr="00F138B6">
        <w:t>Trademark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Act</w:t>
      </w:r>
      <w:r w:rsidR="00F138B6">
        <w:t xml:space="preserve"> </w:t>
      </w:r>
      <w:r w:rsidRPr="00F138B6">
        <w:t>(FTDA).</w:t>
      </w:r>
      <w:r w:rsidR="00F138B6" w:rsidRPr="00F138B6">
        <w:rPr>
          <w:vertAlign w:val="superscript"/>
        </w:rPr>
        <w:footnoteReference w:id="6"/>
      </w:r>
      <w:r w:rsidR="00F138B6">
        <w:t xml:space="preserve"> </w:t>
      </w:r>
      <w:r w:rsidRPr="00F138B6">
        <w:t>However,</w:t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all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these</w:t>
      </w:r>
      <w:r w:rsidR="00F138B6">
        <w:t xml:space="preserve"> </w:t>
      </w:r>
      <w:r w:rsidRPr="00F138B6">
        <w:t>statutes,</w:t>
      </w:r>
      <w:r w:rsidR="00F138B6">
        <w:t xml:space="preserve"> </w:t>
      </w:r>
      <w:r w:rsidRPr="00F138B6">
        <w:t>noninjunctive</w:t>
      </w:r>
      <w:r w:rsidR="00F138B6">
        <w:t xml:space="preserve"> </w:t>
      </w:r>
      <w:r w:rsidRPr="00F138B6">
        <w:t>remedies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available</w:t>
      </w:r>
      <w:r w:rsidR="00F138B6">
        <w:t xml:space="preserve"> </w:t>
      </w:r>
      <w:r w:rsidRPr="00F138B6">
        <w:t>only</w:t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rather</w:t>
      </w:r>
      <w:r w:rsidR="00F138B6">
        <w:t xml:space="preserve"> </w:t>
      </w:r>
      <w:r w:rsidRPr="00F138B6">
        <w:t>stringent</w:t>
      </w:r>
      <w:r w:rsidR="00F138B6">
        <w:t xml:space="preserve"> </w:t>
      </w:r>
      <w:r w:rsidRPr="00F138B6">
        <w:t>circumstances,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discussed</w:t>
      </w:r>
      <w:r w:rsidR="00F138B6">
        <w:t xml:space="preserve"> </w:t>
      </w:r>
      <w:r w:rsidRPr="00F138B6">
        <w:t>below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Section</w:t>
      </w:r>
      <w:r w:rsidR="00F138B6">
        <w:t xml:space="preserve"> </w:t>
      </w:r>
      <w:r w:rsidRPr="00F138B6">
        <w:t>III.</w:t>
      </w:r>
    </w:p>
    <w:p w14:paraId="2808C82F" w14:textId="04D99829" w:rsidR="00F138B6" w:rsidRPr="00F138B6" w:rsidRDefault="00AF6C63" w:rsidP="00F138B6">
      <w:pPr>
        <w:pStyle w:val="BNormal"/>
      </w:pPr>
      <w:r w:rsidRPr="00F138B6">
        <w:t>Injunctive</w:t>
      </w:r>
      <w:r w:rsidR="00F138B6">
        <w:t xml:space="preserve"> </w:t>
      </w:r>
      <w:r w:rsidRPr="00F138B6">
        <w:t>relief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equitable</w:t>
      </w:r>
      <w:r w:rsidR="00F138B6">
        <w:t xml:space="preserve"> </w:t>
      </w:r>
      <w:r w:rsidRPr="00F138B6">
        <w:t>remedy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normally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subject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usual</w:t>
      </w:r>
      <w:r w:rsidR="00F138B6">
        <w:t xml:space="preserve"> </w:t>
      </w:r>
      <w:r w:rsidRPr="00F138B6">
        <w:t>restrictions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relief,</w:t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need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balance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hardships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parties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would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imposed</w:t>
      </w:r>
      <w:r w:rsidR="00F138B6">
        <w:t xml:space="preserve"> </w:t>
      </w:r>
      <w:r w:rsidRPr="00F138B6">
        <w:t>by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need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find</w:t>
      </w:r>
      <w:r w:rsidR="00F138B6">
        <w:t xml:space="preserve"> </w:t>
      </w:r>
      <w:r w:rsidRPr="00F138B6">
        <w:t>irreparable</w:t>
      </w:r>
      <w:r w:rsidR="00F138B6">
        <w:t xml:space="preserve"> </w:t>
      </w:r>
      <w:r w:rsidRPr="00F138B6">
        <w:t>harm.</w:t>
      </w:r>
      <w:r w:rsidR="00F138B6" w:rsidRPr="00F138B6">
        <w:rPr>
          <w:vertAlign w:val="superscript"/>
        </w:rPr>
        <w:footnoteReference w:id="7"/>
      </w:r>
      <w:r w:rsidR="00F138B6">
        <w:t xml:space="preserve"> </w:t>
      </w:r>
      <w:r w:rsidRPr="00F138B6">
        <w:t>However,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few</w:t>
      </w:r>
      <w:r w:rsidR="00F138B6">
        <w:t xml:space="preserve"> </w:t>
      </w:r>
      <w:r w:rsidRPr="00F138B6">
        <w:t>states,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law</w:t>
      </w:r>
      <w:r w:rsidR="00F138B6">
        <w:t xml:space="preserve"> </w:t>
      </w:r>
      <w:r w:rsidRPr="00F138B6">
        <w:t>has</w:t>
      </w:r>
      <w:r w:rsidR="00F138B6">
        <w:t xml:space="preserve"> </w:t>
      </w:r>
      <w:r w:rsidRPr="00F138B6">
        <w:t>been</w:t>
      </w:r>
      <w:r w:rsidR="00F138B6">
        <w:t xml:space="preserve"> </w:t>
      </w:r>
      <w:r w:rsidRPr="00F138B6">
        <w:t>interpreted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mandate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if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violation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statute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found,</w:t>
      </w:r>
      <w:r w:rsidR="00F138B6">
        <w:t xml:space="preserve"> </w:t>
      </w:r>
      <w:r w:rsidRPr="00F138B6">
        <w:t>regardless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other</w:t>
      </w:r>
      <w:r w:rsidR="00F138B6">
        <w:t xml:space="preserve"> </w:t>
      </w:r>
      <w:r w:rsidRPr="00F138B6">
        <w:t>equities.</w:t>
      </w:r>
      <w:r w:rsidR="00F138B6" w:rsidRPr="00F138B6">
        <w:rPr>
          <w:vertAlign w:val="superscript"/>
        </w:rPr>
        <w:footnoteReference w:id="8"/>
      </w:r>
    </w:p>
    <w:p w14:paraId="5BC1C6B2" w14:textId="1C47DB24" w:rsidR="00F138B6" w:rsidRPr="00F138B6" w:rsidRDefault="003E2EA3" w:rsidP="003E2EA3">
      <w:pPr>
        <w:pStyle w:val="BHead1"/>
      </w:pPr>
      <w:r>
        <w:t>5.</w:t>
      </w:r>
      <w:r w:rsidR="00F138B6" w:rsidRPr="003E2EA3">
        <w:rPr>
          <w:rStyle w:val="BBNAidChar"/>
          <w:rFonts w:eastAsiaTheme="majorEastAsia"/>
        </w:rPr>
        <w:t>II</w:t>
      </w:r>
      <w:r w:rsidR="00F138B6" w:rsidRPr="00F138B6">
        <w:t>.</w:t>
      </w:r>
      <w:r>
        <w:t xml:space="preserve">  </w:t>
      </w:r>
      <w:r w:rsidR="00F138B6" w:rsidRPr="00F138B6">
        <w:t>The</w:t>
      </w:r>
      <w:r w:rsidR="00F138B6">
        <w:t xml:space="preserve"> </w:t>
      </w:r>
      <w:r w:rsidR="00F138B6" w:rsidRPr="00F138B6">
        <w:t>Geographic</w:t>
      </w:r>
      <w:r w:rsidR="00F138B6">
        <w:t xml:space="preserve"> </w:t>
      </w:r>
      <w:r w:rsidR="00F138B6" w:rsidRPr="00F138B6">
        <w:t>Scope</w:t>
      </w:r>
      <w:r w:rsidR="00F138B6">
        <w:t xml:space="preserve"> </w:t>
      </w:r>
      <w:r w:rsidR="00F138B6" w:rsidRPr="00F138B6">
        <w:t>of</w:t>
      </w:r>
      <w:r w:rsidR="00F138B6">
        <w:t xml:space="preserve"> </w:t>
      </w:r>
      <w:r w:rsidR="00F138B6" w:rsidRPr="00F138B6">
        <w:t>Injunctive</w:t>
      </w:r>
      <w:r w:rsidR="00F138B6">
        <w:t xml:space="preserve"> </w:t>
      </w:r>
      <w:r w:rsidR="00F138B6" w:rsidRPr="00F138B6">
        <w:t>Relief</w:t>
      </w:r>
    </w:p>
    <w:p w14:paraId="303AAC36" w14:textId="5CF40A92" w:rsidR="00F138B6" w:rsidRPr="00F138B6" w:rsidRDefault="00AF6C63" w:rsidP="00F138B6">
      <w:pPr>
        <w:pStyle w:val="BNormal"/>
      </w:pPr>
      <w:r w:rsidRPr="00F138B6">
        <w:t>Until</w:t>
      </w:r>
      <w:r w:rsidR="00F138B6">
        <w:t xml:space="preserve"> </w:t>
      </w:r>
      <w:r w:rsidRPr="00F138B6">
        <w:t>1996,</w:t>
      </w:r>
      <w:r w:rsidR="00F138B6">
        <w:t xml:space="preserve"> </w:t>
      </w:r>
      <w:r w:rsidRPr="00F138B6">
        <w:t>when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FTDA</w:t>
      </w:r>
      <w:r w:rsidR="00F138B6">
        <w:t xml:space="preserve"> </w:t>
      </w:r>
      <w:r w:rsidRPr="00F138B6">
        <w:t>became</w:t>
      </w:r>
      <w:r w:rsidR="00F138B6">
        <w:t xml:space="preserve"> </w:t>
      </w:r>
      <w:r w:rsidRPr="00F138B6">
        <w:t>effective,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only</w:t>
      </w:r>
      <w:r w:rsidR="00F138B6">
        <w:t xml:space="preserve"> </w:t>
      </w:r>
      <w:r w:rsidRPr="00F138B6">
        <w:t>basis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protection</w:t>
      </w:r>
      <w:r w:rsidR="00F138B6">
        <w:t xml:space="preserve"> </w:t>
      </w:r>
      <w:r w:rsidRPr="00F138B6">
        <w:t>was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law</w:t>
      </w:r>
      <w:r w:rsidR="00F138B6" w:rsidRPr="00F138B6">
        <w:t>.</w:t>
      </w:r>
      <w:r w:rsidR="00F138B6">
        <w:t xml:space="preserve"> </w:t>
      </w:r>
      <w:r w:rsidR="00F138B6" w:rsidRPr="00F138B6">
        <w:t>E</w:t>
      </w:r>
      <w:r w:rsidRPr="00F138B6">
        <w:t>ven</w:t>
      </w:r>
      <w:r w:rsidR="00F138B6">
        <w:t xml:space="preserve"> </w:t>
      </w:r>
      <w:r w:rsidRPr="00F138B6">
        <w:t>today,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laws</w:t>
      </w:r>
      <w:r w:rsidR="00F138B6">
        <w:t xml:space="preserve"> </w:t>
      </w:r>
      <w:r w:rsidRPr="00F138B6">
        <w:t>have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role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play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protecting</w:t>
      </w:r>
      <w:r w:rsidR="00F138B6">
        <w:t xml:space="preserve"> </w:t>
      </w:r>
      <w:r w:rsidRPr="00F138B6">
        <w:t>trademarks.</w:t>
      </w:r>
      <w:r w:rsidR="00F138B6" w:rsidRPr="00F138B6">
        <w:rPr>
          <w:vertAlign w:val="superscript"/>
        </w:rPr>
        <w:footnoteReference w:id="9"/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FTDA</w:t>
      </w:r>
      <w:r w:rsidR="00F138B6">
        <w:t xml:space="preserve"> </w:t>
      </w:r>
      <w:r w:rsidRPr="00F138B6">
        <w:t>does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preempt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laws,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many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laws</w:t>
      </w:r>
      <w:r w:rsidR="00F138B6">
        <w:t xml:space="preserve"> </w:t>
      </w:r>
      <w:r w:rsidRPr="00F138B6">
        <w:t>protect</w:t>
      </w:r>
      <w:r w:rsidR="00F138B6">
        <w:t xml:space="preserve"> </w:t>
      </w:r>
      <w:r w:rsidRPr="00F138B6">
        <w:t>trademarks</w:t>
      </w:r>
      <w:r w:rsidR="00F138B6">
        <w:t xml:space="preserve"> </w:t>
      </w:r>
      <w:r w:rsidRPr="00F138B6">
        <w:t>from</w:t>
      </w:r>
      <w:r w:rsidR="00F138B6">
        <w:t xml:space="preserve"> </w:t>
      </w:r>
      <w:r w:rsidRPr="00F138B6">
        <w:t>dilution</w:t>
      </w:r>
      <w:r w:rsidR="00F138B6">
        <w:t xml:space="preserve"> </w:t>
      </w:r>
      <w:proofErr w:type="gramStart"/>
      <w:r w:rsidRPr="00F138B6">
        <w:t>under</w:t>
      </w:r>
      <w:r w:rsidR="00F138B6">
        <w:t xml:space="preserve"> </w:t>
      </w:r>
      <w:r w:rsidRPr="00F138B6">
        <w:t>circumstances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which</w:t>
      </w:r>
      <w:proofErr w:type="gramEnd"/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FTDA</w:t>
      </w:r>
      <w:r w:rsidR="00F138B6">
        <w:t xml:space="preserve"> </w:t>
      </w:r>
      <w:r w:rsidRPr="00F138B6">
        <w:t>would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provide</w:t>
      </w:r>
      <w:r w:rsidR="00F138B6">
        <w:t xml:space="preserve"> </w:t>
      </w:r>
      <w:r w:rsidRPr="00F138B6">
        <w:t>protection.</w:t>
      </w:r>
      <w:r w:rsidR="00F138B6" w:rsidRPr="00F138B6">
        <w:rPr>
          <w:vertAlign w:val="superscript"/>
        </w:rPr>
        <w:footnoteReference w:id="10"/>
      </w:r>
      <w:r w:rsidR="00F138B6">
        <w:t xml:space="preserve"> </w:t>
      </w:r>
      <w:r w:rsidRPr="00F138B6">
        <w:t>However,</w:t>
      </w:r>
      <w:r w:rsidR="00F138B6">
        <w:t xml:space="preserve"> </w:t>
      </w:r>
      <w:r w:rsidRPr="00F138B6">
        <w:t>when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determines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warranted,</w:t>
      </w:r>
      <w:r w:rsidR="00F138B6">
        <w:t xml:space="preserve"> </w:t>
      </w:r>
      <w:r w:rsidRPr="00F138B6">
        <w:t>particularly</w:t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law,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proper</w:t>
      </w:r>
      <w:r w:rsidR="00F138B6">
        <w:t xml:space="preserve"> </w:t>
      </w:r>
      <w:r w:rsidRPr="00F138B6">
        <w:t>territorial</w:t>
      </w:r>
      <w:r w:rsidR="00F138B6">
        <w:t xml:space="preserve"> </w:t>
      </w:r>
      <w:r w:rsidRPr="00F138B6">
        <w:t>scope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may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questioned</w:t>
      </w:r>
      <w:r w:rsidR="00F138B6" w:rsidRPr="00F138B6">
        <w:t>.</w:t>
      </w:r>
      <w:r w:rsidR="00F138B6">
        <w:t xml:space="preserve"> </w:t>
      </w:r>
      <w:r w:rsidR="00F138B6" w:rsidRPr="00F138B6">
        <w:t>S</w:t>
      </w:r>
      <w:r w:rsidRPr="00F138B6">
        <w:t>pecifically,</w:t>
      </w:r>
      <w:r w:rsidR="00F138B6">
        <w:t xml:space="preserve"> </w:t>
      </w:r>
      <w:r w:rsidRPr="00F138B6">
        <w:t>if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issued</w:t>
      </w:r>
      <w:r w:rsidR="00F138B6">
        <w:t xml:space="preserve"> </w:t>
      </w:r>
      <w:r w:rsidRPr="00F138B6">
        <w:t>pursuant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law,</w:t>
      </w:r>
      <w:r w:rsidR="00F138B6">
        <w:t xml:space="preserve"> </w:t>
      </w:r>
      <w:r w:rsidRPr="00F138B6">
        <w:t>should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reach</w:t>
      </w:r>
      <w:r w:rsidR="00F138B6">
        <w:t xml:space="preserve"> </w:t>
      </w:r>
      <w:r w:rsidRPr="00F138B6">
        <w:t>conduct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where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defendant’s</w:t>
      </w:r>
      <w:r w:rsidR="00F138B6">
        <w:t xml:space="preserve"> </w:t>
      </w:r>
      <w:r w:rsidRPr="00F138B6">
        <w:t>actions</w:t>
      </w:r>
      <w:r w:rsidR="00F138B6">
        <w:t xml:space="preserve"> </w:t>
      </w:r>
      <w:r w:rsidRPr="00F138B6">
        <w:t>would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violate</w:t>
      </w:r>
      <w:r w:rsidR="00F138B6">
        <w:t xml:space="preserve"> </w:t>
      </w:r>
      <w:r w:rsidRPr="00F138B6">
        <w:t>any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laws?</w:t>
      </w:r>
    </w:p>
    <w:p w14:paraId="550F1D2B" w14:textId="0BAEC1EF" w:rsidR="00F138B6" w:rsidRPr="00F138B6" w:rsidRDefault="003E2EA3" w:rsidP="003E2EA3">
      <w:pPr>
        <w:pStyle w:val="BHead2"/>
      </w:pPr>
      <w:r>
        <w:t>5.II.</w:t>
      </w:r>
      <w:r w:rsidR="00F138B6" w:rsidRPr="003E2EA3">
        <w:rPr>
          <w:rStyle w:val="BBNAidChar"/>
          <w:rFonts w:eastAsiaTheme="majorEastAsia"/>
        </w:rPr>
        <w:t>A</w:t>
      </w:r>
      <w:r w:rsidR="00F138B6" w:rsidRPr="00F138B6">
        <w:t>.</w:t>
      </w:r>
      <w:r>
        <w:t> </w:t>
      </w:r>
      <w:r w:rsidR="00F138B6" w:rsidRPr="00F138B6">
        <w:tab/>
        <w:t>Injunctions</w:t>
      </w:r>
      <w:r w:rsidR="00F138B6">
        <w:t xml:space="preserve"> </w:t>
      </w:r>
      <w:r w:rsidR="00F138B6" w:rsidRPr="00F138B6">
        <w:t>Under</w:t>
      </w:r>
      <w:r w:rsidR="00F138B6">
        <w:t xml:space="preserve"> </w:t>
      </w:r>
      <w:r w:rsidR="00F138B6" w:rsidRPr="00F138B6">
        <w:t>the</w:t>
      </w:r>
      <w:r w:rsidR="00F138B6">
        <w:t xml:space="preserve"> </w:t>
      </w:r>
      <w:r w:rsidR="00F138B6" w:rsidRPr="00F138B6">
        <w:t>TDRA</w:t>
      </w:r>
      <w:r w:rsidR="00F138B6">
        <w:t xml:space="preserve"> </w:t>
      </w:r>
      <w:r w:rsidR="00F138B6" w:rsidRPr="00F138B6">
        <w:t>Can</w:t>
      </w:r>
      <w:r w:rsidR="00F138B6">
        <w:t xml:space="preserve"> </w:t>
      </w:r>
      <w:r w:rsidR="00F138B6" w:rsidRPr="00F138B6">
        <w:t>Extend</w:t>
      </w:r>
      <w:r w:rsidR="00F138B6">
        <w:t xml:space="preserve"> </w:t>
      </w:r>
      <w:r w:rsidR="00F138B6" w:rsidRPr="00F138B6">
        <w:t>Nationwide</w:t>
      </w:r>
    </w:p>
    <w:p w14:paraId="63E5D2F5" w14:textId="62493580" w:rsidR="00F138B6" w:rsidRPr="00F138B6" w:rsidRDefault="00AF6C63" w:rsidP="00F138B6">
      <w:pPr>
        <w:pStyle w:val="BNormal"/>
      </w:pPr>
      <w:r w:rsidRPr="00F138B6">
        <w:lastRenderedPageBreak/>
        <w:t>An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TDRA</w:t>
      </w:r>
      <w:r w:rsidR="00F138B6">
        <w:t xml:space="preserve"> </w:t>
      </w:r>
      <w:r w:rsidRPr="00F138B6">
        <w:t>poses</w:t>
      </w:r>
      <w:r w:rsidR="00F138B6">
        <w:t xml:space="preserve"> </w:t>
      </w:r>
      <w:r w:rsidRPr="00F138B6">
        <w:t>no</w:t>
      </w:r>
      <w:r w:rsidR="00F138B6">
        <w:t xml:space="preserve"> </w:t>
      </w:r>
      <w:r w:rsidRPr="00F138B6">
        <w:t>geographic</w:t>
      </w:r>
      <w:r w:rsidR="00F138B6">
        <w:t xml:space="preserve"> </w:t>
      </w:r>
      <w:r w:rsidRPr="00F138B6">
        <w:t>problem</w:t>
      </w:r>
      <w:r w:rsidR="00F138B6">
        <w:t xml:space="preserve"> </w:t>
      </w:r>
      <w:r w:rsidRPr="00F138B6">
        <w:t>within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United</w:t>
      </w:r>
      <w:r w:rsidR="00F138B6">
        <w:t xml:space="preserve"> </w:t>
      </w:r>
      <w:r w:rsidRPr="00F138B6">
        <w:t>States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he</w:t>
      </w:r>
      <w:r w:rsidR="00F138B6">
        <w:t xml:space="preserve"> </w:t>
      </w:r>
      <w:r w:rsidRPr="00F138B6">
        <w:t>scope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TDRA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national,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issued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violation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statute</w:t>
      </w:r>
      <w:r w:rsidR="00F138B6">
        <w:t xml:space="preserve"> </w:t>
      </w:r>
      <w:r w:rsidRPr="00F138B6">
        <w:t>may</w:t>
      </w:r>
      <w:r w:rsidR="00F138B6">
        <w:t xml:space="preserve"> </w:t>
      </w:r>
      <w:r w:rsidRPr="00F138B6">
        <w:t>reach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far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Congress’s</w:t>
      </w:r>
      <w:r w:rsidR="00F138B6">
        <w:t xml:space="preserve"> </w:t>
      </w:r>
      <w:r w:rsidRPr="00F138B6">
        <w:t>authority</w:t>
      </w:r>
      <w:r w:rsidR="00F138B6">
        <w:t xml:space="preserve"> </w:t>
      </w:r>
      <w:r w:rsidRPr="00F138B6">
        <w:t>permits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here</w:t>
      </w:r>
      <w:r w:rsidR="00F138B6">
        <w:t xml:space="preserve"> </w:t>
      </w:r>
      <w:r w:rsidRPr="00F138B6">
        <w:t>may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question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scope</w:t>
      </w:r>
      <w:r w:rsidR="00F138B6">
        <w:t xml:space="preserve"> </w:t>
      </w:r>
      <w:r w:rsidRPr="00F138B6">
        <w:t>if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reaches</w:t>
      </w:r>
      <w:r w:rsidR="00F138B6">
        <w:t xml:space="preserve"> </w:t>
      </w:r>
      <w:r w:rsidR="00F138B6" w:rsidRPr="00F138B6">
        <w:rPr>
          <w:i/>
        </w:rPr>
        <w:t>beyond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United</w:t>
      </w:r>
      <w:r w:rsidR="00F138B6">
        <w:t xml:space="preserve"> </w:t>
      </w:r>
      <w:r w:rsidRPr="00F138B6">
        <w:t>States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rademark</w:t>
      </w:r>
      <w:r w:rsidR="00F138B6">
        <w:t xml:space="preserve"> </w:t>
      </w:r>
      <w:r w:rsidRPr="00F138B6">
        <w:t>law</w:t>
      </w:r>
      <w:r w:rsidR="00F138B6">
        <w:t xml:space="preserve"> </w:t>
      </w:r>
      <w:r w:rsidRPr="00F138B6">
        <w:t>generally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considered</w:t>
      </w:r>
      <w:r w:rsidR="00F138B6">
        <w:t xml:space="preserve"> </w:t>
      </w:r>
      <w:r w:rsidRPr="00F138B6">
        <w:t>territorial</w:t>
      </w:r>
      <w:r w:rsidR="00F138B6" w:rsidRPr="00F138B6">
        <w:t>:</w:t>
      </w:r>
      <w:r w:rsidR="00F138B6">
        <w:t xml:space="preserve"> </w:t>
      </w:r>
      <w:r w:rsidR="00F138B6" w:rsidRPr="00F138B6">
        <w:t>o</w:t>
      </w:r>
      <w:r w:rsidRPr="00F138B6">
        <w:t>ne</w:t>
      </w:r>
      <w:r w:rsidR="00F138B6">
        <w:t xml:space="preserve"> </w:t>
      </w:r>
      <w:r w:rsidRPr="00F138B6">
        <w:t>country’s</w:t>
      </w:r>
      <w:r w:rsidR="00F138B6">
        <w:t xml:space="preserve"> </w:t>
      </w:r>
      <w:r w:rsidRPr="00F138B6">
        <w:t>laws</w:t>
      </w:r>
      <w:r w:rsidR="00F138B6">
        <w:t xml:space="preserve"> </w:t>
      </w:r>
      <w:r w:rsidRPr="00F138B6">
        <w:t>ordinarily</w:t>
      </w:r>
      <w:r w:rsidR="00F138B6">
        <w:t xml:space="preserve"> </w:t>
      </w:r>
      <w:r w:rsidRPr="00F138B6">
        <w:t>do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purport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reach</w:t>
      </w:r>
      <w:r w:rsidR="00F138B6">
        <w:t xml:space="preserve"> </w:t>
      </w:r>
      <w:r w:rsidRPr="00F138B6">
        <w:t>into</w:t>
      </w:r>
      <w:r w:rsidR="00F138B6">
        <w:t xml:space="preserve"> </w:t>
      </w:r>
      <w:r w:rsidRPr="00F138B6">
        <w:t>another</w:t>
      </w:r>
      <w:r w:rsidR="00F138B6">
        <w:t xml:space="preserve"> </w:t>
      </w:r>
      <w:r w:rsidRPr="00F138B6">
        <w:t>country.</w:t>
      </w:r>
      <w:r w:rsidR="00F138B6" w:rsidRPr="00F138B6">
        <w:rPr>
          <w:vertAlign w:val="superscript"/>
        </w:rPr>
        <w:footnoteReference w:id="11"/>
      </w:r>
      <w:r w:rsidR="00F138B6">
        <w:t xml:space="preserve"> </w:t>
      </w:r>
      <w:r w:rsidRPr="00F138B6">
        <w:t>Cases</w:t>
      </w:r>
      <w:r w:rsidR="00F138B6">
        <w:t xml:space="preserve"> </w:t>
      </w:r>
      <w:r w:rsidRPr="00F138B6">
        <w:t>have</w:t>
      </w:r>
      <w:r w:rsidR="00F138B6">
        <w:t xml:space="preserve"> </w:t>
      </w:r>
      <w:r w:rsidRPr="00F138B6">
        <w:t>permitted</w:t>
      </w:r>
      <w:r w:rsidR="00F138B6">
        <w:t xml:space="preserve"> </w:t>
      </w:r>
      <w:r w:rsidRPr="00F138B6">
        <w:t>injunctions</w:t>
      </w:r>
      <w:r w:rsidR="00F138B6">
        <w:t xml:space="preserve"> </w:t>
      </w:r>
      <w:r w:rsidRPr="00F138B6">
        <w:t>issued</w:t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Lanham</w:t>
      </w:r>
      <w:r w:rsidR="00F138B6">
        <w:t xml:space="preserve"> </w:t>
      </w:r>
      <w:r w:rsidRPr="00F138B6">
        <w:t>Act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reach</w:t>
      </w:r>
      <w:r w:rsidR="00F138B6">
        <w:t xml:space="preserve"> </w:t>
      </w:r>
      <w:r w:rsidRPr="00F138B6">
        <w:t>beyond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borders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United</w:t>
      </w:r>
      <w:r w:rsidR="00F138B6">
        <w:t xml:space="preserve"> </w:t>
      </w:r>
      <w:r w:rsidRPr="00F138B6">
        <w:t>States,</w:t>
      </w:r>
      <w:r w:rsidR="00F138B6" w:rsidRPr="00F138B6">
        <w:rPr>
          <w:vertAlign w:val="superscript"/>
        </w:rPr>
        <w:footnoteReference w:id="12"/>
      </w:r>
      <w:r w:rsidR="00F138B6">
        <w:t xml:space="preserve"> </w:t>
      </w:r>
      <w:r w:rsidRPr="00F138B6">
        <w:t>but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U.S</w:t>
      </w:r>
      <w:r w:rsidR="00F138B6" w:rsidRPr="00F138B6">
        <w:t>.</w:t>
      </w:r>
      <w:r w:rsidR="00F138B6">
        <w:t xml:space="preserve"> </w:t>
      </w:r>
      <w:r w:rsidR="00F138B6" w:rsidRPr="00F138B6">
        <w:t>c</w:t>
      </w:r>
      <w:r w:rsidRPr="00F138B6">
        <w:t>ourts’</w:t>
      </w:r>
      <w:r w:rsidR="00F138B6">
        <w:t xml:space="preserve"> </w:t>
      </w:r>
      <w:r w:rsidRPr="00F138B6">
        <w:t>ability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reach</w:t>
      </w:r>
      <w:r w:rsidR="00F138B6">
        <w:t xml:space="preserve"> </w:t>
      </w:r>
      <w:r w:rsidRPr="00F138B6">
        <w:t>activity</w:t>
      </w:r>
      <w:r w:rsidR="00F138B6">
        <w:t xml:space="preserve"> </w:t>
      </w:r>
      <w:r w:rsidRPr="00F138B6">
        <w:t>beyond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United</w:t>
      </w:r>
      <w:r w:rsidR="00F138B6">
        <w:t xml:space="preserve"> </w:t>
      </w:r>
      <w:r w:rsidRPr="00F138B6">
        <w:t>States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unlimited.</w:t>
      </w:r>
      <w:r w:rsidR="00F138B6" w:rsidRPr="00F138B6">
        <w:rPr>
          <w:vertAlign w:val="superscript"/>
        </w:rPr>
        <w:footnoteReference w:id="13"/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complete</w:t>
      </w:r>
      <w:r w:rsidR="00F138B6">
        <w:t xml:space="preserve"> </w:t>
      </w:r>
      <w:r w:rsidRPr="00F138B6">
        <w:t>discussion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scope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extraterritorial</w:t>
      </w:r>
      <w:r w:rsidR="00F138B6">
        <w:t xml:space="preserve"> </w:t>
      </w:r>
      <w:r w:rsidRPr="00F138B6">
        <w:t>power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beyond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scope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text</w:t>
      </w:r>
      <w:r w:rsidR="00F138B6" w:rsidRPr="00F138B6">
        <w:t>.</w:t>
      </w:r>
      <w:r w:rsidR="00F138B6">
        <w:t xml:space="preserve"> </w:t>
      </w:r>
      <w:r w:rsidR="00F138B6" w:rsidRPr="00F138B6">
        <w:t>H</w:t>
      </w:r>
      <w:r w:rsidRPr="00F138B6">
        <w:t>owever,</w:t>
      </w:r>
      <w:r w:rsidR="00F138B6">
        <w:t xml:space="preserve"> </w:t>
      </w:r>
      <w:r w:rsidRPr="00F138B6">
        <w:t>practitioners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cautioned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injunctions</w:t>
      </w:r>
      <w:r w:rsidR="00F138B6">
        <w:t xml:space="preserve"> </w:t>
      </w:r>
      <w:r w:rsidRPr="00F138B6">
        <w:t>reaching</w:t>
      </w:r>
      <w:r w:rsidR="00F138B6">
        <w:t xml:space="preserve"> </w:t>
      </w:r>
      <w:r w:rsidRPr="00F138B6">
        <w:t>activities</w:t>
      </w:r>
      <w:r w:rsidR="00F138B6">
        <w:t xml:space="preserve"> </w:t>
      </w:r>
      <w:r w:rsidRPr="00F138B6">
        <w:t>unconnected</w:t>
      </w:r>
      <w:r w:rsidR="00F138B6">
        <w:t xml:space="preserve"> </w:t>
      </w:r>
      <w:r w:rsidRPr="00F138B6">
        <w:t>with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United</w:t>
      </w:r>
      <w:r w:rsidR="00F138B6">
        <w:t xml:space="preserve"> </w:t>
      </w:r>
      <w:r w:rsidRPr="00F138B6">
        <w:t>States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favored.</w:t>
      </w:r>
    </w:p>
    <w:p w14:paraId="2BFA70A9" w14:textId="4A5296BC" w:rsidR="00F138B6" w:rsidRPr="00F138B6" w:rsidRDefault="003E2EA3" w:rsidP="003E2EA3">
      <w:pPr>
        <w:pStyle w:val="BHead2"/>
      </w:pPr>
      <w:r>
        <w:t>5.II.</w:t>
      </w:r>
      <w:r w:rsidR="00F138B6" w:rsidRPr="003E2EA3">
        <w:rPr>
          <w:rStyle w:val="BBNAidChar"/>
          <w:rFonts w:eastAsiaTheme="majorEastAsia"/>
        </w:rPr>
        <w:t>B</w:t>
      </w:r>
      <w:r w:rsidR="00F138B6" w:rsidRPr="00F138B6">
        <w:t>.</w:t>
      </w:r>
      <w:r>
        <w:t> </w:t>
      </w:r>
      <w:r w:rsidR="00F138B6" w:rsidRPr="00F138B6">
        <w:tab/>
        <w:t>Injunctions</w:t>
      </w:r>
      <w:r w:rsidR="00F138B6">
        <w:t xml:space="preserve"> </w:t>
      </w:r>
      <w:r w:rsidR="00F138B6" w:rsidRPr="00F138B6">
        <w:t>Under</w:t>
      </w:r>
      <w:r w:rsidR="00F138B6">
        <w:t xml:space="preserve"> </w:t>
      </w:r>
      <w:r w:rsidR="00F138B6" w:rsidRPr="00F138B6">
        <w:t>State</w:t>
      </w:r>
      <w:r w:rsidR="00F138B6">
        <w:t xml:space="preserve"> </w:t>
      </w:r>
      <w:r w:rsidR="00F138B6" w:rsidRPr="00F138B6">
        <w:t>Laws:</w:t>
      </w:r>
      <w:r w:rsidR="00F138B6">
        <w:t xml:space="preserve"> </w:t>
      </w:r>
      <w:r w:rsidR="00F138B6" w:rsidRPr="00F138B6">
        <w:t>A</w:t>
      </w:r>
      <w:r w:rsidR="00F138B6">
        <w:t xml:space="preserve"> </w:t>
      </w:r>
      <w:r w:rsidR="00F138B6" w:rsidRPr="00F138B6">
        <w:t>Limited</w:t>
      </w:r>
      <w:r w:rsidR="00F138B6">
        <w:t xml:space="preserve"> </w:t>
      </w:r>
      <w:r w:rsidR="00F138B6" w:rsidRPr="00F138B6">
        <w:t>Geographic</w:t>
      </w:r>
      <w:r w:rsidR="00F138B6">
        <w:t xml:space="preserve"> </w:t>
      </w:r>
      <w:r w:rsidR="00F138B6" w:rsidRPr="00F138B6">
        <w:t>Reach</w:t>
      </w:r>
    </w:p>
    <w:p w14:paraId="692E10C4" w14:textId="71DAA160" w:rsidR="00F138B6" w:rsidRPr="00F138B6" w:rsidRDefault="00AF6C63" w:rsidP="00F138B6">
      <w:pPr>
        <w:pStyle w:val="BNormal"/>
      </w:pPr>
      <w:r w:rsidRPr="00F138B6">
        <w:t>The</w:t>
      </w:r>
      <w:r w:rsidR="00F138B6">
        <w:t xml:space="preserve"> </w:t>
      </w:r>
      <w:r w:rsidRPr="00F138B6">
        <w:t>reach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complicated</w:t>
      </w:r>
      <w:r w:rsidR="00F138B6">
        <w:t xml:space="preserve"> </w:t>
      </w:r>
      <w:r w:rsidRPr="00F138B6">
        <w:t>by</w:t>
      </w:r>
      <w:r w:rsidR="00F138B6">
        <w:t xml:space="preserve"> </w:t>
      </w:r>
      <w:r w:rsidRPr="00F138B6">
        <w:t>two</w:t>
      </w:r>
      <w:r w:rsidR="00F138B6">
        <w:t xml:space="preserve"> </w:t>
      </w:r>
      <w:r w:rsidRPr="00F138B6">
        <w:t>factors</w:t>
      </w:r>
      <w:r w:rsidR="00F138B6" w:rsidRPr="00F138B6">
        <w:t>.</w:t>
      </w:r>
      <w:r w:rsidR="00F138B6">
        <w:t xml:space="preserve"> </w:t>
      </w:r>
      <w:r w:rsidR="00F138B6" w:rsidRPr="00F138B6">
        <w:t>F</w:t>
      </w:r>
      <w:r w:rsidRPr="00F138B6">
        <w:t>irst,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all</w:t>
      </w:r>
      <w:r w:rsidR="00F138B6">
        <w:t xml:space="preserve"> </w:t>
      </w:r>
      <w:r w:rsidRPr="00F138B6">
        <w:t>states</w:t>
      </w:r>
      <w:r w:rsidR="00F138B6">
        <w:t xml:space="preserve"> </w:t>
      </w:r>
      <w:r w:rsidRPr="00F138B6">
        <w:t>have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laws.</w:t>
      </w:r>
      <w:r w:rsidR="00F138B6" w:rsidRPr="00F138B6">
        <w:rPr>
          <w:vertAlign w:val="superscript"/>
        </w:rPr>
        <w:footnoteReference w:id="14"/>
      </w:r>
      <w:r w:rsidR="00F138B6">
        <w:t xml:space="preserve"> </w:t>
      </w:r>
      <w:r w:rsidRPr="00F138B6">
        <w:t>Thus,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national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issued</w:t>
      </w:r>
      <w:r w:rsidR="00F138B6">
        <w:t xml:space="preserve"> </w:t>
      </w:r>
      <w:r w:rsidRPr="00F138B6">
        <w:t>pursuant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law</w:t>
      </w:r>
      <w:r w:rsidR="00F138B6">
        <w:t xml:space="preserve"> </w:t>
      </w:r>
      <w:r w:rsidRPr="00F138B6">
        <w:t>may</w:t>
      </w:r>
      <w:r w:rsidR="00F138B6">
        <w:t xml:space="preserve"> </w:t>
      </w:r>
      <w:r w:rsidRPr="00F138B6">
        <w:t>reach</w:t>
      </w:r>
      <w:r w:rsidR="00F138B6">
        <w:t xml:space="preserve"> </w:t>
      </w:r>
      <w:r w:rsidRPr="00F138B6">
        <w:t>activities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other</w:t>
      </w:r>
      <w:r w:rsidR="00F138B6">
        <w:t xml:space="preserve"> </w:t>
      </w:r>
      <w:r w:rsidRPr="00F138B6">
        <w:t>states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perfectly</w:t>
      </w:r>
      <w:r w:rsidR="00F138B6">
        <w:t xml:space="preserve"> </w:t>
      </w:r>
      <w:r w:rsidRPr="00F138B6">
        <w:t>lawful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those</w:t>
      </w:r>
      <w:r w:rsidR="00F138B6">
        <w:t xml:space="preserve"> </w:t>
      </w:r>
      <w:r w:rsidRPr="00F138B6">
        <w:t>other</w:t>
      </w:r>
      <w:r w:rsidR="00F138B6">
        <w:t xml:space="preserve"> </w:t>
      </w:r>
      <w:r w:rsidRPr="00F138B6">
        <w:t>states</w:t>
      </w:r>
      <w:r w:rsidR="00F138B6" w:rsidRPr="00F138B6">
        <w:t>.</w:t>
      </w:r>
      <w:r w:rsidR="00F138B6">
        <w:t xml:space="preserve"> </w:t>
      </w:r>
      <w:r w:rsidR="00F138B6" w:rsidRPr="00F138B6">
        <w:t>S</w:t>
      </w:r>
      <w:r w:rsidRPr="00F138B6">
        <w:t>econd,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laws</w:t>
      </w:r>
      <w:r w:rsidR="00F138B6">
        <w:t xml:space="preserve"> </w:t>
      </w:r>
      <w:r w:rsidRPr="00F138B6">
        <w:t>vary</w:t>
      </w:r>
      <w:r w:rsidR="00F138B6" w:rsidRPr="00F138B6">
        <w:t>.</w:t>
      </w:r>
      <w:r w:rsidR="00F138B6">
        <w:t xml:space="preserve"> </w:t>
      </w:r>
      <w:r w:rsidR="00F138B6" w:rsidRPr="00F138B6">
        <w:t>E</w:t>
      </w:r>
      <w:r w:rsidRPr="00F138B6">
        <w:t>ven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states</w:t>
      </w:r>
      <w:r w:rsidR="00F138B6">
        <w:t xml:space="preserve"> </w:t>
      </w:r>
      <w:r w:rsidRPr="00F138B6">
        <w:t>with</w:t>
      </w:r>
      <w:r w:rsidR="00F138B6">
        <w:t xml:space="preserve"> </w:t>
      </w:r>
      <w:r w:rsidRPr="00F138B6">
        <w:t>identically</w:t>
      </w:r>
      <w:r w:rsidR="00F138B6">
        <w:t xml:space="preserve"> </w:t>
      </w:r>
      <w:r w:rsidRPr="00F138B6">
        <w:t>worded</w:t>
      </w:r>
      <w:r w:rsidR="00F138B6">
        <w:t xml:space="preserve"> </w:t>
      </w:r>
      <w:r w:rsidRPr="00F138B6">
        <w:t>laws,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courts</w:t>
      </w:r>
      <w:r w:rsidR="00F138B6">
        <w:t xml:space="preserve"> </w:t>
      </w:r>
      <w:r w:rsidRPr="00F138B6">
        <w:t>do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interpret</w:t>
      </w:r>
      <w:r w:rsidR="00F138B6">
        <w:t xml:space="preserve"> </w:t>
      </w:r>
      <w:r w:rsidRPr="00F138B6">
        <w:t>them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same</w:t>
      </w:r>
      <w:r w:rsidR="00F138B6">
        <w:t xml:space="preserve"> </w:t>
      </w:r>
      <w:r w:rsidRPr="00F138B6">
        <w:t>way.</w:t>
      </w:r>
      <w:r w:rsidR="00F138B6" w:rsidRPr="00F138B6">
        <w:rPr>
          <w:vertAlign w:val="superscript"/>
        </w:rPr>
        <w:footnoteReference w:id="15"/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case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laws,</w:t>
      </w:r>
      <w:r w:rsidR="00F138B6">
        <w:t xml:space="preserve"> </w:t>
      </w:r>
      <w:r w:rsidRPr="00F138B6">
        <w:t>there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two</w:t>
      </w:r>
      <w:r w:rsidR="00F138B6">
        <w:t xml:space="preserve"> </w:t>
      </w:r>
      <w:r w:rsidRPr="00F138B6">
        <w:t>somewhat</w:t>
      </w:r>
      <w:r w:rsidR="00F138B6">
        <w:t xml:space="preserve"> </w:t>
      </w:r>
      <w:r w:rsidRPr="00F138B6">
        <w:t>different</w:t>
      </w:r>
      <w:r w:rsidR="00F138B6">
        <w:t xml:space="preserve"> </w:t>
      </w:r>
      <w:r w:rsidRPr="00F138B6">
        <w:t>varieties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laws</w:t>
      </w:r>
      <w:r w:rsidR="00F138B6" w:rsidRPr="00F138B6">
        <w:t>:</w:t>
      </w:r>
      <w:r w:rsidR="00F138B6">
        <w:t xml:space="preserve"> </w:t>
      </w:r>
      <w:r w:rsidR="00F138B6" w:rsidRPr="00F138B6">
        <w:t>t</w:t>
      </w:r>
      <w:r w:rsidRPr="00F138B6">
        <w:t>hose</w:t>
      </w:r>
      <w:r w:rsidR="00F138B6">
        <w:t xml:space="preserve"> </w:t>
      </w:r>
      <w:r w:rsidRPr="00F138B6">
        <w:t>patterned</w:t>
      </w:r>
      <w:r w:rsidR="00F138B6">
        <w:t xml:space="preserve"> </w:t>
      </w:r>
      <w:r w:rsidRPr="00F138B6">
        <w:t>after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original</w:t>
      </w:r>
      <w:r w:rsidR="00F138B6">
        <w:t xml:space="preserve"> </w:t>
      </w:r>
      <w:r w:rsidRPr="00F138B6">
        <w:t>Massachusetts</w:t>
      </w:r>
      <w:r w:rsidR="00F138B6">
        <w:t xml:space="preserve"> </w:t>
      </w:r>
      <w:r w:rsidRPr="00F138B6">
        <w:t>law</w:t>
      </w:r>
      <w:r w:rsidR="00F138B6">
        <w:t xml:space="preserve"> </w:t>
      </w:r>
      <w:r w:rsidRPr="00F138B6">
        <w:t>(and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1964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Bill)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those</w:t>
      </w:r>
      <w:r w:rsidR="00F138B6">
        <w:t xml:space="preserve"> </w:t>
      </w:r>
      <w:r w:rsidRPr="00F138B6">
        <w:t>patterned</w:t>
      </w:r>
      <w:r w:rsidR="00F138B6">
        <w:t xml:space="preserve"> </w:t>
      </w:r>
      <w:r w:rsidRPr="00F138B6">
        <w:t>after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1992,</w:t>
      </w:r>
      <w:r w:rsidR="00F138B6">
        <w:t xml:space="preserve"> </w:t>
      </w:r>
      <w:r w:rsidRPr="00F138B6">
        <w:t>1996,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2007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Bills</w:t>
      </w:r>
      <w:r w:rsidR="00F138B6" w:rsidRPr="00F138B6">
        <w:t>.</w:t>
      </w:r>
      <w:r w:rsidR="00F138B6">
        <w:t xml:space="preserve"> </w:t>
      </w:r>
      <w:r w:rsidR="00F138B6" w:rsidRPr="00F138B6">
        <w:t>A</w:t>
      </w:r>
      <w:r w:rsidRPr="00F138B6">
        <w:t>s</w:t>
      </w:r>
      <w:r w:rsidR="00F138B6">
        <w:t xml:space="preserve"> </w:t>
      </w:r>
      <w:r w:rsidRPr="00F138B6">
        <w:t>discussed</w:t>
      </w:r>
      <w:r w:rsidR="00F138B6">
        <w:t xml:space="preserve"> </w:t>
      </w:r>
      <w:r w:rsidRPr="00F138B6">
        <w:t>below,</w:t>
      </w:r>
      <w:r w:rsidR="00F138B6">
        <w:t xml:space="preserve"> </w:t>
      </w:r>
      <w:r w:rsidRPr="00F138B6">
        <w:t>these</w:t>
      </w:r>
      <w:r w:rsidR="00F138B6">
        <w:t xml:space="preserve"> </w:t>
      </w:r>
      <w:r w:rsidRPr="00F138B6">
        <w:t>two</w:t>
      </w:r>
      <w:r w:rsidR="00F138B6">
        <w:t xml:space="preserve"> </w:t>
      </w:r>
      <w:r w:rsidRPr="00F138B6">
        <w:t>categories</w:t>
      </w:r>
      <w:r w:rsidR="00F138B6">
        <w:t xml:space="preserve"> </w:t>
      </w:r>
      <w:r w:rsidRPr="00F138B6">
        <w:t>may</w:t>
      </w:r>
      <w:r w:rsidR="00F138B6">
        <w:t xml:space="preserve"> </w:t>
      </w:r>
      <w:r w:rsidRPr="00F138B6">
        <w:t>yield</w:t>
      </w:r>
      <w:r w:rsidR="00F138B6">
        <w:t xml:space="preserve"> </w:t>
      </w:r>
      <w:r w:rsidRPr="00F138B6">
        <w:t>very</w:t>
      </w:r>
      <w:r w:rsidR="00F138B6">
        <w:t xml:space="preserve"> </w:t>
      </w:r>
      <w:r w:rsidRPr="00F138B6">
        <w:t>different</w:t>
      </w:r>
      <w:r w:rsidR="00F138B6">
        <w:t xml:space="preserve"> </w:t>
      </w:r>
      <w:r w:rsidRPr="00F138B6">
        <w:t>results</w:t>
      </w:r>
      <w:r w:rsidR="00F138B6">
        <w:t xml:space="preserve"> </w:t>
      </w:r>
      <w:r w:rsidRPr="00F138B6">
        <w:t>regarding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geographic</w:t>
      </w:r>
      <w:r w:rsidR="00F138B6">
        <w:t xml:space="preserve"> </w:t>
      </w:r>
      <w:r w:rsidRPr="00F138B6">
        <w:t>scope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injunctions.</w:t>
      </w:r>
    </w:p>
    <w:p w14:paraId="49FF433F" w14:textId="5D6D8AE1" w:rsidR="00F138B6" w:rsidRPr="00F138B6" w:rsidRDefault="003E2EA3" w:rsidP="003E2EA3">
      <w:pPr>
        <w:pStyle w:val="BHead3"/>
      </w:pPr>
      <w:r>
        <w:t>5.II.B.</w:t>
      </w:r>
      <w:r w:rsidR="00F138B6" w:rsidRPr="003E2EA3">
        <w:rPr>
          <w:rStyle w:val="BBNAidChar"/>
          <w:rFonts w:eastAsiaTheme="majorEastAsia"/>
        </w:rPr>
        <w:t>1</w:t>
      </w:r>
      <w:r w:rsidR="00F138B6" w:rsidRPr="00F138B6">
        <w:t>.</w:t>
      </w:r>
      <w:r>
        <w:t> </w:t>
      </w:r>
      <w:r w:rsidR="00F138B6" w:rsidRPr="00F138B6">
        <w:tab/>
        <w:t>State</w:t>
      </w:r>
      <w:r w:rsidR="00F138B6">
        <w:t xml:space="preserve"> </w:t>
      </w:r>
      <w:r w:rsidR="00F138B6" w:rsidRPr="00F138B6">
        <w:t>Laws</w:t>
      </w:r>
      <w:r w:rsidR="00F138B6">
        <w:t xml:space="preserve"> </w:t>
      </w:r>
      <w:r w:rsidR="00F138B6" w:rsidRPr="00F138B6">
        <w:t>Patterned</w:t>
      </w:r>
      <w:r w:rsidR="00F138B6">
        <w:t xml:space="preserve"> </w:t>
      </w:r>
      <w:r w:rsidR="00F138B6" w:rsidRPr="00F138B6">
        <w:t>After</w:t>
      </w:r>
      <w:r w:rsidR="00F138B6">
        <w:t xml:space="preserve"> </w:t>
      </w:r>
      <w:r w:rsidR="00F138B6" w:rsidRPr="00F138B6">
        <w:t>the</w:t>
      </w:r>
      <w:r w:rsidR="00F138B6">
        <w:t xml:space="preserve"> </w:t>
      </w:r>
      <w:r w:rsidR="00F138B6" w:rsidRPr="00F138B6">
        <w:t>1992,</w:t>
      </w:r>
      <w:r w:rsidR="00F138B6">
        <w:t xml:space="preserve"> </w:t>
      </w:r>
      <w:r w:rsidR="00F138B6" w:rsidRPr="00F138B6">
        <w:t>1996,</w:t>
      </w:r>
      <w:r w:rsidR="00F138B6">
        <w:t xml:space="preserve"> </w:t>
      </w:r>
      <w:r w:rsidR="00F138B6" w:rsidRPr="00F138B6">
        <w:t>and</w:t>
      </w:r>
      <w:r w:rsidR="00F138B6">
        <w:t xml:space="preserve"> </w:t>
      </w:r>
      <w:r w:rsidR="00F138B6" w:rsidRPr="00F138B6">
        <w:t>2007</w:t>
      </w:r>
      <w:r w:rsidR="00F138B6">
        <w:t xml:space="preserve"> </w:t>
      </w:r>
      <w:r w:rsidR="00F138B6" w:rsidRPr="00F138B6">
        <w:t>Model</w:t>
      </w:r>
      <w:r w:rsidR="00F138B6">
        <w:t xml:space="preserve"> </w:t>
      </w:r>
      <w:r w:rsidR="00F138B6" w:rsidRPr="00F138B6">
        <w:t>Bills</w:t>
      </w:r>
    </w:p>
    <w:p w14:paraId="17D01DB2" w14:textId="7F84B841" w:rsidR="00F138B6" w:rsidRPr="00F138B6" w:rsidRDefault="00AF6C63" w:rsidP="00F138B6">
      <w:pPr>
        <w:pStyle w:val="BNormal"/>
      </w:pPr>
      <w:r w:rsidRPr="00F138B6">
        <w:t>In</w:t>
      </w:r>
      <w:r w:rsidR="00F138B6">
        <w:t xml:space="preserve"> </w:t>
      </w:r>
      <w:r w:rsidRPr="00F138B6">
        <w:t>all</w:t>
      </w:r>
      <w:r w:rsidR="00F138B6">
        <w:t xml:space="preserve"> </w:t>
      </w:r>
      <w:r w:rsidRPr="00F138B6">
        <w:t>but</w:t>
      </w:r>
      <w:r w:rsidR="00F138B6">
        <w:t xml:space="preserve"> </w:t>
      </w:r>
      <w:r w:rsidRPr="00F138B6">
        <w:t>four</w:t>
      </w:r>
      <w:r w:rsidR="00F138B6">
        <w:t xml:space="preserve"> </w:t>
      </w:r>
      <w:r w:rsidRPr="00F138B6">
        <w:t>states,</w:t>
      </w:r>
      <w:r w:rsidR="00F138B6">
        <w:t xml:space="preserve"> </w:t>
      </w:r>
      <w:r w:rsidRPr="00F138B6">
        <w:t>if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law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patterned</w:t>
      </w:r>
      <w:r w:rsidR="00F138B6">
        <w:t xml:space="preserve"> </w:t>
      </w:r>
      <w:r w:rsidRPr="00F138B6">
        <w:t>after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1992,</w:t>
      </w:r>
      <w:r w:rsidR="00F138B6">
        <w:t xml:space="preserve"> </w:t>
      </w:r>
      <w:r w:rsidRPr="00F138B6">
        <w:t>1996,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2007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statute</w:t>
      </w:r>
      <w:r w:rsidR="00F138B6">
        <w:t xml:space="preserve"> </w:t>
      </w:r>
      <w:r w:rsidRPr="00F138B6">
        <w:t>limits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scope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injunctive</w:t>
      </w:r>
      <w:r w:rsidR="00F138B6">
        <w:t xml:space="preserve"> </w:t>
      </w:r>
      <w:r w:rsidRPr="00F138B6">
        <w:t>relief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boundaries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state.</w:t>
      </w:r>
      <w:r w:rsidR="00F138B6" w:rsidRPr="00F138B6">
        <w:rPr>
          <w:vertAlign w:val="superscript"/>
        </w:rPr>
        <w:footnoteReference w:id="16"/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majority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contain</w:t>
      </w:r>
      <w:r w:rsidR="00F138B6">
        <w:t xml:space="preserve"> </w:t>
      </w:r>
      <w:r w:rsidRPr="00F138B6">
        <w:t>essentially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same</w:t>
      </w:r>
      <w:r w:rsidR="00F138B6">
        <w:t xml:space="preserve"> </w:t>
      </w:r>
      <w:r w:rsidRPr="00F138B6">
        <w:t>wording</w:t>
      </w:r>
      <w:r w:rsidR="00F138B6" w:rsidRPr="00F138B6">
        <w:t>:</w:t>
      </w:r>
      <w:r w:rsidR="00F138B6">
        <w:t xml:space="preserve"> </w:t>
      </w:r>
      <w:r w:rsidR="00F138B6" w:rsidRPr="00F138B6">
        <w:t>“</w:t>
      </w:r>
      <w:r w:rsidRPr="00F138B6">
        <w:t>The</w:t>
      </w:r>
      <w:r w:rsidR="00F138B6">
        <w:t xml:space="preserve"> </w:t>
      </w:r>
      <w:r w:rsidRPr="00F138B6">
        <w:t>owner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famous</w:t>
      </w:r>
      <w:r w:rsidR="00F138B6">
        <w:t xml:space="preserve"> </w:t>
      </w:r>
      <w:r w:rsidRPr="00F138B6">
        <w:t>mark</w:t>
      </w:r>
      <w:r w:rsidR="00F138B6">
        <w:t xml:space="preserve"> </w:t>
      </w:r>
      <w:r w:rsidRPr="00F138B6">
        <w:t>shall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entitled</w:t>
      </w:r>
      <w:r w:rsidR="00F138B6">
        <w:t xml:space="preserve"> </w:t>
      </w:r>
      <w:r w:rsidRPr="00F138B6">
        <w:t>only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injunctive</w:t>
      </w:r>
      <w:r w:rsidR="00F138B6">
        <w:t xml:space="preserve"> </w:t>
      </w:r>
      <w:r w:rsidRPr="00F138B6">
        <w:t>relief</w:t>
      </w:r>
      <w:r w:rsidR="00F138B6">
        <w:t xml:space="preserve"> </w:t>
      </w:r>
      <w:r w:rsidR="00F138B6" w:rsidRPr="00F138B6">
        <w:rPr>
          <w:i/>
        </w:rPr>
        <w:t>in</w:t>
      </w:r>
      <w:r w:rsidR="00F138B6">
        <w:rPr>
          <w:i/>
        </w:rPr>
        <w:t xml:space="preserve"> </w:t>
      </w:r>
      <w:r w:rsidR="00F138B6" w:rsidRPr="00F138B6">
        <w:rPr>
          <w:i/>
        </w:rPr>
        <w:t>this</w:t>
      </w:r>
      <w:r w:rsidR="00F138B6">
        <w:rPr>
          <w:i/>
        </w:rPr>
        <w:t xml:space="preserve"> </w:t>
      </w:r>
      <w:r w:rsidR="00F138B6" w:rsidRPr="00F138B6">
        <w:rPr>
          <w:i/>
        </w:rPr>
        <w:t>state</w:t>
      </w:r>
      <w:r w:rsidR="00F138B6">
        <w:rPr>
          <w:i/>
        </w:rPr>
        <w:t xml:space="preserve"> </w:t>
      </w:r>
      <w:r w:rsidRPr="00F138B6">
        <w:t>in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action</w:t>
      </w:r>
      <w:r w:rsidR="00F138B6">
        <w:t xml:space="preserve"> </w:t>
      </w:r>
      <w:r w:rsidRPr="00F138B6">
        <w:t>brought</w:t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section</w:t>
      </w:r>
      <w:r w:rsidR="00F138B6">
        <w:t xml:space="preserve"> </w:t>
      </w:r>
      <w:r w:rsidRPr="00F138B6">
        <w:t>…</w:t>
      </w:r>
      <w:r w:rsidR="00F138B6">
        <w:t xml:space="preserve"> </w:t>
      </w:r>
      <w:r w:rsidRPr="00F138B6">
        <w:t>.”</w:t>
      </w:r>
      <w:r w:rsidR="00F138B6" w:rsidRPr="00F138B6">
        <w:rPr>
          <w:vertAlign w:val="superscript"/>
        </w:rPr>
        <w:footnoteReference w:id="17"/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language</w:t>
      </w:r>
      <w:r w:rsidR="00F138B6">
        <w:t xml:space="preserve"> </w:t>
      </w:r>
      <w:r w:rsidRPr="00F138B6">
        <w:t>was</w:t>
      </w:r>
      <w:r w:rsidR="00F138B6">
        <w:t xml:space="preserve"> </w:t>
      </w:r>
      <w:r w:rsidRPr="00F138B6">
        <w:t>inserted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recognition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issues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lastRenderedPageBreak/>
        <w:t>interstate</w:t>
      </w:r>
      <w:r w:rsidR="00F138B6">
        <w:t xml:space="preserve"> </w:t>
      </w:r>
      <w:r w:rsidRPr="00F138B6">
        <w:t>comity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arise</w:t>
      </w:r>
      <w:r w:rsidR="00F138B6">
        <w:t xml:space="preserve"> </w:t>
      </w:r>
      <w:r w:rsidRPr="00F138B6">
        <w:t>from</w:t>
      </w:r>
      <w:r w:rsidR="00F138B6">
        <w:t xml:space="preserve"> </w:t>
      </w:r>
      <w:r w:rsidRPr="00F138B6">
        <w:t>extraterritorial</w:t>
      </w:r>
      <w:r w:rsidR="00F138B6">
        <w:t xml:space="preserve"> </w:t>
      </w:r>
      <w:r w:rsidRPr="00F138B6">
        <w:t>injunctions.</w:t>
      </w:r>
      <w:r w:rsidR="00F138B6" w:rsidRPr="00F138B6">
        <w:rPr>
          <w:vertAlign w:val="superscript"/>
        </w:rPr>
        <w:footnoteReference w:id="18"/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</w:t>
      </w:r>
      <w:r w:rsidR="00F138B6">
        <w:t xml:space="preserve"> </w:t>
      </w:r>
      <w:r w:rsidRPr="00F138B6">
        <w:t>language</w:t>
      </w:r>
      <w:r w:rsidR="00F138B6">
        <w:t xml:space="preserve"> </w:t>
      </w:r>
      <w:r w:rsidRPr="00F138B6">
        <w:t>was</w:t>
      </w:r>
      <w:r w:rsidR="00F138B6">
        <w:t xml:space="preserve"> </w:t>
      </w:r>
      <w:r w:rsidRPr="00F138B6">
        <w:t>revised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2007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make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limitation</w:t>
      </w:r>
      <w:r w:rsidR="00F138B6">
        <w:t xml:space="preserve"> </w:t>
      </w:r>
      <w:r w:rsidRPr="00F138B6">
        <w:t>even</w:t>
      </w:r>
      <w:r w:rsidR="00F138B6">
        <w:t xml:space="preserve"> </w:t>
      </w:r>
      <w:r w:rsidRPr="00F138B6">
        <w:t>more</w:t>
      </w:r>
      <w:r w:rsidR="00F138B6">
        <w:t xml:space="preserve"> </w:t>
      </w:r>
      <w:r w:rsidRPr="00F138B6">
        <w:t>explicit</w:t>
      </w:r>
      <w:r w:rsidR="00F138B6" w:rsidRPr="00F138B6">
        <w:t>:</w:t>
      </w:r>
      <w:r w:rsidR="00F138B6">
        <w:t xml:space="preserve"> </w:t>
      </w:r>
      <w:r w:rsidR="00F138B6" w:rsidRPr="00F138B6">
        <w:t>i</w:t>
      </w:r>
      <w:r w:rsidRPr="00F138B6">
        <w:t>t</w:t>
      </w:r>
      <w:r w:rsidR="00F138B6">
        <w:t xml:space="preserve"> </w:t>
      </w:r>
      <w:r w:rsidRPr="00F138B6">
        <w:t>now</w:t>
      </w:r>
      <w:r w:rsidR="00F138B6">
        <w:t xml:space="preserve"> </w:t>
      </w:r>
      <w:r w:rsidRPr="00F138B6">
        <w:t>limits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scope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any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“the</w:t>
      </w:r>
      <w:r w:rsidR="00F138B6">
        <w:t xml:space="preserve"> </w:t>
      </w:r>
      <w:r w:rsidRPr="00F138B6">
        <w:t>geographic</w:t>
      </w:r>
      <w:r w:rsidR="00F138B6">
        <w:t xml:space="preserve"> </w:t>
      </w:r>
      <w:r w:rsidRPr="00F138B6">
        <w:t>area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which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mark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found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have</w:t>
      </w:r>
      <w:r w:rsidR="00F138B6">
        <w:t xml:space="preserve"> </w:t>
      </w:r>
      <w:r w:rsidRPr="00F138B6">
        <w:t>become</w:t>
      </w:r>
      <w:r w:rsidR="00F138B6">
        <w:t xml:space="preserve"> </w:t>
      </w:r>
      <w:r w:rsidRPr="00F138B6">
        <w:t>famous</w:t>
      </w:r>
      <w:r w:rsidR="00F138B6">
        <w:t xml:space="preserve"> </w:t>
      </w:r>
      <w:r w:rsidRPr="00F138B6">
        <w:t>prior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commencement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junior</w:t>
      </w:r>
      <w:r w:rsidR="00F138B6">
        <w:t xml:space="preserve"> </w:t>
      </w:r>
      <w:r w:rsidRPr="00F138B6">
        <w:t>use,</w:t>
      </w:r>
      <w:r w:rsidR="00F138B6">
        <w:t xml:space="preserve"> </w:t>
      </w:r>
      <w:r w:rsidRPr="00F138B6">
        <w:t>but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beyond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borders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state.”</w:t>
      </w:r>
      <w:r w:rsidR="00F138B6" w:rsidRPr="00F138B6">
        <w:rPr>
          <w:vertAlign w:val="superscript"/>
        </w:rPr>
        <w:footnoteReference w:id="19"/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provision,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may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limited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less</w:t>
      </w:r>
      <w:r w:rsidR="00F138B6">
        <w:t xml:space="preserve"> </w:t>
      </w:r>
      <w:r w:rsidRPr="00F138B6">
        <w:t>than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if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mark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famous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only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portion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state.</w:t>
      </w:r>
      <w:r w:rsidR="00F138B6" w:rsidRPr="00F138B6">
        <w:rPr>
          <w:vertAlign w:val="superscript"/>
        </w:rPr>
        <w:footnoteReference w:id="20"/>
      </w:r>
      <w:r w:rsidR="00F138B6">
        <w:t xml:space="preserve"> </w:t>
      </w:r>
      <w:r w:rsidRPr="00F138B6">
        <w:t>Four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newer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do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contain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“in</w:t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state”</w:t>
      </w:r>
      <w:r w:rsidR="00F138B6">
        <w:t xml:space="preserve"> </w:t>
      </w:r>
      <w:r w:rsidRPr="00F138B6">
        <w:t>language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any</w:t>
      </w:r>
      <w:r w:rsidR="00F138B6">
        <w:t xml:space="preserve"> </w:t>
      </w:r>
      <w:r w:rsidRPr="00F138B6">
        <w:t>other</w:t>
      </w:r>
      <w:r w:rsidR="00F138B6">
        <w:t xml:space="preserve"> </w:t>
      </w:r>
      <w:r w:rsidRPr="00F138B6">
        <w:t>limiting</w:t>
      </w:r>
      <w:r w:rsidR="00F138B6">
        <w:t xml:space="preserve"> </w:t>
      </w:r>
      <w:r w:rsidRPr="00F138B6">
        <w:t>language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hus,</w:t>
      </w:r>
      <w:r w:rsidR="00F138B6">
        <w:t xml:space="preserve"> </w:t>
      </w:r>
      <w:r w:rsidRPr="00F138B6">
        <w:t>they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self-limiting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he</w:t>
      </w:r>
      <w:r w:rsidR="00F138B6">
        <w:t xml:space="preserve"> </w:t>
      </w:r>
      <w:r w:rsidRPr="00F138B6">
        <w:t>availability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extraterritorial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those</w:t>
      </w:r>
      <w:r w:rsidR="00F138B6">
        <w:t xml:space="preserve"> </w:t>
      </w:r>
      <w:r w:rsidRPr="00F138B6">
        <w:t>states</w:t>
      </w:r>
      <w:r w:rsidR="00F138B6">
        <w:t xml:space="preserve"> </w:t>
      </w:r>
      <w:r w:rsidRPr="00F138B6">
        <w:t>probably</w:t>
      </w:r>
      <w:r w:rsidR="00F138B6">
        <w:t xml:space="preserve"> </w:t>
      </w:r>
      <w:r w:rsidRPr="00F138B6">
        <w:t>would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analyzed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same</w:t>
      </w:r>
      <w:r w:rsidR="00F138B6">
        <w:t xml:space="preserve"> </w:t>
      </w:r>
      <w:r w:rsidRPr="00F138B6">
        <w:t>manner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states</w:t>
      </w:r>
      <w:r w:rsidR="00F138B6">
        <w:t xml:space="preserve"> </w:t>
      </w:r>
      <w:r w:rsidRPr="00F138B6">
        <w:t>whose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patterned</w:t>
      </w:r>
      <w:r w:rsidR="00F138B6">
        <w:t xml:space="preserve"> </w:t>
      </w:r>
      <w:r w:rsidRPr="00F138B6">
        <w:t>after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1964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Bill,</w:t>
      </w:r>
      <w:r w:rsidR="00F138B6">
        <w:t xml:space="preserve"> </w:t>
      </w:r>
      <w:r w:rsidRPr="00F138B6">
        <w:t>which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discussed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Section</w:t>
      </w:r>
      <w:r w:rsidR="00F138B6">
        <w:t xml:space="preserve"> </w:t>
      </w:r>
      <w:r w:rsidRPr="00F138B6">
        <w:t>II.B.2,</w:t>
      </w:r>
      <w:r w:rsidR="00F138B6">
        <w:t xml:space="preserve"> </w:t>
      </w:r>
      <w:r w:rsidRPr="00F138B6">
        <w:t>below</w:t>
      </w:r>
      <w:r w:rsidR="00F138B6" w:rsidRPr="00F138B6">
        <w:t>.</w:t>
      </w:r>
      <w:r w:rsidR="00F138B6">
        <w:t xml:space="preserve"> </w:t>
      </w:r>
      <w:r w:rsidR="00F138B6" w:rsidRPr="00F138B6">
        <w:t>A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might</w:t>
      </w:r>
      <w:r w:rsidR="00F138B6">
        <w:t xml:space="preserve"> </w:t>
      </w:r>
      <w:r w:rsidRPr="00F138B6">
        <w:t>also</w:t>
      </w:r>
      <w:r w:rsidR="00F138B6">
        <w:t xml:space="preserve"> </w:t>
      </w:r>
      <w:r w:rsidRPr="00F138B6">
        <w:t>conclude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better</w:t>
      </w:r>
      <w:r w:rsidR="00F138B6">
        <w:t xml:space="preserve"> </w:t>
      </w:r>
      <w:r w:rsidRPr="00F138B6">
        <w:t>rule</w:t>
      </w:r>
      <w:r w:rsidR="00F138B6">
        <w:t xml:space="preserve"> </w:t>
      </w:r>
      <w:r w:rsidRPr="00F138B6">
        <w:t>was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</w:t>
      </w:r>
      <w:r w:rsidR="00F138B6">
        <w:t xml:space="preserve"> </w:t>
      </w:r>
      <w:r w:rsidRPr="00F138B6">
        <w:t>rule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limit</w:t>
      </w:r>
      <w:r w:rsidR="00F138B6">
        <w:t xml:space="preserve"> </w:t>
      </w:r>
      <w:r w:rsidRPr="00F138B6">
        <w:t>injunctions</w:t>
      </w:r>
      <w:r w:rsidR="00F138B6">
        <w:t xml:space="preserve"> </w:t>
      </w:r>
      <w:r w:rsidRPr="00F138B6">
        <w:t>accordingly.</w:t>
      </w:r>
    </w:p>
    <w:p w14:paraId="496BB77A" w14:textId="4E75B8BF" w:rsidR="00F138B6" w:rsidRPr="00F138B6" w:rsidRDefault="003E2EA3" w:rsidP="003E2EA3">
      <w:pPr>
        <w:pStyle w:val="BHead3"/>
      </w:pPr>
      <w:r>
        <w:t>5.II.B.</w:t>
      </w:r>
      <w:r w:rsidR="00F138B6" w:rsidRPr="003E2EA3">
        <w:rPr>
          <w:rStyle w:val="BBNAidChar"/>
          <w:rFonts w:eastAsiaTheme="majorEastAsia"/>
        </w:rPr>
        <w:t>2</w:t>
      </w:r>
      <w:r w:rsidR="00F138B6" w:rsidRPr="00F138B6">
        <w:t>.</w:t>
      </w:r>
      <w:r>
        <w:t> </w:t>
      </w:r>
      <w:r w:rsidR="00F138B6" w:rsidRPr="00F138B6">
        <w:tab/>
        <w:t>State</w:t>
      </w:r>
      <w:r w:rsidR="00F138B6">
        <w:t xml:space="preserve"> </w:t>
      </w:r>
      <w:r w:rsidR="00F138B6" w:rsidRPr="00F138B6">
        <w:t>Laws</w:t>
      </w:r>
      <w:r w:rsidR="00F138B6">
        <w:t xml:space="preserve"> </w:t>
      </w:r>
      <w:r w:rsidR="00F138B6" w:rsidRPr="00F138B6">
        <w:t>Patterned</w:t>
      </w:r>
      <w:r w:rsidR="00F138B6">
        <w:t xml:space="preserve"> </w:t>
      </w:r>
      <w:r w:rsidR="00F138B6" w:rsidRPr="00F138B6">
        <w:t>After</w:t>
      </w:r>
      <w:r w:rsidR="00F138B6">
        <w:t xml:space="preserve"> </w:t>
      </w:r>
      <w:r w:rsidR="00F138B6" w:rsidRPr="00F138B6">
        <w:t>the</w:t>
      </w:r>
      <w:r w:rsidR="00F138B6">
        <w:t xml:space="preserve"> </w:t>
      </w:r>
      <w:r w:rsidR="00F138B6" w:rsidRPr="00F138B6">
        <w:t>1964</w:t>
      </w:r>
      <w:r w:rsidR="00F138B6">
        <w:t xml:space="preserve"> </w:t>
      </w:r>
      <w:r w:rsidR="00F138B6" w:rsidRPr="00F138B6">
        <w:t>Model</w:t>
      </w:r>
      <w:r w:rsidR="00F138B6">
        <w:t xml:space="preserve"> </w:t>
      </w:r>
      <w:r w:rsidR="00F138B6" w:rsidRPr="00F138B6">
        <w:t>Bill</w:t>
      </w:r>
    </w:p>
    <w:p w14:paraId="7BA7D36B" w14:textId="22DE2D16" w:rsidR="00F138B6" w:rsidRPr="00F138B6" w:rsidRDefault="00AF6C63" w:rsidP="00F138B6">
      <w:pPr>
        <w:pStyle w:val="BNormal"/>
      </w:pPr>
      <w:r w:rsidRPr="00F138B6">
        <w:t>State</w:t>
      </w:r>
      <w:r w:rsidR="00F138B6">
        <w:t xml:space="preserve"> </w:t>
      </w:r>
      <w:r w:rsidRPr="00F138B6">
        <w:t>laws</w:t>
      </w:r>
      <w:r w:rsidR="00F138B6">
        <w:t xml:space="preserve"> </w:t>
      </w:r>
      <w:r w:rsidRPr="00F138B6">
        <w:t>patterned</w:t>
      </w:r>
      <w:r w:rsidR="00F138B6">
        <w:t xml:space="preserve"> </w:t>
      </w:r>
      <w:r w:rsidRPr="00F138B6">
        <w:t>after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1964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</w:t>
      </w:r>
      <w:r w:rsidR="00F138B6">
        <w:t xml:space="preserve"> </w:t>
      </w:r>
      <w:r w:rsidRPr="00F138B6">
        <w:t>simply</w:t>
      </w:r>
      <w:r w:rsidR="00F138B6">
        <w:t xml:space="preserve"> </w:t>
      </w:r>
      <w:r w:rsidRPr="00F138B6">
        <w:t>authorize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issuance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upon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showing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likelihood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dilution</w:t>
      </w:r>
      <w:r w:rsidR="00F138B6" w:rsidRPr="00F138B6">
        <w:t>.</w:t>
      </w:r>
      <w:r w:rsidR="00F138B6">
        <w:t xml:space="preserve"> </w:t>
      </w:r>
      <w:r w:rsidR="00F138B6" w:rsidRPr="00F138B6">
        <w:t>A</w:t>
      </w:r>
      <w:r w:rsidRPr="00F138B6">
        <w:t>ny</w:t>
      </w:r>
      <w:r w:rsidR="00F138B6">
        <w:t xml:space="preserve"> </w:t>
      </w:r>
      <w:r w:rsidRPr="00F138B6">
        <w:t>limitations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territorial</w:t>
      </w:r>
      <w:r w:rsidR="00F138B6">
        <w:t xml:space="preserve"> </w:t>
      </w:r>
      <w:r w:rsidRPr="00F138B6">
        <w:t>scope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injunctions</w:t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those</w:t>
      </w:r>
      <w:r w:rsidR="00F138B6">
        <w:t xml:space="preserve"> </w:t>
      </w:r>
      <w:r w:rsidRPr="00F138B6">
        <w:t>laws</w:t>
      </w:r>
      <w:r w:rsidR="00F138B6">
        <w:t xml:space="preserve"> </w:t>
      </w:r>
      <w:r w:rsidRPr="00F138B6">
        <w:t>must</w:t>
      </w:r>
      <w:r w:rsidR="00F138B6">
        <w:t xml:space="preserve"> </w:t>
      </w:r>
      <w:r w:rsidRPr="00F138B6">
        <w:t>come</w:t>
      </w:r>
      <w:r w:rsidR="00F138B6">
        <w:t xml:space="preserve"> </w:t>
      </w:r>
      <w:r w:rsidRPr="00F138B6">
        <w:t>from</w:t>
      </w:r>
      <w:r w:rsidR="00F138B6">
        <w:t xml:space="preserve"> </w:t>
      </w:r>
      <w:r w:rsidRPr="00F138B6">
        <w:t>sources</w:t>
      </w:r>
      <w:r w:rsidR="00F138B6">
        <w:t xml:space="preserve"> </w:t>
      </w:r>
      <w:r w:rsidRPr="00F138B6">
        <w:t>other</w:t>
      </w:r>
      <w:r w:rsidR="00F138B6">
        <w:t xml:space="preserve"> </w:t>
      </w:r>
      <w:r w:rsidRPr="00F138B6">
        <w:t>than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statute</w:t>
      </w:r>
      <w:r w:rsidR="00F138B6">
        <w:t xml:space="preserve"> </w:t>
      </w:r>
      <w:r w:rsidRPr="00F138B6">
        <w:t>itself.</w:t>
      </w:r>
    </w:p>
    <w:p w14:paraId="302FA732" w14:textId="49D5C175" w:rsidR="00F138B6" w:rsidRPr="00F138B6" w:rsidRDefault="00AF6C63" w:rsidP="00F138B6">
      <w:pPr>
        <w:pStyle w:val="BNormal"/>
      </w:pPr>
      <w:r w:rsidRPr="00F138B6">
        <w:t>Most</w:t>
      </w:r>
      <w:r w:rsidR="00F138B6">
        <w:t xml:space="preserve"> </w:t>
      </w:r>
      <w:r w:rsidRPr="00F138B6">
        <w:t>courts</w:t>
      </w:r>
      <w:r w:rsidR="00F138B6">
        <w:t xml:space="preserve"> </w:t>
      </w:r>
      <w:r w:rsidRPr="00F138B6">
        <w:t>faced</w:t>
      </w:r>
      <w:r w:rsidR="00F138B6">
        <w:t xml:space="preserve"> </w:t>
      </w:r>
      <w:r w:rsidRPr="00F138B6">
        <w:t>with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question</w:t>
      </w:r>
      <w:r w:rsidR="00F138B6">
        <w:t xml:space="preserve"> </w:t>
      </w:r>
      <w:r w:rsidRPr="00F138B6">
        <w:t>have</w:t>
      </w:r>
      <w:r w:rsidR="00F138B6">
        <w:t xml:space="preserve"> </w:t>
      </w:r>
      <w:r w:rsidRPr="00F138B6">
        <w:t>held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courts</w:t>
      </w:r>
      <w:r w:rsidR="00F138B6">
        <w:t xml:space="preserve"> </w:t>
      </w:r>
      <w:r w:rsidRPr="00F138B6">
        <w:t>may</w:t>
      </w:r>
      <w:r w:rsidR="00F138B6">
        <w:t xml:space="preserve"> </w:t>
      </w:r>
      <w:r w:rsidRPr="00F138B6">
        <w:t>issue</w:t>
      </w:r>
      <w:r w:rsidR="00F138B6">
        <w:t xml:space="preserve"> </w:t>
      </w:r>
      <w:r w:rsidRPr="00F138B6">
        <w:t>nationwide</w:t>
      </w:r>
      <w:r w:rsidR="00F138B6">
        <w:t xml:space="preserve"> </w:t>
      </w:r>
      <w:r w:rsidRPr="00F138B6">
        <w:t>injunctions</w:t>
      </w:r>
      <w:r w:rsidR="00F138B6">
        <w:t xml:space="preserve"> </w:t>
      </w:r>
      <w:r w:rsidRPr="00F138B6">
        <w:t>based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violations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laws.</w:t>
      </w:r>
      <w:r w:rsidR="00F138B6" w:rsidRPr="00F138B6">
        <w:rPr>
          <w:vertAlign w:val="superscript"/>
        </w:rPr>
        <w:footnoteReference w:id="21"/>
      </w:r>
      <w:r w:rsidR="00F138B6">
        <w:t xml:space="preserve"> </w:t>
      </w:r>
      <w:r w:rsidRPr="00F138B6">
        <w:t>Courts</w:t>
      </w:r>
      <w:r w:rsidR="00F138B6">
        <w:t xml:space="preserve"> </w:t>
      </w:r>
      <w:r w:rsidRPr="00F138B6">
        <w:t>also</w:t>
      </w:r>
      <w:r w:rsidR="00F138B6">
        <w:t xml:space="preserve"> </w:t>
      </w:r>
      <w:r w:rsidRPr="00F138B6">
        <w:t>have</w:t>
      </w:r>
      <w:r w:rsidR="00F138B6">
        <w:t xml:space="preserve"> </w:t>
      </w:r>
      <w:r w:rsidRPr="00F138B6">
        <w:t>issued</w:t>
      </w:r>
      <w:r w:rsidR="00F138B6">
        <w:t xml:space="preserve"> </w:t>
      </w:r>
      <w:r w:rsidRPr="00F138B6">
        <w:t>nationwide</w:t>
      </w:r>
      <w:r w:rsidR="00F138B6">
        <w:t xml:space="preserve"> </w:t>
      </w:r>
      <w:r w:rsidRPr="00F138B6">
        <w:t>injunctions</w:t>
      </w:r>
      <w:r w:rsidR="00F138B6">
        <w:t xml:space="preserve"> </w:t>
      </w:r>
      <w:r w:rsidRPr="00F138B6">
        <w:t>based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other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unfair</w:t>
      </w:r>
      <w:r w:rsidR="00F138B6">
        <w:t xml:space="preserve"> </w:t>
      </w:r>
      <w:r w:rsidRPr="00F138B6">
        <w:t>competition</w:t>
      </w:r>
      <w:r w:rsidR="00F138B6">
        <w:t xml:space="preserve"> </w:t>
      </w:r>
      <w:r w:rsidRPr="00F138B6">
        <w:t>laws.</w:t>
      </w:r>
      <w:r w:rsidR="00F138B6" w:rsidRPr="00F138B6">
        <w:rPr>
          <w:vertAlign w:val="superscript"/>
        </w:rPr>
        <w:footnoteReference w:id="22"/>
      </w:r>
      <w:r w:rsidR="00F138B6">
        <w:t xml:space="preserve"> </w:t>
      </w:r>
      <w:r w:rsidRPr="00F138B6">
        <w:t>Doctrinal</w:t>
      </w:r>
      <w:r w:rsidR="00F138B6">
        <w:t xml:space="preserve"> </w:t>
      </w:r>
      <w:r w:rsidRPr="00F138B6">
        <w:t>support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these</w:t>
      </w:r>
      <w:r w:rsidR="00F138B6">
        <w:t xml:space="preserve"> </w:t>
      </w:r>
      <w:r w:rsidRPr="00F138B6">
        <w:t>injunctions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based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concept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equity</w:t>
      </w:r>
      <w:r w:rsidR="00F138B6">
        <w:t xml:space="preserve"> </w:t>
      </w:r>
      <w:r w:rsidRPr="00F138B6">
        <w:t>can</w:t>
      </w:r>
      <w:r w:rsidR="00F138B6">
        <w:t xml:space="preserve"> </w:t>
      </w:r>
      <w:r w:rsidRPr="00F138B6">
        <w:t>command</w:t>
      </w:r>
      <w:r w:rsidR="00F138B6">
        <w:t xml:space="preserve"> </w:t>
      </w:r>
      <w:r w:rsidRPr="00F138B6">
        <w:t>compliance</w:t>
      </w:r>
      <w:r w:rsidR="00F138B6">
        <w:t xml:space="preserve"> </w:t>
      </w:r>
      <w:r w:rsidRPr="00F138B6">
        <w:t>from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individual</w:t>
      </w:r>
      <w:r w:rsidR="00F138B6">
        <w:t xml:space="preserve"> </w:t>
      </w:r>
      <w:r w:rsidRPr="00F138B6">
        <w:t>over</w:t>
      </w:r>
      <w:r w:rsidR="00F138B6">
        <w:t xml:space="preserve"> </w:t>
      </w:r>
      <w:r w:rsidRPr="00F138B6">
        <w:t>whom</w:t>
      </w:r>
      <w:r w:rsidR="00F138B6">
        <w:t xml:space="preserve"> </w:t>
      </w:r>
      <w:r w:rsidRPr="00F138B6">
        <w:t>it</w:t>
      </w:r>
      <w:r w:rsidR="00F138B6">
        <w:t xml:space="preserve"> </w:t>
      </w:r>
      <w:r w:rsidRPr="00F138B6">
        <w:t>has</w:t>
      </w:r>
      <w:r w:rsidR="00F138B6">
        <w:t xml:space="preserve"> </w:t>
      </w:r>
      <w:r w:rsidRPr="00F138B6">
        <w:t>jurisdiction.</w:t>
      </w:r>
      <w:r w:rsidR="00F138B6" w:rsidRPr="00F138B6">
        <w:rPr>
          <w:vertAlign w:val="superscript"/>
        </w:rPr>
        <w:footnoteReference w:id="23"/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principle</w:t>
      </w:r>
      <w:r w:rsidR="00F138B6">
        <w:t xml:space="preserve"> </w:t>
      </w:r>
      <w:r w:rsidRPr="00F138B6">
        <w:t>also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embodied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="00F138B6" w:rsidRPr="00F138B6">
        <w:rPr>
          <w:i/>
        </w:rPr>
        <w:t>Restatement</w:t>
      </w:r>
      <w:r w:rsidR="00F138B6">
        <w:rPr>
          <w:i/>
        </w:rPr>
        <w:t xml:space="preserve"> </w:t>
      </w:r>
      <w:r w:rsidR="00F138B6" w:rsidRPr="00F138B6">
        <w:rPr>
          <w:i/>
        </w:rPr>
        <w:t>(Second)</w:t>
      </w:r>
      <w:r w:rsidR="00F138B6">
        <w:rPr>
          <w:i/>
        </w:rPr>
        <w:t xml:space="preserve"> </w:t>
      </w:r>
      <w:r w:rsidR="00F138B6" w:rsidRPr="00F138B6">
        <w:rPr>
          <w:i/>
        </w:rPr>
        <w:t>of</w:t>
      </w:r>
      <w:r w:rsidR="00F138B6">
        <w:rPr>
          <w:i/>
        </w:rPr>
        <w:t xml:space="preserve"> </w:t>
      </w:r>
      <w:r w:rsidR="00F138B6" w:rsidRPr="00F138B6">
        <w:rPr>
          <w:i/>
        </w:rPr>
        <w:t>Conflict</w:t>
      </w:r>
      <w:r w:rsidR="00F138B6">
        <w:rPr>
          <w:i/>
        </w:rPr>
        <w:t xml:space="preserve"> </w:t>
      </w:r>
      <w:r w:rsidR="00F138B6" w:rsidRPr="00F138B6">
        <w:rPr>
          <w:i/>
        </w:rPr>
        <w:t>of</w:t>
      </w:r>
      <w:r w:rsidR="00F138B6">
        <w:rPr>
          <w:i/>
        </w:rPr>
        <w:t xml:space="preserve"> </w:t>
      </w:r>
      <w:r w:rsidR="00F138B6" w:rsidRPr="00F138B6">
        <w:rPr>
          <w:i/>
        </w:rPr>
        <w:t>Laws</w:t>
      </w:r>
      <w:r w:rsidRPr="00F138B6">
        <w:t>.</w:t>
      </w:r>
      <w:r w:rsidR="00F138B6" w:rsidRPr="00F138B6">
        <w:rPr>
          <w:vertAlign w:val="superscript"/>
        </w:rPr>
        <w:footnoteReference w:id="24"/>
      </w:r>
    </w:p>
    <w:p w14:paraId="13F9863E" w14:textId="7DC63EC6" w:rsidR="00F138B6" w:rsidRPr="00F138B6" w:rsidRDefault="00AF6C63" w:rsidP="00F138B6">
      <w:pPr>
        <w:pStyle w:val="BNormal"/>
      </w:pPr>
      <w:r w:rsidRPr="00F138B6">
        <w:lastRenderedPageBreak/>
        <w:t>In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few</w:t>
      </w:r>
      <w:r w:rsidR="00F138B6">
        <w:t xml:space="preserve"> </w:t>
      </w:r>
      <w:r w:rsidRPr="00F138B6">
        <w:t>cases,</w:t>
      </w:r>
      <w:r w:rsidR="00F138B6">
        <w:t xml:space="preserve"> </w:t>
      </w:r>
      <w:r w:rsidRPr="00F138B6">
        <w:t>courts</w:t>
      </w:r>
      <w:r w:rsidR="00F138B6">
        <w:t xml:space="preserve"> </w:t>
      </w:r>
      <w:r w:rsidRPr="00F138B6">
        <w:t>have</w:t>
      </w:r>
      <w:r w:rsidR="00F138B6">
        <w:t xml:space="preserve"> </w:t>
      </w:r>
      <w:r w:rsidRPr="00F138B6">
        <w:t>refused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issue</w:t>
      </w:r>
      <w:r w:rsidR="00F138B6">
        <w:t xml:space="preserve"> </w:t>
      </w:r>
      <w:r w:rsidRPr="00F138B6">
        <w:t>nationwide</w:t>
      </w:r>
      <w:r w:rsidR="00F138B6">
        <w:t xml:space="preserve"> </w:t>
      </w:r>
      <w:r w:rsidRPr="00F138B6">
        <w:t>injunctions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he</w:t>
      </w:r>
      <w:r w:rsidR="00F138B6">
        <w:t xml:space="preserve"> </w:t>
      </w:r>
      <w:r w:rsidRPr="00F138B6">
        <w:t>most</w:t>
      </w:r>
      <w:r w:rsidR="00F138B6">
        <w:t xml:space="preserve"> </w:t>
      </w:r>
      <w:r w:rsidRPr="00F138B6">
        <w:t>notable</w:t>
      </w:r>
      <w:r w:rsidR="00F138B6">
        <w:t xml:space="preserve"> </w:t>
      </w:r>
      <w:r w:rsidRPr="00F138B6">
        <w:t>is</w:t>
      </w:r>
      <w:r w:rsidR="00F138B6">
        <w:t xml:space="preserve"> </w:t>
      </w:r>
      <w:r w:rsidR="00F138B6" w:rsidRPr="00F138B6">
        <w:rPr>
          <w:i/>
        </w:rPr>
        <w:t>Hyatt</w:t>
      </w:r>
      <w:r w:rsidR="00F138B6">
        <w:rPr>
          <w:i/>
        </w:rPr>
        <w:t xml:space="preserve"> </w:t>
      </w:r>
      <w:r w:rsidR="00F138B6" w:rsidRPr="00F138B6">
        <w:rPr>
          <w:i/>
        </w:rPr>
        <w:t>Corp</w:t>
      </w:r>
      <w:r w:rsidR="00F138B6" w:rsidRPr="00F138B6">
        <w:t>.</w:t>
      </w:r>
      <w:r w:rsidR="00F138B6">
        <w:t xml:space="preserve"> </w:t>
      </w:r>
      <w:r w:rsidR="00F138B6" w:rsidRPr="00F138B6">
        <w:rPr>
          <w:i/>
        </w:rPr>
        <w:t>v</w:t>
      </w:r>
      <w:r w:rsidR="00F138B6" w:rsidRPr="00F138B6">
        <w:t>.</w:t>
      </w:r>
      <w:r w:rsidR="00F138B6">
        <w:t xml:space="preserve"> </w:t>
      </w:r>
      <w:r w:rsidR="00F138B6" w:rsidRPr="00F138B6">
        <w:rPr>
          <w:i/>
        </w:rPr>
        <w:t>Hyatt</w:t>
      </w:r>
      <w:r w:rsidR="00F138B6">
        <w:rPr>
          <w:i/>
        </w:rPr>
        <w:t xml:space="preserve"> </w:t>
      </w:r>
      <w:r w:rsidR="00F138B6" w:rsidRPr="00F138B6">
        <w:rPr>
          <w:i/>
        </w:rPr>
        <w:t>Legal</w:t>
      </w:r>
      <w:r w:rsidR="00F138B6">
        <w:rPr>
          <w:i/>
        </w:rPr>
        <w:t xml:space="preserve"> </w:t>
      </w:r>
      <w:r w:rsidR="00F138B6" w:rsidRPr="00F138B6">
        <w:rPr>
          <w:i/>
        </w:rPr>
        <w:t>Services</w:t>
      </w:r>
      <w:r w:rsidRPr="00F138B6">
        <w:t>.</w:t>
      </w:r>
      <w:r w:rsidR="00F138B6" w:rsidRPr="00F138B6">
        <w:rPr>
          <w:vertAlign w:val="superscript"/>
        </w:rPr>
        <w:footnoteReference w:id="25"/>
      </w:r>
      <w:r w:rsidR="00F138B6">
        <w:t xml:space="preserve"> </w:t>
      </w:r>
      <w:r w:rsidRPr="00F138B6">
        <w:t>In</w:t>
      </w:r>
      <w:r w:rsidR="00F138B6">
        <w:t xml:space="preserve"> </w:t>
      </w:r>
      <w:r w:rsidR="00F138B6" w:rsidRPr="00F138B6">
        <w:rPr>
          <w:i/>
        </w:rPr>
        <w:t>Hyatt</w:t>
      </w:r>
      <w:r w:rsidRPr="00F138B6">
        <w:t>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balked</w:t>
      </w:r>
      <w:r w:rsidR="00F138B6">
        <w:t xml:space="preserve"> </w:t>
      </w:r>
      <w:r w:rsidRPr="00F138B6">
        <w:t>at</w:t>
      </w:r>
      <w:r w:rsidR="00F138B6">
        <w:t xml:space="preserve"> </w:t>
      </w:r>
      <w:r w:rsidRPr="00F138B6">
        <w:t>issuing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nationwide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violations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Illinois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law</w:t>
      </w:r>
      <w:r w:rsidR="00F138B6">
        <w:t xml:space="preserve"> </w:t>
      </w:r>
      <w:r w:rsidRPr="00F138B6">
        <w:t>because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would</w:t>
      </w:r>
      <w:r w:rsidR="00F138B6">
        <w:t xml:space="preserve"> </w:t>
      </w:r>
      <w:r w:rsidRPr="00F138B6">
        <w:t>conflict</w:t>
      </w:r>
      <w:r w:rsidR="00F138B6">
        <w:t xml:space="preserve"> </w:t>
      </w:r>
      <w:r w:rsidRPr="00F138B6">
        <w:t>with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Commerce</w:t>
      </w:r>
      <w:r w:rsidR="00F138B6">
        <w:t xml:space="preserve"> </w:t>
      </w:r>
      <w:r w:rsidRPr="00F138B6">
        <w:t>Clause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U.S</w:t>
      </w:r>
      <w:r w:rsidR="00F138B6" w:rsidRPr="00F138B6">
        <w:t>.</w:t>
      </w:r>
      <w:r w:rsidR="00F138B6">
        <w:t xml:space="preserve"> </w:t>
      </w:r>
      <w:r w:rsidR="00F138B6" w:rsidRPr="00F138B6">
        <w:t>C</w:t>
      </w:r>
      <w:r w:rsidRPr="00F138B6">
        <w:t>onstitution.</w:t>
      </w:r>
      <w:r w:rsidR="00F138B6" w:rsidRPr="00F138B6">
        <w:rPr>
          <w:vertAlign w:val="superscript"/>
        </w:rPr>
        <w:footnoteReference w:id="26"/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cited</w:t>
      </w:r>
      <w:r w:rsidR="00F138B6">
        <w:t xml:space="preserve"> </w:t>
      </w:r>
      <w:r w:rsidRPr="00F138B6">
        <w:t>two</w:t>
      </w:r>
      <w:r w:rsidR="00F138B6">
        <w:t xml:space="preserve"> </w:t>
      </w:r>
      <w:r w:rsidRPr="00F138B6">
        <w:t>possible</w:t>
      </w:r>
      <w:r w:rsidR="00F138B6">
        <w:t xml:space="preserve"> </w:t>
      </w:r>
      <w:r w:rsidRPr="00F138B6">
        <w:t>grounds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refusing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nationwide</w:t>
      </w:r>
      <w:r w:rsidR="00F138B6">
        <w:t xml:space="preserve"> </w:t>
      </w:r>
      <w:r w:rsidRPr="00F138B6">
        <w:t>injunction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he</w:t>
      </w:r>
      <w:r w:rsidR="00F138B6">
        <w:t xml:space="preserve"> </w:t>
      </w:r>
      <w:r w:rsidRPr="00F138B6">
        <w:t>proposed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could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direct</w:t>
      </w:r>
      <w:r w:rsidR="00F138B6">
        <w:t xml:space="preserve"> </w:t>
      </w:r>
      <w:r w:rsidRPr="00F138B6">
        <w:t>interference</w:t>
      </w:r>
      <w:r w:rsidR="00F138B6">
        <w:t xml:space="preserve"> </w:t>
      </w:r>
      <w:r w:rsidRPr="00F138B6">
        <w:t>with</w:t>
      </w:r>
      <w:r w:rsidR="00F138B6">
        <w:t xml:space="preserve"> </w:t>
      </w:r>
      <w:r w:rsidRPr="00F138B6">
        <w:t>commerce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another</w:t>
      </w:r>
      <w:r w:rsidR="00F138B6">
        <w:t xml:space="preserve"> </w:t>
      </w:r>
      <w:r w:rsidRPr="00F138B6">
        <w:t>state,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which</w:t>
      </w:r>
      <w:r w:rsidR="00F138B6">
        <w:t xml:space="preserve"> </w:t>
      </w:r>
      <w:r w:rsidRPr="00F138B6">
        <w:t>case</w:t>
      </w:r>
      <w:r w:rsidR="00F138B6">
        <w:t xml:space="preserve"> </w:t>
      </w:r>
      <w:r w:rsidRPr="00F138B6">
        <w:t>it</w:t>
      </w:r>
      <w:r w:rsidR="00F138B6">
        <w:t xml:space="preserve"> </w:t>
      </w:r>
      <w:r w:rsidRPr="00F138B6">
        <w:t>would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prohibited.</w:t>
      </w:r>
      <w:r w:rsidR="00F138B6" w:rsidRPr="00F138B6">
        <w:rPr>
          <w:vertAlign w:val="superscript"/>
        </w:rPr>
        <w:footnoteReference w:id="27"/>
      </w:r>
      <w:r w:rsidR="00F138B6">
        <w:t xml:space="preserve"> </w:t>
      </w:r>
      <w:r w:rsidRPr="00F138B6">
        <w:t>Alternatively,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found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would</w:t>
      </w:r>
      <w:r w:rsidR="00F138B6">
        <w:t xml:space="preserve"> </w:t>
      </w:r>
      <w:r w:rsidRPr="00F138B6">
        <w:t>have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significant,</w:t>
      </w:r>
      <w:r w:rsidR="00F138B6">
        <w:t xml:space="preserve"> </w:t>
      </w:r>
      <w:r w:rsidRPr="00F138B6">
        <w:t>if</w:t>
      </w:r>
      <w:r w:rsidR="00F138B6">
        <w:t xml:space="preserve"> </w:t>
      </w:r>
      <w:r w:rsidRPr="00F138B6">
        <w:t>incidental,</w:t>
      </w:r>
      <w:r w:rsidR="00F138B6">
        <w:t xml:space="preserve"> </w:t>
      </w:r>
      <w:r w:rsidRPr="00F138B6">
        <w:t>effect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interstate</w:t>
      </w:r>
      <w:r w:rsidR="00F138B6">
        <w:t xml:space="preserve"> </w:t>
      </w:r>
      <w:r w:rsidRPr="00F138B6">
        <w:t>commerce</w:t>
      </w:r>
      <w:r w:rsidR="00F138B6">
        <w:t xml:space="preserve"> </w:t>
      </w:r>
      <w:r w:rsidRPr="00F138B6">
        <w:t>where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local</w:t>
      </w:r>
      <w:r w:rsidR="00F138B6">
        <w:t xml:space="preserve"> </w:t>
      </w:r>
      <w:r w:rsidRPr="00F138B6">
        <w:t>benefits</w:t>
      </w:r>
      <w:r w:rsidR="00F138B6">
        <w:t xml:space="preserve"> </w:t>
      </w:r>
      <w:r w:rsidRPr="00F138B6">
        <w:t>were</w:t>
      </w:r>
      <w:r w:rsidR="00F138B6">
        <w:t xml:space="preserve"> </w:t>
      </w:r>
      <w:r w:rsidRPr="00F138B6">
        <w:t>small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where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local</w:t>
      </w:r>
      <w:r w:rsidR="00F138B6">
        <w:t xml:space="preserve"> </w:t>
      </w:r>
      <w:r w:rsidRPr="00F138B6">
        <w:t>benefits</w:t>
      </w:r>
      <w:r w:rsidR="00F138B6">
        <w:t xml:space="preserve"> </w:t>
      </w:r>
      <w:r w:rsidRPr="00F138B6">
        <w:t>could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achieved</w:t>
      </w:r>
      <w:r w:rsidR="00F138B6">
        <w:t xml:space="preserve"> </w:t>
      </w:r>
      <w:r w:rsidRPr="00F138B6">
        <w:t>with</w:t>
      </w:r>
      <w:r w:rsidR="00F138B6">
        <w:t xml:space="preserve"> </w:t>
      </w:r>
      <w:r w:rsidRPr="00F138B6">
        <w:t>far</w:t>
      </w:r>
      <w:r w:rsidR="00F138B6">
        <w:t xml:space="preserve"> </w:t>
      </w:r>
      <w:r w:rsidRPr="00F138B6">
        <w:t>less</w:t>
      </w:r>
      <w:r w:rsidR="00F138B6">
        <w:t xml:space="preserve"> </w:t>
      </w:r>
      <w:r w:rsidRPr="00F138B6">
        <w:t>impact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interstate</w:t>
      </w:r>
      <w:r w:rsidR="00F138B6">
        <w:t xml:space="preserve"> </w:t>
      </w:r>
      <w:r w:rsidRPr="00F138B6">
        <w:t>commerce.</w:t>
      </w:r>
      <w:r w:rsidR="00F138B6" w:rsidRPr="00F138B6">
        <w:rPr>
          <w:vertAlign w:val="superscript"/>
        </w:rPr>
        <w:footnoteReference w:id="28"/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noted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local</w:t>
      </w:r>
      <w:r w:rsidR="00F138B6">
        <w:t xml:space="preserve"> </w:t>
      </w:r>
      <w:r w:rsidRPr="00F138B6">
        <w:t>interests</w:t>
      </w:r>
      <w:r w:rsidR="00F138B6">
        <w:t xml:space="preserve"> </w:t>
      </w:r>
      <w:r w:rsidRPr="00F138B6">
        <w:t>were</w:t>
      </w:r>
      <w:r w:rsidR="00F138B6">
        <w:t xml:space="preserve"> </w:t>
      </w:r>
      <w:r w:rsidRPr="00F138B6">
        <w:t>purely</w:t>
      </w:r>
      <w:r w:rsidR="00F138B6">
        <w:t xml:space="preserve"> </w:t>
      </w:r>
      <w:r w:rsidRPr="00F138B6">
        <w:t>economic,</w:t>
      </w:r>
      <w:r w:rsidR="00F138B6">
        <w:t xml:space="preserve"> </w:t>
      </w:r>
      <w:r w:rsidRPr="00F138B6">
        <w:t>unrelated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health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safety.</w:t>
      </w:r>
      <w:r w:rsidR="00F138B6" w:rsidRPr="00F138B6">
        <w:rPr>
          <w:vertAlign w:val="superscript"/>
        </w:rPr>
        <w:footnoteReference w:id="29"/>
      </w:r>
      <w:r w:rsidR="00F138B6">
        <w:t xml:space="preserve"> </w:t>
      </w:r>
      <w:r w:rsidRPr="00F138B6">
        <w:t>It</w:t>
      </w:r>
      <w:r w:rsidR="00F138B6">
        <w:t xml:space="preserve"> </w:t>
      </w:r>
      <w:r w:rsidRPr="00F138B6">
        <w:t>further</w:t>
      </w:r>
      <w:r w:rsidR="00F138B6">
        <w:t xml:space="preserve"> </w:t>
      </w:r>
      <w:r w:rsidRPr="00F138B6">
        <w:t>noted</w:t>
      </w:r>
      <w:r w:rsidR="00F138B6">
        <w:t xml:space="preserve"> </w:t>
      </w:r>
      <w:r w:rsidRPr="00F138B6">
        <w:t>that,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matter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comity,</w:t>
      </w:r>
      <w:r w:rsidR="00F138B6">
        <w:t xml:space="preserve"> </w:t>
      </w:r>
      <w:r w:rsidRPr="00F138B6">
        <w:t>courts</w:t>
      </w:r>
      <w:r w:rsidR="00F138B6">
        <w:t xml:space="preserve"> </w:t>
      </w:r>
      <w:r w:rsidRPr="00F138B6">
        <w:t>should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hesitant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issue</w:t>
      </w:r>
      <w:r w:rsidR="00F138B6">
        <w:t xml:space="preserve"> </w:t>
      </w:r>
      <w:r w:rsidRPr="00F138B6">
        <w:t>injunctions</w:t>
      </w:r>
      <w:r w:rsidR="00F138B6">
        <w:t xml:space="preserve"> </w:t>
      </w:r>
      <w:r w:rsidRPr="00F138B6">
        <w:t>where</w:t>
      </w:r>
      <w:r w:rsidR="00F138B6">
        <w:t xml:space="preserve"> </w:t>
      </w:r>
      <w:r w:rsidRPr="00F138B6">
        <w:t>other</w:t>
      </w:r>
      <w:r w:rsidR="00F138B6">
        <w:t xml:space="preserve"> </w:t>
      </w:r>
      <w:r w:rsidRPr="00F138B6">
        <w:t>states</w:t>
      </w:r>
      <w:r w:rsidR="00F138B6">
        <w:t xml:space="preserve"> </w:t>
      </w:r>
      <w:r w:rsidRPr="00F138B6">
        <w:t>have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prohibited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conduct</w:t>
      </w:r>
      <w:r w:rsidR="00F138B6">
        <w:t xml:space="preserve"> </w:t>
      </w:r>
      <w:r w:rsidRPr="00F138B6">
        <w:t>being</w:t>
      </w:r>
      <w:r w:rsidR="00F138B6">
        <w:t xml:space="preserve"> </w:t>
      </w:r>
      <w:r w:rsidRPr="00F138B6">
        <w:t>enjoined.</w:t>
      </w:r>
      <w:r w:rsidR="00F138B6" w:rsidRPr="00F138B6">
        <w:rPr>
          <w:vertAlign w:val="superscript"/>
        </w:rPr>
        <w:footnoteReference w:id="30"/>
      </w:r>
      <w:r w:rsidR="00F138B6">
        <w:t xml:space="preserve"> </w:t>
      </w:r>
      <w:r w:rsidRPr="00F138B6">
        <w:t>Ultimately,</w:t>
      </w:r>
      <w:r w:rsidR="00F138B6">
        <w:t xml:space="preserve"> </w:t>
      </w:r>
      <w:r w:rsidRPr="00F138B6">
        <w:t>however,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merely</w:t>
      </w:r>
      <w:r w:rsidR="00F138B6">
        <w:t xml:space="preserve"> </w:t>
      </w:r>
      <w:r w:rsidRPr="00F138B6">
        <w:t>stayed</w:t>
      </w:r>
      <w:r w:rsidR="00F138B6">
        <w:t xml:space="preserve"> </w:t>
      </w:r>
      <w:r w:rsidRPr="00F138B6">
        <w:t>its</w:t>
      </w:r>
      <w:r w:rsidR="00F138B6">
        <w:t xml:space="preserve"> </w:t>
      </w:r>
      <w:r w:rsidRPr="00F138B6">
        <w:t>issuance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nationwide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month,</w:t>
      </w:r>
      <w:r w:rsidR="00F138B6">
        <w:t xml:space="preserve"> </w:t>
      </w:r>
      <w:r w:rsidRPr="00F138B6">
        <w:t>allowing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defendant</w:t>
      </w:r>
      <w:r w:rsidR="00F138B6">
        <w:t xml:space="preserve"> </w:t>
      </w:r>
      <w:r w:rsidRPr="00F138B6">
        <w:t>time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appeal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Seventh</w:t>
      </w:r>
      <w:r w:rsidR="00F138B6">
        <w:t xml:space="preserve"> </w:t>
      </w:r>
      <w:r w:rsidRPr="00F138B6">
        <w:t>Circuit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issue.</w:t>
      </w:r>
      <w:r w:rsidR="00F138B6" w:rsidRPr="00F138B6">
        <w:rPr>
          <w:vertAlign w:val="superscript"/>
        </w:rPr>
        <w:footnoteReference w:id="31"/>
      </w:r>
    </w:p>
    <w:p w14:paraId="1A846069" w14:textId="17B9DE7E" w:rsidR="00F138B6" w:rsidRPr="00F138B6" w:rsidRDefault="00F138B6" w:rsidP="00F138B6">
      <w:pPr>
        <w:pStyle w:val="BNormal"/>
      </w:pPr>
      <w:r w:rsidRPr="00F138B6">
        <w:rPr>
          <w:i/>
        </w:rPr>
        <w:t>Hyatt</w:t>
      </w:r>
      <w:r>
        <w:t xml:space="preserve"> </w:t>
      </w:r>
      <w:r w:rsidR="00AF6C63" w:rsidRPr="00F138B6">
        <w:t>relied</w:t>
      </w:r>
      <w:r>
        <w:t xml:space="preserve"> </w:t>
      </w:r>
      <w:r w:rsidR="00AF6C63" w:rsidRPr="00F138B6">
        <w:t>solely</w:t>
      </w:r>
      <w:r>
        <w:t xml:space="preserve"> </w:t>
      </w:r>
      <w:r w:rsidR="00AF6C63" w:rsidRPr="00F138B6">
        <w:t>on</w:t>
      </w:r>
      <w:r>
        <w:t xml:space="preserve"> </w:t>
      </w:r>
      <w:r w:rsidR="00AF6C63" w:rsidRPr="00F138B6">
        <w:t>the</w:t>
      </w:r>
      <w:r>
        <w:t xml:space="preserve"> </w:t>
      </w:r>
      <w:r w:rsidR="00AF6C63" w:rsidRPr="00F138B6">
        <w:t>Commerce</w:t>
      </w:r>
      <w:r>
        <w:t xml:space="preserve"> </w:t>
      </w:r>
      <w:r w:rsidR="00AF6C63" w:rsidRPr="00F138B6">
        <w:t>Clause</w:t>
      </w:r>
      <w:r w:rsidRPr="00F138B6">
        <w:t>.</w:t>
      </w:r>
      <w:r>
        <w:t xml:space="preserve"> </w:t>
      </w:r>
      <w:r w:rsidRPr="00F138B6">
        <w:t>A</w:t>
      </w:r>
      <w:r w:rsidR="00AF6C63" w:rsidRPr="00F138B6">
        <w:t>rguably,</w:t>
      </w:r>
      <w:r>
        <w:t xml:space="preserve"> </w:t>
      </w:r>
      <w:r w:rsidR="00AF6C63" w:rsidRPr="00F138B6">
        <w:t>other</w:t>
      </w:r>
      <w:r>
        <w:t xml:space="preserve"> </w:t>
      </w:r>
      <w:r w:rsidR="00AF6C63" w:rsidRPr="00F138B6">
        <w:t>constitutional</w:t>
      </w:r>
      <w:r>
        <w:t xml:space="preserve"> </w:t>
      </w:r>
      <w:r w:rsidR="00AF6C63" w:rsidRPr="00F138B6">
        <w:t>principles</w:t>
      </w:r>
      <w:r>
        <w:t xml:space="preserve"> </w:t>
      </w:r>
      <w:r w:rsidR="00AF6C63" w:rsidRPr="00F138B6">
        <w:t>also</w:t>
      </w:r>
      <w:r>
        <w:t xml:space="preserve"> </w:t>
      </w:r>
      <w:r w:rsidR="00AF6C63" w:rsidRPr="00F138B6">
        <w:t>support</w:t>
      </w:r>
      <w:r>
        <w:t xml:space="preserve"> </w:t>
      </w:r>
      <w:r w:rsidR="00AF6C63" w:rsidRPr="00F138B6">
        <w:t>the</w:t>
      </w:r>
      <w:r>
        <w:t xml:space="preserve"> </w:t>
      </w:r>
      <w:r w:rsidR="00AF6C63" w:rsidRPr="00F138B6">
        <w:t>refusal</w:t>
      </w:r>
      <w:r>
        <w:t xml:space="preserve"> </w:t>
      </w:r>
      <w:r w:rsidR="00AF6C63" w:rsidRPr="00F138B6">
        <w:t>to</w:t>
      </w:r>
      <w:r>
        <w:t xml:space="preserve"> </w:t>
      </w:r>
      <w:r w:rsidR="00AF6C63" w:rsidRPr="00F138B6">
        <w:t>issue</w:t>
      </w:r>
      <w:r>
        <w:t xml:space="preserve"> </w:t>
      </w:r>
      <w:r w:rsidR="00AF6C63" w:rsidRPr="00F138B6">
        <w:t>nationwide</w:t>
      </w:r>
      <w:r>
        <w:t xml:space="preserve"> </w:t>
      </w:r>
      <w:r w:rsidR="00AF6C63" w:rsidRPr="00F138B6">
        <w:t>injunctions.</w:t>
      </w:r>
      <w:r w:rsidRPr="00F138B6">
        <w:rPr>
          <w:vertAlign w:val="superscript"/>
        </w:rPr>
        <w:footnoteReference w:id="32"/>
      </w:r>
      <w:r>
        <w:t xml:space="preserve"> </w:t>
      </w:r>
      <w:r w:rsidR="00AF6C63" w:rsidRPr="00F138B6">
        <w:t>In</w:t>
      </w:r>
      <w:r>
        <w:t xml:space="preserve"> </w:t>
      </w:r>
      <w:r w:rsidR="00AF6C63" w:rsidRPr="00F138B6">
        <w:t>various</w:t>
      </w:r>
      <w:r>
        <w:t xml:space="preserve"> </w:t>
      </w:r>
      <w:r w:rsidR="00AF6C63" w:rsidRPr="00F138B6">
        <w:t>cases</w:t>
      </w:r>
      <w:r>
        <w:t xml:space="preserve"> </w:t>
      </w:r>
      <w:r w:rsidR="00AF6C63" w:rsidRPr="00F138B6">
        <w:t>discussing</w:t>
      </w:r>
      <w:r>
        <w:t xml:space="preserve"> </w:t>
      </w:r>
      <w:r w:rsidR="00AF6C63" w:rsidRPr="00F138B6">
        <w:t>personal</w:t>
      </w:r>
      <w:r>
        <w:t xml:space="preserve"> </w:t>
      </w:r>
      <w:r w:rsidR="00AF6C63" w:rsidRPr="00F138B6">
        <w:t>jurisdiction,</w:t>
      </w:r>
      <w:r>
        <w:t xml:space="preserve"> </w:t>
      </w:r>
      <w:r w:rsidR="00AF6C63" w:rsidRPr="00F138B6">
        <w:t>the</w:t>
      </w:r>
      <w:r>
        <w:t xml:space="preserve"> </w:t>
      </w:r>
      <w:r w:rsidR="00AF6C63" w:rsidRPr="00F138B6">
        <w:t>Supreme</w:t>
      </w:r>
      <w:r>
        <w:t xml:space="preserve"> </w:t>
      </w:r>
      <w:r w:rsidR="00AF6C63" w:rsidRPr="00F138B6">
        <w:t>Court</w:t>
      </w:r>
      <w:r>
        <w:t xml:space="preserve"> </w:t>
      </w:r>
      <w:r w:rsidR="00AF6C63" w:rsidRPr="00F138B6">
        <w:t>has</w:t>
      </w:r>
      <w:r>
        <w:t xml:space="preserve"> </w:t>
      </w:r>
      <w:r w:rsidR="00AF6C63" w:rsidRPr="00F138B6">
        <w:t>indicated</w:t>
      </w:r>
      <w:r>
        <w:t xml:space="preserve"> </w:t>
      </w:r>
      <w:r w:rsidR="00AF6C63" w:rsidRPr="00F138B6">
        <w:t>that</w:t>
      </w:r>
      <w:r>
        <w:t xml:space="preserve"> </w:t>
      </w:r>
      <w:r w:rsidR="00AF6C63" w:rsidRPr="00F138B6">
        <w:t>interstate</w:t>
      </w:r>
      <w:r>
        <w:t xml:space="preserve"> </w:t>
      </w:r>
      <w:r w:rsidR="00AF6C63" w:rsidRPr="00F138B6">
        <w:t>territorial</w:t>
      </w:r>
      <w:r>
        <w:t xml:space="preserve"> </w:t>
      </w:r>
      <w:r w:rsidR="00AF6C63" w:rsidRPr="00F138B6">
        <w:t>concerns</w:t>
      </w:r>
      <w:r>
        <w:t xml:space="preserve"> </w:t>
      </w:r>
      <w:r w:rsidR="00AF6C63" w:rsidRPr="00F138B6">
        <w:t>may</w:t>
      </w:r>
      <w:r>
        <w:t xml:space="preserve"> </w:t>
      </w:r>
      <w:r w:rsidR="00AF6C63" w:rsidRPr="00F138B6">
        <w:t>limit</w:t>
      </w:r>
      <w:r>
        <w:t xml:space="preserve"> </w:t>
      </w:r>
      <w:r w:rsidR="00AF6C63" w:rsidRPr="00F138B6">
        <w:t>the</w:t>
      </w:r>
      <w:r>
        <w:t xml:space="preserve"> </w:t>
      </w:r>
      <w:r w:rsidR="00AF6C63" w:rsidRPr="00F138B6">
        <w:t>ability</w:t>
      </w:r>
      <w:r>
        <w:t xml:space="preserve"> </w:t>
      </w:r>
      <w:r w:rsidR="00AF6C63" w:rsidRPr="00F138B6">
        <w:t>of</w:t>
      </w:r>
      <w:r>
        <w:t xml:space="preserve"> </w:t>
      </w:r>
      <w:r w:rsidR="00AF6C63" w:rsidRPr="00F138B6">
        <w:t>state</w:t>
      </w:r>
      <w:r>
        <w:t xml:space="preserve"> </w:t>
      </w:r>
      <w:r w:rsidR="00AF6C63" w:rsidRPr="00F138B6">
        <w:t>courts</w:t>
      </w:r>
      <w:r>
        <w:t xml:space="preserve"> </w:t>
      </w:r>
      <w:r w:rsidR="00AF6C63" w:rsidRPr="00F138B6">
        <w:t>to</w:t>
      </w:r>
      <w:r>
        <w:t xml:space="preserve"> </w:t>
      </w:r>
      <w:r w:rsidR="00AF6C63" w:rsidRPr="00F138B6">
        <w:t>impose</w:t>
      </w:r>
      <w:r>
        <w:t xml:space="preserve"> </w:t>
      </w:r>
      <w:r w:rsidR="00AF6C63" w:rsidRPr="00F138B6">
        <w:t>their</w:t>
      </w:r>
      <w:r>
        <w:t xml:space="preserve"> </w:t>
      </w:r>
      <w:r w:rsidR="00AF6C63" w:rsidRPr="00F138B6">
        <w:t>authority</w:t>
      </w:r>
      <w:r>
        <w:t xml:space="preserve"> </w:t>
      </w:r>
      <w:r w:rsidR="00AF6C63" w:rsidRPr="00F138B6">
        <w:t>on</w:t>
      </w:r>
      <w:r>
        <w:t xml:space="preserve"> </w:t>
      </w:r>
      <w:r w:rsidR="00AF6C63" w:rsidRPr="00F138B6">
        <w:t>out-of-state</w:t>
      </w:r>
      <w:r>
        <w:t xml:space="preserve"> </w:t>
      </w:r>
      <w:r w:rsidR="00AF6C63" w:rsidRPr="00F138B6">
        <w:t>defendants.</w:t>
      </w:r>
      <w:r w:rsidRPr="00F138B6">
        <w:rPr>
          <w:vertAlign w:val="superscript"/>
        </w:rPr>
        <w:footnoteReference w:id="33"/>
      </w:r>
      <w:r>
        <w:t xml:space="preserve"> </w:t>
      </w:r>
      <w:r w:rsidR="00AF6C63" w:rsidRPr="00F138B6">
        <w:t>There</w:t>
      </w:r>
      <w:r>
        <w:t xml:space="preserve"> </w:t>
      </w:r>
      <w:r w:rsidR="00AF6C63" w:rsidRPr="00F138B6">
        <w:t>are</w:t>
      </w:r>
      <w:r>
        <w:t xml:space="preserve"> </w:t>
      </w:r>
      <w:r w:rsidR="00AF6C63" w:rsidRPr="00F138B6">
        <w:t>also</w:t>
      </w:r>
      <w:r>
        <w:t xml:space="preserve"> </w:t>
      </w:r>
      <w:r w:rsidR="00AF6C63" w:rsidRPr="00F138B6">
        <w:t>statements</w:t>
      </w:r>
      <w:r>
        <w:t xml:space="preserve"> </w:t>
      </w:r>
      <w:r w:rsidR="00AF6C63" w:rsidRPr="00F138B6">
        <w:t>in</w:t>
      </w:r>
      <w:r>
        <w:t xml:space="preserve"> </w:t>
      </w:r>
      <w:r w:rsidR="00AF6C63" w:rsidRPr="00F138B6">
        <w:t>intellectual</w:t>
      </w:r>
      <w:r>
        <w:t xml:space="preserve"> </w:t>
      </w:r>
      <w:r w:rsidR="00AF6C63" w:rsidRPr="00F138B6">
        <w:t>property</w:t>
      </w:r>
      <w:r>
        <w:t xml:space="preserve"> </w:t>
      </w:r>
      <w:r w:rsidR="00AF6C63" w:rsidRPr="00F138B6">
        <w:t>cases</w:t>
      </w:r>
      <w:r>
        <w:t xml:space="preserve"> </w:t>
      </w:r>
      <w:r w:rsidR="00AF6C63" w:rsidRPr="00F138B6">
        <w:t>indicating</w:t>
      </w:r>
      <w:r>
        <w:t xml:space="preserve"> </w:t>
      </w:r>
      <w:r w:rsidR="00AF6C63" w:rsidRPr="00F138B6">
        <w:t>the</w:t>
      </w:r>
      <w:r>
        <w:t xml:space="preserve"> </w:t>
      </w:r>
      <w:r w:rsidR="00AF6C63" w:rsidRPr="00F138B6">
        <w:t>Court’s</w:t>
      </w:r>
      <w:r>
        <w:t xml:space="preserve"> </w:t>
      </w:r>
      <w:r w:rsidR="00AF6C63" w:rsidRPr="00F138B6">
        <w:t>understanding</w:t>
      </w:r>
      <w:r>
        <w:t xml:space="preserve"> </w:t>
      </w:r>
      <w:r w:rsidR="00AF6C63" w:rsidRPr="00F138B6">
        <w:t>that</w:t>
      </w:r>
      <w:r>
        <w:t xml:space="preserve"> </w:t>
      </w:r>
      <w:r w:rsidR="00AF6C63" w:rsidRPr="00F138B6">
        <w:t>state</w:t>
      </w:r>
      <w:r>
        <w:t xml:space="preserve"> </w:t>
      </w:r>
      <w:r w:rsidR="00AF6C63" w:rsidRPr="00F138B6">
        <w:t>regulation</w:t>
      </w:r>
      <w:r>
        <w:t xml:space="preserve"> </w:t>
      </w:r>
      <w:r w:rsidR="00AF6C63" w:rsidRPr="00F138B6">
        <w:t>ends</w:t>
      </w:r>
      <w:r>
        <w:t xml:space="preserve"> </w:t>
      </w:r>
      <w:r w:rsidR="00AF6C63" w:rsidRPr="00F138B6">
        <w:t>at</w:t>
      </w:r>
      <w:r>
        <w:t xml:space="preserve"> </w:t>
      </w:r>
      <w:r w:rsidR="00AF6C63" w:rsidRPr="00F138B6">
        <w:t>the</w:t>
      </w:r>
      <w:r>
        <w:t xml:space="preserve"> </w:t>
      </w:r>
      <w:r w:rsidR="00AF6C63" w:rsidRPr="00F138B6">
        <w:t>state</w:t>
      </w:r>
      <w:r>
        <w:t xml:space="preserve"> </w:t>
      </w:r>
      <w:r w:rsidR="00AF6C63" w:rsidRPr="00F138B6">
        <w:t>line.</w:t>
      </w:r>
      <w:r w:rsidRPr="00F138B6">
        <w:rPr>
          <w:vertAlign w:val="superscript"/>
        </w:rPr>
        <w:footnoteReference w:id="34"/>
      </w:r>
      <w:r>
        <w:t xml:space="preserve"> </w:t>
      </w:r>
      <w:r w:rsidR="00AF6C63" w:rsidRPr="00F138B6">
        <w:t>In</w:t>
      </w:r>
      <w:r>
        <w:t xml:space="preserve"> </w:t>
      </w:r>
      <w:r w:rsidR="00AF6C63" w:rsidRPr="00F138B6">
        <w:t>short,</w:t>
      </w:r>
      <w:r>
        <w:t xml:space="preserve"> </w:t>
      </w:r>
      <w:r w:rsidR="00AF6C63" w:rsidRPr="00F138B6">
        <w:t>cogent</w:t>
      </w:r>
      <w:r>
        <w:t xml:space="preserve"> </w:t>
      </w:r>
      <w:r w:rsidR="00AF6C63" w:rsidRPr="00F138B6">
        <w:t>arguments</w:t>
      </w:r>
      <w:r>
        <w:t xml:space="preserve"> </w:t>
      </w:r>
      <w:r w:rsidR="00AF6C63" w:rsidRPr="00F138B6">
        <w:t>can</w:t>
      </w:r>
      <w:r>
        <w:t xml:space="preserve"> </w:t>
      </w:r>
      <w:r w:rsidR="00AF6C63" w:rsidRPr="00F138B6">
        <w:t>be</w:t>
      </w:r>
      <w:r>
        <w:t xml:space="preserve"> </w:t>
      </w:r>
      <w:r w:rsidR="00AF6C63" w:rsidRPr="00F138B6">
        <w:t>made</w:t>
      </w:r>
      <w:r>
        <w:t xml:space="preserve"> </w:t>
      </w:r>
      <w:r w:rsidR="00AF6C63" w:rsidRPr="00F138B6">
        <w:t>that</w:t>
      </w:r>
      <w:r>
        <w:t xml:space="preserve"> </w:t>
      </w:r>
      <w:r w:rsidR="00AF6C63" w:rsidRPr="00F138B6">
        <w:t>states</w:t>
      </w:r>
      <w:r>
        <w:t xml:space="preserve"> </w:t>
      </w:r>
      <w:r w:rsidR="00AF6C63" w:rsidRPr="00F138B6">
        <w:t>are</w:t>
      </w:r>
      <w:r>
        <w:t xml:space="preserve"> </w:t>
      </w:r>
      <w:r w:rsidR="00AF6C63" w:rsidRPr="00F138B6">
        <w:t>without</w:t>
      </w:r>
      <w:r>
        <w:t xml:space="preserve"> </w:t>
      </w:r>
      <w:r w:rsidR="00AF6C63" w:rsidRPr="00F138B6">
        <w:t>authority</w:t>
      </w:r>
      <w:r>
        <w:t xml:space="preserve"> </w:t>
      </w:r>
      <w:r w:rsidR="00AF6C63" w:rsidRPr="00F138B6">
        <w:t>to</w:t>
      </w:r>
      <w:r>
        <w:t xml:space="preserve"> </w:t>
      </w:r>
      <w:r w:rsidR="00AF6C63" w:rsidRPr="00F138B6">
        <w:t>use</w:t>
      </w:r>
      <w:r>
        <w:t xml:space="preserve"> </w:t>
      </w:r>
      <w:r w:rsidR="00AF6C63" w:rsidRPr="00F138B6">
        <w:t>their</w:t>
      </w:r>
      <w:r>
        <w:t xml:space="preserve"> </w:t>
      </w:r>
      <w:r w:rsidR="00AF6C63" w:rsidRPr="00F138B6">
        <w:t>dilution</w:t>
      </w:r>
      <w:r>
        <w:t xml:space="preserve"> </w:t>
      </w:r>
      <w:r w:rsidR="00AF6C63" w:rsidRPr="00F138B6">
        <w:t>laws</w:t>
      </w:r>
      <w:r>
        <w:t xml:space="preserve"> </w:t>
      </w:r>
      <w:r w:rsidR="00AF6C63" w:rsidRPr="00F138B6">
        <w:t>to</w:t>
      </w:r>
      <w:r>
        <w:t xml:space="preserve"> </w:t>
      </w:r>
      <w:r w:rsidR="00AF6C63" w:rsidRPr="00F138B6">
        <w:t>regulate</w:t>
      </w:r>
      <w:r>
        <w:t xml:space="preserve"> </w:t>
      </w:r>
      <w:r w:rsidR="00AF6C63" w:rsidRPr="00F138B6">
        <w:t>activity</w:t>
      </w:r>
      <w:r>
        <w:t xml:space="preserve"> </w:t>
      </w:r>
      <w:r w:rsidR="00AF6C63" w:rsidRPr="00F138B6">
        <w:t>occurring</w:t>
      </w:r>
      <w:r>
        <w:t xml:space="preserve"> </w:t>
      </w:r>
      <w:r w:rsidR="00AF6C63" w:rsidRPr="00F138B6">
        <w:t>wholly</w:t>
      </w:r>
      <w:r>
        <w:t xml:space="preserve"> </w:t>
      </w:r>
      <w:r w:rsidR="00AF6C63" w:rsidRPr="00F138B6">
        <w:t>outside</w:t>
      </w:r>
      <w:r>
        <w:t xml:space="preserve"> </w:t>
      </w:r>
      <w:r w:rsidR="00AF6C63" w:rsidRPr="00F138B6">
        <w:t>their</w:t>
      </w:r>
      <w:r>
        <w:t xml:space="preserve"> </w:t>
      </w:r>
      <w:r w:rsidR="00AF6C63" w:rsidRPr="00F138B6">
        <w:t>borders,</w:t>
      </w:r>
      <w:r>
        <w:t xml:space="preserve"> </w:t>
      </w:r>
      <w:r w:rsidR="00AF6C63" w:rsidRPr="00F138B6">
        <w:t>particularly</w:t>
      </w:r>
      <w:r>
        <w:t xml:space="preserve"> </w:t>
      </w:r>
      <w:r w:rsidR="00AF6C63" w:rsidRPr="00F138B6">
        <w:t>where</w:t>
      </w:r>
      <w:r>
        <w:t xml:space="preserve"> </w:t>
      </w:r>
      <w:r w:rsidR="00AF6C63" w:rsidRPr="00F138B6">
        <w:t>other</w:t>
      </w:r>
      <w:r>
        <w:t xml:space="preserve"> </w:t>
      </w:r>
      <w:r w:rsidR="00AF6C63" w:rsidRPr="00F138B6">
        <w:t>states</w:t>
      </w:r>
      <w:r>
        <w:t xml:space="preserve"> </w:t>
      </w:r>
      <w:r w:rsidR="00AF6C63" w:rsidRPr="00F138B6">
        <w:t>do</w:t>
      </w:r>
      <w:r>
        <w:t xml:space="preserve"> </w:t>
      </w:r>
      <w:r w:rsidR="00AF6C63" w:rsidRPr="00F138B6">
        <w:t>not</w:t>
      </w:r>
      <w:r>
        <w:t xml:space="preserve"> </w:t>
      </w:r>
      <w:r w:rsidR="00AF6C63" w:rsidRPr="00F138B6">
        <w:t>choose</w:t>
      </w:r>
      <w:r>
        <w:t xml:space="preserve"> </w:t>
      </w:r>
      <w:r w:rsidR="00AF6C63" w:rsidRPr="00F138B6">
        <w:t>to</w:t>
      </w:r>
      <w:r>
        <w:t xml:space="preserve"> </w:t>
      </w:r>
      <w:r w:rsidR="00AF6C63" w:rsidRPr="00F138B6">
        <w:t>prohibit</w:t>
      </w:r>
      <w:r>
        <w:t xml:space="preserve"> </w:t>
      </w:r>
      <w:r w:rsidR="00AF6C63" w:rsidRPr="00F138B6">
        <w:t>the</w:t>
      </w:r>
      <w:r>
        <w:t xml:space="preserve"> </w:t>
      </w:r>
      <w:r w:rsidR="00AF6C63" w:rsidRPr="00F138B6">
        <w:t>same</w:t>
      </w:r>
      <w:r>
        <w:t xml:space="preserve"> </w:t>
      </w:r>
      <w:r w:rsidR="00AF6C63" w:rsidRPr="00F138B6">
        <w:t>activity.</w:t>
      </w:r>
    </w:p>
    <w:p w14:paraId="5C013E91" w14:textId="4E0FEAB7" w:rsidR="00F138B6" w:rsidRPr="00F138B6" w:rsidRDefault="00AF6C63" w:rsidP="00F138B6">
      <w:pPr>
        <w:pStyle w:val="BNormal"/>
      </w:pPr>
      <w:r w:rsidRPr="00F138B6">
        <w:t>Another</w:t>
      </w:r>
      <w:r w:rsidR="00F138B6">
        <w:t xml:space="preserve"> </w:t>
      </w:r>
      <w:r w:rsidRPr="00F138B6">
        <w:t>basis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limiting</w:t>
      </w:r>
      <w:r w:rsidR="00F138B6">
        <w:t xml:space="preserve"> </w:t>
      </w:r>
      <w:r w:rsidRPr="00F138B6">
        <w:t>injunctions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suggested</w:t>
      </w:r>
      <w:r w:rsidR="00F138B6">
        <w:t xml:space="preserve"> </w:t>
      </w:r>
      <w:r w:rsidRPr="00F138B6">
        <w:t>by</w:t>
      </w:r>
      <w:r w:rsidR="00F138B6">
        <w:t xml:space="preserve"> </w:t>
      </w:r>
      <w:r w:rsidR="00F138B6" w:rsidRPr="00F138B6">
        <w:rPr>
          <w:i/>
        </w:rPr>
        <w:t>Deere</w:t>
      </w:r>
      <w:r w:rsidR="00F138B6">
        <w:rPr>
          <w:i/>
        </w:rPr>
        <w:t xml:space="preserve"> </w:t>
      </w:r>
      <w:r w:rsidR="00F138B6" w:rsidRPr="00F138B6">
        <w:rPr>
          <w:i/>
        </w:rPr>
        <w:t>&amp;</w:t>
      </w:r>
      <w:r w:rsidR="00F138B6">
        <w:rPr>
          <w:i/>
        </w:rPr>
        <w:t xml:space="preserve"> </w:t>
      </w:r>
      <w:r w:rsidR="00F138B6" w:rsidRPr="00F138B6">
        <w:rPr>
          <w:i/>
        </w:rPr>
        <w:t>Co</w:t>
      </w:r>
      <w:r w:rsidR="00F138B6" w:rsidRPr="00F138B6">
        <w:t>.</w:t>
      </w:r>
      <w:r w:rsidR="00F138B6">
        <w:t xml:space="preserve"> </w:t>
      </w:r>
      <w:r w:rsidR="00F138B6" w:rsidRPr="00F138B6">
        <w:rPr>
          <w:i/>
        </w:rPr>
        <w:t>v</w:t>
      </w:r>
      <w:r w:rsidR="00F138B6" w:rsidRPr="00F138B6">
        <w:t>.</w:t>
      </w:r>
      <w:r w:rsidR="00F138B6">
        <w:t xml:space="preserve"> </w:t>
      </w:r>
      <w:r w:rsidR="00F138B6" w:rsidRPr="00F138B6">
        <w:rPr>
          <w:i/>
        </w:rPr>
        <w:t>MTD</w:t>
      </w:r>
      <w:r w:rsidR="00F138B6">
        <w:rPr>
          <w:i/>
        </w:rPr>
        <w:t xml:space="preserve"> </w:t>
      </w:r>
      <w:r w:rsidR="00F138B6" w:rsidRPr="00F138B6">
        <w:rPr>
          <w:i/>
        </w:rPr>
        <w:t>Products,</w:t>
      </w:r>
      <w:r w:rsidR="00F138B6">
        <w:rPr>
          <w:i/>
        </w:rPr>
        <w:t xml:space="preserve"> </w:t>
      </w:r>
      <w:r w:rsidR="00F138B6" w:rsidRPr="00F138B6">
        <w:rPr>
          <w:i/>
        </w:rPr>
        <w:t>Inc</w:t>
      </w:r>
      <w:r w:rsidRPr="00F138B6">
        <w:t>.</w:t>
      </w:r>
      <w:r w:rsidR="00F138B6" w:rsidRPr="00F138B6">
        <w:rPr>
          <w:vertAlign w:val="superscript"/>
        </w:rPr>
        <w:footnoteReference w:id="35"/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case,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in</w:t>
      </w:r>
      <w:r w:rsidR="00F138B6">
        <w:t xml:space="preserve"> </w:t>
      </w:r>
      <w:r w:rsidR="00F138B6" w:rsidRPr="00F138B6">
        <w:rPr>
          <w:i/>
        </w:rPr>
        <w:t>Hyatt</w:t>
      </w:r>
      <w:r w:rsidRPr="00F138B6">
        <w:t>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district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was</w:t>
      </w:r>
      <w:r w:rsidR="00F138B6">
        <w:t xml:space="preserve"> </w:t>
      </w:r>
      <w:r w:rsidRPr="00F138B6">
        <w:t>considering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proper</w:t>
      </w:r>
      <w:r w:rsidR="00F138B6">
        <w:t xml:space="preserve"> </w:t>
      </w:r>
      <w:r w:rsidRPr="00F138B6">
        <w:t>relief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remand</w:t>
      </w:r>
      <w:r w:rsidR="00F138B6">
        <w:t xml:space="preserve"> </w:t>
      </w:r>
      <w:r w:rsidRPr="00F138B6">
        <w:t>from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appellate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indicated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district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had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authority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issue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nationwide</w:t>
      </w:r>
      <w:r w:rsidR="00F138B6">
        <w:t xml:space="preserve"> </w:t>
      </w:r>
      <w:r w:rsidRPr="00F138B6">
        <w:t>injunction.</w:t>
      </w:r>
      <w:r w:rsidR="00F138B6" w:rsidRPr="00F138B6">
        <w:rPr>
          <w:vertAlign w:val="superscript"/>
        </w:rPr>
        <w:footnoteReference w:id="36"/>
      </w:r>
      <w:r w:rsidR="00F138B6">
        <w:t xml:space="preserve"> </w:t>
      </w:r>
      <w:r w:rsidRPr="00F138B6">
        <w:t>Rather</w:t>
      </w:r>
      <w:r w:rsidR="00F138B6">
        <w:t xml:space="preserve"> </w:t>
      </w:r>
      <w:r w:rsidRPr="00F138B6">
        <w:t>than</w:t>
      </w:r>
      <w:r w:rsidR="00F138B6">
        <w:t xml:space="preserve"> </w:t>
      </w:r>
      <w:r w:rsidRPr="00F138B6">
        <w:t>relying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constitutional</w:t>
      </w:r>
      <w:r w:rsidR="00F138B6">
        <w:t xml:space="preserve"> </w:t>
      </w:r>
      <w:r w:rsidRPr="00F138B6">
        <w:t>grounds,</w:t>
      </w:r>
      <w:r w:rsidR="00F138B6">
        <w:t xml:space="preserve"> </w:t>
      </w:r>
      <w:r w:rsidRPr="00F138B6">
        <w:t>however,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district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looked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comity</w:t>
      </w:r>
      <w:r w:rsidR="00F138B6">
        <w:t xml:space="preserve"> </w:t>
      </w:r>
      <w:r w:rsidRPr="00F138B6">
        <w:t>interests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found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they</w:t>
      </w:r>
      <w:r w:rsidR="00F138B6">
        <w:t xml:space="preserve"> </w:t>
      </w:r>
      <w:r w:rsidRPr="00F138B6">
        <w:t>“strongly</w:t>
      </w:r>
      <w:r w:rsidR="00F138B6">
        <w:t xml:space="preserve"> </w:t>
      </w:r>
      <w:r w:rsidRPr="00F138B6">
        <w:t>favor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limited</w:t>
      </w:r>
      <w:r w:rsidR="00F138B6">
        <w:t xml:space="preserve"> </w:t>
      </w:r>
      <w:r w:rsidRPr="00F138B6">
        <w:t>injunction.”</w:t>
      </w:r>
      <w:r w:rsidR="00F138B6" w:rsidRPr="00F138B6">
        <w:rPr>
          <w:vertAlign w:val="superscript"/>
        </w:rPr>
        <w:footnoteReference w:id="37"/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noted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at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time,</w:t>
      </w:r>
      <w:r w:rsidR="00F138B6">
        <w:t xml:space="preserve"> </w:t>
      </w:r>
      <w:r w:rsidRPr="00F138B6">
        <w:t>only</w:t>
      </w:r>
      <w:r w:rsidR="00F138B6">
        <w:t xml:space="preserve"> </w:t>
      </w:r>
      <w:r w:rsidRPr="00F138B6">
        <w:t>about</w:t>
      </w:r>
      <w:r w:rsidR="00F138B6">
        <w:t xml:space="preserve"> </w:t>
      </w:r>
      <w:r w:rsidRPr="00F138B6">
        <w:t>half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states</w:t>
      </w:r>
      <w:r w:rsidR="00F138B6">
        <w:t xml:space="preserve"> </w:t>
      </w:r>
      <w:r w:rsidRPr="00F138B6">
        <w:t>had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defendant’s</w:t>
      </w:r>
      <w:r w:rsidR="00F138B6">
        <w:t xml:space="preserve"> </w:t>
      </w:r>
      <w:r w:rsidRPr="00F138B6">
        <w:t>home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Ohio</w:t>
      </w:r>
      <w:r w:rsidR="00F138B6">
        <w:t xml:space="preserve"> </w:t>
      </w:r>
      <w:r w:rsidRPr="00F138B6">
        <w:t>lacked</w:t>
      </w:r>
      <w:r w:rsidR="00F138B6">
        <w:t xml:space="preserve"> </w:t>
      </w:r>
      <w:r w:rsidRPr="00F138B6">
        <w:t>one.</w:t>
      </w:r>
      <w:r w:rsidR="00F138B6" w:rsidRPr="00F138B6">
        <w:rPr>
          <w:vertAlign w:val="superscript"/>
        </w:rPr>
        <w:footnoteReference w:id="38"/>
      </w:r>
      <w:r w:rsidR="00F138B6">
        <w:t xml:space="preserve"> </w:t>
      </w:r>
      <w:r w:rsidRPr="00F138B6">
        <w:t>Moreover,</w:t>
      </w:r>
      <w:r w:rsidR="00F138B6">
        <w:t xml:space="preserve"> </w:t>
      </w:r>
      <w:r w:rsidRPr="00F138B6">
        <w:t>neither</w:t>
      </w:r>
      <w:r w:rsidR="00F138B6">
        <w:t xml:space="preserve"> </w:t>
      </w:r>
      <w:r w:rsidRPr="00F138B6">
        <w:t>party</w:t>
      </w:r>
      <w:r w:rsidR="00F138B6">
        <w:t xml:space="preserve"> </w:t>
      </w:r>
      <w:r w:rsidRPr="00F138B6">
        <w:t>was</w:t>
      </w:r>
      <w:r w:rsidR="00F138B6">
        <w:t xml:space="preserve"> </w:t>
      </w:r>
      <w:r w:rsidRPr="00F138B6">
        <w:t>based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New</w:t>
      </w:r>
      <w:r w:rsidR="00F138B6">
        <w:t xml:space="preserve"> </w:t>
      </w:r>
      <w:r w:rsidRPr="00F138B6">
        <w:t>York,</w:t>
      </w:r>
      <w:r w:rsidR="00F138B6">
        <w:t xml:space="preserve"> </w:t>
      </w:r>
      <w:r w:rsidRPr="00F138B6">
        <w:t>meaning</w:t>
      </w:r>
      <w:r w:rsidR="00F138B6">
        <w:t xml:space="preserve"> </w:t>
      </w:r>
      <w:r w:rsidRPr="00F138B6">
        <w:t>New</w:t>
      </w:r>
      <w:r w:rsidR="00F138B6">
        <w:t xml:space="preserve"> </w:t>
      </w:r>
      <w:r w:rsidRPr="00F138B6">
        <w:lastRenderedPageBreak/>
        <w:t>York</w:t>
      </w:r>
      <w:r w:rsidR="00F138B6">
        <w:t xml:space="preserve"> </w:t>
      </w:r>
      <w:r w:rsidRPr="00F138B6">
        <w:t>law</w:t>
      </w:r>
      <w:r w:rsidR="00F138B6">
        <w:t xml:space="preserve"> </w:t>
      </w:r>
      <w:r w:rsidRPr="00F138B6">
        <w:t>was</w:t>
      </w:r>
      <w:r w:rsidR="00F138B6">
        <w:t xml:space="preserve"> </w:t>
      </w:r>
      <w:r w:rsidRPr="00F138B6">
        <w:t>being</w:t>
      </w:r>
      <w:r w:rsidR="00F138B6">
        <w:t xml:space="preserve"> </w:t>
      </w:r>
      <w:r w:rsidRPr="00F138B6">
        <w:t>used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protect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nonlocal</w:t>
      </w:r>
      <w:r w:rsidR="00F138B6">
        <w:t xml:space="preserve"> </w:t>
      </w:r>
      <w:r w:rsidRPr="00F138B6">
        <w:t>citizen.</w:t>
      </w:r>
      <w:r w:rsidR="00F138B6" w:rsidRPr="00F138B6">
        <w:rPr>
          <w:vertAlign w:val="superscript"/>
        </w:rPr>
        <w:footnoteReference w:id="39"/>
      </w:r>
      <w:r w:rsidR="00F138B6">
        <w:t xml:space="preserve"> </w:t>
      </w:r>
      <w:r w:rsidRPr="00F138B6">
        <w:t>Finally,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cited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breadth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relative</w:t>
      </w:r>
      <w:r w:rsidR="00F138B6">
        <w:t xml:space="preserve"> </w:t>
      </w:r>
      <w:r w:rsidRPr="00F138B6">
        <w:t>novelty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legal</w:t>
      </w:r>
      <w:r w:rsidR="00F138B6">
        <w:t xml:space="preserve"> </w:t>
      </w:r>
      <w:r w:rsidRPr="00F138B6">
        <w:t>theory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factors</w:t>
      </w:r>
      <w:r w:rsidR="00F138B6">
        <w:t xml:space="preserve"> </w:t>
      </w:r>
      <w:r w:rsidRPr="00F138B6">
        <w:t>weighing</w:t>
      </w:r>
      <w:r w:rsidR="00F138B6">
        <w:t xml:space="preserve"> </w:t>
      </w:r>
      <w:r w:rsidRPr="00F138B6">
        <w:t>against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nationwide</w:t>
      </w:r>
      <w:r w:rsidR="00F138B6">
        <w:t xml:space="preserve"> </w:t>
      </w:r>
      <w:r w:rsidRPr="00F138B6">
        <w:t>injunction.</w:t>
      </w:r>
      <w:r w:rsidR="00F138B6" w:rsidRPr="00F138B6">
        <w:rPr>
          <w:vertAlign w:val="superscript"/>
        </w:rPr>
        <w:footnoteReference w:id="40"/>
      </w:r>
      <w:r w:rsidR="00F138B6">
        <w:t xml:space="preserve"> </w:t>
      </w:r>
      <w:r w:rsidRPr="00F138B6">
        <w:t>Another</w:t>
      </w:r>
      <w:r w:rsidR="00F138B6">
        <w:t xml:space="preserve"> </w:t>
      </w:r>
      <w:r w:rsidRPr="00F138B6">
        <w:t>New</w:t>
      </w:r>
      <w:r w:rsidR="00F138B6">
        <w:t xml:space="preserve"> </w:t>
      </w:r>
      <w:r w:rsidRPr="00F138B6">
        <w:t>York</w:t>
      </w:r>
      <w:r w:rsidR="00F138B6">
        <w:t xml:space="preserve"> </w:t>
      </w:r>
      <w:r w:rsidRPr="00F138B6">
        <w:t>case</w:t>
      </w:r>
      <w:r w:rsidR="00F138B6">
        <w:t xml:space="preserve"> </w:t>
      </w:r>
      <w:r w:rsidRPr="00F138B6">
        <w:t>indicated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relief</w:t>
      </w:r>
      <w:r w:rsidR="00F138B6">
        <w:t xml:space="preserve"> </w:t>
      </w:r>
      <w:r w:rsidRPr="00F138B6">
        <w:t>beyond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borders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New</w:t>
      </w:r>
      <w:r w:rsidR="00F138B6">
        <w:t xml:space="preserve"> </w:t>
      </w:r>
      <w:r w:rsidRPr="00F138B6">
        <w:t>York</w:t>
      </w:r>
      <w:r w:rsidR="00F138B6">
        <w:t xml:space="preserve"> </w:t>
      </w:r>
      <w:r w:rsidRPr="00F138B6">
        <w:t>would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unavailable,</w:t>
      </w:r>
      <w:r w:rsidR="00F138B6">
        <w:t xml:space="preserve"> </w:t>
      </w:r>
      <w:r w:rsidRPr="00F138B6">
        <w:t>but</w:t>
      </w:r>
      <w:r w:rsidR="00F138B6">
        <w:t xml:space="preserve"> </w:t>
      </w:r>
      <w:r w:rsidRPr="00F138B6">
        <w:t>did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reason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its</w:t>
      </w:r>
      <w:r w:rsidR="00F138B6">
        <w:t xml:space="preserve"> </w:t>
      </w:r>
      <w:r w:rsidRPr="00F138B6">
        <w:t>conclusion.</w:t>
      </w:r>
      <w:r w:rsidR="00F138B6" w:rsidRPr="00F138B6">
        <w:rPr>
          <w:vertAlign w:val="superscript"/>
        </w:rPr>
        <w:footnoteReference w:id="41"/>
      </w:r>
    </w:p>
    <w:p w14:paraId="054DAA43" w14:textId="63CB5EB3" w:rsidR="00F138B6" w:rsidRPr="00F138B6" w:rsidRDefault="00AF6C63" w:rsidP="00F138B6">
      <w:pPr>
        <w:pStyle w:val="BNormal"/>
      </w:pPr>
      <w:r w:rsidRPr="00F138B6">
        <w:t>A</w:t>
      </w:r>
      <w:r w:rsidR="00F138B6">
        <w:t xml:space="preserve"> </w:t>
      </w:r>
      <w:r w:rsidRPr="00F138B6">
        <w:t>Texas</w:t>
      </w:r>
      <w:r w:rsidR="00F138B6">
        <w:t xml:space="preserve"> </w:t>
      </w:r>
      <w:r w:rsidRPr="00F138B6">
        <w:t>federal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issued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nationwide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against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Canadian</w:t>
      </w:r>
      <w:r w:rsidR="00F138B6">
        <w:t xml:space="preserve"> </w:t>
      </w:r>
      <w:r w:rsidRPr="00F138B6">
        <w:t>company</w:t>
      </w:r>
      <w:r w:rsidR="00F138B6">
        <w:t xml:space="preserve"> </w:t>
      </w:r>
      <w:r w:rsidRPr="00F138B6">
        <w:t>based</w:t>
      </w:r>
      <w:r w:rsidR="00F138B6">
        <w:t xml:space="preserve"> </w:t>
      </w:r>
      <w:r w:rsidRPr="00F138B6">
        <w:t>solely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violations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Texas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law.</w:t>
      </w:r>
      <w:r w:rsidR="00F138B6" w:rsidRPr="00F138B6">
        <w:rPr>
          <w:vertAlign w:val="superscript"/>
        </w:rPr>
        <w:footnoteReference w:id="42"/>
      </w:r>
      <w:r w:rsidR="00F138B6">
        <w:t xml:space="preserve"> </w:t>
      </w:r>
      <w:r w:rsidRPr="00F138B6">
        <w:t>Several</w:t>
      </w:r>
      <w:r w:rsidR="00F138B6">
        <w:t xml:space="preserve"> </w:t>
      </w:r>
      <w:r w:rsidRPr="00F138B6">
        <w:t>aspects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case</w:t>
      </w:r>
      <w:r w:rsidR="00F138B6">
        <w:t xml:space="preserve"> </w:t>
      </w:r>
      <w:r w:rsidRPr="00F138B6">
        <w:t>were</w:t>
      </w:r>
      <w:r w:rsidR="00F138B6">
        <w:t xml:space="preserve"> </w:t>
      </w:r>
      <w:r w:rsidRPr="00F138B6">
        <w:t>noteworthy</w:t>
      </w:r>
      <w:r w:rsidR="00F138B6" w:rsidRPr="00F138B6">
        <w:t>.</w:t>
      </w:r>
      <w:r w:rsidR="00F138B6">
        <w:t xml:space="preserve"> </w:t>
      </w:r>
      <w:r w:rsidR="00F138B6" w:rsidRPr="00F138B6">
        <w:t>F</w:t>
      </w:r>
      <w:r w:rsidRPr="00F138B6">
        <w:t>irst,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acted</w:t>
      </w:r>
      <w:r w:rsidR="00F138B6">
        <w:t xml:space="preserve"> </w:t>
      </w:r>
      <w:r w:rsidRPr="00F138B6">
        <w:t>nationally,</w:t>
      </w:r>
      <w:r w:rsidR="00F138B6">
        <w:t xml:space="preserve"> </w:t>
      </w:r>
      <w:r w:rsidRPr="00F138B6">
        <w:t>although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plaintiff</w:t>
      </w:r>
      <w:r w:rsidR="00F138B6">
        <w:t xml:space="preserve"> </w:t>
      </w:r>
      <w:r w:rsidRPr="00F138B6">
        <w:t>operated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only</w:t>
      </w:r>
      <w:r w:rsidR="00F138B6">
        <w:t xml:space="preserve"> </w:t>
      </w:r>
      <w:r w:rsidRPr="00F138B6">
        <w:t>seven</w:t>
      </w:r>
      <w:r w:rsidR="00F138B6">
        <w:t xml:space="preserve"> </w:t>
      </w:r>
      <w:r w:rsidRPr="00F138B6">
        <w:t>states.</w:t>
      </w:r>
      <w:r w:rsidR="00F138B6" w:rsidRPr="00F138B6">
        <w:rPr>
          <w:vertAlign w:val="superscript"/>
        </w:rPr>
        <w:footnoteReference w:id="43"/>
      </w:r>
      <w:r w:rsidR="00F138B6">
        <w:t xml:space="preserve"> </w:t>
      </w:r>
      <w:r w:rsidRPr="00F138B6">
        <w:t>Although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acknowledged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“complex</w:t>
      </w:r>
      <w:r w:rsidR="00F138B6">
        <w:t xml:space="preserve"> </w:t>
      </w:r>
      <w:r w:rsidRPr="00F138B6">
        <w:t>choice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law</w:t>
      </w:r>
      <w:r w:rsidR="00F138B6">
        <w:t xml:space="preserve"> </w:t>
      </w:r>
      <w:r w:rsidRPr="00F138B6">
        <w:t>issues”</w:t>
      </w:r>
      <w:r w:rsidR="00F138B6">
        <w:t xml:space="preserve"> </w:t>
      </w:r>
      <w:r w:rsidRPr="00F138B6">
        <w:t>raised</w:t>
      </w:r>
      <w:r w:rsidR="00F138B6">
        <w:t xml:space="preserve"> </w:t>
      </w:r>
      <w:r w:rsidRPr="00F138B6">
        <w:t>by</w:t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law</w:t>
      </w:r>
      <w:r w:rsidR="00F138B6">
        <w:t xml:space="preserve"> </w:t>
      </w:r>
      <w:r w:rsidRPr="00F138B6">
        <w:t>(which</w:t>
      </w:r>
      <w:r w:rsidR="00F138B6">
        <w:t xml:space="preserve"> </w:t>
      </w:r>
      <w:r w:rsidRPr="00F138B6">
        <w:t>it</w:t>
      </w:r>
      <w:r w:rsidR="00F138B6">
        <w:t xml:space="preserve"> </w:t>
      </w:r>
      <w:r w:rsidRPr="00F138B6">
        <w:t>held</w:t>
      </w:r>
      <w:r w:rsidR="00F138B6">
        <w:t xml:space="preserve"> </w:t>
      </w:r>
      <w:r w:rsidRPr="00F138B6">
        <w:t>were</w:t>
      </w:r>
      <w:r w:rsidR="00F138B6">
        <w:t xml:space="preserve"> </w:t>
      </w:r>
      <w:r w:rsidRPr="00F138B6">
        <w:t>waived</w:t>
      </w:r>
      <w:r w:rsidR="00F138B6">
        <w:t xml:space="preserve"> </w:t>
      </w:r>
      <w:r w:rsidRPr="00F138B6">
        <w:t>by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parties),</w:t>
      </w:r>
      <w:r w:rsidR="00F138B6">
        <w:t xml:space="preserve"> </w:t>
      </w:r>
      <w:r w:rsidRPr="00F138B6">
        <w:t>it</w:t>
      </w:r>
      <w:r w:rsidR="00F138B6">
        <w:t xml:space="preserve"> </w:t>
      </w:r>
      <w:r w:rsidRPr="00F138B6">
        <w:t>found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difficulties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enforcing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geographically</w:t>
      </w:r>
      <w:r w:rsidR="00F138B6">
        <w:t xml:space="preserve"> </w:t>
      </w:r>
      <w:r w:rsidRPr="00F138B6">
        <w:t>limited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outweighed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comity</w:t>
      </w:r>
      <w:r w:rsidR="00F138B6">
        <w:t xml:space="preserve"> </w:t>
      </w:r>
      <w:r w:rsidRPr="00F138B6">
        <w:t>issues.</w:t>
      </w:r>
      <w:r w:rsidR="00F138B6" w:rsidRPr="00F138B6">
        <w:rPr>
          <w:vertAlign w:val="superscript"/>
        </w:rPr>
        <w:footnoteReference w:id="44"/>
      </w:r>
      <w:r w:rsidR="00F138B6">
        <w:t xml:space="preserve"> </w:t>
      </w:r>
      <w:r w:rsidRPr="00F138B6">
        <w:t>Second,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did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entirely</w:t>
      </w:r>
      <w:r w:rsidR="00F138B6">
        <w:t xml:space="preserve"> </w:t>
      </w:r>
      <w:r w:rsidRPr="00F138B6">
        <w:t>bar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defendant</w:t>
      </w:r>
      <w:r w:rsidR="00F138B6">
        <w:t xml:space="preserve"> </w:t>
      </w:r>
      <w:r w:rsidRPr="00F138B6">
        <w:t>from</w:t>
      </w:r>
      <w:r w:rsidR="00F138B6">
        <w:t xml:space="preserve"> </w:t>
      </w:r>
      <w:r w:rsidRPr="00F138B6">
        <w:t>using</w:t>
      </w:r>
      <w:r w:rsidR="00F138B6">
        <w:t xml:space="preserve"> </w:t>
      </w:r>
      <w:r w:rsidRPr="00F138B6">
        <w:t>its</w:t>
      </w:r>
      <w:r w:rsidR="00F138B6">
        <w:t xml:space="preserve"> </w:t>
      </w:r>
      <w:r w:rsidRPr="00F138B6">
        <w:t>offending</w:t>
      </w:r>
      <w:r w:rsidR="00F138B6">
        <w:t xml:space="preserve"> </w:t>
      </w:r>
      <w:r w:rsidRPr="00F138B6">
        <w:t>mark</w:t>
      </w:r>
      <w:r w:rsidR="00F138B6" w:rsidRPr="00F138B6">
        <w:t>;</w:t>
      </w:r>
      <w:r w:rsidR="00F138B6">
        <w:t xml:space="preserve"> </w:t>
      </w:r>
      <w:r w:rsidR="00F138B6" w:rsidRPr="00F138B6">
        <w:t>i</w:t>
      </w:r>
      <w:r w:rsidRPr="00F138B6">
        <w:t>t</w:t>
      </w:r>
      <w:r w:rsidR="00F138B6">
        <w:t xml:space="preserve"> </w:t>
      </w:r>
      <w:r w:rsidRPr="00F138B6">
        <w:t>required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defendant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use</w:t>
      </w:r>
      <w:r w:rsidR="00F138B6">
        <w:t xml:space="preserve"> </w:t>
      </w:r>
      <w:r w:rsidRPr="00F138B6">
        <w:t>it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conjunction</w:t>
      </w:r>
      <w:r w:rsidR="00F138B6">
        <w:t xml:space="preserve"> </w:t>
      </w:r>
      <w:r w:rsidRPr="00F138B6">
        <w:t>with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entire</w:t>
      </w:r>
      <w:r w:rsidR="00F138B6">
        <w:t xml:space="preserve"> </w:t>
      </w:r>
      <w:r w:rsidRPr="00F138B6">
        <w:t>corporate</w:t>
      </w:r>
      <w:r w:rsidR="00F138B6">
        <w:t xml:space="preserve"> </w:t>
      </w:r>
      <w:r w:rsidRPr="00F138B6">
        <w:t>name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required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disclaimer.</w:t>
      </w:r>
      <w:r w:rsidR="00F138B6" w:rsidRPr="00F138B6">
        <w:rPr>
          <w:vertAlign w:val="superscript"/>
        </w:rPr>
        <w:footnoteReference w:id="45"/>
      </w:r>
    </w:p>
    <w:p w14:paraId="2A8BB47E" w14:textId="2C9689EF" w:rsidR="00F138B6" w:rsidRPr="00F138B6" w:rsidRDefault="00AF6C63" w:rsidP="00F138B6">
      <w:pPr>
        <w:pStyle w:val="BNormal"/>
      </w:pPr>
      <w:r w:rsidRPr="00F138B6">
        <w:t>The</w:t>
      </w:r>
      <w:r w:rsidR="00F138B6">
        <w:t xml:space="preserve"> </w:t>
      </w:r>
      <w:r w:rsidRPr="00F138B6">
        <w:t>use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comity</w:t>
      </w:r>
      <w:r w:rsidR="00F138B6">
        <w:t xml:space="preserve"> </w:t>
      </w:r>
      <w:r w:rsidRPr="00F138B6">
        <w:t>interests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factor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determining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scope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injunction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appropriate</w:t>
      </w:r>
      <w:r w:rsidR="00F138B6" w:rsidRPr="00F138B6">
        <w:t>.</w:t>
      </w:r>
      <w:r w:rsidR="00F138B6">
        <w:t xml:space="preserve"> </w:t>
      </w:r>
      <w:r w:rsidR="00F138B6" w:rsidRPr="00F138B6">
        <w:t>I</w:t>
      </w:r>
      <w:r w:rsidRPr="00F138B6">
        <w:t>njunctions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equitable</w:t>
      </w:r>
      <w:r w:rsidR="00F138B6">
        <w:t xml:space="preserve"> </w:t>
      </w:r>
      <w:r w:rsidRPr="00F138B6">
        <w:t>remedy,</w:t>
      </w:r>
      <w:r w:rsidR="00F138B6">
        <w:t xml:space="preserve"> </w:t>
      </w:r>
      <w:r w:rsidRPr="00F138B6">
        <w:t>subject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sound</w:t>
      </w:r>
      <w:r w:rsidR="00F138B6">
        <w:t xml:space="preserve"> </w:t>
      </w:r>
      <w:r w:rsidRPr="00F138B6">
        <w:t>discretion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issuing</w:t>
      </w:r>
      <w:r w:rsidR="00F138B6">
        <w:t xml:space="preserve"> </w:t>
      </w:r>
      <w:r w:rsidRPr="00F138B6">
        <w:t>court.</w:t>
      </w:r>
      <w:r w:rsidR="00F138B6" w:rsidRPr="00F138B6">
        <w:rPr>
          <w:vertAlign w:val="superscript"/>
        </w:rPr>
        <w:footnoteReference w:id="46"/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Bills,</w:t>
      </w:r>
      <w:r w:rsidR="00F138B6">
        <w:t xml:space="preserve"> </w:t>
      </w:r>
      <w:r w:rsidRPr="00F138B6">
        <w:t>except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1964</w:t>
      </w:r>
      <w:r w:rsidR="00F138B6">
        <w:t xml:space="preserve"> </w:t>
      </w:r>
      <w:r w:rsidRPr="00F138B6">
        <w:t>version,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TDRA</w:t>
      </w:r>
      <w:r w:rsidR="00F138B6">
        <w:t xml:space="preserve"> </w:t>
      </w:r>
      <w:r w:rsidRPr="00F138B6">
        <w:t>all</w:t>
      </w:r>
      <w:r w:rsidR="00F138B6">
        <w:t xml:space="preserve"> </w:t>
      </w:r>
      <w:r w:rsidRPr="00F138B6">
        <w:t>expressly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any</w:t>
      </w:r>
      <w:r w:rsidR="00F138B6">
        <w:t xml:space="preserve"> </w:t>
      </w:r>
      <w:r w:rsidRPr="00F138B6">
        <w:t>injunctive</w:t>
      </w:r>
      <w:r w:rsidR="00F138B6">
        <w:t xml:space="preserve"> </w:t>
      </w:r>
      <w:r w:rsidRPr="00F138B6">
        <w:t>relief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“subject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principles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equity.”</w:t>
      </w:r>
      <w:r w:rsidR="00F138B6" w:rsidRPr="00F138B6">
        <w:rPr>
          <w:vertAlign w:val="superscript"/>
        </w:rPr>
        <w:footnoteReference w:id="47"/>
      </w:r>
      <w:r w:rsidR="00F138B6">
        <w:t xml:space="preserve"> </w:t>
      </w:r>
      <w:r w:rsidRPr="00F138B6">
        <w:t>Indeed,</w:t>
      </w:r>
      <w:r w:rsidR="00F138B6">
        <w:t xml:space="preserve"> </w:t>
      </w:r>
      <w:r w:rsidRPr="00F138B6">
        <w:t>these</w:t>
      </w:r>
      <w:r w:rsidR="00F138B6">
        <w:t xml:space="preserve"> </w:t>
      </w:r>
      <w:r w:rsidRPr="00F138B6">
        <w:t>comity</w:t>
      </w:r>
      <w:r w:rsidR="00F138B6">
        <w:t xml:space="preserve"> </w:t>
      </w:r>
      <w:r w:rsidRPr="00F138B6">
        <w:t>concerns</w:t>
      </w:r>
      <w:r w:rsidR="00F138B6">
        <w:t xml:space="preserve"> </w:t>
      </w:r>
      <w:r w:rsidRPr="00F138B6">
        <w:t>led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drafters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</w:t>
      </w:r>
      <w:r w:rsidR="00F138B6">
        <w:t xml:space="preserve"> </w:t>
      </w:r>
      <w:r w:rsidRPr="00F138B6">
        <w:t>(and</w:t>
      </w:r>
      <w:r w:rsidR="00F138B6">
        <w:t xml:space="preserve"> </w:t>
      </w:r>
      <w:r w:rsidRPr="00F138B6">
        <w:t>almost</w:t>
      </w:r>
      <w:r w:rsidR="00F138B6">
        <w:t xml:space="preserve"> </w:t>
      </w:r>
      <w:r w:rsidRPr="00F138B6">
        <w:t>all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laws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use</w:t>
      </w:r>
      <w:r w:rsidR="00F138B6">
        <w:t xml:space="preserve"> </w:t>
      </w:r>
      <w:r w:rsidRPr="00F138B6">
        <w:t>its</w:t>
      </w:r>
      <w:r w:rsidR="00F138B6">
        <w:t xml:space="preserve"> </w:t>
      </w:r>
      <w:r w:rsidRPr="00F138B6">
        <w:t>structure)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limit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availability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injunctive</w:t>
      </w:r>
      <w:r w:rsidR="00F138B6">
        <w:t xml:space="preserve"> </w:t>
      </w:r>
      <w:r w:rsidRPr="00F138B6">
        <w:t>relief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state’s</w:t>
      </w:r>
      <w:r w:rsidR="00F138B6">
        <w:t xml:space="preserve"> </w:t>
      </w:r>
      <w:r w:rsidRPr="00F138B6">
        <w:t>borders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his</w:t>
      </w:r>
      <w:r w:rsidR="00F138B6">
        <w:t xml:space="preserve"> </w:t>
      </w:r>
      <w:r w:rsidRPr="00F138B6">
        <w:t>development</w:t>
      </w:r>
      <w:r w:rsidR="00F138B6">
        <w:t xml:space="preserve"> </w:t>
      </w:r>
      <w:r w:rsidRPr="00F138B6">
        <w:t>should</w:t>
      </w:r>
      <w:r w:rsidR="00F138B6">
        <w:t xml:space="preserve"> </w:t>
      </w:r>
      <w:r w:rsidRPr="00F138B6">
        <w:t>give</w:t>
      </w:r>
      <w:r w:rsidR="00F138B6">
        <w:t xml:space="preserve"> </w:t>
      </w:r>
      <w:r w:rsidRPr="00F138B6">
        <w:t>other</w:t>
      </w:r>
      <w:r w:rsidR="00F138B6">
        <w:t xml:space="preserve"> </w:t>
      </w:r>
      <w:r w:rsidRPr="00F138B6">
        <w:t>states</w:t>
      </w:r>
      <w:r w:rsidR="00F138B6">
        <w:t xml:space="preserve"> </w:t>
      </w:r>
      <w:r w:rsidRPr="00F138B6">
        <w:t>reason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hesitate</w:t>
      </w:r>
      <w:r w:rsidR="00F138B6">
        <w:t xml:space="preserve"> </w:t>
      </w:r>
      <w:r w:rsidRPr="00F138B6">
        <w:t>before</w:t>
      </w:r>
      <w:r w:rsidR="00F138B6">
        <w:t xml:space="preserve"> </w:t>
      </w:r>
      <w:r w:rsidRPr="00F138B6">
        <w:t>issuing</w:t>
      </w:r>
      <w:r w:rsidR="00F138B6">
        <w:t xml:space="preserve"> </w:t>
      </w:r>
      <w:r w:rsidRPr="00F138B6">
        <w:t>nationwide</w:t>
      </w:r>
      <w:r w:rsidR="00F138B6">
        <w:t xml:space="preserve"> </w:t>
      </w:r>
      <w:r w:rsidRPr="00F138B6">
        <w:t>injunctions</w:t>
      </w:r>
      <w:r w:rsidR="00F138B6" w:rsidRPr="00F138B6">
        <w:t>.</w:t>
      </w:r>
      <w:r w:rsidR="00F138B6">
        <w:t xml:space="preserve"> </w:t>
      </w:r>
      <w:r w:rsidR="00F138B6" w:rsidRPr="00F138B6">
        <w:t>I</w:t>
      </w:r>
      <w:r w:rsidRPr="00F138B6">
        <w:t>t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now</w:t>
      </w:r>
      <w:r w:rsidR="00F138B6">
        <w:t xml:space="preserve"> </w:t>
      </w:r>
      <w:r w:rsidRPr="00F138B6">
        <w:t>clear</w:t>
      </w:r>
      <w:r w:rsidR="00F138B6">
        <w:t xml:space="preserve"> </w:t>
      </w:r>
      <w:r w:rsidRPr="00F138B6">
        <w:t>that,</w:t>
      </w:r>
      <w:r w:rsidR="00F138B6">
        <w:t xml:space="preserve"> </w:t>
      </w:r>
      <w:r w:rsidRPr="00F138B6">
        <w:t>even</w:t>
      </w:r>
      <w:r w:rsidR="00F138B6">
        <w:t xml:space="preserve"> </w:t>
      </w:r>
      <w:r w:rsidRPr="00F138B6">
        <w:t>among</w:t>
      </w:r>
      <w:r w:rsidR="00F138B6">
        <w:t xml:space="preserve"> </w:t>
      </w:r>
      <w:r w:rsidRPr="00F138B6">
        <w:t>states</w:t>
      </w:r>
      <w:r w:rsidR="00F138B6">
        <w:t xml:space="preserve"> </w:t>
      </w:r>
      <w:r w:rsidRPr="00F138B6">
        <w:t>with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laws,</w:t>
      </w:r>
      <w:r w:rsidR="00F138B6">
        <w:t xml:space="preserve"> </w:t>
      </w:r>
      <w:r w:rsidRPr="00F138B6">
        <w:t>nationwide</w:t>
      </w:r>
      <w:r w:rsidR="00F138B6">
        <w:t xml:space="preserve"> </w:t>
      </w:r>
      <w:r w:rsidRPr="00F138B6">
        <w:t>relief</w:t>
      </w:r>
      <w:r w:rsidR="00F138B6">
        <w:t xml:space="preserve"> </w:t>
      </w:r>
      <w:r w:rsidRPr="00F138B6">
        <w:t>will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necessarily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reciprocal</w:t>
      </w:r>
      <w:r w:rsidR="00F138B6" w:rsidRPr="00F138B6">
        <w:t>.</w:t>
      </w:r>
      <w:r w:rsidR="00F138B6">
        <w:t xml:space="preserve"> </w:t>
      </w:r>
      <w:r w:rsidR="00F138B6" w:rsidRPr="00F138B6">
        <w:t>M</w:t>
      </w:r>
      <w:r w:rsidRPr="00F138B6">
        <w:t>oreover,</w:t>
      </w:r>
      <w:r w:rsidR="00F138B6">
        <w:t xml:space="preserve"> </w:t>
      </w:r>
      <w:r w:rsidRPr="00F138B6">
        <w:t>if</w:t>
      </w:r>
      <w:r w:rsidR="00F138B6">
        <w:t xml:space="preserve"> </w:t>
      </w:r>
      <w:r w:rsidRPr="00F138B6">
        <w:t>some</w:t>
      </w:r>
      <w:r w:rsidR="00F138B6">
        <w:t xml:space="preserve"> </w:t>
      </w:r>
      <w:r w:rsidRPr="00F138B6">
        <w:t>states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willing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issue</w:t>
      </w:r>
      <w:r w:rsidR="00F138B6">
        <w:t xml:space="preserve"> </w:t>
      </w:r>
      <w:r w:rsidRPr="00F138B6">
        <w:t>nationwide</w:t>
      </w:r>
      <w:r w:rsidR="00F138B6">
        <w:t xml:space="preserve"> </w:t>
      </w:r>
      <w:r w:rsidRPr="00F138B6">
        <w:t>injunctions</w:t>
      </w:r>
      <w:r w:rsidR="00F138B6">
        <w:t xml:space="preserve"> </w:t>
      </w:r>
      <w:r w:rsidRPr="00F138B6">
        <w:t>while</w:t>
      </w:r>
      <w:r w:rsidR="00F138B6">
        <w:t xml:space="preserve"> </w:t>
      </w:r>
      <w:r w:rsidRPr="00F138B6">
        <w:t>others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not,</w:t>
      </w:r>
      <w:r w:rsidR="00F138B6">
        <w:t xml:space="preserve"> </w:t>
      </w:r>
      <w:r w:rsidRPr="00F138B6">
        <w:t>it</w:t>
      </w:r>
      <w:r w:rsidR="00F138B6">
        <w:t xml:space="preserve"> </w:t>
      </w:r>
      <w:r w:rsidRPr="00F138B6">
        <w:t>will</w:t>
      </w:r>
      <w:r w:rsidR="00F138B6">
        <w:t xml:space="preserve"> </w:t>
      </w:r>
      <w:r w:rsidRPr="00F138B6">
        <w:t>promote</w:t>
      </w:r>
      <w:r w:rsidR="00F138B6">
        <w:t xml:space="preserve"> </w:t>
      </w:r>
      <w:r w:rsidRPr="00F138B6">
        <w:t>forum</w:t>
      </w:r>
      <w:r w:rsidR="00F138B6">
        <w:t xml:space="preserve"> </w:t>
      </w:r>
      <w:r w:rsidRPr="00F138B6">
        <w:t>shopping</w:t>
      </w:r>
      <w:r w:rsidR="00F138B6">
        <w:t xml:space="preserve"> </w:t>
      </w:r>
      <w:r w:rsidRPr="00F138B6">
        <w:t>solely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purpose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avoiding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limits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scope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relief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his</w:t>
      </w:r>
      <w:r w:rsidR="00F138B6">
        <w:t xml:space="preserve"> </w:t>
      </w:r>
      <w:r w:rsidRPr="00F138B6">
        <w:t>subverts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limits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policies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embodied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newer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could</w:t>
      </w:r>
      <w:r w:rsidR="00F138B6">
        <w:t xml:space="preserve"> </w:t>
      </w:r>
      <w:r w:rsidRPr="00F138B6">
        <w:t>lead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unnecessary</w:t>
      </w:r>
      <w:r w:rsidR="00F138B6">
        <w:t xml:space="preserve"> </w:t>
      </w:r>
      <w:r w:rsidRPr="00F138B6">
        <w:t>interstate</w:t>
      </w:r>
      <w:r w:rsidR="00F138B6">
        <w:t xml:space="preserve"> </w:t>
      </w:r>
      <w:r w:rsidRPr="00F138B6">
        <w:t>friction.</w:t>
      </w:r>
    </w:p>
    <w:p w14:paraId="0A468EA8" w14:textId="153D5D84" w:rsidR="00F138B6" w:rsidRPr="00F138B6" w:rsidRDefault="003E2EA3" w:rsidP="003E2EA3">
      <w:pPr>
        <w:pStyle w:val="BHead1"/>
      </w:pPr>
      <w:r>
        <w:t>5.</w:t>
      </w:r>
      <w:r w:rsidR="00F138B6" w:rsidRPr="003E2EA3">
        <w:rPr>
          <w:rStyle w:val="BBNAidChar"/>
          <w:rFonts w:eastAsiaTheme="majorEastAsia"/>
        </w:rPr>
        <w:t>III</w:t>
      </w:r>
      <w:r w:rsidR="00F138B6" w:rsidRPr="00F138B6">
        <w:t>.</w:t>
      </w:r>
      <w:r>
        <w:t xml:space="preserve">  </w:t>
      </w:r>
      <w:r w:rsidR="00F138B6" w:rsidRPr="00F138B6">
        <w:t>Noninjunctive</w:t>
      </w:r>
      <w:r w:rsidR="00F138B6">
        <w:t xml:space="preserve"> </w:t>
      </w:r>
      <w:r w:rsidR="00F138B6" w:rsidRPr="00F138B6">
        <w:t>Relief</w:t>
      </w:r>
    </w:p>
    <w:p w14:paraId="427F5C66" w14:textId="39AB9D3E" w:rsidR="00F138B6" w:rsidRPr="00F138B6" w:rsidRDefault="00AF6C63" w:rsidP="00F138B6">
      <w:pPr>
        <w:pStyle w:val="BNormal"/>
      </w:pPr>
      <w:r w:rsidRPr="00F138B6">
        <w:t>Statutes</w:t>
      </w:r>
      <w:r w:rsidR="00F138B6">
        <w:t xml:space="preserve"> </w:t>
      </w:r>
      <w:proofErr w:type="gramStart"/>
      <w:r w:rsidRPr="00F138B6">
        <w:t>similar</w:t>
      </w:r>
      <w:r w:rsidR="00F138B6">
        <w:t xml:space="preserve"> </w:t>
      </w:r>
      <w:r w:rsidRPr="00F138B6">
        <w:t>to</w:t>
      </w:r>
      <w:proofErr w:type="gramEnd"/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1964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</w:t>
      </w:r>
      <w:r w:rsidR="00F138B6">
        <w:t xml:space="preserve"> </w:t>
      </w:r>
      <w:r w:rsidRPr="00F138B6">
        <w:t>do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permit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award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damages.</w:t>
      </w:r>
      <w:r w:rsidR="00F138B6" w:rsidRPr="00F138B6">
        <w:rPr>
          <w:vertAlign w:val="superscript"/>
        </w:rPr>
        <w:footnoteReference w:id="48"/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FTDA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newer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do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limit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available</w:t>
      </w:r>
      <w:r w:rsidR="00F138B6">
        <w:t xml:space="preserve"> </w:t>
      </w:r>
      <w:r w:rsidRPr="00F138B6">
        <w:t>remedies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injunctions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hese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permit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award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other</w:t>
      </w:r>
      <w:r w:rsidR="00F138B6">
        <w:t xml:space="preserve"> </w:t>
      </w:r>
      <w:r w:rsidRPr="00F138B6">
        <w:t>forms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relief,</w:t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attorneys’</w:t>
      </w:r>
      <w:r w:rsidR="00F138B6">
        <w:t xml:space="preserve"> </w:t>
      </w:r>
      <w:r w:rsidRPr="00F138B6">
        <w:t>fees,</w:t>
      </w:r>
      <w:r w:rsidR="00F138B6">
        <w:t xml:space="preserve"> </w:t>
      </w:r>
      <w:r w:rsidRPr="00F138B6">
        <w:t>but</w:t>
      </w:r>
      <w:r w:rsidR="00F138B6">
        <w:t xml:space="preserve"> </w:t>
      </w:r>
      <w:r w:rsidRPr="00F138B6">
        <w:t>only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limited</w:t>
      </w:r>
      <w:r w:rsidR="00F138B6">
        <w:t xml:space="preserve"> </w:t>
      </w:r>
      <w:r w:rsidRPr="00F138B6">
        <w:t>circumstances.</w:t>
      </w:r>
    </w:p>
    <w:p w14:paraId="289D725B" w14:textId="6E395A88" w:rsidR="00F138B6" w:rsidRPr="00F138B6" w:rsidRDefault="003E2EA3" w:rsidP="003E2EA3">
      <w:pPr>
        <w:pStyle w:val="BHead2"/>
      </w:pPr>
      <w:r>
        <w:t>5.III.</w:t>
      </w:r>
      <w:r w:rsidR="00F138B6" w:rsidRPr="003E2EA3">
        <w:rPr>
          <w:rStyle w:val="BBNAidChar"/>
          <w:rFonts w:eastAsiaTheme="majorEastAsia"/>
        </w:rPr>
        <w:t>A</w:t>
      </w:r>
      <w:r w:rsidR="00F138B6" w:rsidRPr="00F138B6">
        <w:t>.</w:t>
      </w:r>
      <w:r>
        <w:t> </w:t>
      </w:r>
      <w:r w:rsidR="00F138B6" w:rsidRPr="00F138B6">
        <w:tab/>
        <w:t>Damages</w:t>
      </w:r>
      <w:r w:rsidR="00F138B6">
        <w:t xml:space="preserve"> </w:t>
      </w:r>
      <w:r w:rsidR="00F138B6" w:rsidRPr="00F138B6">
        <w:t>as</w:t>
      </w:r>
      <w:r w:rsidR="00F138B6">
        <w:t xml:space="preserve"> </w:t>
      </w:r>
      <w:r w:rsidR="00F138B6" w:rsidRPr="00F138B6">
        <w:t>a</w:t>
      </w:r>
      <w:r w:rsidR="00F138B6">
        <w:t xml:space="preserve"> </w:t>
      </w:r>
      <w:r w:rsidR="00F138B6" w:rsidRPr="00F138B6">
        <w:t>Remedy</w:t>
      </w:r>
    </w:p>
    <w:p w14:paraId="575C454E" w14:textId="51277D3C" w:rsidR="00F138B6" w:rsidRPr="00F138B6" w:rsidRDefault="00AF6C63" w:rsidP="00F138B6">
      <w:pPr>
        <w:pStyle w:val="BNormal"/>
      </w:pPr>
      <w:r w:rsidRPr="00F138B6">
        <w:lastRenderedPageBreak/>
        <w:t>In</w:t>
      </w:r>
      <w:r w:rsidR="00F138B6">
        <w:t xml:space="preserve"> </w:t>
      </w:r>
      <w:r w:rsidRPr="00F138B6">
        <w:t>all</w:t>
      </w:r>
      <w:r w:rsidR="00F138B6">
        <w:t xml:space="preserve"> </w:t>
      </w:r>
      <w:r w:rsidRPr="00F138B6">
        <w:t>jurisdictions</w:t>
      </w:r>
      <w:r w:rsidR="00F138B6">
        <w:t xml:space="preserve"> </w:t>
      </w:r>
      <w:r w:rsidRPr="00F138B6">
        <w:t>where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may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awarded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dilution,</w:t>
      </w:r>
      <w:r w:rsidR="00F138B6" w:rsidRPr="00F138B6">
        <w:rPr>
          <w:vertAlign w:val="superscript"/>
        </w:rPr>
        <w:footnoteReference w:id="49"/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awards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subject</w:t>
      </w:r>
      <w:r w:rsidR="00F138B6">
        <w:t xml:space="preserve"> </w:t>
      </w:r>
      <w:r w:rsidRPr="00F138B6">
        <w:t>to</w:t>
      </w:r>
      <w:r w:rsidR="00F138B6">
        <w:t xml:space="preserve"> </w:t>
      </w:r>
      <w:proofErr w:type="gramStart"/>
      <w:r w:rsidRPr="00F138B6">
        <w:t>fairly</w:t>
      </w:r>
      <w:r w:rsidR="00F138B6">
        <w:t xml:space="preserve"> </w:t>
      </w:r>
      <w:r w:rsidRPr="00F138B6">
        <w:t>strict</w:t>
      </w:r>
      <w:proofErr w:type="gramEnd"/>
      <w:r w:rsidR="00F138B6">
        <w:t xml:space="preserve"> </w:t>
      </w:r>
      <w:r w:rsidRPr="00F138B6">
        <w:t>limitations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he</w:t>
      </w:r>
      <w:r w:rsidR="00F138B6">
        <w:t xml:space="preserve"> </w:t>
      </w:r>
      <w:r w:rsidRPr="00F138B6">
        <w:t>TDRA’s</w:t>
      </w:r>
      <w:r w:rsidR="00F138B6">
        <w:t xml:space="preserve"> </w:t>
      </w:r>
      <w:r w:rsidRPr="00F138B6">
        <w:t>language</w:t>
      </w:r>
      <w:r w:rsidR="00F138B6">
        <w:t xml:space="preserve"> </w:t>
      </w:r>
      <w:r w:rsidRPr="00F138B6">
        <w:t>sets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general</w:t>
      </w:r>
      <w:r w:rsidR="00F138B6">
        <w:t xml:space="preserve"> </w:t>
      </w:r>
      <w:r w:rsidRPr="00F138B6">
        <w:t>tone</w:t>
      </w:r>
      <w:r w:rsidR="00F138B6" w:rsidRPr="00F138B6">
        <w:t>.</w:t>
      </w:r>
      <w:r w:rsidR="00F138B6">
        <w:t xml:space="preserve"> </w:t>
      </w:r>
      <w:r w:rsidR="00F138B6" w:rsidRPr="00F138B6">
        <w:t>U</w:t>
      </w:r>
      <w:r w:rsidRPr="00F138B6">
        <w:t>nder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TDRA,</w:t>
      </w:r>
      <w:r w:rsidR="00F138B6">
        <w:t xml:space="preserve"> </w:t>
      </w:r>
      <w:r w:rsidRPr="00F138B6">
        <w:t>if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defendant</w:t>
      </w:r>
      <w:r w:rsidR="00F138B6">
        <w:t xml:space="preserve"> </w:t>
      </w:r>
      <w:r w:rsidRPr="00F138B6">
        <w:t>“willfully</w:t>
      </w:r>
      <w:r w:rsidR="00F138B6">
        <w:t xml:space="preserve"> </w:t>
      </w:r>
      <w:r w:rsidRPr="00F138B6">
        <w:t>intended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trade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recognition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famous</w:t>
      </w:r>
      <w:r w:rsidR="00F138B6">
        <w:t xml:space="preserve"> </w:t>
      </w:r>
      <w:r w:rsidRPr="00F138B6">
        <w:t>mark”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“willfully</w:t>
      </w:r>
      <w:r w:rsidR="00F138B6">
        <w:t xml:space="preserve"> </w:t>
      </w:r>
      <w:r w:rsidRPr="00F138B6">
        <w:t>intended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harm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reputation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famous</w:t>
      </w:r>
      <w:r w:rsidR="00F138B6">
        <w:t xml:space="preserve"> </w:t>
      </w:r>
      <w:r w:rsidRPr="00F138B6">
        <w:t>mark,”</w:t>
      </w:r>
      <w:r w:rsidR="00F138B6">
        <w:t xml:space="preserve"> </w:t>
      </w:r>
      <w:r w:rsidRPr="00F138B6">
        <w:t>then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other</w:t>
      </w:r>
      <w:r w:rsidR="00F138B6">
        <w:t xml:space="preserve"> </w:t>
      </w:r>
      <w:r w:rsidRPr="00F138B6">
        <w:t>remedies</w:t>
      </w:r>
      <w:r w:rsidR="00F138B6">
        <w:t xml:space="preserve"> </w:t>
      </w:r>
      <w:r w:rsidRPr="00F138B6">
        <w:t>available</w:t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statute</w:t>
      </w:r>
      <w:r w:rsidR="00F138B6">
        <w:t xml:space="preserve"> </w:t>
      </w:r>
      <w:r w:rsidRPr="00F138B6">
        <w:t>may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awarded.</w:t>
      </w:r>
      <w:r w:rsidR="00F138B6" w:rsidRPr="00F138B6">
        <w:rPr>
          <w:vertAlign w:val="superscript"/>
        </w:rPr>
        <w:footnoteReference w:id="50"/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award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noninjunctive</w:t>
      </w:r>
      <w:r w:rsidR="00F138B6">
        <w:t xml:space="preserve"> </w:t>
      </w:r>
      <w:r w:rsidRPr="00F138B6">
        <w:t>relief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“subject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discretion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principles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equity.”</w:t>
      </w:r>
      <w:r w:rsidR="00F138B6" w:rsidRPr="00F138B6">
        <w:rPr>
          <w:vertAlign w:val="superscript"/>
        </w:rPr>
        <w:footnoteReference w:id="51"/>
      </w:r>
      <w:r w:rsidR="00F138B6">
        <w:t xml:space="preserve"> </w:t>
      </w:r>
      <w:r w:rsidRPr="00F138B6">
        <w:t>Most</w:t>
      </w:r>
      <w:r w:rsidR="00F138B6">
        <w:t xml:space="preserve"> </w:t>
      </w:r>
      <w:r w:rsidRPr="00F138B6">
        <w:t>newer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track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language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="00F138B6" w:rsidRPr="00F138B6">
        <w:rPr>
          <w:i/>
        </w:rPr>
        <w:t>original</w:t>
      </w:r>
      <w:r w:rsidR="00F138B6">
        <w:t xml:space="preserve"> </w:t>
      </w:r>
      <w:r w:rsidRPr="00F138B6">
        <w:t>FTDA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permit</w:t>
      </w:r>
      <w:r w:rsidR="00F138B6">
        <w:t xml:space="preserve"> </w:t>
      </w:r>
      <w:r w:rsidRPr="00F138B6">
        <w:t>damage</w:t>
      </w:r>
      <w:r w:rsidR="00F138B6">
        <w:t xml:space="preserve"> </w:t>
      </w:r>
      <w:r w:rsidRPr="00F138B6">
        <w:t>remedies</w:t>
      </w:r>
      <w:r w:rsidR="00F138B6">
        <w:t xml:space="preserve"> </w:t>
      </w:r>
      <w:r w:rsidRPr="00F138B6">
        <w:t>only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cases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willful</w:t>
      </w:r>
      <w:r w:rsidR="00F138B6">
        <w:t xml:space="preserve"> </w:t>
      </w:r>
      <w:r w:rsidRPr="00F138B6">
        <w:t>intent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trade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plaintiff’s</w:t>
      </w:r>
      <w:r w:rsidR="00F138B6">
        <w:t xml:space="preserve"> </w:t>
      </w:r>
      <w:r w:rsidRPr="00F138B6">
        <w:t>reputation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intent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cause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(as</w:t>
      </w:r>
      <w:r w:rsidR="00F138B6">
        <w:t xml:space="preserve"> </w:t>
      </w:r>
      <w:r w:rsidRPr="00F138B6">
        <w:t>opposed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willful</w:t>
      </w:r>
      <w:r w:rsidR="00F138B6">
        <w:t xml:space="preserve"> </w:t>
      </w:r>
      <w:r w:rsidRPr="00F138B6">
        <w:t>intent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trade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famous</w:t>
      </w:r>
      <w:r w:rsidR="00F138B6">
        <w:t xml:space="preserve"> </w:t>
      </w:r>
      <w:r w:rsidRPr="00F138B6">
        <w:t>mark’s</w:t>
      </w:r>
      <w:r w:rsidR="00F138B6">
        <w:t xml:space="preserve"> </w:t>
      </w:r>
      <w:r w:rsidRPr="00F138B6">
        <w:t>reputation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cause</w:t>
      </w:r>
      <w:r w:rsidR="00F138B6">
        <w:t xml:space="preserve"> </w:t>
      </w:r>
      <w:r w:rsidRPr="00F138B6">
        <w:t>harm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famous</w:t>
      </w:r>
      <w:r w:rsidR="00F138B6">
        <w:t xml:space="preserve"> </w:t>
      </w:r>
      <w:r w:rsidRPr="00F138B6">
        <w:t>mark’s</w:t>
      </w:r>
      <w:r w:rsidR="00F138B6">
        <w:t xml:space="preserve"> </w:t>
      </w:r>
      <w:r w:rsidRPr="00F138B6">
        <w:t>reputation,</w:t>
      </w:r>
      <w:r w:rsidR="00F138B6">
        <w:t xml:space="preserve"> </w:t>
      </w:r>
      <w:r w:rsidRPr="00F138B6">
        <w:t>which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TDRA</w:t>
      </w:r>
      <w:r w:rsidR="00F138B6">
        <w:t xml:space="preserve"> </w:t>
      </w:r>
      <w:r w:rsidRPr="00F138B6">
        <w:t>standard).</w:t>
      </w:r>
      <w:r w:rsidR="00F138B6" w:rsidRPr="00F138B6">
        <w:rPr>
          <w:vertAlign w:val="superscript"/>
        </w:rPr>
        <w:footnoteReference w:id="52"/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2007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bit</w:t>
      </w:r>
      <w:r w:rsidR="00F138B6">
        <w:t xml:space="preserve"> </w:t>
      </w:r>
      <w:r w:rsidRPr="00F138B6">
        <w:t>differently</w:t>
      </w:r>
      <w:r w:rsidR="00F138B6">
        <w:t xml:space="preserve"> </w:t>
      </w:r>
      <w:r w:rsidRPr="00F138B6">
        <w:t>worded,</w:t>
      </w:r>
      <w:r w:rsidR="00F138B6">
        <w:t xml:space="preserve"> </w:t>
      </w:r>
      <w:r w:rsidRPr="00F138B6">
        <w:t>permitting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against</w:t>
      </w:r>
      <w:r w:rsidR="00F138B6">
        <w:t xml:space="preserve"> </w:t>
      </w:r>
      <w:r w:rsidRPr="00F138B6">
        <w:t>someone</w:t>
      </w:r>
      <w:r w:rsidR="00F138B6">
        <w:t xml:space="preserve"> </w:t>
      </w:r>
      <w:r w:rsidRPr="00F138B6">
        <w:t>who</w:t>
      </w:r>
      <w:r w:rsidR="00F138B6">
        <w:t xml:space="preserve"> </w:t>
      </w:r>
      <w:r w:rsidRPr="00F138B6">
        <w:t>“willfully</w:t>
      </w:r>
      <w:r w:rsidR="00F138B6">
        <w:t xml:space="preserve"> </w:t>
      </w:r>
      <w:r w:rsidRPr="00F138B6">
        <w:t>intended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cause</w:t>
      </w:r>
      <w:r w:rsidR="00F138B6">
        <w:t xml:space="preserve"> </w:t>
      </w:r>
      <w:r w:rsidRPr="00F138B6">
        <w:t>dilution.”</w:t>
      </w:r>
      <w:r w:rsidR="00F138B6" w:rsidRPr="00F138B6">
        <w:rPr>
          <w:vertAlign w:val="superscript"/>
        </w:rPr>
        <w:footnoteReference w:id="53"/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could</w:t>
      </w:r>
      <w:r w:rsidR="00F138B6">
        <w:t xml:space="preserve"> </w:t>
      </w:r>
      <w:r w:rsidRPr="00F138B6">
        <w:t>actually</w:t>
      </w:r>
      <w:r w:rsidR="00F138B6">
        <w:t xml:space="preserve"> </w:t>
      </w:r>
      <w:r w:rsidRPr="00F138B6">
        <w:t>prove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limiting</w:t>
      </w:r>
      <w:r w:rsidR="00F138B6" w:rsidRPr="00F138B6">
        <w:t>:</w:t>
      </w:r>
      <w:r w:rsidR="00F138B6">
        <w:t xml:space="preserve"> </w:t>
      </w:r>
      <w:r w:rsidR="00F138B6" w:rsidRPr="00F138B6">
        <w:t>t</w:t>
      </w:r>
      <w:r w:rsidRPr="00F138B6">
        <w:t>here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difference</w:t>
      </w:r>
      <w:r w:rsidR="00F138B6">
        <w:t xml:space="preserve"> </w:t>
      </w:r>
      <w:r w:rsidRPr="00F138B6">
        <w:t>between</w:t>
      </w:r>
      <w:r w:rsidR="00F138B6">
        <w:t xml:space="preserve"> </w:t>
      </w:r>
      <w:r w:rsidRPr="00F138B6">
        <w:t>intending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cause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intending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trade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reputation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mark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he</w:t>
      </w:r>
      <w:r w:rsidR="00F138B6">
        <w:t xml:space="preserve"> </w:t>
      </w:r>
      <w:r w:rsidRPr="00F138B6">
        <w:t>latter</w:t>
      </w:r>
      <w:r w:rsidR="00F138B6">
        <w:t xml:space="preserve"> </w:t>
      </w:r>
      <w:r w:rsidRPr="00F138B6">
        <w:t>invokes</w:t>
      </w:r>
      <w:r w:rsidR="00F138B6">
        <w:t xml:space="preserve"> </w:t>
      </w:r>
      <w:r w:rsidRPr="00F138B6">
        <w:t>free-riding</w:t>
      </w:r>
      <w:r w:rsidR="00F138B6">
        <w:t xml:space="preserve"> </w:t>
      </w:r>
      <w:r w:rsidRPr="00F138B6">
        <w:t>principles</w:t>
      </w:r>
      <w:r w:rsidR="00F138B6">
        <w:t xml:space="preserve"> </w:t>
      </w:r>
      <w:r w:rsidRPr="00F138B6">
        <w:t>(though</w:t>
      </w:r>
      <w:r w:rsidR="00F138B6">
        <w:t xml:space="preserve"> </w:t>
      </w:r>
      <w:r w:rsidRPr="00F138B6">
        <w:t>one</w:t>
      </w:r>
      <w:r w:rsidR="00F138B6">
        <w:t xml:space="preserve"> </w:t>
      </w:r>
      <w:r w:rsidRPr="00F138B6">
        <w:t>still</w:t>
      </w:r>
      <w:r w:rsidR="00F138B6">
        <w:t xml:space="preserve"> </w:t>
      </w:r>
      <w:r w:rsidRPr="00F138B6">
        <w:t>must</w:t>
      </w:r>
      <w:r w:rsidR="00F138B6">
        <w:t xml:space="preserve"> </w:t>
      </w:r>
      <w:r w:rsidRPr="00F138B6">
        <w:t>show</w:t>
      </w:r>
      <w:r w:rsidR="00F138B6">
        <w:t xml:space="preserve"> </w:t>
      </w:r>
      <w:r w:rsidRPr="00F138B6">
        <w:t>dilution),</w:t>
      </w:r>
      <w:r w:rsidR="00F138B6">
        <w:t xml:space="preserve"> </w:t>
      </w:r>
      <w:r w:rsidRPr="00F138B6">
        <w:t>while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former</w:t>
      </w:r>
      <w:r w:rsidR="00F138B6">
        <w:t xml:space="preserve"> </w:t>
      </w:r>
      <w:r w:rsidRPr="00F138B6">
        <w:t>implies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actual</w:t>
      </w:r>
      <w:r w:rsidR="00F138B6">
        <w:t xml:space="preserve"> </w:t>
      </w:r>
      <w:r w:rsidRPr="00F138B6">
        <w:t>intent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cause</w:t>
      </w:r>
      <w:r w:rsidR="00F138B6">
        <w:t xml:space="preserve"> </w:t>
      </w:r>
      <w:r w:rsidRPr="00F138B6">
        <w:t>some</w:t>
      </w:r>
      <w:r w:rsidR="00F138B6">
        <w:t xml:space="preserve"> </w:t>
      </w:r>
      <w:r w:rsidRPr="00F138B6">
        <w:t>harm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mark,</w:t>
      </w:r>
      <w:r w:rsidR="00F138B6">
        <w:t xml:space="preserve"> </w:t>
      </w:r>
      <w:r w:rsidRPr="00F138B6">
        <w:t>which</w:t>
      </w:r>
      <w:r w:rsidR="00F138B6">
        <w:t xml:space="preserve"> </w:t>
      </w:r>
      <w:r w:rsidRPr="00F138B6">
        <w:t>may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purpose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free</w:t>
      </w:r>
      <w:r w:rsidR="00F138B6">
        <w:t xml:space="preserve"> </w:t>
      </w:r>
      <w:r w:rsidRPr="00F138B6">
        <w:t>rider.</w:t>
      </w:r>
    </w:p>
    <w:p w14:paraId="1E20FF6A" w14:textId="139973BC" w:rsidR="00F138B6" w:rsidRPr="00F138B6" w:rsidRDefault="00AF6C63" w:rsidP="00F138B6">
      <w:pPr>
        <w:pStyle w:val="BNormal"/>
      </w:pPr>
      <w:r w:rsidRPr="00F138B6">
        <w:t>Almost</w:t>
      </w:r>
      <w:r w:rsidR="00F138B6">
        <w:t xml:space="preserve"> </w:t>
      </w:r>
      <w:proofErr w:type="gramStart"/>
      <w:r w:rsidRPr="00F138B6">
        <w:t>all</w:t>
      </w:r>
      <w:r w:rsidR="00F138B6">
        <w:t xml:space="preserve"> </w:t>
      </w:r>
      <w:r w:rsidRPr="00F138B6">
        <w:t>of</w:t>
      </w:r>
      <w:proofErr w:type="gramEnd"/>
      <w:r w:rsidR="00F138B6">
        <w:t xml:space="preserve"> </w:t>
      </w:r>
      <w:r w:rsidRPr="00F138B6">
        <w:t>these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also</w:t>
      </w:r>
      <w:r w:rsidR="00F138B6">
        <w:t xml:space="preserve"> </w:t>
      </w:r>
      <w:r w:rsidRPr="00F138B6">
        <w:t>make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remedies</w:t>
      </w:r>
      <w:r w:rsidR="00F138B6">
        <w:t xml:space="preserve"> </w:t>
      </w:r>
      <w:r w:rsidRPr="00F138B6">
        <w:t>subject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court’s</w:t>
      </w:r>
      <w:r w:rsidR="00F138B6">
        <w:t xml:space="preserve"> </w:t>
      </w:r>
      <w:r w:rsidRPr="00F138B6">
        <w:t>discretion</w:t>
      </w:r>
      <w:r w:rsidR="00F138B6">
        <w:t xml:space="preserve"> </w:t>
      </w:r>
      <w:r w:rsidRPr="00F138B6">
        <w:t>“and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principles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equity.”</w:t>
      </w:r>
      <w:r w:rsidR="00F138B6" w:rsidRPr="00F138B6">
        <w:rPr>
          <w:vertAlign w:val="superscript"/>
        </w:rPr>
        <w:footnoteReference w:id="54"/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limitation</w:t>
      </w:r>
      <w:r w:rsidR="00F138B6">
        <w:t xml:space="preserve"> </w:t>
      </w:r>
      <w:r w:rsidRPr="00F138B6">
        <w:t>means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automatically</w:t>
      </w:r>
      <w:r w:rsidR="00F138B6">
        <w:t xml:space="preserve"> </w:t>
      </w:r>
      <w:r w:rsidRPr="00F138B6">
        <w:t>awarded,</w:t>
      </w:r>
      <w:r w:rsidR="00F138B6">
        <w:t xml:space="preserve"> </w:t>
      </w:r>
      <w:r w:rsidRPr="00F138B6">
        <w:t>even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cases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willful</w:t>
      </w:r>
      <w:r w:rsidR="00F138B6">
        <w:t xml:space="preserve"> </w:t>
      </w:r>
      <w:r w:rsidRPr="00F138B6">
        <w:t>violations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statute.</w:t>
      </w:r>
    </w:p>
    <w:p w14:paraId="77C6EE40" w14:textId="32D065AA" w:rsidR="00F138B6" w:rsidRPr="00F138B6" w:rsidRDefault="00AF6C63" w:rsidP="00F138B6">
      <w:pPr>
        <w:pStyle w:val="BNormal"/>
      </w:pPr>
      <w:r w:rsidRPr="00F138B6">
        <w:t>The</w:t>
      </w:r>
      <w:r w:rsidR="00F138B6">
        <w:t xml:space="preserve"> </w:t>
      </w:r>
      <w:r w:rsidRPr="00F138B6">
        <w:t>issue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what</w:t>
      </w:r>
      <w:r w:rsidR="00F138B6">
        <w:t xml:space="preserve"> </w:t>
      </w:r>
      <w:r w:rsidRPr="00F138B6">
        <w:t>constitutes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“willful”</w:t>
      </w:r>
      <w:r w:rsidR="00F138B6">
        <w:t xml:space="preserve"> </w:t>
      </w:r>
      <w:r w:rsidRPr="00F138B6">
        <w:t>violation</w:t>
      </w:r>
      <w:r w:rsidR="00F138B6">
        <w:t xml:space="preserve"> </w:t>
      </w:r>
      <w:r w:rsidRPr="00F138B6">
        <w:t>has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yet</w:t>
      </w:r>
      <w:r w:rsidR="00F138B6">
        <w:t xml:space="preserve"> </w:t>
      </w:r>
      <w:r w:rsidRPr="00F138B6">
        <w:t>been</w:t>
      </w:r>
      <w:r w:rsidR="00F138B6">
        <w:t xml:space="preserve"> </w:t>
      </w:r>
      <w:r w:rsidRPr="00F138B6">
        <w:t>litigated</w:t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statutes</w:t>
      </w:r>
      <w:r w:rsidR="00F138B6" w:rsidRPr="00F138B6">
        <w:t>.</w:t>
      </w:r>
      <w:r w:rsidR="00F138B6">
        <w:t xml:space="preserve"> </w:t>
      </w:r>
      <w:r w:rsidR="00F138B6" w:rsidRPr="00F138B6">
        <w:t>H</w:t>
      </w:r>
      <w:r w:rsidRPr="00F138B6">
        <w:t>owever,</w:t>
      </w:r>
      <w:r w:rsidR="00F138B6">
        <w:t xml:space="preserve"> </w:t>
      </w:r>
      <w:r w:rsidRPr="00F138B6">
        <w:t>some</w:t>
      </w:r>
      <w:r w:rsidR="00F138B6">
        <w:t xml:space="preserve"> </w:t>
      </w:r>
      <w:r w:rsidRPr="00F138B6">
        <w:t>federal</w:t>
      </w:r>
      <w:r w:rsidR="00F138B6">
        <w:t xml:space="preserve"> </w:t>
      </w:r>
      <w:r w:rsidRPr="00F138B6">
        <w:t>courts</w:t>
      </w:r>
      <w:r w:rsidR="00F138B6">
        <w:t xml:space="preserve"> </w:t>
      </w:r>
      <w:r w:rsidRPr="00F138B6">
        <w:t>have</w:t>
      </w:r>
      <w:r w:rsidR="00F138B6">
        <w:t xml:space="preserve"> </w:t>
      </w:r>
      <w:r w:rsidRPr="00F138B6">
        <w:t>interpreted</w:t>
      </w:r>
      <w:r w:rsidR="00F138B6">
        <w:t xml:space="preserve"> </w:t>
      </w:r>
      <w:r w:rsidRPr="00F138B6">
        <w:t>Section</w:t>
      </w:r>
      <w:r w:rsidR="00F138B6">
        <w:t xml:space="preserve"> </w:t>
      </w:r>
      <w:r w:rsidRPr="00F138B6">
        <w:t>43(c)(5)</w:t>
      </w:r>
      <w:r w:rsidR="00F138B6">
        <w:t xml:space="preserve"> </w:t>
      </w:r>
      <w:r w:rsidRPr="00F138B6">
        <w:t>(or</w:t>
      </w:r>
      <w:r w:rsidR="00F138B6">
        <w:t xml:space="preserve"> </w:t>
      </w:r>
      <w:r w:rsidRPr="00F138B6">
        <w:t>its</w:t>
      </w:r>
      <w:r w:rsidR="00F138B6">
        <w:t xml:space="preserve"> </w:t>
      </w:r>
      <w:r w:rsidRPr="00F138B6">
        <w:t>predecessor</w:t>
      </w:r>
      <w:r w:rsidR="00F138B6">
        <w:t xml:space="preserve"> </w:t>
      </w:r>
      <w:r w:rsidRPr="00F138B6">
        <w:t>Section</w:t>
      </w:r>
      <w:r w:rsidR="00F138B6">
        <w:t xml:space="preserve"> </w:t>
      </w:r>
      <w:r w:rsidRPr="00F138B6">
        <w:t>43(c)(2)).</w:t>
      </w:r>
      <w:r w:rsidR="00F138B6" w:rsidRPr="00F138B6">
        <w:rPr>
          <w:vertAlign w:val="superscript"/>
        </w:rPr>
        <w:footnoteReference w:id="55"/>
      </w:r>
    </w:p>
    <w:p w14:paraId="46C976B7" w14:textId="73694547" w:rsidR="00F138B6" w:rsidRPr="00F138B6" w:rsidRDefault="00AF6C63" w:rsidP="00F138B6">
      <w:pPr>
        <w:pStyle w:val="BNormal"/>
      </w:pPr>
      <w:r w:rsidRPr="00F138B6">
        <w:t>Under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TDRA,</w:t>
      </w:r>
      <w:r w:rsidR="00F138B6">
        <w:t xml:space="preserve"> </w:t>
      </w:r>
      <w:r w:rsidRPr="00F138B6">
        <w:t>if</w:t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willful</w:t>
      </w:r>
      <w:r w:rsidR="00F138B6">
        <w:t xml:space="preserve"> </w:t>
      </w:r>
      <w:r w:rsidRPr="00F138B6">
        <w:t>conduct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shown,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successful</w:t>
      </w:r>
      <w:r w:rsidR="00F138B6">
        <w:t xml:space="preserve"> </w:t>
      </w:r>
      <w:r w:rsidRPr="00F138B6">
        <w:t>claimant</w:t>
      </w:r>
      <w:r w:rsidR="00F138B6">
        <w:t xml:space="preserve"> </w:t>
      </w:r>
      <w:r w:rsidRPr="00F138B6">
        <w:t>looks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Sections</w:t>
      </w:r>
      <w:r w:rsidR="00F138B6">
        <w:t xml:space="preserve"> </w:t>
      </w:r>
      <w:r w:rsidRPr="00F138B6">
        <w:t>35(a)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36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Lanham</w:t>
      </w:r>
      <w:r w:rsidR="00F138B6">
        <w:t xml:space="preserve"> </w:t>
      </w:r>
      <w:r w:rsidRPr="00F138B6">
        <w:t>Act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details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available</w:t>
      </w:r>
      <w:r w:rsidR="00F138B6">
        <w:t xml:space="preserve"> </w:t>
      </w:r>
      <w:r w:rsidRPr="00F138B6">
        <w:t>relief</w:t>
      </w:r>
      <w:r w:rsidR="00F138B6" w:rsidRPr="00F138B6">
        <w:t>.</w:t>
      </w:r>
      <w:r w:rsidR="00F138B6">
        <w:t xml:space="preserve"> </w:t>
      </w:r>
      <w:r w:rsidR="00F138B6" w:rsidRPr="00F138B6">
        <w:t>W</w:t>
      </w:r>
      <w:r w:rsidRPr="00F138B6">
        <w:t>ith</w:t>
      </w:r>
      <w:r w:rsidR="00F138B6">
        <w:t xml:space="preserve"> </w:t>
      </w:r>
      <w:r w:rsidRPr="00F138B6">
        <w:t>regard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damages,</w:t>
      </w:r>
      <w:r w:rsidR="00F138B6">
        <w:t xml:space="preserve"> </w:t>
      </w:r>
      <w:r w:rsidRPr="00F138B6">
        <w:t>Section</w:t>
      </w:r>
      <w:r w:rsidR="00F138B6">
        <w:t xml:space="preserve"> </w:t>
      </w:r>
      <w:r w:rsidRPr="00F138B6">
        <w:t>35(a)</w:t>
      </w:r>
      <w:r w:rsidR="00F138B6">
        <w:t xml:space="preserve"> </w:t>
      </w:r>
      <w:r w:rsidRPr="00F138B6">
        <w:t>permits</w:t>
      </w:r>
      <w:r w:rsidR="00F138B6">
        <w:t xml:space="preserve"> </w:t>
      </w:r>
      <w:r w:rsidRPr="00F138B6">
        <w:t>recovery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“(1)</w:t>
      </w:r>
      <w:r w:rsidR="00F138B6">
        <w:t xml:space="preserve"> </w:t>
      </w:r>
      <w:r w:rsidRPr="00F138B6">
        <w:t>defendant’s</w:t>
      </w:r>
      <w:r w:rsidR="00F138B6">
        <w:t xml:space="preserve"> </w:t>
      </w:r>
      <w:r w:rsidRPr="00F138B6">
        <w:t>profits,</w:t>
      </w:r>
      <w:r w:rsidR="00F138B6">
        <w:t xml:space="preserve"> </w:t>
      </w:r>
      <w:r w:rsidRPr="00F138B6">
        <w:t>(2)</w:t>
      </w:r>
      <w:r w:rsidR="00F138B6">
        <w:t xml:space="preserve"> </w:t>
      </w:r>
      <w:r w:rsidRPr="00F138B6">
        <w:t>any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sustained</w:t>
      </w:r>
      <w:r w:rsidR="00F138B6">
        <w:t xml:space="preserve"> </w:t>
      </w:r>
      <w:r w:rsidRPr="00F138B6">
        <w:t>by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plaintiff,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(3)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costs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action.”</w:t>
      </w:r>
      <w:r w:rsidR="00F138B6" w:rsidRPr="00F138B6">
        <w:rPr>
          <w:vertAlign w:val="superscript"/>
        </w:rPr>
        <w:footnoteReference w:id="56"/>
      </w:r>
      <w:r w:rsidR="00F138B6">
        <w:t xml:space="preserve"> </w:t>
      </w:r>
      <w:r w:rsidRPr="00F138B6">
        <w:t>Because</w:t>
      </w:r>
      <w:r w:rsidR="00F138B6">
        <w:t xml:space="preserve"> </w:t>
      </w:r>
      <w:r w:rsidRPr="00F138B6">
        <w:t>it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difficult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prove</w:t>
      </w:r>
      <w:r w:rsidR="00F138B6">
        <w:t xml:space="preserve"> </w:t>
      </w:r>
      <w:r w:rsidRPr="00F138B6">
        <w:t>actual</w:t>
      </w:r>
      <w:r w:rsidR="00F138B6">
        <w:t xml:space="preserve"> </w:t>
      </w:r>
      <w:r w:rsidRPr="00F138B6">
        <w:t>damages,</w:t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reduction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sales,</w:t>
      </w:r>
      <w:r w:rsidR="00F138B6">
        <w:t xml:space="preserve"> </w:t>
      </w:r>
      <w:r w:rsidRPr="00F138B6">
        <w:t>it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more</w:t>
      </w:r>
      <w:r w:rsidR="00F138B6">
        <w:t xml:space="preserve"> </w:t>
      </w:r>
      <w:r w:rsidRPr="00F138B6">
        <w:t>likely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profits</w:t>
      </w:r>
      <w:r w:rsidR="00F138B6">
        <w:t xml:space="preserve"> </w:t>
      </w:r>
      <w:r w:rsidRPr="00F138B6">
        <w:t>will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awarded</w:t>
      </w:r>
      <w:r w:rsidR="00F138B6">
        <w:t xml:space="preserve"> </w:t>
      </w:r>
      <w:r w:rsidRPr="00F138B6">
        <w:t>where</w:t>
      </w:r>
      <w:r w:rsidR="00F138B6">
        <w:t xml:space="preserve"> </w:t>
      </w:r>
      <w:r w:rsidRPr="00F138B6">
        <w:t>monetary</w:t>
      </w:r>
      <w:r w:rsidR="00F138B6">
        <w:t xml:space="preserve"> </w:t>
      </w:r>
      <w:r w:rsidRPr="00F138B6">
        <w:t>relief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appropriate.</w:t>
      </w:r>
      <w:r w:rsidR="00F138B6" w:rsidRPr="00F138B6">
        <w:rPr>
          <w:vertAlign w:val="superscript"/>
        </w:rPr>
        <w:footnoteReference w:id="57"/>
      </w:r>
      <w:r w:rsidR="00F138B6">
        <w:t xml:space="preserve"> </w:t>
      </w:r>
      <w:r w:rsidRPr="00F138B6">
        <w:t>Those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permitting</w:t>
      </w:r>
      <w:r w:rsidR="00F138B6">
        <w:t xml:space="preserve"> </w:t>
      </w:r>
      <w:r w:rsidRPr="00F138B6">
        <w:t>damage</w:t>
      </w:r>
      <w:r w:rsidR="00F138B6">
        <w:t xml:space="preserve"> </w:t>
      </w:r>
      <w:r w:rsidRPr="00F138B6">
        <w:t>awards</w:t>
      </w:r>
      <w:r w:rsidR="00F138B6">
        <w:t xml:space="preserve"> </w:t>
      </w:r>
      <w:r w:rsidRPr="00F138B6">
        <w:t>normally</w:t>
      </w:r>
      <w:r w:rsidR="00F138B6">
        <w:t xml:space="preserve"> </w:t>
      </w:r>
      <w:r w:rsidRPr="00F138B6">
        <w:t>refer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entitlement</w:t>
      </w:r>
      <w:r w:rsidR="00F138B6">
        <w:t xml:space="preserve"> </w:t>
      </w:r>
      <w:r w:rsidRPr="00F138B6">
        <w:t>“to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remedies</w:t>
      </w:r>
      <w:r w:rsidR="00F138B6">
        <w:t xml:space="preserve"> </w:t>
      </w:r>
      <w:r w:rsidRPr="00F138B6">
        <w:t>set</w:t>
      </w:r>
      <w:r w:rsidR="00F138B6">
        <w:t xml:space="preserve"> </w:t>
      </w:r>
      <w:r w:rsidRPr="00F138B6">
        <w:t>forth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Act,”</w:t>
      </w:r>
      <w:r w:rsidR="00F138B6" w:rsidRPr="00F138B6">
        <w:rPr>
          <w:vertAlign w:val="superscript"/>
        </w:rPr>
        <w:footnoteReference w:id="58"/>
      </w:r>
      <w:r w:rsidR="00F138B6">
        <w:t xml:space="preserve"> </w:t>
      </w:r>
      <w:r w:rsidRPr="00F138B6">
        <w:t>meaning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remedies</w:t>
      </w:r>
      <w:r w:rsidR="00F138B6">
        <w:t xml:space="preserve"> </w:t>
      </w:r>
      <w:r w:rsidRPr="00F138B6">
        <w:t>prescribed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another</w:t>
      </w:r>
      <w:r w:rsidR="00F138B6">
        <w:t xml:space="preserve"> </w:t>
      </w:r>
      <w:r w:rsidRPr="00F138B6">
        <w:t>part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state’s</w:t>
      </w:r>
      <w:r w:rsidR="00F138B6">
        <w:t xml:space="preserve"> </w:t>
      </w:r>
      <w:r w:rsidRPr="00F138B6">
        <w:t>trademark</w:t>
      </w:r>
      <w:r w:rsidR="00F138B6">
        <w:t xml:space="preserve"> </w:t>
      </w:r>
      <w:r w:rsidRPr="00F138B6">
        <w:t>statute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he</w:t>
      </w:r>
      <w:r w:rsidR="00F138B6">
        <w:t xml:space="preserve"> </w:t>
      </w:r>
      <w:r w:rsidRPr="00F138B6">
        <w:t>remedies</w:t>
      </w:r>
      <w:r w:rsidR="00F138B6">
        <w:t xml:space="preserve"> </w:t>
      </w:r>
      <w:r w:rsidRPr="00F138B6">
        <w:t>sections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1996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2007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Bills,</w:t>
      </w:r>
      <w:r w:rsidR="00F138B6">
        <w:t xml:space="preserve"> </w:t>
      </w:r>
      <w:r w:rsidRPr="00F138B6">
        <w:t>after</w:t>
      </w:r>
      <w:r w:rsidR="00F138B6">
        <w:t xml:space="preserve"> </w:t>
      </w:r>
      <w:r w:rsidRPr="00F138B6">
        <w:t>which</w:t>
      </w:r>
      <w:r w:rsidR="00F138B6">
        <w:t xml:space="preserve"> </w:t>
      </w:r>
      <w:r w:rsidRPr="00F138B6">
        <w:t>most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newer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patterned,</w:t>
      </w:r>
      <w:r w:rsidR="00F138B6">
        <w:t xml:space="preserve"> </w:t>
      </w:r>
      <w:r w:rsidRPr="00F138B6">
        <w:t>permit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award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“all</w:t>
      </w:r>
      <w:r w:rsidR="00F138B6">
        <w:t xml:space="preserve"> </w:t>
      </w:r>
      <w:r w:rsidRPr="00F138B6">
        <w:t>profits</w:t>
      </w:r>
      <w:r w:rsidR="00F138B6">
        <w:t xml:space="preserve"> </w:t>
      </w:r>
      <w:r w:rsidRPr="00F138B6">
        <w:t>derived</w:t>
      </w:r>
      <w:r w:rsidR="00F138B6">
        <w:t xml:space="preserve"> </w:t>
      </w:r>
      <w:r w:rsidRPr="00F138B6">
        <w:t>from</w:t>
      </w:r>
      <w:r w:rsidR="00F138B6">
        <w:t xml:space="preserve"> </w:t>
      </w:r>
      <w:r w:rsidRPr="00F138B6">
        <w:t>and/or</w:t>
      </w:r>
      <w:r w:rsidR="00F138B6">
        <w:t xml:space="preserve"> </w:t>
      </w:r>
      <w:r w:rsidRPr="00F138B6">
        <w:t>all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suffered</w:t>
      </w:r>
      <w:r w:rsidR="00F138B6">
        <w:t xml:space="preserve"> </w:t>
      </w:r>
      <w:r w:rsidRPr="00F138B6">
        <w:t>by</w:t>
      </w:r>
      <w:r w:rsidR="00F138B6">
        <w:t xml:space="preserve"> </w:t>
      </w:r>
      <w:r w:rsidRPr="00F138B6">
        <w:t>reason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[the</w:t>
      </w:r>
      <w:r w:rsidR="00F138B6">
        <w:t xml:space="preserve"> </w:t>
      </w:r>
      <w:r w:rsidRPr="00F138B6">
        <w:t>wrongful</w:t>
      </w:r>
      <w:r w:rsidR="00F138B6">
        <w:t xml:space="preserve"> </w:t>
      </w:r>
      <w:r w:rsidRPr="00F138B6">
        <w:t>conduct].”</w:t>
      </w:r>
      <w:r w:rsidR="00F138B6" w:rsidRPr="00F138B6">
        <w:rPr>
          <w:vertAlign w:val="superscript"/>
        </w:rPr>
        <w:footnoteReference w:id="59"/>
      </w:r>
    </w:p>
    <w:p w14:paraId="4B32C41F" w14:textId="3FF634C4" w:rsidR="00F138B6" w:rsidRPr="00F138B6" w:rsidRDefault="00AF6C63" w:rsidP="00F138B6">
      <w:pPr>
        <w:pStyle w:val="BNormal"/>
      </w:pPr>
      <w:r w:rsidRPr="00F138B6">
        <w:t>There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oddity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Bill’s</w:t>
      </w:r>
      <w:r w:rsidR="00F138B6">
        <w:t xml:space="preserve"> </w:t>
      </w:r>
      <w:r w:rsidRPr="00F138B6">
        <w:t>language,</w:t>
      </w:r>
      <w:r w:rsidR="00F138B6">
        <w:t xml:space="preserve"> </w:t>
      </w:r>
      <w:r w:rsidRPr="00F138B6">
        <w:t>however</w:t>
      </w:r>
      <w:r w:rsidR="00F138B6" w:rsidRPr="00F138B6">
        <w:t>.</w:t>
      </w:r>
      <w:r w:rsidR="00F138B6">
        <w:t xml:space="preserve"> </w:t>
      </w:r>
      <w:r w:rsidR="00F138B6" w:rsidRPr="00F138B6">
        <w:t>B</w:t>
      </w:r>
      <w:r w:rsidRPr="00F138B6">
        <w:t>y</w:t>
      </w:r>
      <w:r w:rsidR="00F138B6">
        <w:t xml:space="preserve"> </w:t>
      </w:r>
      <w:r w:rsidRPr="00F138B6">
        <w:t>its</w:t>
      </w:r>
      <w:r w:rsidR="00F138B6">
        <w:t xml:space="preserve"> </w:t>
      </w:r>
      <w:r w:rsidRPr="00F138B6">
        <w:t>terms,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remedies</w:t>
      </w:r>
      <w:r w:rsidR="00F138B6">
        <w:t xml:space="preserve"> </w:t>
      </w:r>
      <w:r w:rsidRPr="00F138B6">
        <w:t>section</w:t>
      </w:r>
      <w:r w:rsidR="00F138B6">
        <w:t xml:space="preserve"> </w:t>
      </w:r>
      <w:r w:rsidRPr="00F138B6">
        <w:t>applies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“owner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mark</w:t>
      </w:r>
      <w:r w:rsidR="00F138B6">
        <w:t xml:space="preserve"> </w:t>
      </w:r>
      <w:r w:rsidR="00F138B6" w:rsidRPr="00F138B6">
        <w:rPr>
          <w:i/>
        </w:rPr>
        <w:t>registered</w:t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Act.”</w:t>
      </w:r>
      <w:r w:rsidR="00F138B6" w:rsidRPr="00F138B6">
        <w:rPr>
          <w:vertAlign w:val="superscript"/>
        </w:rPr>
        <w:footnoteReference w:id="60"/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most</w:t>
      </w:r>
      <w:r w:rsidR="00F138B6">
        <w:t xml:space="preserve"> </w:t>
      </w:r>
      <w:r w:rsidRPr="00F138B6">
        <w:t>states,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statute</w:t>
      </w:r>
      <w:r w:rsidR="00F138B6">
        <w:t xml:space="preserve"> </w:t>
      </w:r>
      <w:r w:rsidRPr="00F138B6">
        <w:t>does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require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mark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registered</w:t>
      </w:r>
      <w:r w:rsidR="00F138B6">
        <w:t xml:space="preserve"> </w:t>
      </w:r>
      <w:proofErr w:type="gramStart"/>
      <w:r w:rsidRPr="00F138B6">
        <w:t>in</w:t>
      </w:r>
      <w:r w:rsidR="00F138B6">
        <w:t xml:space="preserve"> </w:t>
      </w:r>
      <w:r w:rsidRPr="00F138B6">
        <w:t>order</w:t>
      </w:r>
      <w:r w:rsidR="00F138B6">
        <w:t xml:space="preserve"> </w:t>
      </w:r>
      <w:r w:rsidRPr="00F138B6">
        <w:t>to</w:t>
      </w:r>
      <w:proofErr w:type="gramEnd"/>
      <w:r w:rsidR="00F138B6">
        <w:t xml:space="preserve"> </w:t>
      </w:r>
      <w:r w:rsidRPr="00F138B6">
        <w:t>receive</w:t>
      </w:r>
      <w:r w:rsidR="00F138B6">
        <w:t xml:space="preserve"> </w:t>
      </w:r>
      <w:r w:rsidRPr="00F138B6">
        <w:t>protection.</w:t>
      </w:r>
      <w:r w:rsidR="00F138B6" w:rsidRPr="00F138B6">
        <w:rPr>
          <w:vertAlign w:val="superscript"/>
        </w:rPr>
        <w:footnoteReference w:id="61"/>
      </w:r>
      <w:r w:rsidR="00F138B6">
        <w:t xml:space="preserve"> </w:t>
      </w:r>
      <w:r w:rsidRPr="00F138B6">
        <w:t>(In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Lanham</w:t>
      </w:r>
      <w:r w:rsidR="00F138B6">
        <w:t xml:space="preserve"> </w:t>
      </w:r>
      <w:r w:rsidRPr="00F138B6">
        <w:t>Act,</w:t>
      </w:r>
      <w:r w:rsidR="00F138B6">
        <w:t xml:space="preserve"> </w:t>
      </w:r>
      <w:r w:rsidRPr="00F138B6">
        <w:t>there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specific</w:t>
      </w:r>
      <w:r w:rsidR="00F138B6">
        <w:t xml:space="preserve"> </w:t>
      </w:r>
      <w:r w:rsidRPr="00F138B6">
        <w:t>reference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TDRA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remedies</w:t>
      </w:r>
      <w:r w:rsidR="00F138B6">
        <w:t xml:space="preserve"> </w:t>
      </w:r>
      <w:r w:rsidRPr="00F138B6">
        <w:t>section,</w:t>
      </w:r>
      <w:r w:rsidR="00F138B6">
        <w:t xml:space="preserve"> </w:t>
      </w:r>
      <w:r w:rsidRPr="00F138B6">
        <w:t>so</w:t>
      </w:r>
      <w:r w:rsidR="00F138B6">
        <w:t xml:space="preserve"> </w:t>
      </w:r>
      <w:r w:rsidRPr="00F138B6">
        <w:t>registration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issue</w:t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federal</w:t>
      </w:r>
      <w:r w:rsidR="00F138B6">
        <w:t xml:space="preserve"> </w:t>
      </w:r>
      <w:r w:rsidRPr="00F138B6">
        <w:t>law.)</w:t>
      </w:r>
      <w:r w:rsidR="00F138B6">
        <w:t xml:space="preserve"> </w:t>
      </w:r>
      <w:r w:rsidRPr="00F138B6">
        <w:t>Most</w:t>
      </w:r>
      <w:r w:rsidR="00F138B6">
        <w:t xml:space="preserve"> </w:t>
      </w:r>
      <w:r w:rsidRPr="00F138B6">
        <w:t>likely,</w:t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oversight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drafting</w:t>
      </w:r>
      <w:r w:rsidR="00F138B6" w:rsidRPr="00F138B6">
        <w:t>.</w:t>
      </w:r>
      <w:r w:rsidR="00F138B6">
        <w:t xml:space="preserve"> </w:t>
      </w:r>
      <w:r w:rsidR="00F138B6" w:rsidRPr="00F138B6">
        <w:lastRenderedPageBreak/>
        <w:t>S</w:t>
      </w:r>
      <w:r w:rsidRPr="00F138B6">
        <w:t>ince</w:t>
      </w:r>
      <w:r w:rsidR="00F138B6">
        <w:t xml:space="preserve"> </w:t>
      </w:r>
      <w:r w:rsidRPr="00F138B6">
        <w:t>there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no</w:t>
      </w:r>
      <w:r w:rsidR="00F138B6">
        <w:t xml:space="preserve"> </w:t>
      </w:r>
      <w:r w:rsidRPr="00F138B6">
        <w:t>other</w:t>
      </w:r>
      <w:r w:rsidR="00F138B6">
        <w:t xml:space="preserve"> </w:t>
      </w:r>
      <w:r w:rsidRPr="00F138B6">
        <w:t>remedies</w:t>
      </w:r>
      <w:r w:rsidR="00F138B6">
        <w:t xml:space="preserve"> </w:t>
      </w:r>
      <w:r w:rsidRPr="00F138B6">
        <w:t>section,</w:t>
      </w:r>
      <w:r w:rsidR="00F138B6">
        <w:t xml:space="preserve"> </w:t>
      </w:r>
      <w:r w:rsidRPr="00F138B6">
        <w:t>imposing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registration</w:t>
      </w:r>
      <w:r w:rsidR="00F138B6">
        <w:t xml:space="preserve"> </w:t>
      </w:r>
      <w:r w:rsidRPr="00F138B6">
        <w:t>requirement</w:t>
      </w:r>
      <w:r w:rsidR="00F138B6">
        <w:t xml:space="preserve"> </w:t>
      </w:r>
      <w:r w:rsidRPr="00F138B6">
        <w:t>would</w:t>
      </w:r>
      <w:r w:rsidR="00F138B6">
        <w:t xml:space="preserve"> </w:t>
      </w:r>
      <w:r w:rsidRPr="00F138B6">
        <w:t>make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provision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far</w:t>
      </w:r>
      <w:r w:rsidR="00F138B6">
        <w:t xml:space="preserve"> </w:t>
      </w:r>
      <w:r w:rsidRPr="00F138B6">
        <w:t>more</w:t>
      </w:r>
      <w:r w:rsidR="00F138B6">
        <w:t xml:space="preserve"> </w:t>
      </w:r>
      <w:r w:rsidRPr="00F138B6">
        <w:t>complicated,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perhaps</w:t>
      </w:r>
      <w:r w:rsidR="00F138B6">
        <w:t xml:space="preserve"> </w:t>
      </w:r>
      <w:r w:rsidRPr="00F138B6">
        <w:t>superfluous,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construction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should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favored</w:t>
      </w:r>
      <w:r w:rsidR="00F138B6" w:rsidRPr="00F138B6">
        <w:t>.</w:t>
      </w:r>
      <w:r w:rsidR="00F138B6">
        <w:t xml:space="preserve"> </w:t>
      </w:r>
      <w:r w:rsidR="00F138B6" w:rsidRPr="00F138B6">
        <w:t>H</w:t>
      </w:r>
      <w:r w:rsidRPr="00F138B6">
        <w:t>owever,</w:t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construction,</w:t>
      </w:r>
      <w:r w:rsidR="00F138B6">
        <w:t xml:space="preserve"> </w:t>
      </w:r>
      <w:r w:rsidRPr="00F138B6">
        <w:t>while</w:t>
      </w:r>
      <w:r w:rsidR="00F138B6">
        <w:t xml:space="preserve"> </w:t>
      </w:r>
      <w:r w:rsidRPr="00F138B6">
        <w:t>probably</w:t>
      </w:r>
      <w:r w:rsidR="00F138B6">
        <w:t xml:space="preserve"> </w:t>
      </w:r>
      <w:r w:rsidRPr="00F138B6">
        <w:t>unintended,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irrational,</w:t>
      </w:r>
      <w:r w:rsidR="00F138B6">
        <w:t xml:space="preserve"> </w:t>
      </w:r>
      <w:r w:rsidRPr="00F138B6">
        <w:t>since</w:t>
      </w:r>
      <w:r w:rsidR="00F138B6">
        <w:t xml:space="preserve"> </w:t>
      </w:r>
      <w:r w:rsidRPr="00F138B6">
        <w:t>it</w:t>
      </w:r>
      <w:r w:rsidR="00F138B6">
        <w:t xml:space="preserve"> </w:t>
      </w:r>
      <w:r w:rsidRPr="00F138B6">
        <w:t>could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(though</w:t>
      </w:r>
      <w:r w:rsidR="00F138B6">
        <w:t xml:space="preserve"> </w:t>
      </w:r>
      <w:r w:rsidRPr="00F138B6">
        <w:t>it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unlikely)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legislators</w:t>
      </w:r>
      <w:r w:rsidR="00F138B6">
        <w:t xml:space="preserve"> </w:t>
      </w:r>
      <w:r w:rsidRPr="00F138B6">
        <w:t>wished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encourage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registration.</w:t>
      </w:r>
    </w:p>
    <w:p w14:paraId="6F6993DF" w14:textId="7FB39DF4" w:rsidR="00F138B6" w:rsidRPr="00F138B6" w:rsidRDefault="00AF6C63" w:rsidP="00F138B6">
      <w:pPr>
        <w:pStyle w:val="BNormal"/>
      </w:pPr>
      <w:r w:rsidRPr="00F138B6">
        <w:t>Both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Lanham</w:t>
      </w:r>
      <w:r w:rsidR="00F138B6">
        <w:t xml:space="preserve"> </w:t>
      </w:r>
      <w:r w:rsidRPr="00F138B6">
        <w:t>Act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permit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enhancement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award</w:t>
      </w:r>
      <w:r w:rsidR="00F138B6">
        <w:t xml:space="preserve"> </w:t>
      </w:r>
      <w:r w:rsidRPr="00F138B6">
        <w:t>beyond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ordinary</w:t>
      </w:r>
      <w:r w:rsidR="00F138B6">
        <w:t xml:space="preserve"> </w:t>
      </w:r>
      <w:r w:rsidRPr="00F138B6">
        <w:t>compensatory</w:t>
      </w:r>
      <w:r w:rsidR="00F138B6">
        <w:t xml:space="preserve"> </w:t>
      </w:r>
      <w:r w:rsidRPr="00F138B6">
        <w:t>measures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profits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actual</w:t>
      </w:r>
      <w:r w:rsidR="00F138B6">
        <w:t xml:space="preserve"> </w:t>
      </w:r>
      <w:r w:rsidRPr="00F138B6">
        <w:t>damages</w:t>
      </w:r>
      <w:r w:rsidR="00F138B6" w:rsidRPr="00F138B6">
        <w:t>.</w:t>
      </w:r>
      <w:r w:rsidR="00F138B6">
        <w:t xml:space="preserve"> </w:t>
      </w:r>
      <w:r w:rsidR="00F138B6" w:rsidRPr="00F138B6">
        <w:t>I</w:t>
      </w:r>
      <w:r w:rsidRPr="00F138B6">
        <w:t>n</w:t>
      </w:r>
      <w:r w:rsidR="00F138B6">
        <w:t xml:space="preserve"> </w:t>
      </w:r>
      <w:r w:rsidRPr="00F138B6">
        <w:t>cases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actual</w:t>
      </w:r>
      <w:r w:rsidR="00F138B6">
        <w:t xml:space="preserve"> </w:t>
      </w:r>
      <w:r w:rsidRPr="00F138B6">
        <w:t>damages,</w:t>
      </w:r>
      <w:r w:rsidR="00F138B6">
        <w:t xml:space="preserve"> </w:t>
      </w:r>
      <w:r w:rsidRPr="00F138B6">
        <w:t>Section</w:t>
      </w:r>
      <w:r w:rsidR="00F138B6">
        <w:t xml:space="preserve"> </w:t>
      </w:r>
      <w:r w:rsidRPr="00F138B6">
        <w:t>35(a)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Lanham</w:t>
      </w:r>
      <w:r w:rsidR="00F138B6">
        <w:t xml:space="preserve"> </w:t>
      </w:r>
      <w:r w:rsidRPr="00F138B6">
        <w:t>Act</w:t>
      </w:r>
      <w:r w:rsidR="00F138B6">
        <w:t xml:space="preserve"> </w:t>
      </w:r>
      <w:r w:rsidRPr="00F138B6">
        <w:t>authorizes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enhancement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award</w:t>
      </w:r>
      <w:r w:rsidR="00F138B6">
        <w:t xml:space="preserve"> </w:t>
      </w:r>
      <w:r w:rsidRPr="00F138B6">
        <w:t>up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judgment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three</w:t>
      </w:r>
      <w:r w:rsidR="00F138B6">
        <w:t xml:space="preserve"> </w:t>
      </w:r>
      <w:r w:rsidRPr="00F138B6">
        <w:t>times</w:t>
      </w:r>
      <w:r w:rsidR="00F138B6">
        <w:t xml:space="preserve"> </w:t>
      </w:r>
      <w:r w:rsidRPr="00F138B6">
        <w:t>the</w:t>
      </w:r>
      <w:r w:rsidR="00F138B6">
        <w:t xml:space="preserve"> </w:t>
      </w:r>
      <w:proofErr w:type="gramStart"/>
      <w:r w:rsidRPr="00F138B6">
        <w:t>amount</w:t>
      </w:r>
      <w:proofErr w:type="gramEnd"/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actual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found</w:t>
      </w:r>
      <w:r w:rsidR="00F138B6" w:rsidRPr="00F138B6">
        <w:t>.</w:t>
      </w:r>
      <w:r w:rsidR="00F138B6">
        <w:t xml:space="preserve"> </w:t>
      </w:r>
      <w:r w:rsidR="00F138B6" w:rsidRPr="00F138B6">
        <w:t>I</w:t>
      </w:r>
      <w:r w:rsidRPr="00F138B6">
        <w:t>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case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award</w:t>
      </w:r>
      <w:r w:rsidR="00F138B6">
        <w:t xml:space="preserve"> </w:t>
      </w:r>
      <w:r w:rsidRPr="00F138B6">
        <w:t>based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profits,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statute</w:t>
      </w:r>
      <w:r w:rsidR="00F138B6">
        <w:t xml:space="preserve"> </w:t>
      </w:r>
      <w:r w:rsidRPr="00F138B6">
        <w:t>permits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“in</w:t>
      </w:r>
      <w:r w:rsidR="00F138B6">
        <w:t xml:space="preserve"> </w:t>
      </w:r>
      <w:r w:rsidRPr="00F138B6">
        <w:t>its</w:t>
      </w:r>
      <w:r w:rsidR="00F138B6">
        <w:t xml:space="preserve"> </w:t>
      </w:r>
      <w:r w:rsidRPr="00F138B6">
        <w:t>discretion</w:t>
      </w:r>
      <w:r w:rsidR="00F138B6">
        <w:t xml:space="preserve"> </w:t>
      </w:r>
      <w:r w:rsidRPr="00F138B6">
        <w:t>[to]</w:t>
      </w:r>
      <w:r w:rsidR="00F138B6">
        <w:t xml:space="preserve"> </w:t>
      </w:r>
      <w:r w:rsidRPr="00F138B6">
        <w:t>enter</w:t>
      </w:r>
      <w:r w:rsidR="00F138B6">
        <w:t xml:space="preserve"> </w:t>
      </w:r>
      <w:r w:rsidRPr="00F138B6">
        <w:t>judgment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sum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shall</w:t>
      </w:r>
      <w:r w:rsidR="00F138B6">
        <w:t xml:space="preserve"> </w:t>
      </w:r>
      <w:r w:rsidRPr="00F138B6">
        <w:t>find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just,</w:t>
      </w:r>
      <w:r w:rsidR="00F138B6">
        <w:t xml:space="preserve"> </w:t>
      </w:r>
      <w:r w:rsidRPr="00F138B6">
        <w:t>according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circumstances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case.”</w:t>
      </w:r>
      <w:r w:rsidR="00F138B6">
        <w:t xml:space="preserve"> </w:t>
      </w:r>
      <w:r w:rsidRPr="00F138B6">
        <w:t>However,</w:t>
      </w:r>
      <w:r w:rsidR="00F138B6">
        <w:t xml:space="preserve"> </w:t>
      </w:r>
      <w:r w:rsidRPr="00F138B6">
        <w:t>Section</w:t>
      </w:r>
      <w:r w:rsidR="00F138B6">
        <w:t xml:space="preserve"> </w:t>
      </w:r>
      <w:r w:rsidRPr="00F138B6">
        <w:t>35(a)</w:t>
      </w:r>
      <w:r w:rsidR="00F138B6">
        <w:t xml:space="preserve"> </w:t>
      </w:r>
      <w:r w:rsidRPr="00F138B6">
        <w:t>contains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limitation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both</w:t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enhancements</w:t>
      </w:r>
      <w:r w:rsidR="00F138B6" w:rsidRPr="00F138B6">
        <w:t>:</w:t>
      </w:r>
      <w:r w:rsidR="00F138B6">
        <w:t xml:space="preserve"> </w:t>
      </w:r>
      <w:r w:rsidR="00F138B6" w:rsidRPr="00F138B6">
        <w:t>“</w:t>
      </w:r>
      <w:r w:rsidRPr="00F138B6">
        <w:t>Such</w:t>
      </w:r>
      <w:r w:rsidR="00F138B6">
        <w:t xml:space="preserve"> </w:t>
      </w:r>
      <w:r w:rsidRPr="00F138B6">
        <w:t>sum</w:t>
      </w:r>
      <w:r w:rsidR="00F138B6">
        <w:t xml:space="preserve"> </w:t>
      </w:r>
      <w:r w:rsidRPr="00F138B6">
        <w:t>…</w:t>
      </w:r>
      <w:r w:rsidR="00F138B6">
        <w:t xml:space="preserve"> </w:t>
      </w:r>
      <w:r w:rsidRPr="00F138B6">
        <w:t>shall</w:t>
      </w:r>
      <w:r w:rsidR="00F138B6">
        <w:t xml:space="preserve"> </w:t>
      </w:r>
      <w:r w:rsidRPr="00F138B6">
        <w:t>constitute</w:t>
      </w:r>
      <w:r w:rsidR="00F138B6">
        <w:t xml:space="preserve"> </w:t>
      </w:r>
      <w:r w:rsidRPr="00F138B6">
        <w:t>compensation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penalty.”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only</w:t>
      </w:r>
      <w:r w:rsidR="00F138B6">
        <w:t xml:space="preserve"> </w:t>
      </w:r>
      <w:r w:rsidRPr="00F138B6">
        <w:t>does</w:t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mean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punitive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authorized,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view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some</w:t>
      </w:r>
      <w:r w:rsidR="00F138B6">
        <w:t xml:space="preserve"> </w:t>
      </w:r>
      <w:r w:rsidRPr="00F138B6">
        <w:t>courts</w:t>
      </w:r>
      <w:r w:rsidR="00F138B6">
        <w:t xml:space="preserve"> </w:t>
      </w:r>
      <w:r w:rsidRPr="00F138B6">
        <w:t>it</w:t>
      </w:r>
      <w:r w:rsidR="00F138B6">
        <w:t xml:space="preserve"> </w:t>
      </w:r>
      <w:r w:rsidRPr="00F138B6">
        <w:t>limits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enhancements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situations</w:t>
      </w:r>
      <w:r w:rsidR="00F138B6">
        <w:t xml:space="preserve"> </w:t>
      </w:r>
      <w:r w:rsidRPr="00F138B6">
        <w:t>where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enhancements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made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adjust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unusual</w:t>
      </w:r>
      <w:r w:rsidR="00F138B6">
        <w:t xml:space="preserve"> </w:t>
      </w:r>
      <w:r w:rsidRPr="00F138B6">
        <w:t>problems,</w:t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uncertainty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damages.</w:t>
      </w:r>
      <w:r w:rsidR="00F138B6" w:rsidRPr="00F138B6">
        <w:rPr>
          <w:vertAlign w:val="superscript"/>
        </w:rPr>
        <w:footnoteReference w:id="62"/>
      </w:r>
    </w:p>
    <w:p w14:paraId="76E07E11" w14:textId="31D5D4A9" w:rsidR="00F138B6" w:rsidRPr="00F138B6" w:rsidRDefault="00AF6C63" w:rsidP="00F138B6">
      <w:pPr>
        <w:pStyle w:val="BNormal"/>
      </w:pPr>
      <w:r w:rsidRPr="00F138B6">
        <w:t>The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patterned</w:t>
      </w:r>
      <w:r w:rsidR="00F138B6">
        <w:t xml:space="preserve"> </w:t>
      </w:r>
      <w:r w:rsidRPr="00F138B6">
        <w:t>after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1992,</w:t>
      </w:r>
      <w:r w:rsidR="00F138B6">
        <w:t xml:space="preserve"> </w:t>
      </w:r>
      <w:r w:rsidRPr="00F138B6">
        <w:t>1996,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2007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Bills</w:t>
      </w:r>
      <w:r w:rsidR="00F138B6">
        <w:t xml:space="preserve"> </w:t>
      </w:r>
      <w:r w:rsidRPr="00F138B6">
        <w:t>provide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enhancement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well</w:t>
      </w:r>
      <w:r w:rsidR="00F138B6" w:rsidRPr="00F138B6">
        <w:t>.</w:t>
      </w:r>
      <w:r w:rsidR="00F138B6">
        <w:t xml:space="preserve"> </w:t>
      </w:r>
      <w:r w:rsidR="00F138B6" w:rsidRPr="00F138B6">
        <w:t>L</w:t>
      </w:r>
      <w:r w:rsidRPr="00F138B6">
        <w:t>ike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Lanham</w:t>
      </w:r>
      <w:r w:rsidR="00F138B6">
        <w:t xml:space="preserve"> </w:t>
      </w:r>
      <w:r w:rsidRPr="00F138B6">
        <w:t>Act,</w:t>
      </w:r>
      <w:r w:rsidR="00F138B6">
        <w:t xml:space="preserve"> </w:t>
      </w:r>
      <w:r w:rsidRPr="00F138B6">
        <w:t>they</w:t>
      </w:r>
      <w:r w:rsidR="00F138B6">
        <w:t xml:space="preserve"> </w:t>
      </w:r>
      <w:r w:rsidRPr="00F138B6">
        <w:t>authorize</w:t>
      </w:r>
      <w:r w:rsidR="00F138B6">
        <w:t xml:space="preserve"> </w:t>
      </w:r>
      <w:r w:rsidRPr="00F138B6">
        <w:t>entry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judgment</w:t>
      </w:r>
      <w:r w:rsidR="00F138B6">
        <w:t xml:space="preserve"> </w:t>
      </w:r>
      <w:r w:rsidRPr="00F138B6">
        <w:t>“for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amount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exceed</w:t>
      </w:r>
      <w:r w:rsidR="00F138B6">
        <w:t xml:space="preserve"> </w:t>
      </w:r>
      <w:r w:rsidRPr="00F138B6">
        <w:t>three</w:t>
      </w:r>
      <w:r w:rsidR="00F138B6">
        <w:t xml:space="preserve"> </w:t>
      </w:r>
      <w:r w:rsidRPr="00F138B6">
        <w:t>times</w:t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profits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…</w:t>
      </w:r>
      <w:r w:rsidR="00F138B6">
        <w:t xml:space="preserve"> </w:t>
      </w:r>
      <w:r w:rsidRPr="00F138B6">
        <w:t>.”</w:t>
      </w:r>
      <w:r w:rsidR="00F138B6" w:rsidRPr="00F138B6">
        <w:rPr>
          <w:vertAlign w:val="superscript"/>
        </w:rPr>
        <w:footnoteReference w:id="63"/>
      </w:r>
      <w:r w:rsidR="00F138B6">
        <w:t xml:space="preserve"> </w:t>
      </w:r>
      <w:r w:rsidRPr="00F138B6">
        <w:t>Unlike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Lanham</w:t>
      </w:r>
      <w:r w:rsidR="00F138B6">
        <w:t xml:space="preserve"> </w:t>
      </w:r>
      <w:r w:rsidRPr="00F138B6">
        <w:t>Act,</w:t>
      </w:r>
      <w:r w:rsidR="00F138B6">
        <w:t xml:space="preserve"> </w:t>
      </w:r>
      <w:r w:rsidRPr="00F138B6">
        <w:t>these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contain</w:t>
      </w:r>
      <w:r w:rsidR="00F138B6">
        <w:t xml:space="preserve"> </w:t>
      </w:r>
      <w:r w:rsidRPr="00F138B6">
        <w:t>no</w:t>
      </w:r>
      <w:r w:rsidR="00F138B6">
        <w:t xml:space="preserve"> </w:t>
      </w:r>
      <w:r w:rsidRPr="00F138B6">
        <w:t>requirement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enhancement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“compensation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penalty.”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fact,</w:t>
      </w:r>
      <w:r w:rsidR="00F138B6">
        <w:t xml:space="preserve"> </w:t>
      </w:r>
      <w:r w:rsidRPr="00F138B6">
        <w:t>they</w:t>
      </w:r>
      <w:r w:rsidR="00F138B6">
        <w:t xml:space="preserve"> </w:t>
      </w:r>
      <w:r w:rsidRPr="00F138B6">
        <w:t>permit</w:t>
      </w:r>
      <w:r w:rsidR="00F138B6">
        <w:t xml:space="preserve"> </w:t>
      </w:r>
      <w:r w:rsidRPr="00F138B6">
        <w:t>enhancement</w:t>
      </w:r>
      <w:r w:rsidR="00F138B6">
        <w:t xml:space="preserve"> </w:t>
      </w:r>
      <w:r w:rsidRPr="00F138B6">
        <w:t>only</w:t>
      </w:r>
      <w:r w:rsidR="00F138B6">
        <w:t xml:space="preserve"> </w:t>
      </w:r>
      <w:r w:rsidRPr="00F138B6">
        <w:t>where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losing</w:t>
      </w:r>
      <w:r w:rsidR="00F138B6">
        <w:t xml:space="preserve"> </w:t>
      </w:r>
      <w:r w:rsidRPr="00F138B6">
        <w:t>party</w:t>
      </w:r>
      <w:r w:rsidR="00F138B6">
        <w:t xml:space="preserve"> </w:t>
      </w:r>
      <w:r w:rsidRPr="00F138B6">
        <w:t>acted</w:t>
      </w:r>
      <w:r w:rsidR="00F138B6">
        <w:t xml:space="preserve"> </w:t>
      </w:r>
      <w:r w:rsidRPr="00F138B6">
        <w:t>“with</w:t>
      </w:r>
      <w:r w:rsidR="00F138B6">
        <w:t xml:space="preserve"> </w:t>
      </w:r>
      <w:r w:rsidRPr="00F138B6">
        <w:t>knowledge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bad</w:t>
      </w:r>
      <w:r w:rsidR="00F138B6">
        <w:t xml:space="preserve"> </w:t>
      </w:r>
      <w:r w:rsidRPr="00F138B6">
        <w:t>faith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otherwise</w:t>
      </w:r>
      <w:r w:rsidR="00F138B6">
        <w:t xml:space="preserve"> </w:t>
      </w:r>
      <w:r w:rsidRPr="00F138B6">
        <w:t>according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circumstances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case.”</w:t>
      </w:r>
      <w:r w:rsidR="00F138B6" w:rsidRPr="00F138B6">
        <w:rPr>
          <w:vertAlign w:val="superscript"/>
        </w:rPr>
        <w:footnoteReference w:id="64"/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lastRenderedPageBreak/>
        <w:t>language</w:t>
      </w:r>
      <w:r w:rsidR="00F138B6">
        <w:t xml:space="preserve"> </w:t>
      </w:r>
      <w:r w:rsidRPr="00F138B6">
        <w:t>indicates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enhancements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perceived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punitive</w:t>
      </w:r>
      <w:r w:rsidR="00F138B6">
        <w:t xml:space="preserve"> </w:t>
      </w:r>
      <w:r w:rsidRPr="00F138B6">
        <w:t>damages,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compensation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he</w:t>
      </w:r>
      <w:r w:rsidR="00F138B6">
        <w:t xml:space="preserve"> </w:t>
      </w:r>
      <w:r w:rsidRPr="00F138B6">
        <w:t>Alaska</w:t>
      </w:r>
      <w:r w:rsidR="00F138B6">
        <w:t xml:space="preserve"> </w:t>
      </w:r>
      <w:r w:rsidRPr="00F138B6">
        <w:t>statute</w:t>
      </w:r>
      <w:r w:rsidR="00F138B6">
        <w:t xml:space="preserve"> </w:t>
      </w:r>
      <w:r w:rsidRPr="00F138B6">
        <w:t>goes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step</w:t>
      </w:r>
      <w:r w:rsidR="00F138B6">
        <w:t xml:space="preserve"> </w:t>
      </w:r>
      <w:r w:rsidRPr="00F138B6">
        <w:t>further,</w:t>
      </w:r>
      <w:r w:rsidR="00F138B6">
        <w:t xml:space="preserve"> </w:t>
      </w:r>
      <w:r w:rsidRPr="00F138B6">
        <w:t>specifically</w:t>
      </w:r>
      <w:r w:rsidR="00F138B6">
        <w:t xml:space="preserve"> </w:t>
      </w:r>
      <w:r w:rsidRPr="00F138B6">
        <w:t>authorizing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“</w:t>
      </w:r>
      <w:r w:rsidR="00F138B6" w:rsidRPr="00F138B6">
        <w:rPr>
          <w:i/>
        </w:rPr>
        <w:t>also</w:t>
      </w:r>
      <w:r w:rsidR="00F138B6">
        <w:t xml:space="preserve"> </w:t>
      </w:r>
      <w:r w:rsidRPr="00F138B6">
        <w:t>enter</w:t>
      </w:r>
      <w:r w:rsidR="00F138B6">
        <w:t xml:space="preserve"> </w:t>
      </w:r>
      <w:r w:rsidRPr="00F138B6">
        <w:t>judgment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punitive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amount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exceed</w:t>
      </w:r>
      <w:r w:rsidR="00F138B6">
        <w:t xml:space="preserve"> </w:t>
      </w:r>
      <w:r w:rsidRPr="00F138B6">
        <w:t>three</w:t>
      </w:r>
      <w:r w:rsidR="00F138B6">
        <w:t xml:space="preserve"> </w:t>
      </w:r>
      <w:r w:rsidRPr="00F138B6">
        <w:t>times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profits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damages.”</w:t>
      </w:r>
      <w:r w:rsidR="00F138B6" w:rsidRPr="00F138B6">
        <w:rPr>
          <w:vertAlign w:val="superscript"/>
        </w:rPr>
        <w:footnoteReference w:id="65"/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makes</w:t>
      </w:r>
      <w:r w:rsidR="00F138B6">
        <w:t xml:space="preserve"> </w:t>
      </w:r>
      <w:r w:rsidRPr="00F138B6">
        <w:t>it</w:t>
      </w:r>
      <w:r w:rsidR="00F138B6">
        <w:t xml:space="preserve"> </w:t>
      </w:r>
      <w:r w:rsidRPr="00F138B6">
        <w:t>clear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punitive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award</w:t>
      </w:r>
      <w:r w:rsidR="00F138B6">
        <w:t xml:space="preserve"> </w:t>
      </w:r>
      <w:r w:rsidRPr="00F138B6">
        <w:t>stands</w:t>
      </w:r>
      <w:r w:rsidR="00F138B6">
        <w:t xml:space="preserve"> </w:t>
      </w:r>
      <w:r w:rsidRPr="00F138B6">
        <w:t>apart</w:t>
      </w:r>
      <w:r w:rsidR="00F138B6">
        <w:t xml:space="preserve"> </w:t>
      </w:r>
      <w:r w:rsidRPr="00F138B6">
        <w:t>from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compensatory</w:t>
      </w:r>
      <w:r w:rsidR="00F138B6">
        <w:t xml:space="preserve"> </w:t>
      </w:r>
      <w:r w:rsidRPr="00F138B6">
        <w:t>and,</w:t>
      </w:r>
      <w:r w:rsidR="00F138B6">
        <w:t xml:space="preserve"> </w:t>
      </w:r>
      <w:r w:rsidR="00F138B6" w:rsidRPr="00F138B6">
        <w:rPr>
          <w:i/>
        </w:rPr>
        <w:t>by</w:t>
      </w:r>
      <w:r w:rsidR="00F138B6">
        <w:rPr>
          <w:i/>
        </w:rPr>
        <w:t xml:space="preserve"> </w:t>
      </w:r>
      <w:r w:rsidR="00F138B6" w:rsidRPr="00F138B6">
        <w:rPr>
          <w:i/>
        </w:rPr>
        <w:t>itself</w:t>
      </w:r>
      <w:r w:rsidRPr="00F138B6">
        <w:t>,</w:t>
      </w:r>
      <w:r w:rsidR="00F138B6">
        <w:t xml:space="preserve"> </w:t>
      </w:r>
      <w:r w:rsidRPr="00F138B6">
        <w:t>can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up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three</w:t>
      </w:r>
      <w:r w:rsidR="00F138B6">
        <w:t xml:space="preserve"> </w:t>
      </w:r>
      <w:r w:rsidRPr="00F138B6">
        <w:t>times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compensatory</w:t>
      </w:r>
      <w:r w:rsidR="00F138B6">
        <w:t xml:space="preserve"> </w:t>
      </w:r>
      <w:r w:rsidRPr="00F138B6">
        <w:t>amount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hese</w:t>
      </w:r>
      <w:r w:rsidR="00F138B6">
        <w:t xml:space="preserve"> </w:t>
      </w:r>
      <w:r w:rsidRPr="00F138B6">
        <w:t>enhancements</w:t>
      </w:r>
      <w:r w:rsidR="00F138B6">
        <w:t xml:space="preserve"> </w:t>
      </w:r>
      <w:r w:rsidRPr="00F138B6">
        <w:t>should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automatic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even</w:t>
      </w:r>
      <w:r w:rsidR="00F138B6">
        <w:t xml:space="preserve"> </w:t>
      </w:r>
      <w:r w:rsidRPr="00F138B6">
        <w:t>“willful”</w:t>
      </w:r>
      <w:r w:rsidR="00F138B6">
        <w:t xml:space="preserve"> </w:t>
      </w:r>
      <w:r w:rsidRPr="00F138B6">
        <w:t>violations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statutes</w:t>
      </w:r>
      <w:r w:rsidR="00F138B6" w:rsidRPr="00F138B6">
        <w:t>.</w:t>
      </w:r>
      <w:r w:rsidR="00F138B6">
        <w:t xml:space="preserve"> </w:t>
      </w:r>
      <w:r w:rsidR="00F138B6" w:rsidRPr="00F138B6">
        <w:t>“</w:t>
      </w:r>
      <w:r w:rsidRPr="00F138B6">
        <w:t>Bad</w:t>
      </w:r>
      <w:r w:rsidR="00F138B6">
        <w:t xml:space="preserve"> </w:t>
      </w:r>
      <w:r w:rsidRPr="00F138B6">
        <w:t>faith”</w:t>
      </w:r>
      <w:r w:rsidR="00F138B6">
        <w:t xml:space="preserve"> </w:t>
      </w:r>
      <w:r w:rsidRPr="00F138B6">
        <w:t>should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limited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most</w:t>
      </w:r>
      <w:r w:rsidR="00F138B6">
        <w:t xml:space="preserve"> </w:t>
      </w:r>
      <w:r w:rsidRPr="00F138B6">
        <w:t>egregious</w:t>
      </w:r>
      <w:r w:rsidR="00F138B6">
        <w:t xml:space="preserve"> </w:t>
      </w:r>
      <w:r w:rsidRPr="00F138B6">
        <w:t>situations,</w:t>
      </w:r>
      <w:r w:rsidR="00F138B6">
        <w:t xml:space="preserve"> </w:t>
      </w:r>
      <w:r w:rsidRPr="00F138B6">
        <w:t>where</w:t>
      </w:r>
      <w:r w:rsidR="00F138B6">
        <w:t xml:space="preserve"> </w:t>
      </w:r>
      <w:r w:rsidRPr="00F138B6">
        <w:t>harm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intended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virtually</w:t>
      </w:r>
      <w:r w:rsidR="00F138B6">
        <w:t xml:space="preserve"> </w:t>
      </w:r>
      <w:r w:rsidRPr="00F138B6">
        <w:t>certain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occur.</w:t>
      </w:r>
    </w:p>
    <w:p w14:paraId="0F60ABDF" w14:textId="2952FB7C" w:rsidR="00F138B6" w:rsidRPr="00F138B6" w:rsidRDefault="003E2EA3" w:rsidP="003E2EA3">
      <w:pPr>
        <w:pStyle w:val="BHead2"/>
      </w:pPr>
      <w:r>
        <w:t>5.III.</w:t>
      </w:r>
      <w:r w:rsidR="00F138B6" w:rsidRPr="003E2EA3">
        <w:rPr>
          <w:rStyle w:val="BBNAidChar"/>
          <w:rFonts w:eastAsiaTheme="majorEastAsia"/>
        </w:rPr>
        <w:t>B</w:t>
      </w:r>
      <w:r w:rsidR="00F138B6" w:rsidRPr="00F138B6">
        <w:t>.</w:t>
      </w:r>
      <w:r>
        <w:t> </w:t>
      </w:r>
      <w:r w:rsidR="00F138B6" w:rsidRPr="00F138B6">
        <w:tab/>
        <w:t>Other</w:t>
      </w:r>
      <w:r w:rsidR="00F138B6">
        <w:t xml:space="preserve"> </w:t>
      </w:r>
      <w:r w:rsidR="00F138B6" w:rsidRPr="00F138B6">
        <w:t>Forms</w:t>
      </w:r>
      <w:r w:rsidR="00F138B6">
        <w:t xml:space="preserve"> </w:t>
      </w:r>
      <w:r w:rsidR="00F138B6" w:rsidRPr="00F138B6">
        <w:t>of</w:t>
      </w:r>
      <w:r w:rsidR="00F138B6">
        <w:t xml:space="preserve"> </w:t>
      </w:r>
      <w:r w:rsidR="00F138B6" w:rsidRPr="00F138B6">
        <w:t>Relief</w:t>
      </w:r>
    </w:p>
    <w:p w14:paraId="10D2D888" w14:textId="51C5E1DA" w:rsidR="00F138B6" w:rsidRPr="00F138B6" w:rsidRDefault="00AF6C63" w:rsidP="00F138B6">
      <w:pPr>
        <w:pStyle w:val="BNormal"/>
      </w:pPr>
      <w:r w:rsidRPr="00F138B6">
        <w:t>Section</w:t>
      </w:r>
      <w:r w:rsidR="00F138B6">
        <w:t xml:space="preserve"> </w:t>
      </w:r>
      <w:r w:rsidRPr="00F138B6">
        <w:t>36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Lanham</w:t>
      </w:r>
      <w:r w:rsidR="00F138B6">
        <w:t xml:space="preserve"> </w:t>
      </w:r>
      <w:r w:rsidRPr="00F138B6">
        <w:t>Act</w:t>
      </w:r>
      <w:r w:rsidR="00F138B6">
        <w:t xml:space="preserve"> </w:t>
      </w:r>
      <w:r w:rsidRPr="00F138B6">
        <w:t>permits</w:t>
      </w:r>
      <w:r w:rsidR="00F138B6">
        <w:t xml:space="preserve"> </w:t>
      </w:r>
      <w:r w:rsidRPr="00F138B6">
        <w:t>other</w:t>
      </w:r>
      <w:r w:rsidR="00F138B6">
        <w:t xml:space="preserve"> </w:t>
      </w:r>
      <w:r w:rsidRPr="00F138B6">
        <w:t>forms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nonmonetary</w:t>
      </w:r>
      <w:r w:rsidR="00F138B6">
        <w:t xml:space="preserve"> </w:t>
      </w:r>
      <w:r w:rsidRPr="00F138B6">
        <w:t>relief,</w:t>
      </w:r>
      <w:r w:rsidR="00F138B6">
        <w:t xml:space="preserve"> </w:t>
      </w:r>
      <w:r w:rsidRPr="00F138B6">
        <w:t>namely,</w:t>
      </w:r>
      <w:r w:rsidR="00F138B6">
        <w:t xml:space="preserve"> </w:t>
      </w:r>
      <w:r w:rsidRPr="00F138B6">
        <w:t>destruction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infringing</w:t>
      </w:r>
      <w:r w:rsidR="00F138B6">
        <w:t xml:space="preserve"> </w:t>
      </w:r>
      <w:r w:rsidRPr="00F138B6">
        <w:t>articles.</w:t>
      </w:r>
      <w:r w:rsidR="00F138B6" w:rsidRPr="00F138B6">
        <w:rPr>
          <w:vertAlign w:val="superscript"/>
        </w:rPr>
        <w:footnoteReference w:id="66"/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remedy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also</w:t>
      </w:r>
      <w:r w:rsidR="00F138B6">
        <w:t xml:space="preserve"> </w:t>
      </w:r>
      <w:r w:rsidRPr="00F138B6">
        <w:t>available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cases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willful</w:t>
      </w:r>
      <w:r w:rsidR="00F138B6">
        <w:t xml:space="preserve"> </w:t>
      </w:r>
      <w:r w:rsidRPr="00F138B6">
        <w:t>dilution</w:t>
      </w:r>
      <w:r w:rsidR="00F138B6" w:rsidRPr="00F138B6">
        <w:t>.</w:t>
      </w:r>
      <w:r w:rsidR="00F138B6">
        <w:t xml:space="preserve"> </w:t>
      </w:r>
      <w:r w:rsidR="00F138B6" w:rsidRPr="00F138B6">
        <w:t>S</w:t>
      </w:r>
      <w:r w:rsidRPr="00F138B6">
        <w:t>tate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based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newer</w:t>
      </w:r>
      <w:r w:rsidR="00F138B6">
        <w:t xml:space="preserve"> </w:t>
      </w:r>
      <w:r w:rsidRPr="00F138B6">
        <w:t>versions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</w:t>
      </w:r>
      <w:r w:rsidR="00F138B6">
        <w:t xml:space="preserve"> </w:t>
      </w:r>
      <w:r w:rsidRPr="00F138B6">
        <w:t>also</w:t>
      </w:r>
      <w:r w:rsidR="00F138B6">
        <w:t xml:space="preserve"> </w:t>
      </w:r>
      <w:r w:rsidRPr="00F138B6">
        <w:t>contain</w:t>
      </w:r>
      <w:r w:rsidR="00F138B6">
        <w:t xml:space="preserve"> </w:t>
      </w:r>
      <w:r w:rsidRPr="00F138B6">
        <w:t>provisions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destruction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“counterfeits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imitations.”</w:t>
      </w:r>
      <w:r w:rsidR="00F138B6" w:rsidRPr="00F138B6">
        <w:rPr>
          <w:vertAlign w:val="superscript"/>
        </w:rPr>
        <w:footnoteReference w:id="67"/>
      </w:r>
      <w:r w:rsidR="00F138B6">
        <w:t xml:space="preserve"> </w:t>
      </w:r>
      <w:r w:rsidRPr="00F138B6">
        <w:t>Although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wording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somewhat</w:t>
      </w:r>
      <w:r w:rsidR="00F138B6">
        <w:t xml:space="preserve"> </w:t>
      </w:r>
      <w:r w:rsidRPr="00F138B6">
        <w:t>awkward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apply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claim,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most</w:t>
      </w:r>
      <w:r w:rsidR="00F138B6">
        <w:t xml:space="preserve"> </w:t>
      </w:r>
      <w:r w:rsidRPr="00F138B6">
        <w:t>blurring</w:t>
      </w:r>
      <w:r w:rsidR="00F138B6">
        <w:t xml:space="preserve"> </w:t>
      </w:r>
      <w:r w:rsidRPr="00F138B6">
        <w:t>cases</w:t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remedy</w:t>
      </w:r>
      <w:r w:rsidR="00F138B6">
        <w:t xml:space="preserve"> </w:t>
      </w:r>
      <w:r w:rsidRPr="00F138B6">
        <w:t>would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raise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problem</w:t>
      </w:r>
      <w:r w:rsidR="00F138B6">
        <w:t xml:space="preserve"> </w:t>
      </w:r>
      <w:r w:rsidRPr="00F138B6">
        <w:t>if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situation</w:t>
      </w:r>
      <w:r w:rsidR="00F138B6">
        <w:t xml:space="preserve"> </w:t>
      </w:r>
      <w:r w:rsidRPr="00F138B6">
        <w:t>were</w:t>
      </w:r>
      <w:r w:rsidR="00F138B6">
        <w:t xml:space="preserve"> </w:t>
      </w:r>
      <w:r w:rsidRPr="00F138B6">
        <w:t>egregious</w:t>
      </w:r>
      <w:r w:rsidR="00F138B6" w:rsidRPr="00F138B6">
        <w:t>.</w:t>
      </w:r>
      <w:r w:rsidR="00F138B6">
        <w:t xml:space="preserve"> </w:t>
      </w:r>
      <w:r w:rsidR="00F138B6" w:rsidRPr="00F138B6">
        <w:t>I</w:t>
      </w:r>
      <w:r w:rsidRPr="00F138B6">
        <w:t>n</w:t>
      </w:r>
      <w:r w:rsidR="00F138B6">
        <w:t xml:space="preserve"> </w:t>
      </w:r>
      <w:r w:rsidRPr="00F138B6">
        <w:t>tarnishment</w:t>
      </w:r>
      <w:r w:rsidR="00F138B6">
        <w:t xml:space="preserve"> </w:t>
      </w:r>
      <w:r w:rsidRPr="00F138B6">
        <w:t>cases,</w:t>
      </w:r>
      <w:r w:rsidR="00F138B6">
        <w:t xml:space="preserve"> </w:t>
      </w:r>
      <w:r w:rsidRPr="00F138B6">
        <w:t>ordering</w:t>
      </w:r>
      <w:r w:rsidR="00F138B6">
        <w:t xml:space="preserve"> </w:t>
      </w:r>
      <w:r w:rsidRPr="00F138B6">
        <w:t>destruction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magazines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similar</w:t>
      </w:r>
      <w:r w:rsidR="00F138B6">
        <w:t xml:space="preserve"> </w:t>
      </w:r>
      <w:r w:rsidRPr="00F138B6">
        <w:t>articles</w:t>
      </w:r>
      <w:r w:rsidR="00F138B6">
        <w:t xml:space="preserve"> </w:t>
      </w:r>
      <w:r w:rsidRPr="00F138B6">
        <w:t>raises</w:t>
      </w:r>
      <w:r w:rsidR="00F138B6">
        <w:t xml:space="preserve"> </w:t>
      </w:r>
      <w:r w:rsidRPr="00F138B6">
        <w:t>free-speech</w:t>
      </w:r>
      <w:r w:rsidR="00F138B6">
        <w:t xml:space="preserve"> </w:t>
      </w:r>
      <w:r w:rsidRPr="00F138B6">
        <w:t>issues</w:t>
      </w:r>
      <w:r w:rsidR="00F138B6" w:rsidRPr="00F138B6">
        <w:t>.</w:t>
      </w:r>
      <w:r w:rsidR="00F138B6">
        <w:t xml:space="preserve"> </w:t>
      </w:r>
      <w:r w:rsidR="00F138B6" w:rsidRPr="00F138B6">
        <w:t>A</w:t>
      </w:r>
      <w:r w:rsidRPr="00F138B6">
        <w:t>ssuming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destruction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available</w:t>
      </w:r>
      <w:r w:rsidR="00F138B6">
        <w:t xml:space="preserve"> </w:t>
      </w:r>
      <w:r w:rsidRPr="00F138B6">
        <w:t>remedy,</w:t>
      </w:r>
      <w:r w:rsidR="00F138B6">
        <w:t xml:space="preserve"> </w:t>
      </w:r>
      <w:r w:rsidRPr="00F138B6">
        <w:t>courts</w:t>
      </w:r>
      <w:r w:rsidR="00F138B6">
        <w:t xml:space="preserve"> </w:t>
      </w:r>
      <w:r w:rsidRPr="00F138B6">
        <w:t>should</w:t>
      </w:r>
      <w:r w:rsidR="00F138B6">
        <w:t xml:space="preserve"> </w:t>
      </w:r>
      <w:r w:rsidRPr="00F138B6">
        <w:t>use</w:t>
      </w:r>
      <w:r w:rsidR="00F138B6">
        <w:t xml:space="preserve"> </w:t>
      </w:r>
      <w:r w:rsidRPr="00F138B6">
        <w:t>their</w:t>
      </w:r>
      <w:r w:rsidR="00F138B6">
        <w:t xml:space="preserve"> </w:t>
      </w:r>
      <w:r w:rsidRPr="00F138B6">
        <w:t>discretion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refuse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remedy</w:t>
      </w:r>
      <w:r w:rsidR="00F138B6">
        <w:t xml:space="preserve"> </w:t>
      </w:r>
      <w:r w:rsidRPr="00F138B6">
        <w:t>when</w:t>
      </w:r>
      <w:r w:rsidR="00F138B6">
        <w:t xml:space="preserve"> </w:t>
      </w:r>
      <w:r w:rsidRPr="00F138B6">
        <w:t>it</w:t>
      </w:r>
      <w:r w:rsidR="00F138B6">
        <w:t xml:space="preserve"> </w:t>
      </w:r>
      <w:r w:rsidRPr="00F138B6">
        <w:t>will</w:t>
      </w:r>
      <w:r w:rsidR="00F138B6">
        <w:t xml:space="preserve"> </w:t>
      </w:r>
      <w:r w:rsidRPr="00F138B6">
        <w:t>cause</w:t>
      </w:r>
      <w:r w:rsidR="00F138B6">
        <w:t xml:space="preserve"> </w:t>
      </w:r>
      <w:r w:rsidRPr="00F138B6">
        <w:t>potential</w:t>
      </w:r>
      <w:r w:rsidR="00F138B6">
        <w:t xml:space="preserve"> </w:t>
      </w:r>
      <w:r w:rsidRPr="00F138B6">
        <w:t>First</w:t>
      </w:r>
      <w:r w:rsidR="00F138B6">
        <w:t xml:space="preserve"> </w:t>
      </w:r>
      <w:r w:rsidRPr="00F138B6">
        <w:t>Amendment</w:t>
      </w:r>
      <w:r w:rsidR="00F138B6">
        <w:t xml:space="preserve"> </w:t>
      </w:r>
      <w:r w:rsidRPr="00F138B6">
        <w:t>problems.</w:t>
      </w:r>
    </w:p>
    <w:p w14:paraId="6BB5F63F" w14:textId="6F86830F" w:rsidR="00F138B6" w:rsidRPr="00F138B6" w:rsidRDefault="003E2EA3" w:rsidP="003E2EA3">
      <w:pPr>
        <w:pStyle w:val="BHead2"/>
      </w:pPr>
      <w:r>
        <w:t>5.III.</w:t>
      </w:r>
      <w:r w:rsidR="00F138B6" w:rsidRPr="003E2EA3">
        <w:rPr>
          <w:rStyle w:val="BBNAidChar"/>
          <w:rFonts w:eastAsiaTheme="majorEastAsia"/>
        </w:rPr>
        <w:t>C</w:t>
      </w:r>
      <w:r w:rsidR="00F138B6" w:rsidRPr="00F138B6">
        <w:t>.</w:t>
      </w:r>
      <w:r>
        <w:t> </w:t>
      </w:r>
      <w:r w:rsidR="00F138B6" w:rsidRPr="00F138B6">
        <w:tab/>
        <w:t>Disclaimers</w:t>
      </w:r>
      <w:r w:rsidR="00F138B6">
        <w:t xml:space="preserve"> </w:t>
      </w:r>
      <w:r w:rsidR="00F138B6" w:rsidRPr="00F138B6">
        <w:t>as</w:t>
      </w:r>
      <w:r w:rsidR="00F138B6">
        <w:t xml:space="preserve"> </w:t>
      </w:r>
      <w:r w:rsidR="00F138B6" w:rsidRPr="00F138B6">
        <w:t>a</w:t>
      </w:r>
      <w:r w:rsidR="00F138B6">
        <w:t xml:space="preserve"> </w:t>
      </w:r>
      <w:r w:rsidR="00F138B6" w:rsidRPr="00F138B6">
        <w:t>Remedy</w:t>
      </w:r>
    </w:p>
    <w:p w14:paraId="02BEE1F4" w14:textId="323851E7" w:rsidR="00F138B6" w:rsidRPr="00F138B6" w:rsidRDefault="00AF6C63" w:rsidP="00F138B6">
      <w:pPr>
        <w:pStyle w:val="BNormal"/>
      </w:pPr>
      <w:r w:rsidRPr="00F138B6">
        <w:t>Ordinarily,</w:t>
      </w:r>
      <w:r w:rsidR="00F138B6">
        <w:t xml:space="preserve"> </w:t>
      </w:r>
      <w:r w:rsidRPr="00F138B6">
        <w:t>one</w:t>
      </w:r>
      <w:r w:rsidR="00F138B6">
        <w:t xml:space="preserve"> </w:t>
      </w:r>
      <w:r w:rsidRPr="00F138B6">
        <w:t>would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imagine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disclaimer</w:t>
      </w:r>
      <w:r w:rsidR="00F138B6">
        <w:t xml:space="preserve"> </w:t>
      </w:r>
      <w:r w:rsidRPr="00F138B6">
        <w:t>would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appropriate</w:t>
      </w:r>
      <w:r w:rsidR="00F138B6">
        <w:t xml:space="preserve"> </w:t>
      </w:r>
      <w:r w:rsidRPr="00F138B6">
        <w:t>form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relief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dilution</w:t>
      </w:r>
      <w:r w:rsidR="00F138B6" w:rsidRPr="00F138B6">
        <w:t>.</w:t>
      </w:r>
      <w:r w:rsidR="00F138B6">
        <w:t xml:space="preserve"> </w:t>
      </w:r>
      <w:r w:rsidR="00F138B6" w:rsidRPr="00F138B6">
        <w:t>A</w:t>
      </w:r>
      <w:r w:rsidRPr="00F138B6">
        <w:t>lthough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disclaimer</w:t>
      </w:r>
      <w:r w:rsidR="00F138B6">
        <w:t xml:space="preserve"> </w:t>
      </w:r>
      <w:r w:rsidRPr="00F138B6">
        <w:t>might</w:t>
      </w:r>
      <w:r w:rsidR="00F138B6">
        <w:t xml:space="preserve"> </w:t>
      </w:r>
      <w:r w:rsidRPr="00F138B6">
        <w:t>dispel</w:t>
      </w:r>
      <w:r w:rsidR="00F138B6">
        <w:t xml:space="preserve"> </w:t>
      </w:r>
      <w:r w:rsidRPr="00F138B6">
        <w:t>any</w:t>
      </w:r>
      <w:r w:rsidR="00F138B6">
        <w:t xml:space="preserve"> </w:t>
      </w:r>
      <w:r w:rsidRPr="00F138B6">
        <w:t>confusion</w:t>
      </w:r>
      <w:r w:rsidR="00F138B6">
        <w:t xml:space="preserve"> </w:t>
      </w:r>
      <w:r w:rsidRPr="00F138B6">
        <w:t>between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two</w:t>
      </w:r>
      <w:r w:rsidR="00F138B6">
        <w:t xml:space="preserve"> </w:t>
      </w:r>
      <w:r w:rsidRPr="00F138B6">
        <w:t>marks,</w:t>
      </w:r>
      <w:r w:rsidR="00F138B6">
        <w:t xml:space="preserve"> </w:t>
      </w:r>
      <w:r w:rsidRPr="00F138B6">
        <w:t>it</w:t>
      </w:r>
      <w:r w:rsidR="00F138B6">
        <w:t xml:space="preserve"> </w:t>
      </w:r>
      <w:r w:rsidRPr="00F138B6">
        <w:t>would,</w:t>
      </w:r>
      <w:r w:rsidR="00F138B6">
        <w:t xml:space="preserve"> </w:t>
      </w:r>
      <w:r w:rsidRPr="00F138B6">
        <w:t>if</w:t>
      </w:r>
      <w:r w:rsidR="00F138B6">
        <w:t xml:space="preserve"> </w:t>
      </w:r>
      <w:r w:rsidRPr="00F138B6">
        <w:t>anything,</w:t>
      </w:r>
      <w:r w:rsidR="00F138B6">
        <w:t xml:space="preserve"> </w:t>
      </w:r>
      <w:r w:rsidRPr="00F138B6">
        <w:t>heighten</w:t>
      </w:r>
      <w:r w:rsidR="00F138B6">
        <w:t xml:space="preserve"> </w:t>
      </w:r>
      <w:r w:rsidRPr="00F138B6">
        <w:t>public</w:t>
      </w:r>
      <w:r w:rsidR="00F138B6">
        <w:t xml:space="preserve"> </w:t>
      </w:r>
      <w:r w:rsidRPr="00F138B6">
        <w:t>awareness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mark</w:t>
      </w:r>
      <w:r w:rsidR="00F138B6">
        <w:t xml:space="preserve"> </w:t>
      </w:r>
      <w:r w:rsidRPr="00F138B6">
        <w:t>symbolizes</w:t>
      </w:r>
      <w:r w:rsidR="00F138B6">
        <w:t xml:space="preserve"> </w:t>
      </w:r>
      <w:r w:rsidRPr="00F138B6">
        <w:t>more</w:t>
      </w:r>
      <w:r w:rsidR="00F138B6">
        <w:t xml:space="preserve"> </w:t>
      </w:r>
      <w:r w:rsidRPr="00F138B6">
        <w:t>than</w:t>
      </w:r>
      <w:r w:rsidR="00F138B6">
        <w:t xml:space="preserve"> </w:t>
      </w:r>
      <w:r w:rsidRPr="00F138B6">
        <w:t>one</w:t>
      </w:r>
      <w:r w:rsidR="00F138B6">
        <w:t xml:space="preserve"> </w:t>
      </w:r>
      <w:r w:rsidRPr="00F138B6">
        <w:t>source</w:t>
      </w:r>
      <w:r w:rsidR="00F138B6" w:rsidRPr="00F138B6">
        <w:t>.</w:t>
      </w:r>
      <w:r w:rsidR="00F138B6">
        <w:t xml:space="preserve"> </w:t>
      </w:r>
      <w:r w:rsidR="00F138B6" w:rsidRPr="00F138B6">
        <w:t>N</w:t>
      </w:r>
      <w:r w:rsidRPr="00F138B6">
        <w:t>evertheless,</w:t>
      </w:r>
      <w:r w:rsidR="00F138B6">
        <w:t xml:space="preserve"> </w:t>
      </w:r>
      <w:r w:rsidRPr="00F138B6">
        <w:t>one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did</w:t>
      </w:r>
      <w:r w:rsidR="00F138B6">
        <w:t xml:space="preserve"> </w:t>
      </w:r>
      <w:r w:rsidRPr="00F138B6">
        <w:t>include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disclaimer</w:t>
      </w:r>
      <w:r w:rsidR="00F138B6">
        <w:t xml:space="preserve"> </w:t>
      </w:r>
      <w:r w:rsidRPr="00F138B6">
        <w:t>provision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its</w:t>
      </w:r>
      <w:r w:rsidR="00F138B6">
        <w:t xml:space="preserve"> </w:t>
      </w:r>
      <w:r w:rsidRPr="00F138B6">
        <w:t>grant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limited</w:t>
      </w:r>
      <w:r w:rsidR="00F138B6">
        <w:t xml:space="preserve"> </w:t>
      </w:r>
      <w:r w:rsidRPr="00F138B6">
        <w:t>injunctive</w:t>
      </w:r>
      <w:r w:rsidR="00F138B6">
        <w:t xml:space="preserve"> </w:t>
      </w:r>
      <w:r w:rsidRPr="00F138B6">
        <w:t>relief</w:t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law.</w:t>
      </w:r>
      <w:r w:rsidR="00F138B6" w:rsidRPr="00F138B6">
        <w:rPr>
          <w:vertAlign w:val="superscript"/>
        </w:rPr>
        <w:footnoteReference w:id="68"/>
      </w:r>
    </w:p>
    <w:p w14:paraId="208EFE4C" w14:textId="165ECD70" w:rsidR="00F138B6" w:rsidRPr="00F138B6" w:rsidRDefault="003E2EA3" w:rsidP="003E2EA3">
      <w:pPr>
        <w:pStyle w:val="BHead2"/>
      </w:pPr>
      <w:r>
        <w:t>5.III.</w:t>
      </w:r>
      <w:r w:rsidR="00F138B6" w:rsidRPr="003E2EA3">
        <w:rPr>
          <w:rStyle w:val="BBNAidChar"/>
          <w:rFonts w:eastAsiaTheme="majorEastAsia"/>
        </w:rPr>
        <w:t>D</w:t>
      </w:r>
      <w:r w:rsidR="00F138B6" w:rsidRPr="00F138B6">
        <w:t>.</w:t>
      </w:r>
      <w:r>
        <w:t> </w:t>
      </w:r>
      <w:r w:rsidR="00F138B6" w:rsidRPr="00F138B6">
        <w:tab/>
        <w:t>Attorneys’</w:t>
      </w:r>
      <w:r w:rsidR="00F138B6">
        <w:t xml:space="preserve"> </w:t>
      </w:r>
      <w:r w:rsidR="00F138B6" w:rsidRPr="00F138B6">
        <w:t>Fees</w:t>
      </w:r>
      <w:r w:rsidR="00F138B6">
        <w:t xml:space="preserve"> </w:t>
      </w:r>
      <w:r w:rsidR="00F138B6" w:rsidRPr="00F138B6">
        <w:t>in</w:t>
      </w:r>
      <w:r w:rsidR="00F138B6">
        <w:t xml:space="preserve"> </w:t>
      </w:r>
      <w:r w:rsidR="00F138B6" w:rsidRPr="00F138B6">
        <w:t>Dilution</w:t>
      </w:r>
      <w:r w:rsidR="00F138B6">
        <w:t xml:space="preserve"> </w:t>
      </w:r>
      <w:r w:rsidR="00F138B6" w:rsidRPr="00F138B6">
        <w:t>Cases</w:t>
      </w:r>
    </w:p>
    <w:p w14:paraId="00B17FAA" w14:textId="38975D4C" w:rsidR="00F138B6" w:rsidRPr="00F138B6" w:rsidRDefault="00AF6C63" w:rsidP="00F138B6">
      <w:pPr>
        <w:pStyle w:val="BNormal"/>
      </w:pPr>
      <w:r w:rsidRPr="00F138B6">
        <w:t>State</w:t>
      </w:r>
      <w:r w:rsidR="00F138B6">
        <w:t xml:space="preserve"> </w:t>
      </w:r>
      <w:r w:rsidRPr="00F138B6">
        <w:t>laws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Lanham</w:t>
      </w:r>
      <w:r w:rsidR="00F138B6">
        <w:t xml:space="preserve"> </w:t>
      </w:r>
      <w:r w:rsidRPr="00F138B6">
        <w:t>Act</w:t>
      </w:r>
      <w:r w:rsidR="00F138B6">
        <w:t xml:space="preserve"> </w:t>
      </w:r>
      <w:r w:rsidRPr="00F138B6">
        <w:t>take</w:t>
      </w:r>
      <w:r w:rsidR="00F138B6">
        <w:t xml:space="preserve"> </w:t>
      </w:r>
      <w:r w:rsidRPr="00F138B6">
        <w:t>somewhat</w:t>
      </w:r>
      <w:r w:rsidR="00F138B6">
        <w:t xml:space="preserve"> </w:t>
      </w:r>
      <w:r w:rsidRPr="00F138B6">
        <w:t>different</w:t>
      </w:r>
      <w:r w:rsidR="00F138B6">
        <w:t xml:space="preserve"> </w:t>
      </w:r>
      <w:r w:rsidRPr="00F138B6">
        <w:t>paths</w:t>
      </w:r>
      <w:r w:rsidR="00F138B6">
        <w:t xml:space="preserve"> </w:t>
      </w:r>
      <w:r w:rsidRPr="00F138B6">
        <w:t>when</w:t>
      </w:r>
      <w:r w:rsidR="00F138B6">
        <w:t xml:space="preserve"> </w:t>
      </w:r>
      <w:r w:rsidRPr="00F138B6">
        <w:t>it</w:t>
      </w:r>
      <w:r w:rsidR="00F138B6">
        <w:t xml:space="preserve"> </w:t>
      </w:r>
      <w:r w:rsidRPr="00F138B6">
        <w:t>comes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attorneys’</w:t>
      </w:r>
      <w:r w:rsidR="00F138B6">
        <w:t xml:space="preserve"> </w:t>
      </w:r>
      <w:r w:rsidRPr="00F138B6">
        <w:t>fees</w:t>
      </w:r>
      <w:r w:rsidR="00F138B6" w:rsidRPr="00F138B6">
        <w:t>.</w:t>
      </w:r>
      <w:r w:rsidR="00F138B6">
        <w:t xml:space="preserve"> </w:t>
      </w:r>
      <w:r w:rsidR="00F138B6" w:rsidRPr="00F138B6">
        <w:t>S</w:t>
      </w:r>
      <w:r w:rsidRPr="00F138B6">
        <w:t>ection</w:t>
      </w:r>
      <w:r w:rsidR="00F138B6">
        <w:t xml:space="preserve"> </w:t>
      </w:r>
      <w:r w:rsidRPr="00F138B6">
        <w:t>35(a)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Lanham</w:t>
      </w:r>
      <w:r w:rsidR="00F138B6">
        <w:t xml:space="preserve"> </w:t>
      </w:r>
      <w:r w:rsidRPr="00F138B6">
        <w:t>Act</w:t>
      </w:r>
      <w:r w:rsidR="00F138B6">
        <w:t xml:space="preserve"> </w:t>
      </w:r>
      <w:r w:rsidRPr="00F138B6">
        <w:t>provides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attorneys’</w:t>
      </w:r>
      <w:r w:rsidR="00F138B6">
        <w:t xml:space="preserve"> </w:t>
      </w:r>
      <w:r w:rsidRPr="00F138B6">
        <w:t>fees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available</w:t>
      </w:r>
      <w:r w:rsidR="00F138B6">
        <w:t xml:space="preserve"> </w:t>
      </w:r>
      <w:r w:rsidRPr="00F138B6">
        <w:t>only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“exceptional</w:t>
      </w:r>
      <w:r w:rsidR="00F138B6">
        <w:t xml:space="preserve"> </w:t>
      </w:r>
      <w:r w:rsidRPr="00F138B6">
        <w:t>cases.”</w:t>
      </w:r>
      <w:r w:rsidR="00F138B6" w:rsidRPr="00F138B6">
        <w:rPr>
          <w:vertAlign w:val="superscript"/>
        </w:rPr>
        <w:footnoteReference w:id="69"/>
      </w:r>
      <w:r w:rsidR="00F138B6">
        <w:t xml:space="preserve"> </w:t>
      </w:r>
      <w:r w:rsidRPr="00F138B6">
        <w:t>One</w:t>
      </w:r>
      <w:r w:rsidR="00F138B6">
        <w:t xml:space="preserve"> </w:t>
      </w:r>
      <w:r w:rsidRPr="00F138B6">
        <w:t>might</w:t>
      </w:r>
      <w:r w:rsidR="00F138B6">
        <w:t xml:space="preserve"> </w:t>
      </w:r>
      <w:r w:rsidRPr="00F138B6">
        <w:t>think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any</w:t>
      </w:r>
      <w:r w:rsidR="00F138B6">
        <w:t xml:space="preserve"> </w:t>
      </w:r>
      <w:r w:rsidRPr="00F138B6">
        <w:t>case</w:t>
      </w:r>
      <w:r w:rsidR="00F138B6">
        <w:t xml:space="preserve"> </w:t>
      </w:r>
      <w:r w:rsidRPr="00F138B6">
        <w:t>involving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willful</w:t>
      </w:r>
      <w:r w:rsidR="00F138B6">
        <w:t xml:space="preserve"> </w:t>
      </w:r>
      <w:r w:rsidRPr="00F138B6">
        <w:t>violation</w:t>
      </w:r>
      <w:r w:rsidR="00F138B6">
        <w:t xml:space="preserve"> </w:t>
      </w:r>
      <w:r w:rsidRPr="00F138B6">
        <w:t>would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exceptional,</w:t>
      </w:r>
      <w:r w:rsidR="00F138B6">
        <w:t xml:space="preserve"> </w:t>
      </w:r>
      <w:r w:rsidRPr="00F138B6">
        <w:t>but</w:t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is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necessarily</w:t>
      </w:r>
      <w:r w:rsidR="00F138B6">
        <w:t xml:space="preserve"> </w:t>
      </w:r>
      <w:r w:rsidRPr="00F138B6">
        <w:t>so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arnishment</w:t>
      </w:r>
      <w:r w:rsidR="00F138B6">
        <w:t xml:space="preserve"> </w:t>
      </w:r>
      <w:r w:rsidRPr="00F138B6">
        <w:t>cases</w:t>
      </w:r>
      <w:proofErr w:type="gramStart"/>
      <w:r w:rsidRPr="00F138B6">
        <w:t>,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particular,</w:t>
      </w:r>
      <w:r w:rsidR="00F138B6">
        <w:t xml:space="preserve"> </w:t>
      </w:r>
      <w:r w:rsidRPr="00F138B6">
        <w:t>often</w:t>
      </w:r>
      <w:proofErr w:type="gramEnd"/>
      <w:r w:rsidR="00F138B6">
        <w:t xml:space="preserve"> </w:t>
      </w:r>
      <w:r w:rsidRPr="00F138B6">
        <w:t>will</w:t>
      </w:r>
      <w:r w:rsidR="00F138B6">
        <w:t xml:space="preserve"> </w:t>
      </w:r>
      <w:r w:rsidRPr="00F138B6">
        <w:t>involve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intent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trade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another’s</w:t>
      </w:r>
      <w:r w:rsidR="00F138B6">
        <w:t xml:space="preserve"> </w:t>
      </w:r>
      <w:r w:rsidRPr="00F138B6">
        <w:t>reputation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goodwill,</w:t>
      </w:r>
      <w:r w:rsidR="00F138B6">
        <w:t xml:space="preserve"> </w:t>
      </w:r>
      <w:r w:rsidRPr="00F138B6">
        <w:t>at</w:t>
      </w:r>
      <w:r w:rsidR="00F138B6">
        <w:t xml:space="preserve"> </w:t>
      </w:r>
      <w:r w:rsidRPr="00F138B6">
        <w:t>least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some</w:t>
      </w:r>
      <w:r w:rsidR="00F138B6">
        <w:t xml:space="preserve"> </w:t>
      </w:r>
      <w:r w:rsidRPr="00F138B6">
        <w:t>degree</w:t>
      </w:r>
      <w:r w:rsidR="00F138B6" w:rsidRPr="00F138B6">
        <w:t>.</w:t>
      </w:r>
      <w:r w:rsidR="00F138B6">
        <w:t xml:space="preserve"> </w:t>
      </w:r>
      <w:r w:rsidR="00F138B6" w:rsidRPr="00F138B6">
        <w:t>S</w:t>
      </w:r>
      <w:r w:rsidRPr="00F138B6">
        <w:t>uch</w:t>
      </w:r>
      <w:r w:rsidR="00F138B6">
        <w:t xml:space="preserve"> </w:t>
      </w:r>
      <w:r w:rsidRPr="00F138B6">
        <w:lastRenderedPageBreak/>
        <w:t>cases</w:t>
      </w:r>
      <w:r w:rsidR="00F138B6">
        <w:t xml:space="preserve"> </w:t>
      </w:r>
      <w:r w:rsidRPr="00F138B6">
        <w:t>are</w:t>
      </w:r>
      <w:r w:rsidR="00F138B6">
        <w:t xml:space="preserve"> </w:t>
      </w:r>
      <w:r w:rsidRPr="00F138B6">
        <w:t>hardly</w:t>
      </w:r>
      <w:r w:rsidR="00F138B6">
        <w:t xml:space="preserve"> </w:t>
      </w:r>
      <w:r w:rsidRPr="00F138B6">
        <w:t>“exceptional.”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does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mean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courts</w:t>
      </w:r>
      <w:r w:rsidR="00F138B6">
        <w:t xml:space="preserve"> </w:t>
      </w:r>
      <w:r w:rsidRPr="00F138B6">
        <w:t>should</w:t>
      </w:r>
      <w:r w:rsidR="00F138B6">
        <w:t xml:space="preserve"> </w:t>
      </w:r>
      <w:r w:rsidRPr="00F138B6">
        <w:t>never</w:t>
      </w:r>
      <w:r w:rsidR="00F138B6">
        <w:t xml:space="preserve"> </w:t>
      </w:r>
      <w:r w:rsidRPr="00F138B6">
        <w:t>award</w:t>
      </w:r>
      <w:r w:rsidR="00F138B6">
        <w:t xml:space="preserve"> </w:t>
      </w:r>
      <w:r w:rsidRPr="00F138B6">
        <w:t>attorneys’</w:t>
      </w:r>
      <w:r w:rsidR="00F138B6">
        <w:t xml:space="preserve"> </w:t>
      </w:r>
      <w:r w:rsidRPr="00F138B6">
        <w:t>fees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tarnishment</w:t>
      </w:r>
      <w:r w:rsidR="00F138B6">
        <w:t xml:space="preserve"> </w:t>
      </w:r>
      <w:r w:rsidRPr="00F138B6">
        <w:t>cases</w:t>
      </w:r>
      <w:r w:rsidR="00F138B6" w:rsidRPr="00F138B6">
        <w:t>.</w:t>
      </w:r>
      <w:r w:rsidR="00F138B6">
        <w:t xml:space="preserve"> </w:t>
      </w:r>
      <w:r w:rsidR="00F138B6" w:rsidRPr="00F138B6">
        <w:t>I</w:t>
      </w:r>
      <w:r w:rsidRPr="00F138B6">
        <w:t>t</w:t>
      </w:r>
      <w:r w:rsidR="00F138B6">
        <w:t xml:space="preserve"> </w:t>
      </w:r>
      <w:r w:rsidRPr="00F138B6">
        <w:t>does</w:t>
      </w:r>
      <w:r w:rsidR="00F138B6">
        <w:t xml:space="preserve"> </w:t>
      </w:r>
      <w:r w:rsidRPr="00F138B6">
        <w:t>mean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courts</w:t>
      </w:r>
      <w:r w:rsidR="00F138B6">
        <w:t xml:space="preserve"> </w:t>
      </w:r>
      <w:r w:rsidRPr="00F138B6">
        <w:t>must</w:t>
      </w:r>
      <w:r w:rsidR="00F138B6">
        <w:t xml:space="preserve"> </w:t>
      </w:r>
      <w:r w:rsidRPr="00F138B6">
        <w:t>analyze</w:t>
      </w:r>
      <w:r w:rsidR="00F138B6">
        <w:t xml:space="preserve"> </w:t>
      </w:r>
      <w:r w:rsidRPr="00F138B6">
        <w:t>these</w:t>
      </w:r>
      <w:r w:rsidR="00F138B6">
        <w:t xml:space="preserve"> </w:t>
      </w:r>
      <w:r w:rsidRPr="00F138B6">
        <w:t>cases</w:t>
      </w:r>
      <w:r w:rsidR="00F138B6">
        <w:t xml:space="preserve"> </w:t>
      </w:r>
      <w:r w:rsidRPr="00F138B6">
        <w:t>carefully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award</w:t>
      </w:r>
      <w:r w:rsidR="00F138B6">
        <w:t xml:space="preserve"> </w:t>
      </w:r>
      <w:r w:rsidRPr="00F138B6">
        <w:t>fees</w:t>
      </w:r>
      <w:r w:rsidR="00F138B6">
        <w:t xml:space="preserve"> </w:t>
      </w:r>
      <w:r w:rsidRPr="00F138B6">
        <w:t>only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most</w:t>
      </w:r>
      <w:r w:rsidR="00F138B6">
        <w:t xml:space="preserve"> </w:t>
      </w:r>
      <w:r w:rsidRPr="00F138B6">
        <w:t>egregious</w:t>
      </w:r>
      <w:r w:rsidR="00F138B6">
        <w:t xml:space="preserve"> </w:t>
      </w:r>
      <w:r w:rsidRPr="00F138B6">
        <w:t>cases.</w:t>
      </w:r>
      <w:r w:rsidR="00F138B6" w:rsidRPr="00F138B6">
        <w:rPr>
          <w:vertAlign w:val="superscript"/>
        </w:rPr>
        <w:footnoteReference w:id="70"/>
      </w:r>
    </w:p>
    <w:p w14:paraId="769D03AE" w14:textId="1B99C6C4" w:rsidR="00F138B6" w:rsidRPr="00F138B6" w:rsidRDefault="00AF6C63" w:rsidP="00F138B6">
      <w:pPr>
        <w:pStyle w:val="BNormal"/>
      </w:pPr>
      <w:r w:rsidRPr="00F138B6">
        <w:t>Almost</w:t>
      </w:r>
      <w:r w:rsidR="00F138B6">
        <w:t xml:space="preserve"> </w:t>
      </w:r>
      <w:proofErr w:type="gramStart"/>
      <w:r w:rsidRPr="00F138B6">
        <w:t>all</w:t>
      </w:r>
      <w:r w:rsidR="00F138B6">
        <w:t xml:space="preserve"> </w:t>
      </w:r>
      <w:r w:rsidRPr="00F138B6">
        <w:t>of</w:t>
      </w:r>
      <w:proofErr w:type="gramEnd"/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newer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(i.e.,</w:t>
      </w:r>
      <w:r w:rsidR="00F138B6">
        <w:t xml:space="preserve"> </w:t>
      </w:r>
      <w:r w:rsidRPr="00F138B6">
        <w:t>those</w:t>
      </w:r>
      <w:r w:rsidR="00F138B6">
        <w:t xml:space="preserve"> </w:t>
      </w:r>
      <w:r w:rsidRPr="00F138B6">
        <w:t>based</w:t>
      </w:r>
      <w:r w:rsidR="00F138B6">
        <w:t xml:space="preserve"> </w:t>
      </w:r>
      <w:r w:rsidRPr="00F138B6">
        <w:t>on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1992,</w:t>
      </w:r>
      <w:r w:rsidR="00F138B6">
        <w:t xml:space="preserve"> </w:t>
      </w:r>
      <w:r w:rsidRPr="00F138B6">
        <w:t>1996,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2007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Bill)</w:t>
      </w:r>
      <w:r w:rsidR="00F138B6">
        <w:t xml:space="preserve"> </w:t>
      </w:r>
      <w:r w:rsidRPr="00F138B6">
        <w:t>permit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award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attorneys’</w:t>
      </w:r>
      <w:r w:rsidR="00F138B6">
        <w:t xml:space="preserve"> </w:t>
      </w:r>
      <w:r w:rsidRPr="00F138B6">
        <w:t>fees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willful</w:t>
      </w:r>
      <w:r w:rsidR="00F138B6">
        <w:t xml:space="preserve"> </w:t>
      </w:r>
      <w:r w:rsidRPr="00F138B6">
        <w:t>violations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dilution</w:t>
      </w:r>
      <w:r w:rsidR="00F138B6">
        <w:t xml:space="preserve"> </w:t>
      </w:r>
      <w:r w:rsidRPr="00F138B6">
        <w:t>statute.</w:t>
      </w:r>
      <w:r w:rsidR="00F138B6" w:rsidRPr="00F138B6">
        <w:rPr>
          <w:vertAlign w:val="superscript"/>
        </w:rPr>
        <w:footnoteReference w:id="71"/>
      </w:r>
      <w:r w:rsidR="00F138B6">
        <w:t xml:space="preserve"> </w:t>
      </w:r>
      <w:r w:rsidRPr="00F138B6">
        <w:t>Clearly,</w:t>
      </w:r>
      <w:r w:rsidR="00F138B6">
        <w:t xml:space="preserve"> </w:t>
      </w:r>
      <w:r w:rsidRPr="00F138B6">
        <w:t>these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have</w:t>
      </w:r>
      <w:r w:rsidR="00F138B6">
        <w:t xml:space="preserve"> </w:t>
      </w:r>
      <w:r w:rsidRPr="00F138B6">
        <w:t>followed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Bills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this</w:t>
      </w:r>
      <w:r w:rsidR="00F138B6">
        <w:t xml:space="preserve"> </w:t>
      </w:r>
      <w:r w:rsidRPr="00F138B6">
        <w:t>regard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he</w:t>
      </w:r>
      <w:r w:rsidR="00F138B6">
        <w:t xml:space="preserve"> </w:t>
      </w:r>
      <w:r w:rsidRPr="00F138B6">
        <w:t>relevant</w:t>
      </w:r>
      <w:r w:rsidR="00F138B6">
        <w:t xml:space="preserve"> </w:t>
      </w:r>
      <w:r w:rsidRPr="00F138B6">
        <w:t>provision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</w:t>
      </w:r>
      <w:r w:rsidR="00F138B6">
        <w:t xml:space="preserve"> </w:t>
      </w:r>
      <w:r w:rsidRPr="00F138B6">
        <w:t>has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materially</w:t>
      </w:r>
      <w:r w:rsidR="00F138B6">
        <w:t xml:space="preserve"> </w:t>
      </w:r>
      <w:r w:rsidRPr="00F138B6">
        <w:t>changed</w:t>
      </w:r>
      <w:r w:rsidR="00F138B6">
        <w:t xml:space="preserve"> </w:t>
      </w:r>
      <w:r w:rsidRPr="00F138B6">
        <w:t>from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1992</w:t>
      </w:r>
      <w:r w:rsidR="00F138B6">
        <w:t xml:space="preserve"> </w:t>
      </w:r>
      <w:r w:rsidRPr="00F138B6">
        <w:t>version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2007</w:t>
      </w:r>
      <w:r w:rsidR="00F138B6">
        <w:t xml:space="preserve"> </w:t>
      </w:r>
      <w:r w:rsidRPr="00F138B6">
        <w:t>version</w:t>
      </w:r>
      <w:r w:rsidR="00F138B6" w:rsidRPr="00F138B6">
        <w:t>.</w:t>
      </w:r>
      <w:r w:rsidR="00F138B6">
        <w:t xml:space="preserve"> </w:t>
      </w:r>
      <w:r w:rsidR="00F138B6" w:rsidRPr="00F138B6">
        <w:t>S</w:t>
      </w:r>
      <w:r w:rsidRPr="00F138B6">
        <w:t>ection</w:t>
      </w:r>
      <w:r w:rsidR="00F138B6">
        <w:t xml:space="preserve"> </w:t>
      </w:r>
      <w:r w:rsidRPr="00F138B6">
        <w:t>14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2007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</w:t>
      </w:r>
      <w:r w:rsidR="00F138B6">
        <w:t xml:space="preserve"> </w:t>
      </w:r>
      <w:r w:rsidRPr="00F138B6">
        <w:t>provides,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relevant</w:t>
      </w:r>
      <w:r w:rsidR="00F138B6">
        <w:t xml:space="preserve"> </w:t>
      </w:r>
      <w:r w:rsidRPr="00F138B6">
        <w:t>part:</w:t>
      </w:r>
    </w:p>
    <w:p w14:paraId="0AFA3043" w14:textId="35D6C2E8" w:rsidR="00F138B6" w:rsidRPr="00F138B6" w:rsidRDefault="00AF6C63" w:rsidP="00F138B6">
      <w:pPr>
        <w:pStyle w:val="BQuotelong"/>
      </w:pPr>
      <w:r w:rsidRPr="00F138B6">
        <w:t>The</w:t>
      </w:r>
      <w:r w:rsidR="00F138B6">
        <w:t xml:space="preserve"> </w:t>
      </w:r>
      <w:r w:rsidRPr="00F138B6">
        <w:t>court,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its</w:t>
      </w:r>
      <w:r w:rsidR="00F138B6">
        <w:t xml:space="preserve"> </w:t>
      </w:r>
      <w:r w:rsidRPr="00F138B6">
        <w:t>discretion,</w:t>
      </w:r>
      <w:r w:rsidR="00F138B6">
        <w:t xml:space="preserve"> </w:t>
      </w:r>
      <w:r w:rsidRPr="00F138B6">
        <w:t>may</w:t>
      </w:r>
      <w:r w:rsidR="00F138B6">
        <w:t xml:space="preserve"> </w:t>
      </w:r>
      <w:r w:rsidRPr="00F138B6">
        <w:t>enter</w:t>
      </w:r>
      <w:r w:rsidR="00F138B6">
        <w:t xml:space="preserve"> </w:t>
      </w:r>
      <w:r w:rsidRPr="00F138B6">
        <w:t>judgment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an</w:t>
      </w:r>
      <w:r w:rsidR="00F138B6">
        <w:t xml:space="preserve"> </w:t>
      </w:r>
      <w:r w:rsidRPr="00F138B6">
        <w:t>amount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exceed</w:t>
      </w:r>
      <w:r w:rsidR="00F138B6">
        <w:t xml:space="preserve"> </w:t>
      </w:r>
      <w:r w:rsidRPr="00F138B6">
        <w:t>three</w:t>
      </w:r>
      <w:r w:rsidR="00F138B6">
        <w:t xml:space="preserve"> </w:t>
      </w:r>
      <w:r w:rsidRPr="00F138B6">
        <w:t>times</w:t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profits</w:t>
      </w:r>
      <w:r w:rsidR="00F138B6">
        <w:t xml:space="preserve"> </w:t>
      </w:r>
      <w:r w:rsidRPr="00F138B6">
        <w:t>and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and/or</w:t>
      </w:r>
      <w:r w:rsidR="00F138B6">
        <w:t xml:space="preserve"> </w:t>
      </w:r>
      <w:r w:rsidRPr="00F138B6">
        <w:t>reasonable</w:t>
      </w:r>
      <w:r w:rsidR="00F138B6">
        <w:t xml:space="preserve"> </w:t>
      </w:r>
      <w:r w:rsidRPr="00F138B6">
        <w:t>attorneys’</w:t>
      </w:r>
      <w:r w:rsidR="00F138B6">
        <w:t xml:space="preserve"> </w:t>
      </w:r>
      <w:r w:rsidRPr="00F138B6">
        <w:t>fees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prevailing</w:t>
      </w:r>
      <w:r w:rsidR="00F138B6">
        <w:t xml:space="preserve"> </w:t>
      </w:r>
      <w:r w:rsidRPr="00F138B6">
        <w:t>party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cases</w:t>
      </w:r>
      <w:r w:rsidR="00F138B6">
        <w:t xml:space="preserve"> </w:t>
      </w:r>
      <w:r w:rsidRPr="00F138B6">
        <w:t>where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court</w:t>
      </w:r>
      <w:r w:rsidR="00F138B6">
        <w:t xml:space="preserve"> </w:t>
      </w:r>
      <w:r w:rsidRPr="00F138B6">
        <w:t>finds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other</w:t>
      </w:r>
      <w:r w:rsidR="00F138B6">
        <w:t xml:space="preserve"> </w:t>
      </w:r>
      <w:r w:rsidRPr="00F138B6">
        <w:t>party</w:t>
      </w:r>
      <w:r w:rsidR="00F138B6">
        <w:t xml:space="preserve"> </w:t>
      </w:r>
      <w:r w:rsidRPr="00F138B6">
        <w:t>committed</w:t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wrongful</w:t>
      </w:r>
      <w:r w:rsidR="00F138B6">
        <w:t xml:space="preserve"> </w:t>
      </w:r>
      <w:r w:rsidRPr="00F138B6">
        <w:t>acts</w:t>
      </w:r>
      <w:r w:rsidR="00F138B6">
        <w:t xml:space="preserve"> </w:t>
      </w:r>
      <w:r w:rsidRPr="00F138B6">
        <w:t>with</w:t>
      </w:r>
      <w:r w:rsidR="00F138B6">
        <w:t xml:space="preserve"> </w:t>
      </w:r>
      <w:r w:rsidRPr="00F138B6">
        <w:t>knowledge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bad</w:t>
      </w:r>
      <w:r w:rsidR="00F138B6">
        <w:t xml:space="preserve"> </w:t>
      </w:r>
      <w:r w:rsidRPr="00F138B6">
        <w:t>faith</w:t>
      </w:r>
      <w:r w:rsidR="00F138B6">
        <w:t xml:space="preserve"> </w:t>
      </w:r>
      <w:r w:rsidRPr="00F138B6">
        <w:t>or</w:t>
      </w:r>
      <w:r w:rsidR="00F138B6">
        <w:t xml:space="preserve"> </w:t>
      </w:r>
      <w:proofErr w:type="gramStart"/>
      <w:r w:rsidRPr="00F138B6">
        <w:t>other-wise</w:t>
      </w:r>
      <w:proofErr w:type="gramEnd"/>
      <w:r w:rsidR="00F138B6">
        <w:t xml:space="preserve"> </w:t>
      </w:r>
      <w:r w:rsidRPr="00F138B6">
        <w:t>as</w:t>
      </w:r>
      <w:r w:rsidR="00F138B6">
        <w:t xml:space="preserve"> </w:t>
      </w:r>
      <w:r w:rsidRPr="00F138B6">
        <w:t>according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circumstances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case.</w:t>
      </w:r>
      <w:r w:rsidR="00F138B6" w:rsidRPr="00F138B6">
        <w:rPr>
          <w:vertAlign w:val="superscript"/>
        </w:rPr>
        <w:footnoteReference w:id="72"/>
      </w:r>
    </w:p>
    <w:p w14:paraId="770BE035" w14:textId="64C2F9D4" w:rsidR="00F138B6" w:rsidRPr="00F138B6" w:rsidRDefault="00AF6C63" w:rsidP="00F138B6">
      <w:pPr>
        <w:pStyle w:val="BNormal"/>
      </w:pPr>
      <w:r w:rsidRPr="00F138B6">
        <w:t>As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result,</w:t>
      </w:r>
      <w:r w:rsidR="00F138B6">
        <w:t xml:space="preserve"> </w:t>
      </w:r>
      <w:r w:rsidRPr="00F138B6">
        <w:t>most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do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limit</w:t>
      </w:r>
      <w:r w:rsidR="00F138B6">
        <w:t xml:space="preserve"> </w:t>
      </w:r>
      <w:r w:rsidRPr="00F138B6">
        <w:t>awards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attorneys’</w:t>
      </w:r>
      <w:r w:rsidR="00F138B6">
        <w:t xml:space="preserve"> </w:t>
      </w:r>
      <w:r w:rsidRPr="00F138B6">
        <w:t>fees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“exceptional</w:t>
      </w:r>
      <w:r w:rsidR="00F138B6">
        <w:t xml:space="preserve"> </w:t>
      </w:r>
      <w:r w:rsidRPr="00F138B6">
        <w:t>cases.”</w:t>
      </w:r>
      <w:r w:rsidR="00F138B6" w:rsidRPr="00F138B6">
        <w:rPr>
          <w:vertAlign w:val="superscript"/>
        </w:rPr>
        <w:footnoteReference w:id="73"/>
      </w:r>
      <w:r w:rsidR="00F138B6">
        <w:t xml:space="preserve"> </w:t>
      </w:r>
      <w:r w:rsidRPr="00F138B6">
        <w:t>Instead,</w:t>
      </w:r>
      <w:r w:rsidR="00F138B6">
        <w:t xml:space="preserve"> </w:t>
      </w:r>
      <w:r w:rsidRPr="00F138B6">
        <w:t>they</w:t>
      </w:r>
      <w:r w:rsidR="00F138B6">
        <w:t xml:space="preserve"> </w:t>
      </w:r>
      <w:r w:rsidRPr="00F138B6">
        <w:t>permit</w:t>
      </w:r>
      <w:r w:rsidR="00F138B6">
        <w:t xml:space="preserve"> </w:t>
      </w:r>
      <w:r w:rsidRPr="00F138B6">
        <w:t>such</w:t>
      </w:r>
      <w:r w:rsidR="00F138B6">
        <w:t xml:space="preserve"> </w:t>
      </w:r>
      <w:r w:rsidRPr="00F138B6">
        <w:t>awards</w:t>
      </w:r>
      <w:r w:rsidR="00F138B6">
        <w:t xml:space="preserve"> </w:t>
      </w:r>
      <w:r w:rsidRPr="00F138B6">
        <w:t>whenever</w:t>
      </w:r>
      <w:r w:rsidR="00F138B6">
        <w:t xml:space="preserve"> </w:t>
      </w:r>
      <w:r w:rsidRPr="00F138B6">
        <w:t>enhanced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would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available.</w:t>
      </w:r>
      <w:r w:rsidR="00F138B6" w:rsidRPr="00F138B6">
        <w:rPr>
          <w:vertAlign w:val="superscript"/>
        </w:rPr>
        <w:footnoteReference w:id="74"/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practice,</w:t>
      </w:r>
      <w:r w:rsidR="00F138B6">
        <w:t xml:space="preserve"> </w:t>
      </w:r>
      <w:r w:rsidRPr="00F138B6">
        <w:t>these</w:t>
      </w:r>
      <w:r w:rsidR="00F138B6">
        <w:t xml:space="preserve"> </w:t>
      </w:r>
      <w:r w:rsidRPr="00F138B6">
        <w:t>should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exceptional</w:t>
      </w:r>
      <w:r w:rsidR="00F138B6">
        <w:t xml:space="preserve"> </w:t>
      </w:r>
      <w:r w:rsidRPr="00F138B6">
        <w:t>cases</w:t>
      </w:r>
      <w:r w:rsidR="00F138B6" w:rsidRPr="00F138B6">
        <w:t>.</w:t>
      </w:r>
      <w:r w:rsidR="00F138B6">
        <w:t xml:space="preserve"> </w:t>
      </w:r>
      <w:r w:rsidR="00F138B6" w:rsidRPr="00F138B6">
        <w:t>T</w:t>
      </w:r>
      <w:r w:rsidRPr="00F138B6">
        <w:t>he</w:t>
      </w:r>
      <w:r w:rsidR="00F138B6">
        <w:t xml:space="preserve"> </w:t>
      </w:r>
      <w:r w:rsidRPr="00F138B6">
        <w:t>requirement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“bad</w:t>
      </w:r>
      <w:r w:rsidR="00F138B6">
        <w:t xml:space="preserve"> </w:t>
      </w:r>
      <w:r w:rsidRPr="00F138B6">
        <w:t>faith”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“knowledge”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these</w:t>
      </w:r>
      <w:r w:rsidR="00F138B6">
        <w:t xml:space="preserve"> </w:t>
      </w:r>
      <w:r w:rsidRPr="00F138B6">
        <w:t>sections</w:t>
      </w:r>
      <w:r w:rsidR="00F138B6">
        <w:t xml:space="preserve"> </w:t>
      </w:r>
      <w:r w:rsidRPr="00F138B6">
        <w:t>should</w:t>
      </w:r>
      <w:r w:rsidR="00F138B6">
        <w:t xml:space="preserve"> </w:t>
      </w:r>
      <w:r w:rsidRPr="00F138B6">
        <w:t>go</w:t>
      </w:r>
      <w:r w:rsidR="00F138B6">
        <w:t xml:space="preserve"> </w:t>
      </w:r>
      <w:r w:rsidRPr="00F138B6">
        <w:t>beyond</w:t>
      </w:r>
      <w:r w:rsidR="00F138B6">
        <w:t xml:space="preserve"> </w:t>
      </w:r>
      <w:r w:rsidRPr="00F138B6">
        <w:t>the</w:t>
      </w:r>
      <w:r w:rsidR="00F138B6">
        <w:t xml:space="preserve"> </w:t>
      </w:r>
      <w:r w:rsidRPr="00F138B6">
        <w:t>willfulness</w:t>
      </w:r>
      <w:r w:rsidR="00F138B6">
        <w:t xml:space="preserve"> </w:t>
      </w:r>
      <w:r w:rsidRPr="00F138B6">
        <w:t>required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compensatory</w:t>
      </w:r>
      <w:r w:rsidR="00F138B6">
        <w:t xml:space="preserve"> </w:t>
      </w:r>
      <w:r w:rsidRPr="00F138B6">
        <w:t>damages</w:t>
      </w:r>
      <w:r w:rsidR="00F138B6">
        <w:t xml:space="preserve"> </w:t>
      </w:r>
      <w:r w:rsidRPr="00F138B6">
        <w:t>award.</w:t>
      </w:r>
      <w:r w:rsidR="00F138B6" w:rsidRPr="00F138B6">
        <w:rPr>
          <w:vertAlign w:val="superscript"/>
        </w:rPr>
        <w:footnoteReference w:id="75"/>
      </w:r>
    </w:p>
    <w:p w14:paraId="278D3CA5" w14:textId="4614801C" w:rsidR="00494245" w:rsidRPr="00F138B6" w:rsidRDefault="00AF6C63" w:rsidP="00F138B6">
      <w:pPr>
        <w:pStyle w:val="BNormal"/>
      </w:pPr>
      <w:r w:rsidRPr="00F138B6">
        <w:t>The</w:t>
      </w:r>
      <w:r w:rsidR="00F138B6">
        <w:t xml:space="preserve"> </w:t>
      </w:r>
      <w:r w:rsidRPr="00F138B6">
        <w:t>older</w:t>
      </w:r>
      <w:r w:rsidR="00F138B6">
        <w:t xml:space="preserve"> </w:t>
      </w:r>
      <w:r w:rsidRPr="00F138B6">
        <w:t>state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using</w:t>
      </w:r>
      <w:r w:rsidR="00F138B6">
        <w:t xml:space="preserve"> </w:t>
      </w:r>
      <w:r w:rsidRPr="00F138B6">
        <w:t>the</w:t>
      </w:r>
      <w:r w:rsidR="00F138B6">
        <w:t xml:space="preserve"> </w:t>
      </w:r>
      <w:proofErr w:type="gramStart"/>
      <w:r w:rsidRPr="00F138B6">
        <w:t>Massachusetts</w:t>
      </w:r>
      <w:proofErr w:type="gramEnd"/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1964</w:t>
      </w:r>
      <w:r w:rsidR="00F138B6">
        <w:t xml:space="preserve"> </w:t>
      </w:r>
      <w:r w:rsidRPr="00F138B6">
        <w:t>Model</w:t>
      </w:r>
      <w:r w:rsidR="00F138B6">
        <w:t xml:space="preserve"> </w:t>
      </w:r>
      <w:r w:rsidRPr="00F138B6">
        <w:t>Bill</w:t>
      </w:r>
      <w:r w:rsidR="00F138B6">
        <w:t xml:space="preserve"> </w:t>
      </w:r>
      <w:r w:rsidRPr="00F138B6">
        <w:t>wording</w:t>
      </w:r>
      <w:r w:rsidR="00F138B6">
        <w:t xml:space="preserve"> </w:t>
      </w:r>
      <w:r w:rsidRPr="00F138B6">
        <w:t>contain</w:t>
      </w:r>
      <w:r w:rsidR="00F138B6">
        <w:t xml:space="preserve"> </w:t>
      </w:r>
      <w:r w:rsidRPr="00F138B6">
        <w:t>no</w:t>
      </w:r>
      <w:r w:rsidR="00F138B6">
        <w:t xml:space="preserve"> </w:t>
      </w:r>
      <w:r w:rsidRPr="00F138B6">
        <w:t>references</w:t>
      </w:r>
      <w:r w:rsidR="00F138B6">
        <w:t xml:space="preserve"> </w:t>
      </w:r>
      <w:r w:rsidRPr="00F138B6">
        <w:t>to</w:t>
      </w:r>
      <w:r w:rsidR="00F138B6">
        <w:t xml:space="preserve"> </w:t>
      </w:r>
      <w:r w:rsidRPr="00F138B6">
        <w:t>attorneys’</w:t>
      </w:r>
      <w:r w:rsidR="00F138B6">
        <w:t xml:space="preserve"> </w:t>
      </w:r>
      <w:r w:rsidRPr="00F138B6">
        <w:t>fees</w:t>
      </w:r>
      <w:r w:rsidR="00F138B6">
        <w:t xml:space="preserve"> </w:t>
      </w:r>
      <w:r w:rsidRPr="00F138B6">
        <w:t>or</w:t>
      </w:r>
      <w:r w:rsidR="00F138B6">
        <w:t xml:space="preserve"> </w:t>
      </w:r>
      <w:r w:rsidRPr="00F138B6">
        <w:t>other</w:t>
      </w:r>
      <w:r w:rsidR="00F138B6">
        <w:t xml:space="preserve"> </w:t>
      </w:r>
      <w:r w:rsidRPr="00F138B6">
        <w:t>remedies,</w:t>
      </w:r>
      <w:r w:rsidR="00F138B6">
        <w:t xml:space="preserve"> </w:t>
      </w:r>
      <w:r w:rsidRPr="00F138B6">
        <w:t>apart</w:t>
      </w:r>
      <w:r w:rsidR="00F138B6">
        <w:t xml:space="preserve"> </w:t>
      </w:r>
      <w:r w:rsidRPr="00F138B6">
        <w:t>from</w:t>
      </w:r>
      <w:r w:rsidR="00F138B6">
        <w:t xml:space="preserve"> </w:t>
      </w:r>
      <w:r w:rsidRPr="00F138B6">
        <w:t>injunctions</w:t>
      </w:r>
      <w:r w:rsidR="00F138B6" w:rsidRPr="00F138B6">
        <w:t>.</w:t>
      </w:r>
      <w:r w:rsidR="00F138B6">
        <w:t xml:space="preserve"> </w:t>
      </w:r>
      <w:r w:rsidR="00F138B6" w:rsidRPr="00F138B6">
        <w:t>A</w:t>
      </w:r>
      <w:r w:rsidRPr="00F138B6">
        <w:t>ttorneys’</w:t>
      </w:r>
      <w:r w:rsidR="00F138B6">
        <w:t xml:space="preserve"> </w:t>
      </w:r>
      <w:r w:rsidRPr="00F138B6">
        <w:t>fees</w:t>
      </w:r>
      <w:r w:rsidR="00F138B6">
        <w:t xml:space="preserve"> </w:t>
      </w:r>
      <w:r w:rsidRPr="00F138B6">
        <w:t>should</w:t>
      </w:r>
      <w:r w:rsidR="00F138B6">
        <w:t xml:space="preserve"> </w:t>
      </w:r>
      <w:r w:rsidRPr="00F138B6">
        <w:t>not</w:t>
      </w:r>
      <w:r w:rsidR="00F138B6">
        <w:t xml:space="preserve"> </w:t>
      </w:r>
      <w:r w:rsidRPr="00F138B6">
        <w:t>be</w:t>
      </w:r>
      <w:r w:rsidR="00F138B6">
        <w:t xml:space="preserve"> </w:t>
      </w:r>
      <w:r w:rsidRPr="00F138B6">
        <w:t>available</w:t>
      </w:r>
      <w:r w:rsidR="00F138B6">
        <w:t xml:space="preserve"> </w:t>
      </w:r>
      <w:r w:rsidRPr="00F138B6">
        <w:t>for</w:t>
      </w:r>
      <w:r w:rsidR="00F138B6">
        <w:t xml:space="preserve"> </w:t>
      </w:r>
      <w:r w:rsidRPr="00F138B6">
        <w:t>violations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those</w:t>
      </w:r>
      <w:r w:rsidR="00F138B6">
        <w:t xml:space="preserve"> </w:t>
      </w:r>
      <w:r w:rsidRPr="00F138B6">
        <w:t>statutes.</w:t>
      </w:r>
      <w:r w:rsidR="00F138B6" w:rsidRPr="00F138B6">
        <w:rPr>
          <w:vertAlign w:val="superscript"/>
        </w:rPr>
        <w:footnoteReference w:id="76"/>
      </w:r>
      <w:r w:rsidR="00F138B6">
        <w:t xml:space="preserve"> </w:t>
      </w:r>
      <w:r w:rsidRPr="00F138B6">
        <w:t>Some</w:t>
      </w:r>
      <w:r w:rsidR="00F138B6">
        <w:t xml:space="preserve"> </w:t>
      </w:r>
      <w:r w:rsidRPr="00F138B6">
        <w:t>states,</w:t>
      </w:r>
      <w:r w:rsidR="00F138B6">
        <w:t xml:space="preserve"> </w:t>
      </w:r>
      <w:r w:rsidRPr="00F138B6">
        <w:t>however,</w:t>
      </w:r>
      <w:r w:rsidR="00F138B6">
        <w:t xml:space="preserve"> </w:t>
      </w:r>
      <w:r w:rsidRPr="00F138B6">
        <w:t>will</w:t>
      </w:r>
      <w:r w:rsidR="00F138B6">
        <w:t xml:space="preserve"> </w:t>
      </w:r>
      <w:r w:rsidRPr="00F138B6">
        <w:t>permit</w:t>
      </w:r>
      <w:r w:rsidR="00F138B6">
        <w:t xml:space="preserve"> </w:t>
      </w:r>
      <w:r w:rsidRPr="00F138B6">
        <w:t>recovery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attorneys’</w:t>
      </w:r>
      <w:r w:rsidR="00F138B6">
        <w:t xml:space="preserve"> </w:t>
      </w:r>
      <w:r w:rsidRPr="00F138B6">
        <w:t>fees</w:t>
      </w:r>
      <w:r w:rsidR="00F138B6">
        <w:t xml:space="preserve"> </w:t>
      </w:r>
      <w:r w:rsidRPr="00F138B6">
        <w:t>under</w:t>
      </w:r>
      <w:r w:rsidR="00F138B6">
        <w:t xml:space="preserve"> </w:t>
      </w:r>
      <w:r w:rsidRPr="00F138B6">
        <w:t>other</w:t>
      </w:r>
      <w:r w:rsidR="00F138B6">
        <w:t xml:space="preserve"> </w:t>
      </w:r>
      <w:r w:rsidRPr="00F138B6">
        <w:t>statutes</w:t>
      </w:r>
      <w:r w:rsidR="00F138B6">
        <w:t xml:space="preserve"> </w:t>
      </w:r>
      <w:r w:rsidRPr="00F138B6">
        <w:t>that</w:t>
      </w:r>
      <w:r w:rsidR="00F138B6">
        <w:t xml:space="preserve"> </w:t>
      </w:r>
      <w:r w:rsidRPr="00F138B6">
        <w:t>permit</w:t>
      </w:r>
      <w:r w:rsidR="00F138B6">
        <w:t xml:space="preserve"> </w:t>
      </w:r>
      <w:r w:rsidRPr="00F138B6">
        <w:t>attorneys’</w:t>
      </w:r>
      <w:r w:rsidR="00F138B6">
        <w:t xml:space="preserve"> </w:t>
      </w:r>
      <w:r w:rsidRPr="00F138B6">
        <w:t>fees</w:t>
      </w:r>
      <w:r w:rsidR="00F138B6">
        <w:t xml:space="preserve"> </w:t>
      </w:r>
      <w:r w:rsidRPr="00F138B6">
        <w:t>in</w:t>
      </w:r>
      <w:r w:rsidR="00F138B6">
        <w:t xml:space="preserve"> </w:t>
      </w:r>
      <w:r w:rsidRPr="00F138B6">
        <w:t>a</w:t>
      </w:r>
      <w:r w:rsidR="00F138B6">
        <w:t xml:space="preserve"> </w:t>
      </w:r>
      <w:r w:rsidRPr="00F138B6">
        <w:t>variety</w:t>
      </w:r>
      <w:r w:rsidR="00F138B6">
        <w:t xml:space="preserve"> </w:t>
      </w:r>
      <w:r w:rsidRPr="00F138B6">
        <w:t>of</w:t>
      </w:r>
      <w:r w:rsidR="00F138B6">
        <w:t xml:space="preserve"> </w:t>
      </w:r>
      <w:r w:rsidRPr="00F138B6">
        <w:t>situations.</w:t>
      </w:r>
      <w:r w:rsidR="00F138B6" w:rsidRPr="00F138B6">
        <w:rPr>
          <w:vertAlign w:val="superscript"/>
        </w:rPr>
        <w:footnoteReference w:id="77"/>
      </w:r>
    </w:p>
    <w:sectPr w:rsidR="00494245" w:rsidRPr="00F138B6" w:rsidSect="009A1AB3"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294A" w14:textId="77777777" w:rsidR="00105A85" w:rsidRDefault="00105A85" w:rsidP="002A47A4">
      <w:r>
        <w:separator/>
      </w:r>
    </w:p>
    <w:p w14:paraId="436DA000" w14:textId="77777777" w:rsidR="00105A85" w:rsidRDefault="00105A85"/>
    <w:p w14:paraId="5F9FE89B" w14:textId="77777777" w:rsidR="00105A85" w:rsidRDefault="00105A85"/>
  </w:endnote>
  <w:endnote w:type="continuationSeparator" w:id="0">
    <w:p w14:paraId="0D094ED5" w14:textId="77777777" w:rsidR="00105A85" w:rsidRDefault="00105A85" w:rsidP="002A47A4">
      <w:r>
        <w:continuationSeparator/>
      </w:r>
    </w:p>
    <w:p w14:paraId="3922062A" w14:textId="77777777" w:rsidR="00105A85" w:rsidRDefault="00105A85"/>
    <w:p w14:paraId="6953495B" w14:textId="77777777" w:rsidR="00105A85" w:rsidRDefault="00105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ITC New Baskerville Std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DFB6" w14:textId="77777777" w:rsidR="00105A85" w:rsidRDefault="00105A85" w:rsidP="002A47A4">
      <w:r>
        <w:separator/>
      </w:r>
    </w:p>
    <w:p w14:paraId="2C374B6B" w14:textId="77777777" w:rsidR="00105A85" w:rsidRDefault="00105A85"/>
    <w:p w14:paraId="60551CEA" w14:textId="77777777" w:rsidR="00105A85" w:rsidRDefault="00105A85"/>
  </w:footnote>
  <w:footnote w:type="continuationSeparator" w:id="0">
    <w:p w14:paraId="75BEE9C4" w14:textId="77777777" w:rsidR="00105A85" w:rsidRDefault="00105A85" w:rsidP="002A47A4">
      <w:r>
        <w:continuationSeparator/>
      </w:r>
    </w:p>
    <w:p w14:paraId="381B072E" w14:textId="77777777" w:rsidR="00105A85" w:rsidRDefault="00105A85"/>
    <w:p w14:paraId="7FEF36AA" w14:textId="77777777" w:rsidR="00105A85" w:rsidRDefault="00105A85"/>
  </w:footnote>
  <w:footnote w:id="1">
    <w:p w14:paraId="1D57D939" w14:textId="7BEFAD4B" w:rsidR="00F138B6" w:rsidRPr="00F138B6" w:rsidRDefault="00F138B6" w:rsidP="00F138B6">
      <w:pPr>
        <w:pStyle w:val="FootnoteText"/>
      </w:pPr>
      <w:r w:rsidRPr="00F138B6">
        <w:rPr>
          <w:rStyle w:val="FootnoteReference"/>
        </w:rPr>
        <w:footnoteRef/>
      </w:r>
      <w:r w:rsidRPr="00F138B6">
        <w:t>David</w:t>
      </w:r>
      <w:r>
        <w:t xml:space="preserve"> </w:t>
      </w:r>
      <w:r w:rsidRPr="00F138B6">
        <w:t>Welkowitz</w:t>
      </w:r>
      <w:r>
        <w:t xml:space="preserve"> </w:t>
      </w:r>
      <w:r w:rsidRPr="00F138B6">
        <w:t>is</w:t>
      </w:r>
      <w:r>
        <w:t xml:space="preserve"> </w:t>
      </w:r>
      <w:r w:rsidRPr="00F138B6">
        <w:t>a</w:t>
      </w:r>
      <w:r>
        <w:t xml:space="preserve"> </w:t>
      </w:r>
      <w:r w:rsidRPr="00F138B6">
        <w:t>Professor</w:t>
      </w:r>
      <w:r>
        <w:t xml:space="preserve"> </w:t>
      </w:r>
      <w:r w:rsidRPr="00F138B6">
        <w:t>of</w:t>
      </w:r>
      <w:r>
        <w:t xml:space="preserve"> </w:t>
      </w:r>
      <w:r w:rsidRPr="00F138B6">
        <w:t>Law</w:t>
      </w:r>
      <w:r>
        <w:t xml:space="preserve"> </w:t>
      </w:r>
      <w:r w:rsidRPr="00F138B6">
        <w:t>Emeritus</w:t>
      </w:r>
      <w:r>
        <w:t xml:space="preserve"> </w:t>
      </w:r>
      <w:r w:rsidRPr="00F138B6">
        <w:t>at</w:t>
      </w:r>
      <w:r>
        <w:t xml:space="preserve"> </w:t>
      </w:r>
      <w:r w:rsidRPr="00F138B6">
        <w:t>Whittier</w:t>
      </w:r>
      <w:r>
        <w:t xml:space="preserve"> </w:t>
      </w:r>
      <w:r w:rsidRPr="00F138B6">
        <w:t>Law</w:t>
      </w:r>
      <w:r>
        <w:t xml:space="preserve"> </w:t>
      </w:r>
      <w:r w:rsidRPr="00F138B6">
        <w:t>School</w:t>
      </w:r>
      <w:r>
        <w:t xml:space="preserve"> </w:t>
      </w:r>
      <w:r w:rsidRPr="00F138B6">
        <w:t>in</w:t>
      </w:r>
      <w:r>
        <w:t xml:space="preserve"> </w:t>
      </w:r>
      <w:r w:rsidRPr="00F138B6">
        <w:t>Costa</w:t>
      </w:r>
      <w:r>
        <w:t xml:space="preserve"> </w:t>
      </w:r>
      <w:r w:rsidRPr="00F138B6">
        <w:t>Mesa,</w:t>
      </w:r>
      <w:r>
        <w:t xml:space="preserve"> </w:t>
      </w:r>
      <w:r w:rsidRPr="00F138B6">
        <w:t>California.</w:t>
      </w:r>
      <w:r>
        <w:t xml:space="preserve"> </w:t>
      </w:r>
      <w:r w:rsidRPr="00F138B6">
        <w:t>He</w:t>
      </w:r>
      <w:r>
        <w:t xml:space="preserve"> </w:t>
      </w:r>
      <w:r w:rsidRPr="00F138B6">
        <w:t>has</w:t>
      </w:r>
      <w:r>
        <w:t xml:space="preserve"> </w:t>
      </w:r>
      <w:r w:rsidRPr="00F138B6">
        <w:t>taught</w:t>
      </w:r>
      <w:r>
        <w:t xml:space="preserve"> </w:t>
      </w:r>
      <w:r w:rsidRPr="00F138B6">
        <w:t>trademark</w:t>
      </w:r>
      <w:r>
        <w:t xml:space="preserve"> </w:t>
      </w:r>
      <w:r w:rsidRPr="00F138B6">
        <w:t>law,</w:t>
      </w:r>
      <w:r>
        <w:t xml:space="preserve"> </w:t>
      </w:r>
      <w:r w:rsidRPr="00F138B6">
        <w:t>international</w:t>
      </w:r>
      <w:r>
        <w:t xml:space="preserve"> </w:t>
      </w:r>
      <w:r w:rsidRPr="00F138B6">
        <w:t>intellectual</w:t>
      </w:r>
      <w:r>
        <w:t xml:space="preserve"> </w:t>
      </w:r>
      <w:r w:rsidRPr="00F138B6">
        <w:t>property</w:t>
      </w:r>
      <w:r>
        <w:t xml:space="preserve"> </w:t>
      </w:r>
      <w:r w:rsidRPr="00F138B6">
        <w:t>law</w:t>
      </w:r>
      <w:r>
        <w:t xml:space="preserve"> </w:t>
      </w:r>
      <w:r w:rsidRPr="00F138B6">
        <w:t>courses,</w:t>
      </w:r>
      <w:r>
        <w:t xml:space="preserve"> </w:t>
      </w:r>
      <w:r w:rsidRPr="00F138B6">
        <w:t>and</w:t>
      </w:r>
      <w:r>
        <w:t xml:space="preserve"> </w:t>
      </w:r>
      <w:r w:rsidRPr="00F138B6">
        <w:t>civil</w:t>
      </w:r>
      <w:r>
        <w:t xml:space="preserve"> </w:t>
      </w:r>
      <w:r w:rsidRPr="00F138B6">
        <w:t>procedure,</w:t>
      </w:r>
      <w:r>
        <w:t xml:space="preserve"> </w:t>
      </w:r>
      <w:r w:rsidRPr="00F138B6">
        <w:t>among</w:t>
      </w:r>
      <w:r>
        <w:t xml:space="preserve"> </w:t>
      </w:r>
      <w:r w:rsidRPr="00F138B6">
        <w:t>other</w:t>
      </w:r>
      <w:r>
        <w:t xml:space="preserve"> </w:t>
      </w:r>
      <w:r w:rsidRPr="00F138B6">
        <w:t>subjects.</w:t>
      </w:r>
      <w:r>
        <w:t xml:space="preserve"> </w:t>
      </w:r>
      <w:r w:rsidRPr="00F138B6">
        <w:t>He</w:t>
      </w:r>
      <w:r>
        <w:t xml:space="preserve"> </w:t>
      </w:r>
      <w:r w:rsidRPr="00F138B6">
        <w:t>was</w:t>
      </w:r>
      <w:r>
        <w:t xml:space="preserve"> </w:t>
      </w:r>
      <w:r w:rsidRPr="00F138B6">
        <w:t>a</w:t>
      </w:r>
      <w:r>
        <w:t xml:space="preserve"> </w:t>
      </w:r>
      <w:r w:rsidRPr="00F138B6">
        <w:t>member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Whittier</w:t>
      </w:r>
      <w:r>
        <w:t xml:space="preserve"> </w:t>
      </w:r>
      <w:r w:rsidRPr="00F138B6">
        <w:t>faculty</w:t>
      </w:r>
      <w:r>
        <w:t xml:space="preserve"> </w:t>
      </w:r>
      <w:r w:rsidRPr="00F138B6">
        <w:t>from</w:t>
      </w:r>
      <w:r>
        <w:t xml:space="preserve"> </w:t>
      </w:r>
      <w:r w:rsidRPr="00F138B6">
        <w:t>1983</w:t>
      </w:r>
      <w:r>
        <w:t xml:space="preserve"> </w:t>
      </w:r>
      <w:r w:rsidRPr="00F138B6">
        <w:t>to</w:t>
      </w:r>
      <w:r>
        <w:t xml:space="preserve"> </w:t>
      </w:r>
      <w:proofErr w:type="gramStart"/>
      <w:r w:rsidRPr="00F138B6">
        <w:t>2018..</w:t>
      </w:r>
      <w:proofErr w:type="gramEnd"/>
      <w:r>
        <w:t xml:space="preserve"> </w:t>
      </w:r>
      <w:r w:rsidRPr="00F138B6">
        <w:t>From</w:t>
      </w:r>
      <w:r>
        <w:t xml:space="preserve"> </w:t>
      </w:r>
      <w:r w:rsidRPr="00F138B6">
        <w:t>2019</w:t>
      </w:r>
      <w:r>
        <w:t xml:space="preserve"> </w:t>
      </w:r>
      <w:r w:rsidRPr="00F138B6">
        <w:t>to</w:t>
      </w:r>
      <w:r>
        <w:t xml:space="preserve"> </w:t>
      </w:r>
      <w:r w:rsidRPr="00F138B6">
        <w:t>2024</w:t>
      </w:r>
      <w:r>
        <w:t xml:space="preserve"> </w:t>
      </w:r>
      <w:r w:rsidRPr="00F138B6">
        <w:t>he</w:t>
      </w:r>
      <w:r>
        <w:t xml:space="preserve"> </w:t>
      </w:r>
      <w:r w:rsidRPr="00F138B6">
        <w:t>served</w:t>
      </w:r>
      <w:r>
        <w:t xml:space="preserve"> </w:t>
      </w:r>
      <w:r w:rsidRPr="00F138B6">
        <w:t>as</w:t>
      </w:r>
      <w:r>
        <w:t xml:space="preserve"> </w:t>
      </w:r>
      <w:r w:rsidRPr="00F138B6">
        <w:t>an</w:t>
      </w:r>
      <w:r>
        <w:t xml:space="preserve"> </w:t>
      </w:r>
      <w:r w:rsidRPr="00F138B6">
        <w:t>attorney</w:t>
      </w:r>
      <w:r>
        <w:t xml:space="preserve"> </w:t>
      </w:r>
      <w:r w:rsidRPr="00F138B6">
        <w:t>with</w:t>
      </w:r>
      <w:r>
        <w:t xml:space="preserve"> </w:t>
      </w:r>
      <w:r w:rsidRPr="00F138B6">
        <w:t>the</w:t>
      </w:r>
      <w:r>
        <w:t xml:space="preserve"> </w:t>
      </w:r>
      <w:r w:rsidRPr="00F138B6">
        <w:t>U.S.</w:t>
      </w:r>
      <w:r>
        <w:t xml:space="preserve"> </w:t>
      </w:r>
      <w:r w:rsidRPr="00F138B6">
        <w:t>Copyright</w:t>
      </w:r>
      <w:r>
        <w:t xml:space="preserve"> </w:t>
      </w:r>
      <w:r w:rsidRPr="00F138B6">
        <w:t>Office</w:t>
      </w:r>
      <w:r>
        <w:t xml:space="preserve"> </w:t>
      </w:r>
      <w:r w:rsidRPr="00F138B6">
        <w:t>in</w:t>
      </w:r>
      <w:r>
        <w:t xml:space="preserve"> </w:t>
      </w:r>
      <w:r w:rsidRPr="00F138B6">
        <w:t>Washington,</w:t>
      </w:r>
      <w:r>
        <w:t xml:space="preserve"> </w:t>
      </w:r>
      <w:r w:rsidRPr="00F138B6">
        <w:t>D.C.</w:t>
      </w:r>
      <w:r>
        <w:t xml:space="preserve"> </w:t>
      </w:r>
      <w:r w:rsidRPr="00F138B6">
        <w:t>Prior</w:t>
      </w:r>
      <w:r>
        <w:t xml:space="preserve"> </w:t>
      </w:r>
      <w:r w:rsidRPr="00F138B6">
        <w:t>to</w:t>
      </w:r>
      <w:r>
        <w:t xml:space="preserve"> </w:t>
      </w:r>
      <w:r w:rsidRPr="00F138B6">
        <w:t>that</w:t>
      </w:r>
      <w:r>
        <w:t xml:space="preserve"> </w:t>
      </w:r>
      <w:r w:rsidRPr="00F138B6">
        <w:t>time,</w:t>
      </w:r>
      <w:r>
        <w:t xml:space="preserve"> </w:t>
      </w:r>
      <w:r w:rsidRPr="00F138B6">
        <w:t>he</w:t>
      </w:r>
      <w:r>
        <w:t xml:space="preserve"> </w:t>
      </w:r>
      <w:r w:rsidRPr="00F138B6">
        <w:t>practiced</w:t>
      </w:r>
      <w:r>
        <w:t xml:space="preserve"> </w:t>
      </w:r>
      <w:r w:rsidRPr="00F138B6">
        <w:t>law</w:t>
      </w:r>
      <w:r>
        <w:t xml:space="preserve"> </w:t>
      </w:r>
      <w:r w:rsidRPr="00F138B6">
        <w:t>in</w:t>
      </w:r>
      <w:r>
        <w:t xml:space="preserve"> </w:t>
      </w:r>
      <w:r w:rsidRPr="00F138B6">
        <w:t>New</w:t>
      </w:r>
      <w:r>
        <w:t xml:space="preserve"> </w:t>
      </w:r>
      <w:r w:rsidRPr="00F138B6">
        <w:t>York</w:t>
      </w:r>
      <w:r>
        <w:t xml:space="preserve"> </w:t>
      </w:r>
      <w:r w:rsidRPr="00F138B6">
        <w:t>City.</w:t>
      </w:r>
    </w:p>
    <w:p w14:paraId="4E3519DA" w14:textId="7850ABE8" w:rsidR="00F138B6" w:rsidRDefault="00F138B6" w:rsidP="00F138B6">
      <w:pPr>
        <w:pStyle w:val="FootnoteText"/>
      </w:pPr>
      <w:r w:rsidRPr="00F138B6">
        <w:t>Mr.</w:t>
      </w:r>
      <w:r>
        <w:t xml:space="preserve"> </w:t>
      </w:r>
      <w:r w:rsidRPr="00F138B6">
        <w:t>Welkowitz</w:t>
      </w:r>
      <w:r>
        <w:t xml:space="preserve"> </w:t>
      </w:r>
      <w:r w:rsidRPr="00F138B6">
        <w:t>is</w:t>
      </w:r>
      <w:r>
        <w:t xml:space="preserve"> </w:t>
      </w:r>
      <w:r w:rsidRPr="00F138B6">
        <w:t>the</w:t>
      </w:r>
      <w:r>
        <w:t xml:space="preserve"> </w:t>
      </w:r>
      <w:r w:rsidRPr="00F138B6">
        <w:t>author</w:t>
      </w:r>
      <w:r>
        <w:t xml:space="preserve"> </w:t>
      </w:r>
      <w:r w:rsidRPr="00F138B6">
        <w:t>of</w:t>
      </w:r>
      <w:r>
        <w:t xml:space="preserve"> </w:t>
      </w:r>
      <w:r w:rsidRPr="00F138B6">
        <w:t>numerous</w:t>
      </w:r>
      <w:r>
        <w:t xml:space="preserve"> </w:t>
      </w:r>
      <w:r w:rsidRPr="00F138B6">
        <w:t>articles</w:t>
      </w:r>
      <w:r>
        <w:t xml:space="preserve"> </w:t>
      </w:r>
      <w:r w:rsidRPr="00F138B6">
        <w:t>on</w:t>
      </w:r>
      <w:r>
        <w:t xml:space="preserve"> </w:t>
      </w:r>
      <w:r w:rsidRPr="00F138B6">
        <w:t>trademark</w:t>
      </w:r>
      <w:r>
        <w:t xml:space="preserve"> </w:t>
      </w:r>
      <w:r w:rsidRPr="00F138B6">
        <w:t>law</w:t>
      </w:r>
      <w:r>
        <w:t xml:space="preserve"> </w:t>
      </w:r>
      <w:r w:rsidRPr="00F138B6">
        <w:t>and</w:t>
      </w:r>
      <w:r>
        <w:t xml:space="preserve"> </w:t>
      </w:r>
      <w:r w:rsidRPr="00F138B6">
        <w:t>other</w:t>
      </w:r>
      <w:r>
        <w:t xml:space="preserve"> </w:t>
      </w:r>
      <w:r w:rsidRPr="00F138B6">
        <w:t>topics,</w:t>
      </w:r>
      <w:r>
        <w:t xml:space="preserve"> </w:t>
      </w:r>
      <w:r w:rsidRPr="00F138B6">
        <w:t>and</w:t>
      </w:r>
      <w:r>
        <w:t xml:space="preserve"> </w:t>
      </w:r>
      <w:r w:rsidRPr="00F138B6">
        <w:t>he</w:t>
      </w:r>
      <w:r>
        <w:t xml:space="preserve"> </w:t>
      </w:r>
      <w:r w:rsidRPr="00F138B6">
        <w:t>is</w:t>
      </w:r>
      <w:r>
        <w:t xml:space="preserve"> </w:t>
      </w:r>
      <w:r w:rsidRPr="00F138B6">
        <w:t>the</w:t>
      </w:r>
      <w:r>
        <w:t xml:space="preserve"> </w:t>
      </w:r>
      <w:r w:rsidRPr="00F138B6">
        <w:t>co-author</w:t>
      </w:r>
      <w:r>
        <w:t xml:space="preserve"> </w:t>
      </w:r>
      <w:r w:rsidRPr="00F138B6">
        <w:t>of</w:t>
      </w:r>
      <w:r>
        <w:t xml:space="preserve"> </w:t>
      </w:r>
      <w:r w:rsidRPr="00F138B6">
        <w:t>a</w:t>
      </w:r>
      <w:r>
        <w:t xml:space="preserve"> </w:t>
      </w:r>
      <w:r w:rsidRPr="00F138B6">
        <w:t>casebook</w:t>
      </w:r>
      <w:r>
        <w:t xml:space="preserve"> </w:t>
      </w:r>
      <w:r w:rsidRPr="00F138B6">
        <w:t>on</w:t>
      </w:r>
      <w:r>
        <w:t xml:space="preserve"> </w:t>
      </w:r>
      <w:r w:rsidRPr="00F138B6">
        <w:t>celebrity</w:t>
      </w:r>
      <w:r>
        <w:t xml:space="preserve"> </w:t>
      </w:r>
      <w:r w:rsidRPr="00F138B6">
        <w:t>rights.</w:t>
      </w:r>
      <w:r>
        <w:t xml:space="preserve"> </w:t>
      </w:r>
      <w:r w:rsidRPr="00F138B6">
        <w:t>He</w:t>
      </w:r>
      <w:r>
        <w:t xml:space="preserve"> </w:t>
      </w:r>
      <w:r w:rsidRPr="00F138B6">
        <w:t>has</w:t>
      </w:r>
      <w:r>
        <w:t xml:space="preserve"> </w:t>
      </w:r>
      <w:r w:rsidRPr="00F138B6">
        <w:t>also</w:t>
      </w:r>
      <w:r>
        <w:t xml:space="preserve"> </w:t>
      </w:r>
      <w:r w:rsidRPr="00F138B6">
        <w:t>written</w:t>
      </w:r>
      <w:r>
        <w:t xml:space="preserve"> </w:t>
      </w:r>
      <w:r w:rsidRPr="00F138B6">
        <w:t>several</w:t>
      </w:r>
      <w:r>
        <w:t xml:space="preserve"> </w:t>
      </w:r>
      <w:r w:rsidRPr="00F138B6">
        <w:t>lessons</w:t>
      </w:r>
      <w:r>
        <w:t xml:space="preserve"> </w:t>
      </w:r>
      <w:r w:rsidRPr="00F138B6">
        <w:t>in</w:t>
      </w:r>
      <w:r>
        <w:t xml:space="preserve"> </w:t>
      </w:r>
      <w:r w:rsidRPr="00F138B6">
        <w:t>computer-assisted</w:t>
      </w:r>
      <w:r>
        <w:t xml:space="preserve"> </w:t>
      </w:r>
      <w:r w:rsidRPr="00F138B6">
        <w:t>learning,</w:t>
      </w:r>
      <w:r>
        <w:t xml:space="preserve"> </w:t>
      </w:r>
      <w:r w:rsidRPr="00F138B6">
        <w:t>which</w:t>
      </w:r>
      <w:r>
        <w:t xml:space="preserve"> </w:t>
      </w:r>
      <w:r w:rsidRPr="00F138B6">
        <w:t>are</w:t>
      </w:r>
      <w:r>
        <w:t xml:space="preserve"> </w:t>
      </w:r>
      <w:r w:rsidRPr="00F138B6">
        <w:t>used</w:t>
      </w:r>
      <w:r>
        <w:t xml:space="preserve"> </w:t>
      </w:r>
      <w:r w:rsidRPr="00F138B6">
        <w:t>by</w:t>
      </w:r>
      <w:r>
        <w:t xml:space="preserve"> </w:t>
      </w:r>
      <w:r w:rsidRPr="00F138B6">
        <w:t>law</w:t>
      </w:r>
      <w:r>
        <w:t xml:space="preserve"> </w:t>
      </w:r>
      <w:r w:rsidRPr="00F138B6">
        <w:t>students</w:t>
      </w:r>
      <w:r>
        <w:t xml:space="preserve"> </w:t>
      </w:r>
      <w:r w:rsidRPr="00F138B6">
        <w:t>in</w:t>
      </w:r>
      <w:r>
        <w:t xml:space="preserve"> </w:t>
      </w:r>
      <w:r w:rsidRPr="00F138B6">
        <w:t>the</w:t>
      </w:r>
      <w:r>
        <w:t xml:space="preserve"> </w:t>
      </w:r>
      <w:r w:rsidRPr="00F138B6">
        <w:t>areas</w:t>
      </w:r>
      <w:r>
        <w:t xml:space="preserve"> </w:t>
      </w:r>
      <w:r w:rsidRPr="00F138B6">
        <w:t>of</w:t>
      </w:r>
      <w:r>
        <w:t xml:space="preserve"> </w:t>
      </w:r>
      <w:r w:rsidRPr="00F138B6">
        <w:t>civil</w:t>
      </w:r>
      <w:r>
        <w:t xml:space="preserve"> </w:t>
      </w:r>
      <w:r w:rsidRPr="00F138B6">
        <w:t>procedure</w:t>
      </w:r>
      <w:r>
        <w:t xml:space="preserve"> </w:t>
      </w:r>
      <w:r w:rsidRPr="00F138B6">
        <w:t>and</w:t>
      </w:r>
      <w:r>
        <w:t xml:space="preserve"> </w:t>
      </w:r>
      <w:r w:rsidRPr="00F138B6">
        <w:t>trademark</w:t>
      </w:r>
      <w:r>
        <w:t xml:space="preserve"> </w:t>
      </w:r>
      <w:r w:rsidRPr="00F138B6">
        <w:t>law.</w:t>
      </w:r>
      <w:r>
        <w:t xml:space="preserve"> </w:t>
      </w:r>
      <w:r w:rsidRPr="00F138B6">
        <w:t>Professor</w:t>
      </w:r>
      <w:r>
        <w:t xml:space="preserve"> </w:t>
      </w:r>
      <w:r w:rsidRPr="00F138B6">
        <w:t>Welkowitz</w:t>
      </w:r>
      <w:r>
        <w:t xml:space="preserve"> </w:t>
      </w:r>
      <w:r w:rsidRPr="00F138B6">
        <w:t>received</w:t>
      </w:r>
      <w:r>
        <w:t xml:space="preserve"> </w:t>
      </w:r>
      <w:r w:rsidRPr="00F138B6">
        <w:t>his</w:t>
      </w:r>
      <w:r>
        <w:t xml:space="preserve"> </w:t>
      </w:r>
      <w:r w:rsidRPr="00F138B6">
        <w:t>J.D.</w:t>
      </w:r>
      <w:r>
        <w:t xml:space="preserve"> </w:t>
      </w:r>
      <w:r w:rsidRPr="00F138B6">
        <w:t>degree</w:t>
      </w:r>
      <w:r>
        <w:t xml:space="preserve"> </w:t>
      </w:r>
      <w:r w:rsidRPr="00F138B6">
        <w:t>in</w:t>
      </w:r>
      <w:r>
        <w:t xml:space="preserve"> </w:t>
      </w:r>
      <w:r w:rsidRPr="00F138B6">
        <w:t>1978</w:t>
      </w:r>
      <w:r>
        <w:t xml:space="preserve"> </w:t>
      </w:r>
      <w:r w:rsidRPr="00F138B6">
        <w:t>from</w:t>
      </w:r>
      <w:r>
        <w:t xml:space="preserve"> </w:t>
      </w:r>
      <w:r w:rsidRPr="00F138B6">
        <w:t>New</w:t>
      </w:r>
      <w:r>
        <w:t xml:space="preserve"> </w:t>
      </w:r>
      <w:r w:rsidRPr="00F138B6">
        <w:t>York</w:t>
      </w:r>
      <w:r>
        <w:t xml:space="preserve"> </w:t>
      </w:r>
      <w:r w:rsidRPr="00F138B6">
        <w:t>University</w:t>
      </w:r>
      <w:r>
        <w:t xml:space="preserve"> </w:t>
      </w:r>
      <w:r w:rsidRPr="00F138B6">
        <w:t>Law</w:t>
      </w:r>
      <w:r>
        <w:t xml:space="preserve"> </w:t>
      </w:r>
      <w:r w:rsidRPr="00F138B6">
        <w:t>School,</w:t>
      </w:r>
      <w:r>
        <w:t xml:space="preserve"> </w:t>
      </w:r>
      <w:r w:rsidRPr="00F138B6">
        <w:t>where</w:t>
      </w:r>
      <w:r>
        <w:t xml:space="preserve"> </w:t>
      </w:r>
      <w:r w:rsidRPr="00F138B6">
        <w:t>he</w:t>
      </w:r>
      <w:r>
        <w:t xml:space="preserve"> </w:t>
      </w:r>
      <w:r w:rsidRPr="00F138B6">
        <w:t>was</w:t>
      </w:r>
      <w:r>
        <w:t xml:space="preserve"> </w:t>
      </w:r>
      <w:r w:rsidRPr="00F138B6">
        <w:t>a</w:t>
      </w:r>
      <w:r>
        <w:t xml:space="preserve"> </w:t>
      </w:r>
      <w:r w:rsidRPr="00F138B6">
        <w:t>member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Law</w:t>
      </w:r>
      <w:r>
        <w:t xml:space="preserve"> </w:t>
      </w:r>
      <w:r w:rsidRPr="00F138B6">
        <w:t>Review.</w:t>
      </w:r>
      <w:r>
        <w:t xml:space="preserve"> </w:t>
      </w:r>
      <w:r w:rsidRPr="00F138B6">
        <w:t>He</w:t>
      </w:r>
      <w:r>
        <w:t xml:space="preserve"> </w:t>
      </w:r>
      <w:r w:rsidRPr="00F138B6">
        <w:t>received</w:t>
      </w:r>
      <w:r>
        <w:t xml:space="preserve"> </w:t>
      </w:r>
      <w:r w:rsidRPr="00F138B6">
        <w:t>an</w:t>
      </w:r>
      <w:r>
        <w:t xml:space="preserve"> </w:t>
      </w:r>
      <w:r w:rsidRPr="00F138B6">
        <w:t>A.B.</w:t>
      </w:r>
      <w:r>
        <w:t xml:space="preserve"> </w:t>
      </w:r>
      <w:r w:rsidRPr="00F138B6">
        <w:t>degree</w:t>
      </w:r>
      <w:r>
        <w:t xml:space="preserve"> </w:t>
      </w:r>
      <w:r w:rsidRPr="00F138B6">
        <w:t>in</w:t>
      </w:r>
      <w:r>
        <w:t xml:space="preserve"> </w:t>
      </w:r>
      <w:r w:rsidRPr="00F138B6">
        <w:t>1975</w:t>
      </w:r>
      <w:r>
        <w:t xml:space="preserve"> </w:t>
      </w:r>
      <w:r w:rsidRPr="00F138B6">
        <w:t>from</w:t>
      </w:r>
      <w:r>
        <w:t xml:space="preserve"> </w:t>
      </w:r>
      <w:r w:rsidRPr="00F138B6">
        <w:t>Princeton</w:t>
      </w:r>
      <w:r>
        <w:t xml:space="preserve"> </w:t>
      </w:r>
      <w:r w:rsidRPr="00F138B6">
        <w:t>University.</w:t>
      </w:r>
      <w:r>
        <w:t xml:space="preserve"> </w:t>
      </w:r>
      <w:r w:rsidRPr="00F138B6">
        <w:t>He</w:t>
      </w:r>
      <w:r>
        <w:t xml:space="preserve"> </w:t>
      </w:r>
      <w:r w:rsidRPr="00F138B6">
        <w:t>is</w:t>
      </w:r>
      <w:r>
        <w:t xml:space="preserve"> </w:t>
      </w:r>
      <w:r w:rsidRPr="00F138B6">
        <w:t>a</w:t>
      </w:r>
      <w:r>
        <w:t xml:space="preserve"> </w:t>
      </w:r>
      <w:r w:rsidRPr="00F138B6">
        <w:t>member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New</w:t>
      </w:r>
      <w:r>
        <w:t xml:space="preserve"> </w:t>
      </w:r>
      <w:r w:rsidRPr="00F138B6">
        <w:t>York</w:t>
      </w:r>
      <w:r>
        <w:t xml:space="preserve"> </w:t>
      </w:r>
      <w:r w:rsidRPr="00F138B6">
        <w:t>and</w:t>
      </w:r>
      <w:r>
        <w:t xml:space="preserve"> </w:t>
      </w:r>
      <w:r w:rsidRPr="00F138B6">
        <w:t>District</w:t>
      </w:r>
      <w:r>
        <w:t xml:space="preserve"> </w:t>
      </w:r>
      <w:r w:rsidRPr="00F138B6">
        <w:t>of</w:t>
      </w:r>
      <w:r>
        <w:t xml:space="preserve"> </w:t>
      </w:r>
      <w:r w:rsidRPr="00F138B6">
        <w:t>Columbia</w:t>
      </w:r>
      <w:r>
        <w:t xml:space="preserve"> </w:t>
      </w:r>
      <w:proofErr w:type="gramStart"/>
      <w:r w:rsidRPr="00F138B6">
        <w:t>bars,</w:t>
      </w:r>
      <w:r>
        <w:t xml:space="preserve"> </w:t>
      </w:r>
      <w:r w:rsidRPr="00F138B6">
        <w:t>and</w:t>
      </w:r>
      <w:proofErr w:type="gramEnd"/>
      <w:r>
        <w:t xml:space="preserve"> </w:t>
      </w:r>
      <w:r w:rsidRPr="00F138B6">
        <w:t>is</w:t>
      </w:r>
      <w:r>
        <w:t xml:space="preserve"> </w:t>
      </w:r>
      <w:r w:rsidRPr="00F138B6">
        <w:t>admitted</w:t>
      </w:r>
      <w:r>
        <w:t xml:space="preserve"> </w:t>
      </w:r>
      <w:r w:rsidRPr="00F138B6">
        <w:t>to</w:t>
      </w:r>
      <w:r>
        <w:t xml:space="preserve"> </w:t>
      </w:r>
      <w:r w:rsidRPr="00F138B6">
        <w:t>practice</w:t>
      </w:r>
      <w:r>
        <w:t xml:space="preserve"> </w:t>
      </w:r>
      <w:r w:rsidRPr="00F138B6">
        <w:t>before</w:t>
      </w:r>
      <w:r>
        <w:t xml:space="preserve"> </w:t>
      </w:r>
      <w:r w:rsidRPr="00F138B6">
        <w:t>the</w:t>
      </w:r>
      <w:r>
        <w:t xml:space="preserve"> </w:t>
      </w:r>
      <w:r w:rsidRPr="00F138B6">
        <w:t>federal</w:t>
      </w:r>
      <w:r>
        <w:t xml:space="preserve"> </w:t>
      </w:r>
      <w:r w:rsidRPr="00F138B6">
        <w:t>courts</w:t>
      </w:r>
      <w:r>
        <w:t xml:space="preserve"> </w:t>
      </w:r>
      <w:r w:rsidRPr="00F138B6">
        <w:t>in</w:t>
      </w:r>
      <w:r>
        <w:t xml:space="preserve"> </w:t>
      </w:r>
      <w:r w:rsidRPr="00F138B6">
        <w:t>the</w:t>
      </w:r>
      <w:r>
        <w:t xml:space="preserve"> </w:t>
      </w:r>
      <w:r w:rsidRPr="00F138B6">
        <w:t>Southern</w:t>
      </w:r>
      <w:r>
        <w:t xml:space="preserve"> </w:t>
      </w:r>
      <w:r w:rsidRPr="00F138B6">
        <w:t>and</w:t>
      </w:r>
      <w:r>
        <w:t xml:space="preserve"> </w:t>
      </w:r>
      <w:r w:rsidRPr="00F138B6">
        <w:t>Eastern</w:t>
      </w:r>
      <w:r>
        <w:t xml:space="preserve"> </w:t>
      </w:r>
      <w:r w:rsidRPr="00F138B6">
        <w:t>Districts</w:t>
      </w:r>
      <w:r>
        <w:t xml:space="preserve"> </w:t>
      </w:r>
      <w:r w:rsidRPr="00F138B6">
        <w:t>of</w:t>
      </w:r>
      <w:r>
        <w:t xml:space="preserve"> </w:t>
      </w:r>
      <w:r w:rsidRPr="00F138B6">
        <w:t>New</w:t>
      </w:r>
      <w:r>
        <w:t xml:space="preserve"> </w:t>
      </w:r>
      <w:r w:rsidRPr="00F138B6">
        <w:t>York</w:t>
      </w:r>
      <w:r>
        <w:t xml:space="preserve"> </w:t>
      </w:r>
      <w:r w:rsidRPr="00F138B6">
        <w:t>and</w:t>
      </w:r>
      <w:r>
        <w:t xml:space="preserve"> </w:t>
      </w:r>
      <w:r w:rsidRPr="00F138B6">
        <w:t>the</w:t>
      </w:r>
      <w:r>
        <w:t xml:space="preserve"> </w:t>
      </w:r>
      <w:r w:rsidRPr="00F138B6">
        <w:t>Court</w:t>
      </w:r>
      <w:r>
        <w:t xml:space="preserve"> </w:t>
      </w:r>
      <w:r w:rsidRPr="00F138B6">
        <w:t>of</w:t>
      </w:r>
      <w:r>
        <w:t xml:space="preserve"> </w:t>
      </w:r>
      <w:r w:rsidRPr="00F138B6">
        <w:t>Appeals</w:t>
      </w:r>
      <w:r>
        <w:t xml:space="preserve"> </w:t>
      </w:r>
      <w:r w:rsidRPr="00F138B6">
        <w:t>for</w:t>
      </w:r>
      <w:r>
        <w:t xml:space="preserve"> </w:t>
      </w:r>
      <w:r w:rsidRPr="00F138B6">
        <w:t>the</w:t>
      </w:r>
      <w:r>
        <w:t xml:space="preserve"> </w:t>
      </w:r>
      <w:r w:rsidRPr="00F138B6">
        <w:t>Second</w:t>
      </w:r>
      <w:r>
        <w:t xml:space="preserve"> </w:t>
      </w:r>
      <w:r w:rsidRPr="00F138B6">
        <w:t>Circuit.</w:t>
      </w:r>
    </w:p>
  </w:footnote>
  <w:footnote w:id="2">
    <w:p w14:paraId="12832F59" w14:textId="345D7982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Pub.</w:t>
      </w:r>
      <w:r>
        <w:t xml:space="preserve"> </w:t>
      </w:r>
      <w:r w:rsidRPr="00F138B6">
        <w:t>L.</w:t>
      </w:r>
      <w:r>
        <w:t xml:space="preserve"> </w:t>
      </w:r>
      <w:r w:rsidRPr="00F138B6">
        <w:t>No.</w:t>
      </w:r>
      <w:r>
        <w:t xml:space="preserve"> </w:t>
      </w:r>
      <w:r w:rsidRPr="00F138B6">
        <w:t>109-312,</w:t>
      </w:r>
      <w:r>
        <w:t xml:space="preserve"> </w:t>
      </w:r>
      <w:r w:rsidRPr="00F138B6">
        <w:t>120</w:t>
      </w:r>
      <w:r>
        <w:t xml:space="preserve"> </w:t>
      </w:r>
      <w:r w:rsidRPr="00F138B6">
        <w:t>Stat.</w:t>
      </w:r>
      <w:r>
        <w:t xml:space="preserve"> </w:t>
      </w:r>
      <w:r w:rsidRPr="00F138B6">
        <w:t>1730</w:t>
      </w:r>
      <w:r>
        <w:t xml:space="preserve"> </w:t>
      </w:r>
      <w:r w:rsidRPr="00F138B6">
        <w:t>(2006).</w:t>
      </w:r>
    </w:p>
  </w:footnote>
  <w:footnote w:id="3">
    <w:p w14:paraId="6F10B2C4" w14:textId="07974F98" w:rsidR="00F138B6" w:rsidRPr="00F138B6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smallCaps/>
        </w:rPr>
        <w:t>Model</w:t>
      </w:r>
      <w:r>
        <w:rPr>
          <w:smallCaps/>
        </w:rPr>
        <w:t xml:space="preserve"> </w:t>
      </w:r>
      <w:r w:rsidRPr="00F138B6">
        <w:rPr>
          <w:smallCaps/>
        </w:rPr>
        <w:t>State</w:t>
      </w:r>
      <w:r>
        <w:rPr>
          <w:smallCaps/>
        </w:rPr>
        <w:t xml:space="preserve"> </w:t>
      </w:r>
      <w:r w:rsidRPr="00F138B6">
        <w:rPr>
          <w:smallCaps/>
        </w:rPr>
        <w:t>Trademark</w:t>
      </w:r>
      <w:r>
        <w:rPr>
          <w:smallCaps/>
        </w:rPr>
        <w:t xml:space="preserve"> </w:t>
      </w:r>
      <w:r w:rsidRPr="00F138B6">
        <w:rPr>
          <w:smallCaps/>
        </w:rPr>
        <w:t>Bill</w:t>
      </w:r>
      <w:r>
        <w:t xml:space="preserve"> </w:t>
      </w:r>
      <w:r w:rsidRPr="00F138B6">
        <w:t>§12</w:t>
      </w:r>
      <w:r>
        <w:t xml:space="preserve"> </w:t>
      </w:r>
      <w:r w:rsidRPr="00F138B6">
        <w:t>(1964)</w:t>
      </w:r>
      <w:r>
        <w:t xml:space="preserve"> </w:t>
      </w:r>
      <w:r w:rsidRPr="00F138B6">
        <w:t>[hereinafter</w:t>
      </w:r>
      <w:r>
        <w:t xml:space="preserve"> </w:t>
      </w:r>
      <w:r w:rsidRPr="00F138B6">
        <w:t>“1964</w:t>
      </w:r>
      <w:r>
        <w:t xml:space="preserve"> </w:t>
      </w:r>
      <w:r w:rsidRPr="00F138B6">
        <w:t>Model</w:t>
      </w:r>
      <w:r>
        <w:t xml:space="preserve"> </w:t>
      </w:r>
      <w:r w:rsidRPr="00F138B6">
        <w:t>Bill”],</w:t>
      </w:r>
      <w:r>
        <w:t xml:space="preserve"> </w:t>
      </w:r>
      <w:r w:rsidRPr="00F138B6">
        <w:rPr>
          <w:i/>
        </w:rPr>
        <w:t>reprinted</w:t>
      </w:r>
      <w:r>
        <w:rPr>
          <w:i/>
        </w:rPr>
        <w:t xml:space="preserve"> </w:t>
      </w:r>
      <w:r w:rsidRPr="00F138B6">
        <w:rPr>
          <w:i/>
        </w:rPr>
        <w:t>in</w:t>
      </w:r>
      <w:r>
        <w:t xml:space="preserve"> </w:t>
      </w:r>
      <w:r w:rsidRPr="00F138B6">
        <w:t>J</w:t>
      </w:r>
      <w:r w:rsidRPr="00F138B6">
        <w:rPr>
          <w:smallCaps/>
        </w:rPr>
        <w:t>.</w:t>
      </w:r>
      <w:r>
        <w:rPr>
          <w:smallCaps/>
        </w:rPr>
        <w:t xml:space="preserve"> </w:t>
      </w:r>
      <w:r w:rsidRPr="00F138B6">
        <w:rPr>
          <w:smallCaps/>
        </w:rPr>
        <w:t>Thomas</w:t>
      </w:r>
      <w:r>
        <w:rPr>
          <w:smallCaps/>
        </w:rPr>
        <w:t xml:space="preserve"> </w:t>
      </w:r>
      <w:r w:rsidRPr="00F138B6">
        <w:rPr>
          <w:smallCaps/>
        </w:rPr>
        <w:t>McCarthy</w:t>
      </w:r>
      <w:r w:rsidRPr="00F138B6">
        <w:t>,</w:t>
      </w:r>
      <w:r>
        <w:t xml:space="preserve"> </w:t>
      </w:r>
      <w:r w:rsidRPr="00F138B6">
        <w:rPr>
          <w:smallCaps/>
        </w:rPr>
        <w:t>McCarthy</w:t>
      </w:r>
      <w:r>
        <w:rPr>
          <w:smallCaps/>
        </w:rPr>
        <w:t xml:space="preserve"> </w:t>
      </w:r>
      <w:r w:rsidRPr="00F138B6">
        <w:rPr>
          <w:smallCaps/>
        </w:rPr>
        <w:t>on</w:t>
      </w:r>
      <w:r>
        <w:rPr>
          <w:smallCaps/>
        </w:rPr>
        <w:t xml:space="preserve"> </w:t>
      </w:r>
      <w:r w:rsidRPr="00F138B6">
        <w:rPr>
          <w:smallCaps/>
        </w:rPr>
        <w:t>Trademarks</w:t>
      </w:r>
      <w:r>
        <w:rPr>
          <w:smallCaps/>
        </w:rPr>
        <w:t xml:space="preserve"> </w:t>
      </w:r>
      <w:r w:rsidRPr="00F138B6">
        <w:rPr>
          <w:smallCaps/>
        </w:rPr>
        <w:t>and</w:t>
      </w:r>
      <w:r>
        <w:rPr>
          <w:smallCaps/>
        </w:rPr>
        <w:t xml:space="preserve"> </w:t>
      </w:r>
      <w:r w:rsidRPr="00F138B6">
        <w:rPr>
          <w:smallCaps/>
        </w:rPr>
        <w:t>Unfair</w:t>
      </w:r>
      <w:r>
        <w:rPr>
          <w:smallCaps/>
        </w:rPr>
        <w:t xml:space="preserve"> </w:t>
      </w:r>
      <w:r w:rsidRPr="00F138B6">
        <w:rPr>
          <w:smallCaps/>
        </w:rPr>
        <w:t>Competition</w:t>
      </w:r>
      <w:r>
        <w:rPr>
          <w:smallCaps/>
        </w:rPr>
        <w:t xml:space="preserve"> </w:t>
      </w:r>
      <w:r w:rsidRPr="00F138B6">
        <w:t>§22.8,</w:t>
      </w:r>
      <w:r>
        <w:t xml:space="preserve"> </w:t>
      </w:r>
      <w:r w:rsidRPr="00F138B6">
        <w:t>at</w:t>
      </w:r>
      <w:r>
        <w:t xml:space="preserve"> </w:t>
      </w:r>
      <w:r w:rsidRPr="00F138B6">
        <w:t>22-24</w:t>
      </w:r>
      <w:r>
        <w:rPr>
          <w:smallCaps/>
        </w:rPr>
        <w:t xml:space="preserve"> </w:t>
      </w:r>
      <w:r w:rsidRPr="00F138B6">
        <w:t>to</w:t>
      </w:r>
      <w:r>
        <w:rPr>
          <w:smallCaps/>
        </w:rPr>
        <w:t xml:space="preserve"> </w:t>
      </w:r>
      <w:r w:rsidRPr="00F138B6">
        <w:rPr>
          <w:smallCaps/>
        </w:rPr>
        <w:t>22-32</w:t>
      </w:r>
      <w:r>
        <w:rPr>
          <w:smallCaps/>
        </w:rPr>
        <w:t xml:space="preserve"> </w:t>
      </w:r>
      <w:r w:rsidRPr="00F138B6">
        <w:rPr>
          <w:smallCaps/>
        </w:rPr>
        <w:t>(</w:t>
      </w:r>
      <w:r w:rsidRPr="00F138B6">
        <w:t>4th</w:t>
      </w:r>
      <w:r>
        <w:t xml:space="preserve"> </w:t>
      </w:r>
      <w:r w:rsidRPr="00F138B6">
        <w:t>ed</w:t>
      </w:r>
      <w:r w:rsidRPr="00F138B6">
        <w:rPr>
          <w:smallCaps/>
        </w:rPr>
        <w:t>.</w:t>
      </w:r>
      <w:r>
        <w:rPr>
          <w:smallCaps/>
        </w:rPr>
        <w:t xml:space="preserve"> </w:t>
      </w:r>
      <w:r w:rsidRPr="00F138B6">
        <w:rPr>
          <w:smallCaps/>
        </w:rPr>
        <w:t>1998</w:t>
      </w:r>
      <w:r>
        <w:rPr>
          <w:smallCaps/>
        </w:rPr>
        <w:t xml:space="preserve"> </w:t>
      </w:r>
      <w:r w:rsidRPr="00F138B6">
        <w:rPr>
          <w:smallCaps/>
        </w:rPr>
        <w:t>&amp;</w:t>
      </w:r>
      <w:r>
        <w:rPr>
          <w:smallCaps/>
        </w:rPr>
        <w:t xml:space="preserve"> </w:t>
      </w:r>
      <w:r w:rsidRPr="00F138B6">
        <w:t>Supps.</w:t>
      </w:r>
      <w:r w:rsidRPr="00F138B6">
        <w:rPr>
          <w:smallCaps/>
        </w:rPr>
        <w:t>)</w:t>
      </w:r>
      <w:r w:rsidRPr="00F138B6">
        <w:t>.</w:t>
      </w:r>
      <w:r>
        <w:t xml:space="preserve"> </w:t>
      </w:r>
      <w:r w:rsidRPr="00F138B6">
        <w:t>The</w:t>
      </w:r>
      <w:r>
        <w:t xml:space="preserve"> </w:t>
      </w:r>
      <w:r w:rsidRPr="00F138B6">
        <w:t>text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1964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dilution</w:t>
      </w:r>
      <w:r>
        <w:t xml:space="preserve"> </w:t>
      </w:r>
      <w:r w:rsidRPr="00F138B6">
        <w:t>provision</w:t>
      </w:r>
      <w:r>
        <w:t xml:space="preserve"> </w:t>
      </w:r>
      <w:r w:rsidRPr="00F138B6">
        <w:t>is</w:t>
      </w:r>
      <w:r>
        <w:t xml:space="preserve"> </w:t>
      </w:r>
      <w:r w:rsidRPr="00F138B6">
        <w:t>also</w:t>
      </w:r>
      <w:r>
        <w:t xml:space="preserve"> </w:t>
      </w:r>
      <w:r w:rsidRPr="00F138B6">
        <w:t>reprinted</w:t>
      </w:r>
      <w:r>
        <w:t xml:space="preserve"> </w:t>
      </w:r>
      <w:r w:rsidRPr="00F138B6">
        <w:t>in</w:t>
      </w:r>
      <w:r>
        <w:t xml:space="preserve"> </w:t>
      </w:r>
      <w:r w:rsidRPr="00F138B6">
        <w:t>Andrew</w:t>
      </w:r>
      <w:r>
        <w:t xml:space="preserve"> </w:t>
      </w:r>
      <w:r w:rsidRPr="00F138B6">
        <w:t>L.</w:t>
      </w:r>
      <w:r>
        <w:t xml:space="preserve"> </w:t>
      </w:r>
      <w:r w:rsidRPr="00F138B6">
        <w:t>Goldstein,</w:t>
      </w:r>
      <w:r>
        <w:t xml:space="preserve"> </w:t>
      </w:r>
      <w:r w:rsidRPr="00F138B6">
        <w:rPr>
          <w:i/>
        </w:rPr>
        <w:t>Bringing</w:t>
      </w:r>
      <w:r>
        <w:rPr>
          <w:i/>
        </w:rPr>
        <w:t xml:space="preserve"> </w:t>
      </w:r>
      <w:r w:rsidRPr="00F138B6">
        <w:rPr>
          <w:i/>
        </w:rPr>
        <w:t>the</w:t>
      </w:r>
      <w:r>
        <w:rPr>
          <w:i/>
        </w:rPr>
        <w:t xml:space="preserve"> </w:t>
      </w:r>
      <w:r w:rsidRPr="00F138B6">
        <w:rPr>
          <w:i/>
        </w:rPr>
        <w:t>Model</w:t>
      </w:r>
      <w:r>
        <w:rPr>
          <w:i/>
        </w:rPr>
        <w:t xml:space="preserve"> </w:t>
      </w:r>
      <w:r w:rsidRPr="00F138B6">
        <w:rPr>
          <w:i/>
        </w:rPr>
        <w:t>State</w:t>
      </w:r>
      <w:r>
        <w:rPr>
          <w:i/>
        </w:rPr>
        <w:t xml:space="preserve"> </w:t>
      </w:r>
      <w:r w:rsidRPr="00F138B6">
        <w:rPr>
          <w:i/>
        </w:rPr>
        <w:t>Trademark</w:t>
      </w:r>
      <w:r>
        <w:rPr>
          <w:i/>
        </w:rPr>
        <w:t xml:space="preserve"> </w:t>
      </w:r>
      <w:r w:rsidRPr="00F138B6">
        <w:rPr>
          <w:i/>
        </w:rPr>
        <w:t>Bill</w:t>
      </w:r>
      <w:r>
        <w:rPr>
          <w:i/>
        </w:rPr>
        <w:t xml:space="preserve"> </w:t>
      </w:r>
      <w:r w:rsidRPr="00F138B6">
        <w:rPr>
          <w:i/>
        </w:rPr>
        <w:t>into</w:t>
      </w:r>
      <w:r>
        <w:rPr>
          <w:i/>
        </w:rPr>
        <w:t xml:space="preserve"> </w:t>
      </w:r>
      <w:r w:rsidRPr="00F138B6">
        <w:rPr>
          <w:i/>
        </w:rPr>
        <w:t>the</w:t>
      </w:r>
      <w:r>
        <w:rPr>
          <w:i/>
        </w:rPr>
        <w:t xml:space="preserve"> </w:t>
      </w:r>
      <w:r w:rsidRPr="00F138B6">
        <w:rPr>
          <w:i/>
        </w:rPr>
        <w:t>90s</w:t>
      </w:r>
      <w:r>
        <w:rPr>
          <w:i/>
        </w:rPr>
        <w:t xml:space="preserve"> </w:t>
      </w:r>
      <w:r w:rsidRPr="00F138B6">
        <w:rPr>
          <w:i/>
        </w:rPr>
        <w:t>and</w:t>
      </w:r>
      <w:r>
        <w:rPr>
          <w:i/>
        </w:rPr>
        <w:t xml:space="preserve"> </w:t>
      </w:r>
      <w:proofErr w:type="gramStart"/>
      <w:r w:rsidRPr="00F138B6">
        <w:rPr>
          <w:i/>
        </w:rPr>
        <w:t>Beyond</w:t>
      </w:r>
      <w:proofErr w:type="gramEnd"/>
      <w:r w:rsidRPr="00F138B6">
        <w:t>,</w:t>
      </w:r>
      <w:r>
        <w:t xml:space="preserve"> </w:t>
      </w:r>
      <w:r w:rsidRPr="00F138B6">
        <w:t>83</w:t>
      </w:r>
      <w:r>
        <w:t xml:space="preserve"> </w:t>
      </w:r>
      <w:r w:rsidRPr="00F138B6">
        <w:rPr>
          <w:smallCaps/>
        </w:rPr>
        <w:t>Trademark</w:t>
      </w:r>
      <w:r>
        <w:rPr>
          <w:smallCaps/>
        </w:rPr>
        <w:t xml:space="preserve"> </w:t>
      </w:r>
      <w:r w:rsidRPr="00F138B6">
        <w:rPr>
          <w:smallCaps/>
        </w:rPr>
        <w:t>Rep</w:t>
      </w:r>
      <w:r w:rsidRPr="00F138B6">
        <w:t>.</w:t>
      </w:r>
      <w:r>
        <w:t xml:space="preserve"> </w:t>
      </w:r>
      <w:r w:rsidRPr="00F138B6">
        <w:t>226,</w:t>
      </w:r>
      <w:r>
        <w:t xml:space="preserve"> </w:t>
      </w:r>
      <w:r w:rsidRPr="00F138B6">
        <w:t>236</w:t>
      </w:r>
      <w:r>
        <w:t xml:space="preserve"> </w:t>
      </w:r>
      <w:r w:rsidRPr="00F138B6">
        <w:t>(1993).</w:t>
      </w:r>
    </w:p>
    <w:p w14:paraId="197128E9" w14:textId="7FF89DDC" w:rsidR="00F138B6" w:rsidRPr="00903803" w:rsidRDefault="00F138B6" w:rsidP="001763C1">
      <w:pPr>
        <w:pStyle w:val="FootnoteText"/>
      </w:pPr>
      <w:r w:rsidRPr="00F138B6">
        <w:t>The</w:t>
      </w:r>
      <w:r>
        <w:t xml:space="preserve"> </w:t>
      </w:r>
      <w:r w:rsidRPr="00F138B6">
        <w:t>United</w:t>
      </w:r>
      <w:r>
        <w:t xml:space="preserve"> </w:t>
      </w:r>
      <w:r w:rsidRPr="00F138B6">
        <w:t>States</w:t>
      </w:r>
      <w:r>
        <w:t xml:space="preserve"> </w:t>
      </w:r>
      <w:r w:rsidRPr="00F138B6">
        <w:t>Trademark</w:t>
      </w:r>
      <w:r>
        <w:t xml:space="preserve"> </w:t>
      </w:r>
      <w:r w:rsidRPr="00F138B6">
        <w:t>Association</w:t>
      </w:r>
      <w:r>
        <w:t xml:space="preserve"> </w:t>
      </w:r>
      <w:r w:rsidRPr="00F138B6">
        <w:t>(USTA)</w:t>
      </w:r>
      <w:r>
        <w:t xml:space="preserve"> </w:t>
      </w:r>
      <w:r w:rsidRPr="00F138B6">
        <w:t>issued</w:t>
      </w:r>
      <w:r>
        <w:t xml:space="preserve"> </w:t>
      </w:r>
      <w:r w:rsidRPr="00F138B6">
        <w:t>a</w:t>
      </w:r>
      <w:r>
        <w:t xml:space="preserve"> </w:t>
      </w:r>
      <w:r w:rsidRPr="00F138B6">
        <w:t>series</w:t>
      </w:r>
      <w:r>
        <w:t xml:space="preserve"> </w:t>
      </w:r>
      <w:r w:rsidRPr="00F138B6">
        <w:t>of</w:t>
      </w:r>
      <w:r>
        <w:t xml:space="preserve"> </w:t>
      </w:r>
      <w:r w:rsidRPr="00F138B6">
        <w:t>Model</w:t>
      </w:r>
      <w:r>
        <w:t xml:space="preserve"> </w:t>
      </w:r>
      <w:r w:rsidRPr="00F138B6">
        <w:t>State</w:t>
      </w:r>
      <w:r>
        <w:t xml:space="preserve"> </w:t>
      </w:r>
      <w:r w:rsidRPr="00F138B6">
        <w:t>Trademark</w:t>
      </w:r>
      <w:r>
        <w:t xml:space="preserve"> </w:t>
      </w:r>
      <w:r w:rsidRPr="00F138B6">
        <w:t>Bills,</w:t>
      </w:r>
      <w:r>
        <w:t xml:space="preserve"> </w:t>
      </w:r>
      <w:r w:rsidRPr="00F138B6">
        <w:t>beginning</w:t>
      </w:r>
      <w:r>
        <w:t xml:space="preserve"> </w:t>
      </w:r>
      <w:r w:rsidRPr="00F138B6">
        <w:t>in</w:t>
      </w:r>
      <w:r>
        <w:t xml:space="preserve"> </w:t>
      </w:r>
      <w:r w:rsidRPr="00F138B6">
        <w:t>1949.</w:t>
      </w:r>
      <w:r>
        <w:t xml:space="preserve"> </w:t>
      </w:r>
      <w:r w:rsidRPr="00F138B6">
        <w:t>The</w:t>
      </w:r>
      <w:r>
        <w:t xml:space="preserve"> </w:t>
      </w:r>
      <w:r w:rsidRPr="00F138B6">
        <w:t>earliest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that</w:t>
      </w:r>
      <w:r>
        <w:t xml:space="preserve"> </w:t>
      </w:r>
      <w:r w:rsidRPr="00F138B6">
        <w:t>contained</w:t>
      </w:r>
      <w:r>
        <w:t xml:space="preserve"> </w:t>
      </w:r>
      <w:r w:rsidRPr="00F138B6">
        <w:t>a</w:t>
      </w:r>
      <w:r>
        <w:t xml:space="preserve"> </w:t>
      </w:r>
      <w:r w:rsidRPr="00F138B6">
        <w:t>dilution</w:t>
      </w:r>
      <w:r>
        <w:t xml:space="preserve"> </w:t>
      </w:r>
      <w:r w:rsidRPr="00F138B6">
        <w:t>provision</w:t>
      </w:r>
      <w:r>
        <w:t xml:space="preserve"> </w:t>
      </w:r>
      <w:r w:rsidRPr="00F138B6">
        <w:t>was</w:t>
      </w:r>
      <w:r>
        <w:t xml:space="preserve"> </w:t>
      </w:r>
      <w:r w:rsidRPr="00F138B6">
        <w:t>issued</w:t>
      </w:r>
      <w:r>
        <w:t xml:space="preserve"> </w:t>
      </w:r>
      <w:r w:rsidRPr="00F138B6">
        <w:t>in</w:t>
      </w:r>
      <w:r>
        <w:t xml:space="preserve"> </w:t>
      </w:r>
      <w:r w:rsidRPr="00F138B6">
        <w:t>1964</w:t>
      </w:r>
      <w:r>
        <w:t xml:space="preserve"> </w:t>
      </w:r>
      <w:r w:rsidRPr="00F138B6">
        <w:t>(hereinafter</w:t>
      </w:r>
      <w:r>
        <w:t xml:space="preserve"> </w:t>
      </w:r>
      <w:r w:rsidRPr="00F138B6">
        <w:t>referred</w:t>
      </w:r>
      <w:r>
        <w:t xml:space="preserve"> </w:t>
      </w:r>
      <w:r w:rsidRPr="00F138B6">
        <w:t>to</w:t>
      </w:r>
      <w:r>
        <w:t xml:space="preserve"> </w:t>
      </w:r>
      <w:r w:rsidRPr="00F138B6">
        <w:t>as</w:t>
      </w:r>
      <w:r>
        <w:t xml:space="preserve"> </w:t>
      </w:r>
      <w:r w:rsidRPr="00F138B6">
        <w:t>the</w:t>
      </w:r>
      <w:r>
        <w:t xml:space="preserve"> </w:t>
      </w:r>
      <w:r w:rsidRPr="00F138B6">
        <w:t>“1964</w:t>
      </w:r>
      <w:r>
        <w:t xml:space="preserve"> </w:t>
      </w:r>
      <w:r w:rsidRPr="00F138B6">
        <w:t>Model</w:t>
      </w:r>
      <w:r>
        <w:t xml:space="preserve"> </w:t>
      </w:r>
      <w:r w:rsidRPr="00F138B6">
        <w:t>Bill”).</w:t>
      </w:r>
      <w:r>
        <w:t xml:space="preserve"> </w:t>
      </w:r>
      <w:r w:rsidRPr="00F138B6">
        <w:t>Amended</w:t>
      </w:r>
      <w:r>
        <w:t xml:space="preserve"> </w:t>
      </w:r>
      <w:r w:rsidRPr="00F138B6">
        <w:t>Model</w:t>
      </w:r>
      <w:r>
        <w:t xml:space="preserve"> </w:t>
      </w:r>
      <w:r w:rsidRPr="00F138B6">
        <w:t>Bills</w:t>
      </w:r>
      <w:r>
        <w:t xml:space="preserve"> </w:t>
      </w:r>
      <w:r w:rsidRPr="00F138B6">
        <w:t>were</w:t>
      </w:r>
      <w:r>
        <w:t xml:space="preserve"> </w:t>
      </w:r>
      <w:r w:rsidRPr="00F138B6">
        <w:t>issued</w:t>
      </w:r>
      <w:r>
        <w:t xml:space="preserve"> </w:t>
      </w:r>
      <w:r w:rsidRPr="00F138B6">
        <w:t>in</w:t>
      </w:r>
      <w:r>
        <w:t xml:space="preserve"> </w:t>
      </w:r>
      <w:r w:rsidRPr="00F138B6">
        <w:t>1992,</w:t>
      </w:r>
      <w:r>
        <w:t xml:space="preserve"> </w:t>
      </w:r>
      <w:r w:rsidRPr="00F138B6">
        <w:t>1996,</w:t>
      </w:r>
      <w:r>
        <w:t xml:space="preserve"> </w:t>
      </w:r>
      <w:r w:rsidRPr="00F138B6">
        <w:t>and</w:t>
      </w:r>
      <w:r>
        <w:t xml:space="preserve"> </w:t>
      </w:r>
      <w:r w:rsidRPr="00F138B6">
        <w:t>2007.</w:t>
      </w:r>
      <w:r>
        <w:t xml:space="preserve"> </w:t>
      </w:r>
      <w:r w:rsidRPr="00F138B6">
        <w:rPr>
          <w:i/>
        </w:rPr>
        <w:t>See</w:t>
      </w:r>
      <w:r>
        <w:t xml:space="preserve"> </w:t>
      </w:r>
      <w:r w:rsidRPr="00F138B6">
        <w:t>Chapter</w:t>
      </w:r>
      <w:r>
        <w:t xml:space="preserve"> </w:t>
      </w:r>
      <w:r w:rsidRPr="00F138B6">
        <w:t>1,</w:t>
      </w:r>
      <w:r>
        <w:t xml:space="preserve"> </w:t>
      </w:r>
      <w:r w:rsidRPr="00F138B6">
        <w:t>§II.D.</w:t>
      </w:r>
    </w:p>
  </w:footnote>
  <w:footnote w:id="4">
    <w:p w14:paraId="4EBCF7D8" w14:textId="47CA5667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Lanham</w:t>
      </w:r>
      <w:r>
        <w:t xml:space="preserve"> </w:t>
      </w:r>
      <w:r w:rsidRPr="00F138B6">
        <w:t>Act</w:t>
      </w:r>
      <w:r>
        <w:t xml:space="preserve"> </w:t>
      </w:r>
      <w:r w:rsidRPr="00F138B6">
        <w:t>§43(c)(1),</w:t>
      </w:r>
      <w:r>
        <w:t xml:space="preserve"> </w:t>
      </w:r>
      <w:r w:rsidRPr="00F138B6">
        <w:t>15</w:t>
      </w:r>
      <w:r>
        <w:t xml:space="preserve"> </w:t>
      </w:r>
      <w:r w:rsidRPr="00F138B6">
        <w:t>U.S.C.</w:t>
      </w:r>
      <w:r>
        <w:t xml:space="preserve"> </w:t>
      </w:r>
      <w:r w:rsidRPr="00F138B6">
        <w:t>§1125(c)(1)</w:t>
      </w:r>
      <w:r>
        <w:t xml:space="preserve"> </w:t>
      </w:r>
      <w:r w:rsidRPr="00F138B6">
        <w:t>(providing</w:t>
      </w:r>
      <w:r>
        <w:t xml:space="preserve"> </w:t>
      </w:r>
      <w:r w:rsidRPr="00F138B6">
        <w:t>that</w:t>
      </w:r>
      <w:r>
        <w:t xml:space="preserve"> </w:t>
      </w:r>
      <w:r w:rsidRPr="00F138B6">
        <w:t>“the</w:t>
      </w:r>
      <w:r>
        <w:t xml:space="preserve"> </w:t>
      </w:r>
      <w:r w:rsidRPr="00F138B6">
        <w:t>owner</w:t>
      </w:r>
      <w:r>
        <w:t xml:space="preserve"> </w:t>
      </w:r>
      <w:r w:rsidRPr="00F138B6">
        <w:t>of</w:t>
      </w:r>
      <w:r>
        <w:t xml:space="preserve"> </w:t>
      </w:r>
      <w:r w:rsidRPr="00F138B6">
        <w:t>a</w:t>
      </w:r>
      <w:r>
        <w:t xml:space="preserve"> </w:t>
      </w:r>
      <w:r w:rsidRPr="00F138B6">
        <w:t>famous</w:t>
      </w:r>
      <w:r>
        <w:t xml:space="preserve"> </w:t>
      </w:r>
      <w:r w:rsidRPr="00F138B6">
        <w:t>mark</w:t>
      </w:r>
      <w:r>
        <w:t xml:space="preserve"> </w:t>
      </w:r>
      <w:r w:rsidRPr="00F138B6">
        <w:t>…</w:t>
      </w:r>
      <w:r>
        <w:t xml:space="preserve"> </w:t>
      </w:r>
      <w:r w:rsidRPr="00F138B6">
        <w:t>shall</w:t>
      </w:r>
      <w:r>
        <w:t xml:space="preserve"> </w:t>
      </w:r>
      <w:r w:rsidRPr="00F138B6">
        <w:t>be</w:t>
      </w:r>
      <w:r>
        <w:t xml:space="preserve"> </w:t>
      </w:r>
      <w:r w:rsidRPr="00F138B6">
        <w:t>entitled</w:t>
      </w:r>
      <w:r>
        <w:t xml:space="preserve"> </w:t>
      </w:r>
      <w:r w:rsidRPr="00F138B6">
        <w:t>to</w:t>
      </w:r>
      <w:r>
        <w:t xml:space="preserve"> </w:t>
      </w:r>
      <w:r w:rsidRPr="00F138B6">
        <w:t>an</w:t>
      </w:r>
      <w:r>
        <w:t xml:space="preserve"> </w:t>
      </w:r>
      <w:r w:rsidRPr="00F138B6">
        <w:t>injunction</w:t>
      </w:r>
      <w:r>
        <w:t xml:space="preserve"> </w:t>
      </w:r>
      <w:proofErr w:type="gramStart"/>
      <w:r w:rsidRPr="00F138B6">
        <w:t>…</w:t>
      </w:r>
      <w:r>
        <w:t xml:space="preserve"> </w:t>
      </w:r>
      <w:r w:rsidRPr="00F138B6">
        <w:t>.</w:t>
      </w:r>
      <w:proofErr w:type="gramEnd"/>
      <w:r w:rsidRPr="00F138B6">
        <w:t>”).</w:t>
      </w:r>
    </w:p>
  </w:footnote>
  <w:footnote w:id="5">
    <w:p w14:paraId="66BB617B" w14:textId="0E25C1E2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§43(c)(5)</w:t>
      </w:r>
      <w:r>
        <w:t xml:space="preserve"> </w:t>
      </w:r>
      <w:r w:rsidRPr="00F138B6">
        <w:t>(permitting</w:t>
      </w:r>
      <w:r>
        <w:t xml:space="preserve"> </w:t>
      </w:r>
      <w:r w:rsidRPr="00F138B6">
        <w:t>damages</w:t>
      </w:r>
      <w:r>
        <w:t xml:space="preserve"> </w:t>
      </w:r>
      <w:r w:rsidRPr="00F138B6">
        <w:t>“subject</w:t>
      </w:r>
      <w:r>
        <w:t xml:space="preserve"> </w:t>
      </w:r>
      <w:r w:rsidRPr="00F138B6">
        <w:t>to</w:t>
      </w:r>
      <w:r>
        <w:t xml:space="preserve"> </w:t>
      </w:r>
      <w:r w:rsidRPr="00F138B6">
        <w:t>the</w:t>
      </w:r>
      <w:r>
        <w:t xml:space="preserve"> </w:t>
      </w:r>
      <w:r w:rsidRPr="00F138B6">
        <w:t>discretion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court</w:t>
      </w:r>
      <w:r>
        <w:t xml:space="preserve"> </w:t>
      </w:r>
      <w:r w:rsidRPr="00F138B6">
        <w:t>and</w:t>
      </w:r>
      <w:r>
        <w:t xml:space="preserve"> </w:t>
      </w:r>
      <w:r w:rsidRPr="00F138B6">
        <w:t>the</w:t>
      </w:r>
      <w:r>
        <w:t xml:space="preserve"> </w:t>
      </w:r>
      <w:r w:rsidRPr="00F138B6">
        <w:t>principles</w:t>
      </w:r>
      <w:r>
        <w:t xml:space="preserve"> </w:t>
      </w:r>
      <w:r w:rsidRPr="00F138B6">
        <w:t>of</w:t>
      </w:r>
      <w:r>
        <w:t xml:space="preserve"> </w:t>
      </w:r>
      <w:r w:rsidRPr="00F138B6">
        <w:t>equity”).</w:t>
      </w:r>
      <w:r>
        <w:t xml:space="preserve"> </w:t>
      </w:r>
      <w:r w:rsidRPr="00F138B6">
        <w:t>The</w:t>
      </w:r>
      <w:r>
        <w:t xml:space="preserve"> </w:t>
      </w:r>
      <w:r w:rsidRPr="00F138B6">
        <w:t>2007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requires</w:t>
      </w:r>
      <w:r>
        <w:t xml:space="preserve"> </w:t>
      </w:r>
      <w:r w:rsidRPr="00F138B6">
        <w:t>only</w:t>
      </w:r>
      <w:r>
        <w:t xml:space="preserve"> </w:t>
      </w:r>
      <w:r w:rsidRPr="00F138B6">
        <w:t>that</w:t>
      </w:r>
      <w:r>
        <w:t xml:space="preserve"> </w:t>
      </w:r>
      <w:r w:rsidRPr="00F138B6">
        <w:t>the</w:t>
      </w:r>
      <w:r>
        <w:t xml:space="preserve"> </w:t>
      </w:r>
      <w:r w:rsidRPr="00F138B6">
        <w:t>second</w:t>
      </w:r>
      <w:r>
        <w:t xml:space="preserve"> </w:t>
      </w:r>
      <w:r w:rsidRPr="00F138B6">
        <w:t>user</w:t>
      </w:r>
      <w:r>
        <w:t xml:space="preserve"> </w:t>
      </w:r>
      <w:r w:rsidRPr="00F138B6">
        <w:t>intends</w:t>
      </w:r>
      <w:r>
        <w:t xml:space="preserve"> </w:t>
      </w:r>
      <w:r w:rsidRPr="00F138B6">
        <w:t>to</w:t>
      </w:r>
      <w:r>
        <w:t xml:space="preserve"> </w:t>
      </w:r>
      <w:r w:rsidRPr="00F138B6">
        <w:t>cause</w:t>
      </w:r>
      <w:r>
        <w:t xml:space="preserve"> </w:t>
      </w:r>
      <w:r w:rsidRPr="00F138B6">
        <w:t>dilution.</w:t>
      </w:r>
      <w:r>
        <w:t xml:space="preserve"> </w:t>
      </w:r>
      <w:r w:rsidRPr="00F138B6">
        <w:t>This</w:t>
      </w:r>
      <w:r>
        <w:t xml:space="preserve"> </w:t>
      </w:r>
      <w:r w:rsidRPr="00F138B6">
        <w:t>distinction</w:t>
      </w:r>
      <w:r>
        <w:t xml:space="preserve"> </w:t>
      </w:r>
      <w:r w:rsidRPr="00F138B6">
        <w:t>could</w:t>
      </w:r>
      <w:r>
        <w:t xml:space="preserve"> </w:t>
      </w:r>
      <w:r w:rsidRPr="00F138B6">
        <w:t>be</w:t>
      </w:r>
      <w:r>
        <w:t xml:space="preserve"> </w:t>
      </w:r>
      <w:r w:rsidRPr="00F138B6">
        <w:t>significant.</w:t>
      </w:r>
      <w:r>
        <w:t xml:space="preserve"> </w:t>
      </w:r>
      <w:r w:rsidRPr="00F138B6">
        <w:t>See</w:t>
      </w:r>
      <w:r>
        <w:t xml:space="preserve"> </w:t>
      </w:r>
      <w:r w:rsidRPr="00F138B6">
        <w:t>§III.A,</w:t>
      </w:r>
      <w:r>
        <w:t xml:space="preserve"> </w:t>
      </w:r>
      <w:r w:rsidRPr="00F138B6">
        <w:t>below.</w:t>
      </w:r>
    </w:p>
  </w:footnote>
  <w:footnote w:id="6">
    <w:p w14:paraId="1DF534FC" w14:textId="2BEEEC0D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Pub.</w:t>
      </w:r>
      <w:r>
        <w:t xml:space="preserve"> </w:t>
      </w:r>
      <w:r w:rsidRPr="00F138B6">
        <w:t>L.</w:t>
      </w:r>
      <w:r>
        <w:t xml:space="preserve"> </w:t>
      </w:r>
      <w:r w:rsidRPr="00F138B6">
        <w:t>No.</w:t>
      </w:r>
      <w:r>
        <w:t xml:space="preserve"> </w:t>
      </w:r>
      <w:r w:rsidRPr="00F138B6">
        <w:t>104-98,</w:t>
      </w:r>
      <w:r>
        <w:t xml:space="preserve"> </w:t>
      </w:r>
      <w:r w:rsidRPr="00F138B6">
        <w:t>109</w:t>
      </w:r>
      <w:r>
        <w:t xml:space="preserve"> </w:t>
      </w:r>
      <w:r w:rsidRPr="00F138B6">
        <w:t>Stat.</w:t>
      </w:r>
      <w:r>
        <w:t xml:space="preserve"> </w:t>
      </w:r>
      <w:r w:rsidRPr="00F138B6">
        <w:t>985</w:t>
      </w:r>
      <w:r>
        <w:t xml:space="preserve"> </w:t>
      </w:r>
      <w:r w:rsidRPr="00F138B6">
        <w:t>(1995);</w:t>
      </w:r>
      <w:r>
        <w:t xml:space="preserve"> </w:t>
      </w:r>
      <w:r w:rsidRPr="00F138B6">
        <w:rPr>
          <w:i/>
        </w:rPr>
        <w:t>see,</w:t>
      </w:r>
      <w:r>
        <w:rPr>
          <w:i/>
        </w:rPr>
        <w:t xml:space="preserve"> </w:t>
      </w:r>
      <w:r w:rsidRPr="00F138B6">
        <w:rPr>
          <w:i/>
        </w:rPr>
        <w:t>e</w:t>
      </w:r>
      <w:r w:rsidRPr="00F138B6">
        <w:t>.</w:t>
      </w:r>
      <w:r w:rsidRPr="00F138B6">
        <w:rPr>
          <w:i/>
        </w:rPr>
        <w:t>g</w:t>
      </w:r>
      <w:r w:rsidRPr="00F138B6">
        <w:t>.,</w:t>
      </w:r>
      <w:r>
        <w:t xml:space="preserve"> </w:t>
      </w:r>
      <w:r w:rsidRPr="00F138B6">
        <w:rPr>
          <w:smallCaps/>
        </w:rPr>
        <w:t>Model</w:t>
      </w:r>
      <w:r>
        <w:rPr>
          <w:smallCaps/>
        </w:rPr>
        <w:t xml:space="preserve"> </w:t>
      </w:r>
      <w:r w:rsidRPr="00F138B6">
        <w:rPr>
          <w:smallCaps/>
        </w:rPr>
        <w:t>State</w:t>
      </w:r>
      <w:r>
        <w:rPr>
          <w:smallCaps/>
        </w:rPr>
        <w:t xml:space="preserve"> </w:t>
      </w:r>
      <w:r w:rsidRPr="00F138B6">
        <w:rPr>
          <w:smallCaps/>
        </w:rPr>
        <w:t>Trademark</w:t>
      </w:r>
      <w:r>
        <w:rPr>
          <w:smallCaps/>
        </w:rPr>
        <w:t xml:space="preserve"> </w:t>
      </w:r>
      <w:r w:rsidRPr="00F138B6">
        <w:rPr>
          <w:smallCaps/>
        </w:rPr>
        <w:t>Bill</w:t>
      </w:r>
      <w:r>
        <w:t xml:space="preserve"> </w:t>
      </w:r>
      <w:r w:rsidRPr="00F138B6">
        <w:t>§13(a),</w:t>
      </w:r>
      <w:r>
        <w:t xml:space="preserve"> </w:t>
      </w:r>
      <w:r w:rsidRPr="00F138B6">
        <w:t>(c)</w:t>
      </w:r>
      <w:r>
        <w:t xml:space="preserve"> </w:t>
      </w:r>
      <w:r w:rsidRPr="00F138B6">
        <w:t>(INTA</w:t>
      </w:r>
      <w:r>
        <w:t xml:space="preserve"> </w:t>
      </w:r>
      <w:r w:rsidRPr="00F138B6">
        <w:t>2007)</w:t>
      </w:r>
      <w:r>
        <w:t xml:space="preserve"> </w:t>
      </w:r>
      <w:r w:rsidRPr="00F138B6">
        <w:t>[hereinafter</w:t>
      </w:r>
      <w:r>
        <w:t xml:space="preserve"> </w:t>
      </w:r>
      <w:r w:rsidRPr="00F138B6">
        <w:t>“2007</w:t>
      </w:r>
      <w:r>
        <w:t xml:space="preserve"> </w:t>
      </w:r>
      <w:r w:rsidRPr="00F138B6">
        <w:t>Model</w:t>
      </w:r>
      <w:r>
        <w:t xml:space="preserve"> </w:t>
      </w:r>
      <w:r w:rsidRPr="00F138B6">
        <w:t>Bill”],</w:t>
      </w:r>
      <w:r>
        <w:rPr>
          <w:i/>
        </w:rPr>
        <w:t xml:space="preserve"> </w:t>
      </w:r>
      <w:r w:rsidRPr="00F138B6">
        <w:rPr>
          <w:i/>
        </w:rPr>
        <w:t>available</w:t>
      </w:r>
      <w:r>
        <w:rPr>
          <w:i/>
        </w:rPr>
        <w:t xml:space="preserve"> </w:t>
      </w:r>
      <w:r w:rsidRPr="00F138B6">
        <w:rPr>
          <w:i/>
        </w:rPr>
        <w:t>at</w:t>
      </w:r>
      <w:r>
        <w:rPr>
          <w:i/>
        </w:rPr>
        <w:t xml:space="preserve"> </w:t>
      </w:r>
      <w:r w:rsidRPr="00F138B6">
        <w:t>http://www.inta.org/Advocacy/Pages/ModelLawsandGuidelines.aspx;</w:t>
      </w:r>
      <w:r>
        <w:t xml:space="preserve"> </w:t>
      </w:r>
      <w:r w:rsidRPr="00F138B6">
        <w:rPr>
          <w:smallCaps/>
        </w:rPr>
        <w:t>Model</w:t>
      </w:r>
      <w:r>
        <w:rPr>
          <w:smallCaps/>
        </w:rPr>
        <w:t xml:space="preserve"> </w:t>
      </w:r>
      <w:r w:rsidRPr="00F138B6">
        <w:rPr>
          <w:smallCaps/>
        </w:rPr>
        <w:t>State</w:t>
      </w:r>
      <w:r>
        <w:rPr>
          <w:smallCaps/>
        </w:rPr>
        <w:t xml:space="preserve"> </w:t>
      </w:r>
      <w:r w:rsidRPr="00F138B6">
        <w:rPr>
          <w:smallCaps/>
        </w:rPr>
        <w:t>Trademark</w:t>
      </w:r>
      <w:r>
        <w:rPr>
          <w:smallCaps/>
        </w:rPr>
        <w:t xml:space="preserve"> </w:t>
      </w:r>
      <w:r w:rsidRPr="00F138B6">
        <w:rPr>
          <w:smallCaps/>
        </w:rPr>
        <w:t>Bill</w:t>
      </w:r>
      <w:r>
        <w:t xml:space="preserve"> </w:t>
      </w:r>
      <w:r w:rsidRPr="00F138B6">
        <w:t>§13</w:t>
      </w:r>
      <w:r>
        <w:t xml:space="preserve"> </w:t>
      </w:r>
      <w:r w:rsidRPr="00F138B6">
        <w:t>(1996)</w:t>
      </w:r>
      <w:r>
        <w:t xml:space="preserve"> </w:t>
      </w:r>
      <w:r w:rsidRPr="00F138B6">
        <w:t>[hereinafter</w:t>
      </w:r>
      <w:r>
        <w:t xml:space="preserve"> </w:t>
      </w:r>
      <w:r w:rsidRPr="00F138B6">
        <w:t>“1996</w:t>
      </w:r>
      <w:r>
        <w:t xml:space="preserve"> </w:t>
      </w:r>
      <w:r w:rsidRPr="00F138B6">
        <w:t>Model</w:t>
      </w:r>
      <w:r>
        <w:t xml:space="preserve"> </w:t>
      </w:r>
      <w:r w:rsidRPr="00F138B6">
        <w:t>Bill”],</w:t>
      </w:r>
      <w:r>
        <w:t xml:space="preserve"> </w:t>
      </w:r>
      <w:r w:rsidRPr="00F138B6">
        <w:rPr>
          <w:i/>
        </w:rPr>
        <w:t>reprinted</w:t>
      </w:r>
      <w:r>
        <w:rPr>
          <w:i/>
        </w:rPr>
        <w:t xml:space="preserve"> </w:t>
      </w:r>
      <w:r w:rsidRPr="00F138B6">
        <w:rPr>
          <w:i/>
        </w:rPr>
        <w:t>in</w:t>
      </w:r>
      <w:r>
        <w:t xml:space="preserve"> </w:t>
      </w:r>
      <w:r w:rsidRPr="00F138B6">
        <w:t>1</w:t>
      </w:r>
      <w:r>
        <w:t xml:space="preserve"> </w:t>
      </w:r>
      <w:r w:rsidRPr="00F138B6">
        <w:rPr>
          <w:smallCaps/>
        </w:rPr>
        <w:t>Gilson</w:t>
      </w:r>
      <w:r>
        <w:rPr>
          <w:smallCaps/>
        </w:rPr>
        <w:t xml:space="preserve"> </w:t>
      </w:r>
      <w:r w:rsidRPr="00F138B6">
        <w:rPr>
          <w:smallCaps/>
        </w:rPr>
        <w:t>on</w:t>
      </w:r>
      <w:r>
        <w:rPr>
          <w:smallCaps/>
        </w:rPr>
        <w:t xml:space="preserve"> </w:t>
      </w:r>
      <w:r w:rsidRPr="00F138B6">
        <w:rPr>
          <w:smallCaps/>
        </w:rPr>
        <w:t>Trademarks</w:t>
      </w:r>
      <w:r w:rsidRPr="00F138B6">
        <w:t>,</w:t>
      </w:r>
      <w:r>
        <w:t xml:space="preserve"> </w:t>
      </w:r>
      <w:r w:rsidRPr="00F138B6">
        <w:t>app.</w:t>
      </w:r>
      <w:r>
        <w:t xml:space="preserve"> </w:t>
      </w:r>
      <w:r w:rsidRPr="00F138B6">
        <w:t>1A</w:t>
      </w:r>
      <w:r>
        <w:t xml:space="preserve"> </w:t>
      </w:r>
      <w:r w:rsidRPr="00F138B6">
        <w:t>(2008).</w:t>
      </w:r>
      <w:r>
        <w:t xml:space="preserve"> </w:t>
      </w:r>
      <w:r w:rsidRPr="00F138B6">
        <w:t>A</w:t>
      </w:r>
      <w:r>
        <w:t xml:space="preserve"> </w:t>
      </w:r>
      <w:r w:rsidRPr="00F138B6">
        <w:t>table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various</w:t>
      </w:r>
      <w:r>
        <w:t xml:space="preserve"> </w:t>
      </w:r>
      <w:r w:rsidRPr="00F138B6">
        <w:t>state</w:t>
      </w:r>
      <w:r>
        <w:t xml:space="preserve"> </w:t>
      </w:r>
      <w:r w:rsidRPr="00F138B6">
        <w:t>statutes</w:t>
      </w:r>
      <w:r>
        <w:t xml:space="preserve"> </w:t>
      </w:r>
      <w:r w:rsidRPr="00F138B6">
        <w:t>is</w:t>
      </w:r>
      <w:r>
        <w:t xml:space="preserve"> </w:t>
      </w:r>
      <w:r w:rsidRPr="00F138B6">
        <w:t>provided</w:t>
      </w:r>
      <w:r>
        <w:t xml:space="preserve"> </w:t>
      </w:r>
      <w:r w:rsidRPr="00F138B6">
        <w:t>in</w:t>
      </w:r>
      <w:r>
        <w:t xml:space="preserve"> </w:t>
      </w:r>
      <w:r w:rsidRPr="00F138B6">
        <w:t>Chapter</w:t>
      </w:r>
      <w:r>
        <w:t xml:space="preserve"> </w:t>
      </w:r>
      <w:r w:rsidRPr="00F138B6">
        <w:t>1,</w:t>
      </w:r>
      <w:r>
        <w:t xml:space="preserve"> </w:t>
      </w:r>
      <w:r w:rsidRPr="00F138B6">
        <w:t>§III.A.3.</w:t>
      </w:r>
    </w:p>
  </w:footnote>
  <w:footnote w:id="7">
    <w:p w14:paraId="0AF56A48" w14:textId="0BE67CE6" w:rsidR="00F138B6" w:rsidRPr="00DB753C" w:rsidRDefault="00F138B6" w:rsidP="00F138B6">
      <w:pPr>
        <w:pStyle w:val="FootnoteText"/>
        <w:rPr>
          <w:rFonts w:ascii="TimesNewRomanPSMT" w:hAnsi="TimesNewRomanPSMT" w:cs="TimesNewRomanPSMT"/>
        </w:rPr>
      </w:pPr>
      <w:r w:rsidRPr="00F138B6">
        <w:rPr>
          <w:vertAlign w:val="superscript"/>
        </w:rPr>
        <w:footnoteRef/>
      </w:r>
      <w:r w:rsidRPr="00F138B6">
        <w:rPr>
          <w:i/>
        </w:rPr>
        <w:t>See</w:t>
      </w:r>
      <w:r>
        <w:t xml:space="preserve"> </w:t>
      </w:r>
      <w:r w:rsidRPr="00F138B6">
        <w:t>eBay,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MercExchange,</w:t>
      </w:r>
      <w:r>
        <w:t xml:space="preserve"> </w:t>
      </w:r>
      <w:r w:rsidRPr="00F138B6">
        <w:t>LLC,</w:t>
      </w:r>
      <w:r>
        <w:t xml:space="preserve"> </w:t>
      </w:r>
      <w:r w:rsidRPr="00F138B6">
        <w:t>547</w:t>
      </w:r>
      <w:r>
        <w:t xml:space="preserve"> </w:t>
      </w:r>
      <w:r w:rsidRPr="00F138B6">
        <w:t>U.S.</w:t>
      </w:r>
      <w:r>
        <w:t xml:space="preserve"> </w:t>
      </w:r>
      <w:r w:rsidRPr="00F138B6">
        <w:t>388,</w:t>
      </w:r>
      <w:r>
        <w:t xml:space="preserve"> </w:t>
      </w:r>
      <w:r w:rsidRPr="00F138B6">
        <w:t>392–93,</w:t>
      </w:r>
      <w:r>
        <w:t xml:space="preserve"> </w:t>
      </w:r>
      <w:r w:rsidRPr="00F138B6">
        <w:t>78</w:t>
      </w:r>
      <w:r>
        <w:t xml:space="preserve"> </w:t>
      </w:r>
      <w:r w:rsidRPr="00F138B6">
        <w:t>USPQ2d</w:t>
      </w:r>
      <w:r>
        <w:t xml:space="preserve"> </w:t>
      </w:r>
      <w:r w:rsidRPr="00F138B6">
        <w:t>1577</w:t>
      </w:r>
      <w:r>
        <w:t xml:space="preserve"> </w:t>
      </w:r>
      <w:r w:rsidRPr="00F138B6">
        <w:t>(2006).</w:t>
      </w:r>
      <w:r>
        <w:t xml:space="preserve"> </w:t>
      </w:r>
      <w:r w:rsidRPr="00F138B6">
        <w:t>The</w:t>
      </w:r>
      <w:r>
        <w:t xml:space="preserve"> </w:t>
      </w:r>
      <w:r w:rsidRPr="00F138B6">
        <w:t>limitations</w:t>
      </w:r>
      <w:r>
        <w:t xml:space="preserve"> </w:t>
      </w:r>
      <w:r w:rsidRPr="00F138B6">
        <w:t>resulting</w:t>
      </w:r>
      <w:r>
        <w:t xml:space="preserve"> </w:t>
      </w:r>
      <w:r w:rsidRPr="00F138B6">
        <w:t>from</w:t>
      </w:r>
      <w:r>
        <w:t xml:space="preserve"> </w:t>
      </w:r>
      <w:r w:rsidRPr="00F138B6">
        <w:rPr>
          <w:i/>
        </w:rPr>
        <w:t>MercExchange</w:t>
      </w:r>
      <w:r>
        <w:t xml:space="preserve"> </w:t>
      </w:r>
      <w:r w:rsidRPr="00F138B6">
        <w:t>are</w:t>
      </w:r>
      <w:r>
        <w:t xml:space="preserve"> </w:t>
      </w:r>
      <w:r w:rsidRPr="00F138B6">
        <w:t>discussed</w:t>
      </w:r>
      <w:r>
        <w:t xml:space="preserve"> </w:t>
      </w:r>
      <w:r w:rsidRPr="00F138B6">
        <w:t>in</w:t>
      </w:r>
      <w:r>
        <w:t xml:space="preserve"> </w:t>
      </w:r>
      <w:r w:rsidRPr="00F138B6">
        <w:t>Chapter</w:t>
      </w:r>
      <w:r>
        <w:t xml:space="preserve"> </w:t>
      </w:r>
      <w:r w:rsidRPr="00F138B6">
        <w:t>11,</w:t>
      </w:r>
      <w:r>
        <w:t xml:space="preserve"> </w:t>
      </w:r>
      <w:r w:rsidRPr="00F138B6">
        <w:t>§§I.A,</w:t>
      </w:r>
      <w:r>
        <w:t xml:space="preserve"> </w:t>
      </w:r>
      <w:r w:rsidRPr="00F138B6">
        <w:t>I.B.</w:t>
      </w:r>
      <w:r>
        <w:t xml:space="preserve"> </w:t>
      </w:r>
      <w:r w:rsidRPr="00F138B6">
        <w:t>In</w:t>
      </w:r>
      <w:r>
        <w:t xml:space="preserve"> </w:t>
      </w:r>
      <w:r w:rsidRPr="00F138B6">
        <w:rPr>
          <w:rStyle w:val="BCasenamefull"/>
        </w:rPr>
        <w:t>Fireman’s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Ass’n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of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the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State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of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N.Y.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v.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French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Am.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Sch.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of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N.Y.</w:t>
      </w:r>
      <w:r w:rsidRPr="00F138B6">
        <w:t>,</w:t>
      </w:r>
      <w:r>
        <w:t xml:space="preserve"> </w:t>
      </w:r>
      <w:r w:rsidRPr="00F138B6">
        <w:t>41</w:t>
      </w:r>
      <w:r>
        <w:t xml:space="preserve"> </w:t>
      </w:r>
      <w:r w:rsidRPr="00F138B6">
        <w:t>A.D.3d</w:t>
      </w:r>
      <w:r>
        <w:t xml:space="preserve"> </w:t>
      </w:r>
      <w:r w:rsidRPr="00F138B6">
        <w:t>925,</w:t>
      </w:r>
      <w:r>
        <w:t xml:space="preserve"> </w:t>
      </w:r>
      <w:r w:rsidRPr="00F138B6">
        <w:t>928,</w:t>
      </w:r>
      <w:r>
        <w:t xml:space="preserve"> </w:t>
      </w:r>
      <w:r w:rsidRPr="00F138B6">
        <w:t>839</w:t>
      </w:r>
      <w:r>
        <w:t xml:space="preserve"> </w:t>
      </w:r>
      <w:r w:rsidRPr="00F138B6">
        <w:t>N.Y.S.2d</w:t>
      </w:r>
      <w:r>
        <w:t xml:space="preserve"> </w:t>
      </w:r>
      <w:r w:rsidRPr="00F138B6">
        <w:t>238,</w:t>
      </w:r>
      <w:r>
        <w:t xml:space="preserve"> </w:t>
      </w:r>
      <w:r w:rsidRPr="00F138B6">
        <w:t>242–43</w:t>
      </w:r>
      <w:r>
        <w:t xml:space="preserve"> </w:t>
      </w:r>
      <w:r w:rsidRPr="00F138B6">
        <w:t>(3d</w:t>
      </w:r>
      <w:r>
        <w:t xml:space="preserve"> </w:t>
      </w:r>
      <w:r w:rsidRPr="00F138B6">
        <w:t>Dept.</w:t>
      </w:r>
      <w:r>
        <w:t xml:space="preserve"> </w:t>
      </w:r>
      <w:r w:rsidRPr="00F138B6">
        <w:t>2007),</w:t>
      </w:r>
      <w:r>
        <w:t xml:space="preserve"> </w:t>
      </w:r>
      <w:r w:rsidRPr="00F138B6">
        <w:t>the</w:t>
      </w:r>
      <w:r>
        <w:t xml:space="preserve"> </w:t>
      </w:r>
      <w:r w:rsidRPr="00F138B6">
        <w:t>court</w:t>
      </w:r>
      <w:r>
        <w:t xml:space="preserve"> </w:t>
      </w:r>
      <w:r w:rsidRPr="00F138B6">
        <w:t>overturned</w:t>
      </w:r>
      <w:r>
        <w:t xml:space="preserve"> </w:t>
      </w:r>
      <w:r w:rsidRPr="00F138B6">
        <w:t>a</w:t>
      </w:r>
      <w:r>
        <w:t xml:space="preserve"> </w:t>
      </w:r>
      <w:r w:rsidRPr="00F138B6">
        <w:t>preliminary</w:t>
      </w:r>
      <w:r>
        <w:t xml:space="preserve"> </w:t>
      </w:r>
      <w:r w:rsidRPr="00F138B6">
        <w:t>injunction,</w:t>
      </w:r>
      <w:r>
        <w:t xml:space="preserve"> </w:t>
      </w:r>
      <w:r w:rsidRPr="00F138B6">
        <w:t>finding</w:t>
      </w:r>
      <w:r>
        <w:t xml:space="preserve"> </w:t>
      </w:r>
      <w:r w:rsidRPr="00F138B6">
        <w:t>a</w:t>
      </w:r>
      <w:r>
        <w:t xml:space="preserve"> </w:t>
      </w:r>
      <w:r w:rsidRPr="00F138B6">
        <w:t>lack</w:t>
      </w:r>
      <w:r>
        <w:t xml:space="preserve"> </w:t>
      </w:r>
      <w:r w:rsidRPr="00F138B6">
        <w:t>of</w:t>
      </w:r>
      <w:r>
        <w:t xml:space="preserve"> </w:t>
      </w:r>
      <w:r w:rsidRPr="00F138B6">
        <w:t>irreparable</w:t>
      </w:r>
      <w:r>
        <w:t xml:space="preserve"> </w:t>
      </w:r>
      <w:r w:rsidRPr="00F138B6">
        <w:t>harm</w:t>
      </w:r>
      <w:r>
        <w:t xml:space="preserve"> </w:t>
      </w:r>
      <w:proofErr w:type="gramStart"/>
      <w:r w:rsidRPr="00F138B6">
        <w:t>in</w:t>
      </w:r>
      <w:r>
        <w:t xml:space="preserve"> </w:t>
      </w:r>
      <w:r w:rsidRPr="00F138B6">
        <w:t>light</w:t>
      </w:r>
      <w:r>
        <w:t xml:space="preserve"> </w:t>
      </w:r>
      <w:r w:rsidRPr="00F138B6">
        <w:t>of</w:t>
      </w:r>
      <w:proofErr w:type="gramEnd"/>
      <w:r>
        <w:t xml:space="preserve"> </w:t>
      </w:r>
      <w:r w:rsidRPr="00F138B6">
        <w:t>the</w:t>
      </w:r>
      <w:r>
        <w:t xml:space="preserve"> </w:t>
      </w:r>
      <w:r w:rsidRPr="00F138B6">
        <w:t>parties’</w:t>
      </w:r>
      <w:r>
        <w:t xml:space="preserve"> </w:t>
      </w:r>
      <w:r w:rsidRPr="00F138B6">
        <w:t>coexistence</w:t>
      </w:r>
      <w:r>
        <w:t xml:space="preserve"> </w:t>
      </w:r>
      <w:r w:rsidRPr="00F138B6">
        <w:t>for</w:t>
      </w:r>
      <w:r>
        <w:t xml:space="preserve"> </w:t>
      </w:r>
      <w:r w:rsidRPr="00F138B6">
        <w:t>many</w:t>
      </w:r>
      <w:r>
        <w:t xml:space="preserve"> </w:t>
      </w:r>
      <w:r w:rsidRPr="00F138B6">
        <w:t>years</w:t>
      </w:r>
      <w:r>
        <w:t xml:space="preserve"> </w:t>
      </w:r>
      <w:r w:rsidRPr="00F138B6">
        <w:t>and</w:t>
      </w:r>
      <w:r>
        <w:t xml:space="preserve"> </w:t>
      </w:r>
      <w:r w:rsidRPr="00F138B6">
        <w:t>the</w:t>
      </w:r>
      <w:r>
        <w:t xml:space="preserve"> </w:t>
      </w:r>
      <w:r w:rsidRPr="00F138B6">
        <w:t>balancing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equities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case,</w:t>
      </w:r>
      <w:r>
        <w:t xml:space="preserve"> </w:t>
      </w:r>
      <w:r w:rsidRPr="00F138B6">
        <w:t>which</w:t>
      </w:r>
      <w:r>
        <w:t xml:space="preserve"> </w:t>
      </w:r>
      <w:r w:rsidRPr="00F138B6">
        <w:t>would</w:t>
      </w:r>
      <w:r>
        <w:t xml:space="preserve"> </w:t>
      </w:r>
      <w:r w:rsidRPr="00F138B6">
        <w:t>result</w:t>
      </w:r>
      <w:r>
        <w:t xml:space="preserve"> </w:t>
      </w:r>
      <w:r w:rsidRPr="00F138B6">
        <w:t>in</w:t>
      </w:r>
      <w:r>
        <w:t xml:space="preserve"> </w:t>
      </w:r>
      <w:r w:rsidRPr="00F138B6">
        <w:t>hardship</w:t>
      </w:r>
      <w:r>
        <w:t xml:space="preserve"> </w:t>
      </w:r>
      <w:r w:rsidRPr="00F138B6">
        <w:t>for</w:t>
      </w:r>
      <w:r>
        <w:t xml:space="preserve"> </w:t>
      </w:r>
      <w:r w:rsidRPr="00F138B6">
        <w:t>the</w:t>
      </w:r>
      <w:r>
        <w:t xml:space="preserve"> </w:t>
      </w:r>
      <w:r w:rsidRPr="00F138B6">
        <w:t>defendant).</w:t>
      </w:r>
      <w:r>
        <w:t xml:space="preserve"> </w:t>
      </w:r>
      <w:r w:rsidRPr="00F138B6">
        <w:t>In</w:t>
      </w:r>
      <w:r>
        <w:t xml:space="preserve"> </w:t>
      </w:r>
      <w:r w:rsidRPr="00F138B6">
        <w:rPr>
          <w:rStyle w:val="BCasenamefull"/>
        </w:rPr>
        <w:t>Spark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Therapeutics,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Inc.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v.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Bluebird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Bio,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Inc.</w:t>
      </w:r>
      <w:r w:rsidRPr="00F138B6">
        <w:t>,</w:t>
      </w:r>
      <w:r>
        <w:t xml:space="preserve"> </w:t>
      </w:r>
      <w:r w:rsidRPr="00F138B6">
        <w:t>2022</w:t>
      </w:r>
      <w:r>
        <w:t xml:space="preserve"> </w:t>
      </w:r>
      <w:r w:rsidRPr="00F138B6">
        <w:t>BL</w:t>
      </w:r>
      <w:r>
        <w:t xml:space="preserve"> </w:t>
      </w:r>
      <w:r w:rsidRPr="00F138B6">
        <w:t>24684</w:t>
      </w:r>
      <w:r>
        <w:t xml:space="preserve"> </w:t>
      </w:r>
      <w:r w:rsidRPr="00F138B6">
        <w:t>(D.</w:t>
      </w:r>
      <w:r>
        <w:t xml:space="preserve"> </w:t>
      </w:r>
      <w:r w:rsidRPr="00F138B6">
        <w:t>Del.</w:t>
      </w:r>
      <w:r>
        <w:t xml:space="preserve"> </w:t>
      </w:r>
      <w:r w:rsidRPr="00F138B6">
        <w:t>Jan.</w:t>
      </w:r>
      <w:r>
        <w:t xml:space="preserve"> </w:t>
      </w:r>
      <w:r w:rsidRPr="00F138B6">
        <w:t>25,</w:t>
      </w:r>
      <w:r>
        <w:t xml:space="preserve"> </w:t>
      </w:r>
      <w:r w:rsidRPr="00F138B6">
        <w:t>2022),</w:t>
      </w:r>
      <w:r>
        <w:t xml:space="preserve"> </w:t>
      </w:r>
      <w:r w:rsidRPr="00F138B6">
        <w:t>the</w:t>
      </w:r>
      <w:r>
        <w:t xml:space="preserve"> </w:t>
      </w:r>
      <w:r w:rsidRPr="00F138B6">
        <w:t>court</w:t>
      </w:r>
      <w:r>
        <w:t xml:space="preserve"> </w:t>
      </w:r>
      <w:r w:rsidRPr="00F138B6">
        <w:t>interpreted</w:t>
      </w:r>
      <w:r>
        <w:t xml:space="preserve"> </w:t>
      </w:r>
      <w:r w:rsidRPr="00F138B6">
        <w:t>Third</w:t>
      </w:r>
      <w:r>
        <w:t xml:space="preserve"> </w:t>
      </w:r>
      <w:r w:rsidRPr="00F138B6">
        <w:t>Circuit</w:t>
      </w:r>
      <w:r>
        <w:t xml:space="preserve"> </w:t>
      </w:r>
      <w:r w:rsidRPr="00F138B6">
        <w:t>precedent</w:t>
      </w:r>
      <w:r>
        <w:t xml:space="preserve"> </w:t>
      </w:r>
      <w:r w:rsidRPr="00F138B6">
        <w:t>on</w:t>
      </w:r>
      <w:r>
        <w:t xml:space="preserve"> </w:t>
      </w:r>
      <w:r w:rsidRPr="00F138B6">
        <w:t>the</w:t>
      </w:r>
      <w:r>
        <w:t xml:space="preserve"> </w:t>
      </w:r>
      <w:r w:rsidRPr="00F138B6">
        <w:t>test</w:t>
      </w:r>
      <w:r>
        <w:t xml:space="preserve"> </w:t>
      </w:r>
      <w:r w:rsidRPr="00F138B6">
        <w:t>for</w:t>
      </w:r>
      <w:r>
        <w:t xml:space="preserve"> </w:t>
      </w:r>
      <w:r w:rsidRPr="00F138B6">
        <w:t>preliminary</w:t>
      </w:r>
      <w:r>
        <w:t xml:space="preserve"> </w:t>
      </w:r>
      <w:r w:rsidRPr="00F138B6">
        <w:t>relief</w:t>
      </w:r>
      <w:r>
        <w:t xml:space="preserve"> </w:t>
      </w:r>
      <w:r w:rsidRPr="00F138B6">
        <w:t>to</w:t>
      </w:r>
      <w:r>
        <w:t xml:space="preserve"> </w:t>
      </w:r>
      <w:r w:rsidRPr="00F138B6">
        <w:t>require</w:t>
      </w:r>
      <w:r>
        <w:t xml:space="preserve"> </w:t>
      </w:r>
      <w:r w:rsidRPr="00F138B6">
        <w:t>only</w:t>
      </w:r>
      <w:r>
        <w:t xml:space="preserve"> </w:t>
      </w:r>
      <w:r w:rsidRPr="00F138B6">
        <w:t>“a</w:t>
      </w:r>
      <w:r>
        <w:t xml:space="preserve"> </w:t>
      </w:r>
      <w:r w:rsidRPr="00F138B6">
        <w:t>reasonable</w:t>
      </w:r>
      <w:r>
        <w:t xml:space="preserve"> </w:t>
      </w:r>
      <w:r w:rsidRPr="00F138B6">
        <w:t>probability</w:t>
      </w:r>
      <w:r>
        <w:t xml:space="preserve"> </w:t>
      </w:r>
      <w:r w:rsidRPr="00F138B6">
        <w:t>of</w:t>
      </w:r>
      <w:r>
        <w:t xml:space="preserve"> </w:t>
      </w:r>
      <w:r w:rsidRPr="00F138B6">
        <w:t>eventual</w:t>
      </w:r>
      <w:r>
        <w:t xml:space="preserve"> </w:t>
      </w:r>
      <w:r w:rsidRPr="00F138B6">
        <w:t>success</w:t>
      </w:r>
      <w:r>
        <w:t xml:space="preserve"> </w:t>
      </w:r>
      <w:r w:rsidRPr="00F138B6">
        <w:t>in</w:t>
      </w:r>
      <w:r>
        <w:t xml:space="preserve"> </w:t>
      </w:r>
      <w:r w:rsidRPr="00F138B6">
        <w:t>the</w:t>
      </w:r>
      <w:r>
        <w:t xml:space="preserve"> </w:t>
      </w:r>
      <w:r w:rsidRPr="00F138B6">
        <w:t>litigation;</w:t>
      </w:r>
      <w:r>
        <w:t xml:space="preserve"> </w:t>
      </w:r>
      <w:r w:rsidRPr="00F138B6">
        <w:t>it</w:t>
      </w:r>
      <w:r>
        <w:t xml:space="preserve"> </w:t>
      </w:r>
      <w:r w:rsidRPr="00F138B6">
        <w:t>does</w:t>
      </w:r>
      <w:r>
        <w:t xml:space="preserve"> </w:t>
      </w:r>
      <w:r w:rsidRPr="00F138B6">
        <w:t>not</w:t>
      </w:r>
      <w:r>
        <w:t xml:space="preserve"> </w:t>
      </w:r>
      <w:r w:rsidRPr="00F138B6">
        <w:t>mean</w:t>
      </w:r>
      <w:r>
        <w:t xml:space="preserve"> </w:t>
      </w:r>
      <w:r w:rsidRPr="00F138B6">
        <w:t>that</w:t>
      </w:r>
      <w:r>
        <w:t xml:space="preserve"> </w:t>
      </w:r>
      <w:r w:rsidRPr="00F138B6">
        <w:t>the</w:t>
      </w:r>
      <w:r>
        <w:t xml:space="preserve"> </w:t>
      </w:r>
      <w:r w:rsidRPr="00F138B6">
        <w:t>party</w:t>
      </w:r>
      <w:r>
        <w:t xml:space="preserve"> </w:t>
      </w:r>
      <w:r w:rsidRPr="00F138B6">
        <w:t>seeking</w:t>
      </w:r>
      <w:r>
        <w:t xml:space="preserve"> </w:t>
      </w:r>
      <w:r w:rsidRPr="00F138B6">
        <w:t>the</w:t>
      </w:r>
      <w:r>
        <w:t xml:space="preserve"> </w:t>
      </w:r>
      <w:r w:rsidRPr="00F138B6">
        <w:t>injunction</w:t>
      </w:r>
      <w:r>
        <w:t xml:space="preserve"> </w:t>
      </w:r>
      <w:r w:rsidRPr="00F138B6">
        <w:t>must</w:t>
      </w:r>
      <w:r>
        <w:t xml:space="preserve"> </w:t>
      </w:r>
      <w:r w:rsidRPr="00F138B6">
        <w:t>show</w:t>
      </w:r>
      <w:r>
        <w:t xml:space="preserve"> </w:t>
      </w:r>
      <w:r w:rsidRPr="00F138B6">
        <w:t>that</w:t>
      </w:r>
      <w:r>
        <w:t xml:space="preserve"> </w:t>
      </w:r>
      <w:r w:rsidRPr="00F138B6">
        <w:t>it</w:t>
      </w:r>
      <w:r>
        <w:t xml:space="preserve"> </w:t>
      </w:r>
      <w:r w:rsidRPr="00F138B6">
        <w:t>is</w:t>
      </w:r>
      <w:r>
        <w:t xml:space="preserve"> </w:t>
      </w:r>
      <w:r w:rsidRPr="00F138B6">
        <w:t>more</w:t>
      </w:r>
      <w:r>
        <w:t xml:space="preserve"> </w:t>
      </w:r>
      <w:r w:rsidRPr="00F138B6">
        <w:t>likely</w:t>
      </w:r>
      <w:r>
        <w:t xml:space="preserve"> </w:t>
      </w:r>
      <w:r w:rsidRPr="00F138B6">
        <w:t>than</w:t>
      </w:r>
      <w:r>
        <w:t xml:space="preserve"> </w:t>
      </w:r>
      <w:r w:rsidRPr="00F138B6">
        <w:t>not</w:t>
      </w:r>
      <w:r>
        <w:t xml:space="preserve"> </w:t>
      </w:r>
      <w:r w:rsidRPr="00F138B6">
        <w:t>to</w:t>
      </w:r>
      <w:r>
        <w:t xml:space="preserve"> </w:t>
      </w:r>
      <w:r w:rsidRPr="00F138B6">
        <w:t>succeed</w:t>
      </w:r>
      <w:r>
        <w:t xml:space="preserve"> </w:t>
      </w:r>
      <w:r w:rsidRPr="00F138B6">
        <w:t>on</w:t>
      </w:r>
      <w:r>
        <w:t xml:space="preserve"> </w:t>
      </w:r>
      <w:r w:rsidRPr="00F138B6">
        <w:t>the</w:t>
      </w:r>
      <w:r>
        <w:t xml:space="preserve"> </w:t>
      </w:r>
      <w:r w:rsidRPr="00F138B6">
        <w:t>merits</w:t>
      </w:r>
      <w:r>
        <w:t xml:space="preserve"> </w:t>
      </w:r>
      <w:r w:rsidRPr="00F138B6">
        <w:t>of</w:t>
      </w:r>
      <w:r>
        <w:t xml:space="preserve"> </w:t>
      </w:r>
      <w:r w:rsidRPr="00F138B6">
        <w:t>its</w:t>
      </w:r>
      <w:r>
        <w:t xml:space="preserve"> </w:t>
      </w:r>
      <w:r w:rsidRPr="00F138B6">
        <w:t>claim.”</w:t>
      </w:r>
      <w:r>
        <w:t xml:space="preserve"> </w:t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at</w:t>
      </w:r>
      <w:r>
        <w:t xml:space="preserve"> </w:t>
      </w:r>
      <w:r w:rsidRPr="00F138B6">
        <w:t>*3.</w:t>
      </w:r>
      <w:r>
        <w:t xml:space="preserve"> </w:t>
      </w:r>
      <w:r w:rsidRPr="00F138B6">
        <w:t>In</w:t>
      </w:r>
      <w:r>
        <w:t xml:space="preserve"> </w:t>
      </w:r>
      <w:r w:rsidRPr="00F138B6">
        <w:rPr>
          <w:rStyle w:val="BCasenamefull"/>
        </w:rPr>
        <w:t>Ultra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Records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LLC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v.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Ultra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Int’l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Music</w:t>
      </w:r>
      <w:r>
        <w:rPr>
          <w:rStyle w:val="BCasenamefull"/>
        </w:rPr>
        <w:t xml:space="preserve"> </w:t>
      </w:r>
      <w:r w:rsidRPr="00F138B6">
        <w:rPr>
          <w:rStyle w:val="BCasenamefull"/>
        </w:rPr>
        <w:t>Publishing</w:t>
      </w:r>
      <w:r w:rsidRPr="00F138B6">
        <w:t>,</w:t>
      </w:r>
      <w:r>
        <w:t xml:space="preserve"> </w:t>
      </w:r>
      <w:r w:rsidRPr="00F138B6">
        <w:t>2025</w:t>
      </w:r>
      <w:r>
        <w:t xml:space="preserve"> </w:t>
      </w:r>
      <w:r w:rsidRPr="00F138B6">
        <w:t>WL</w:t>
      </w:r>
      <w:r>
        <w:t xml:space="preserve"> </w:t>
      </w:r>
      <w:r w:rsidRPr="00F138B6">
        <w:t>602943,</w:t>
      </w:r>
      <w:r>
        <w:t xml:space="preserve"> </w:t>
      </w:r>
      <w:r w:rsidRPr="00F138B6">
        <w:t>2025</w:t>
      </w:r>
      <w:r>
        <w:t xml:space="preserve"> </w:t>
      </w:r>
      <w:r w:rsidRPr="00F138B6">
        <w:t>BL</w:t>
      </w:r>
      <w:r>
        <w:t xml:space="preserve"> </w:t>
      </w:r>
      <w:r w:rsidRPr="00F138B6">
        <w:t>59916</w:t>
      </w:r>
      <w:r>
        <w:t xml:space="preserve"> </w:t>
      </w:r>
      <w:r w:rsidRPr="00F138B6">
        <w:t>(S.D.N.Y.</w:t>
      </w:r>
      <w:r>
        <w:t xml:space="preserve"> </w:t>
      </w:r>
      <w:r w:rsidRPr="00F138B6">
        <w:t>Feb.</w:t>
      </w:r>
      <w:r>
        <w:t xml:space="preserve"> </w:t>
      </w:r>
      <w:r w:rsidRPr="00F138B6">
        <w:t>25,</w:t>
      </w:r>
      <w:r>
        <w:t xml:space="preserve"> </w:t>
      </w:r>
      <w:r w:rsidRPr="00F138B6">
        <w:t>2025),</w:t>
      </w:r>
      <w:r>
        <w:t xml:space="preserve"> </w:t>
      </w:r>
      <w:r w:rsidRPr="00F138B6">
        <w:t>the</w:t>
      </w:r>
      <w:r>
        <w:t xml:space="preserve"> </w:t>
      </w:r>
      <w:r w:rsidRPr="00F138B6">
        <w:t>court</w:t>
      </w:r>
      <w:r>
        <w:t xml:space="preserve"> </w:t>
      </w:r>
      <w:r w:rsidRPr="00F138B6">
        <w:t>appeared</w:t>
      </w:r>
      <w:r>
        <w:t xml:space="preserve"> </w:t>
      </w:r>
      <w:r w:rsidRPr="00F138B6">
        <w:t>to</w:t>
      </w:r>
      <w:r>
        <w:t xml:space="preserve"> </w:t>
      </w:r>
      <w:r w:rsidRPr="00F138B6">
        <w:t>suggest</w:t>
      </w:r>
      <w:r>
        <w:t xml:space="preserve"> </w:t>
      </w:r>
      <w:r w:rsidRPr="00F138B6">
        <w:t>that</w:t>
      </w:r>
      <w:r>
        <w:t xml:space="preserve"> </w:t>
      </w:r>
      <w:r w:rsidRPr="00F138B6">
        <w:t>irreparable</w:t>
      </w:r>
      <w:r>
        <w:t xml:space="preserve"> </w:t>
      </w:r>
      <w:r w:rsidRPr="00F138B6">
        <w:t>harm</w:t>
      </w:r>
      <w:r>
        <w:t xml:space="preserve"> </w:t>
      </w:r>
      <w:r w:rsidRPr="00F138B6">
        <w:t>should</w:t>
      </w:r>
      <w:r>
        <w:t xml:space="preserve"> </w:t>
      </w:r>
      <w:r w:rsidRPr="00F138B6">
        <w:t>be</w:t>
      </w:r>
      <w:r>
        <w:t xml:space="preserve"> </w:t>
      </w:r>
      <w:r w:rsidRPr="00F138B6">
        <w:t>presumed</w:t>
      </w:r>
      <w:r>
        <w:t xml:space="preserve"> </w:t>
      </w:r>
      <w:r w:rsidRPr="00F138B6">
        <w:t>when</w:t>
      </w:r>
      <w:r>
        <w:t xml:space="preserve"> </w:t>
      </w:r>
      <w:r w:rsidRPr="00F138B6">
        <w:t>there</w:t>
      </w:r>
      <w:r>
        <w:t xml:space="preserve"> </w:t>
      </w:r>
      <w:r w:rsidRPr="00F138B6">
        <w:t>is</w:t>
      </w:r>
      <w:r>
        <w:t xml:space="preserve"> </w:t>
      </w:r>
      <w:r w:rsidRPr="00F138B6">
        <w:t>a</w:t>
      </w:r>
      <w:r>
        <w:t xml:space="preserve"> </w:t>
      </w:r>
      <w:r w:rsidRPr="00F138B6">
        <w:t>finding</w:t>
      </w:r>
      <w:r>
        <w:t xml:space="preserve"> </w:t>
      </w:r>
      <w:r w:rsidRPr="00F138B6">
        <w:t>of</w:t>
      </w:r>
      <w:r>
        <w:t xml:space="preserve"> </w:t>
      </w:r>
      <w:r w:rsidRPr="00F138B6">
        <w:t>dilution</w:t>
      </w:r>
      <w:r>
        <w:t xml:space="preserve"> </w:t>
      </w:r>
      <w:r w:rsidRPr="00F138B6">
        <w:t>under</w:t>
      </w:r>
      <w:r>
        <w:t xml:space="preserve"> </w:t>
      </w:r>
      <w:r w:rsidRPr="00F138B6">
        <w:t>New</w:t>
      </w:r>
      <w:r>
        <w:t xml:space="preserve"> </w:t>
      </w:r>
      <w:r w:rsidRPr="00F138B6">
        <w:t>York</w:t>
      </w:r>
      <w:r>
        <w:t xml:space="preserve"> </w:t>
      </w:r>
      <w:r w:rsidRPr="00F138B6">
        <w:t>law.</w:t>
      </w:r>
      <w:r>
        <w:t xml:space="preserve"> </w:t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at</w:t>
      </w:r>
      <w:r>
        <w:t xml:space="preserve"> </w:t>
      </w:r>
      <w:r w:rsidRPr="00F138B6">
        <w:t>*6.</w:t>
      </w:r>
    </w:p>
  </w:footnote>
  <w:footnote w:id="8">
    <w:p w14:paraId="0E16A11E" w14:textId="3A69C579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E</w:t>
      </w:r>
      <w:r w:rsidRPr="00F138B6">
        <w:t>.</w:t>
      </w:r>
      <w:r w:rsidRPr="00F138B6">
        <w:rPr>
          <w:i/>
        </w:rPr>
        <w:t>g</w:t>
      </w:r>
      <w:r w:rsidRPr="00F138B6">
        <w:t>.,</w:t>
      </w:r>
      <w:r>
        <w:t xml:space="preserve"> </w:t>
      </w:r>
      <w:r w:rsidRPr="00F138B6">
        <w:t>Bebe</w:t>
      </w:r>
      <w:r>
        <w:t xml:space="preserve"> </w:t>
      </w:r>
      <w:r w:rsidRPr="00F138B6">
        <w:t>Stores,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May</w:t>
      </w:r>
      <w:r>
        <w:t xml:space="preserve"> </w:t>
      </w:r>
      <w:r w:rsidRPr="00F138B6">
        <w:t>Dep’t</w:t>
      </w:r>
      <w:r>
        <w:t xml:space="preserve"> </w:t>
      </w:r>
      <w:r w:rsidRPr="00F138B6">
        <w:t>Stores</w:t>
      </w:r>
      <w:r>
        <w:t xml:space="preserve"> </w:t>
      </w:r>
      <w:r w:rsidRPr="00F138B6">
        <w:t>Int’l,</w:t>
      </w:r>
      <w:r>
        <w:t xml:space="preserve"> </w:t>
      </w:r>
      <w:r w:rsidRPr="00F138B6">
        <w:t>Inc.,</w:t>
      </w:r>
      <w:r>
        <w:t xml:space="preserve"> </w:t>
      </w:r>
      <w:r w:rsidRPr="00F138B6">
        <w:t>230</w:t>
      </w:r>
      <w:r>
        <w:t xml:space="preserve"> </w:t>
      </w:r>
      <w:r w:rsidRPr="00F138B6">
        <w:t>F.</w:t>
      </w:r>
      <w:r>
        <w:t xml:space="preserve"> </w:t>
      </w:r>
      <w:r w:rsidRPr="00F138B6">
        <w:t>Supp.</w:t>
      </w:r>
      <w:r>
        <w:t xml:space="preserve"> </w:t>
      </w:r>
      <w:r w:rsidRPr="00F138B6">
        <w:t>2d</w:t>
      </w:r>
      <w:r>
        <w:t xml:space="preserve"> </w:t>
      </w:r>
      <w:r w:rsidRPr="00F138B6">
        <w:t>980,</w:t>
      </w:r>
      <w:r>
        <w:t xml:space="preserve"> </w:t>
      </w:r>
      <w:r w:rsidRPr="00F138B6">
        <w:t>991</w:t>
      </w:r>
      <w:r>
        <w:t xml:space="preserve"> </w:t>
      </w:r>
      <w:r w:rsidRPr="00F138B6">
        <w:t>(E.D.</w:t>
      </w:r>
      <w:r>
        <w:t xml:space="preserve"> </w:t>
      </w:r>
      <w:r w:rsidRPr="00F138B6">
        <w:t>Mo.),</w:t>
      </w:r>
      <w:r>
        <w:t xml:space="preserve"> </w:t>
      </w:r>
      <w:r w:rsidRPr="00F138B6">
        <w:rPr>
          <w:i/>
        </w:rPr>
        <w:t>aff’d</w:t>
      </w:r>
      <w:r>
        <w:rPr>
          <w:i/>
        </w:rPr>
        <w:t xml:space="preserve"> </w:t>
      </w:r>
      <w:r w:rsidRPr="00F138B6">
        <w:rPr>
          <w:i/>
        </w:rPr>
        <w:t>in</w:t>
      </w:r>
      <w:r>
        <w:rPr>
          <w:i/>
        </w:rPr>
        <w:t xml:space="preserve"> </w:t>
      </w:r>
      <w:r w:rsidRPr="00F138B6">
        <w:rPr>
          <w:i/>
        </w:rPr>
        <w:t>part,</w:t>
      </w:r>
      <w:r>
        <w:rPr>
          <w:i/>
        </w:rPr>
        <w:t xml:space="preserve"> </w:t>
      </w:r>
      <w:r w:rsidRPr="00F138B6">
        <w:rPr>
          <w:i/>
        </w:rPr>
        <w:t>remanded</w:t>
      </w:r>
      <w:r>
        <w:rPr>
          <w:i/>
        </w:rPr>
        <w:t xml:space="preserve"> </w:t>
      </w:r>
      <w:r w:rsidRPr="00F138B6">
        <w:rPr>
          <w:i/>
        </w:rPr>
        <w:t>in</w:t>
      </w:r>
      <w:r>
        <w:rPr>
          <w:i/>
        </w:rPr>
        <w:t xml:space="preserve"> </w:t>
      </w:r>
      <w:r w:rsidRPr="00F138B6">
        <w:rPr>
          <w:i/>
        </w:rPr>
        <w:t>part</w:t>
      </w:r>
      <w:r w:rsidRPr="00F138B6">
        <w:t>,</w:t>
      </w:r>
      <w:r>
        <w:t xml:space="preserve"> </w:t>
      </w:r>
      <w:r w:rsidRPr="00F138B6">
        <w:t>313</w:t>
      </w:r>
      <w:r>
        <w:t xml:space="preserve"> </w:t>
      </w:r>
      <w:r w:rsidRPr="00F138B6">
        <w:t>F.3d</w:t>
      </w:r>
      <w:r>
        <w:t xml:space="preserve"> </w:t>
      </w:r>
      <w:r w:rsidRPr="00F138B6">
        <w:t>1056</w:t>
      </w:r>
      <w:r>
        <w:t xml:space="preserve"> </w:t>
      </w:r>
      <w:r w:rsidRPr="00F138B6">
        <w:t>(8th</w:t>
      </w:r>
      <w:r>
        <w:t xml:space="preserve"> </w:t>
      </w:r>
      <w:r w:rsidRPr="00F138B6">
        <w:t>Cir.</w:t>
      </w:r>
      <w:r>
        <w:t xml:space="preserve"> </w:t>
      </w:r>
      <w:r w:rsidRPr="00F138B6">
        <w:t>2002)</w:t>
      </w:r>
      <w:r>
        <w:t xml:space="preserve"> </w:t>
      </w:r>
      <w:r w:rsidRPr="00F138B6">
        <w:t>(the</w:t>
      </w:r>
      <w:r>
        <w:t xml:space="preserve"> </w:t>
      </w:r>
      <w:r w:rsidRPr="00F138B6">
        <w:t>court</w:t>
      </w:r>
      <w:r>
        <w:t xml:space="preserve"> </w:t>
      </w:r>
      <w:r w:rsidRPr="00F138B6">
        <w:t>of</w:t>
      </w:r>
      <w:r>
        <w:t xml:space="preserve"> </w:t>
      </w:r>
      <w:r w:rsidRPr="00F138B6">
        <w:t>appeals</w:t>
      </w:r>
      <w:r>
        <w:t xml:space="preserve"> </w:t>
      </w:r>
      <w:r w:rsidRPr="00F138B6">
        <w:t>did</w:t>
      </w:r>
      <w:r>
        <w:t xml:space="preserve"> </w:t>
      </w:r>
      <w:r w:rsidRPr="00F138B6">
        <w:t>not</w:t>
      </w:r>
      <w:r>
        <w:t xml:space="preserve"> </w:t>
      </w:r>
      <w:r w:rsidRPr="00F138B6">
        <w:t>discuss</w:t>
      </w:r>
      <w:r>
        <w:t xml:space="preserve"> </w:t>
      </w:r>
      <w:r w:rsidRPr="00F138B6">
        <w:t>the</w:t>
      </w:r>
      <w:r>
        <w:t xml:space="preserve"> </w:t>
      </w:r>
      <w:r w:rsidRPr="00F138B6">
        <w:t>dilution</w:t>
      </w:r>
      <w:r>
        <w:t xml:space="preserve"> </w:t>
      </w:r>
      <w:r w:rsidRPr="00F138B6">
        <w:t>issue);</w:t>
      </w:r>
      <w:r>
        <w:t xml:space="preserve"> </w:t>
      </w:r>
      <w:r w:rsidRPr="00F138B6">
        <w:t>Gilbert/Robinson,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Carrie</w:t>
      </w:r>
      <w:r>
        <w:t xml:space="preserve"> </w:t>
      </w:r>
      <w:r w:rsidRPr="00F138B6">
        <w:t>Beverage-Mo.,</w:t>
      </w:r>
      <w:r>
        <w:t xml:space="preserve"> </w:t>
      </w:r>
      <w:r w:rsidRPr="00F138B6">
        <w:t>Inc.,</w:t>
      </w:r>
      <w:r>
        <w:t xml:space="preserve"> </w:t>
      </w:r>
      <w:r w:rsidRPr="00F138B6">
        <w:t>758</w:t>
      </w:r>
      <w:r>
        <w:t xml:space="preserve"> </w:t>
      </w:r>
      <w:r w:rsidRPr="00F138B6">
        <w:t>F.</w:t>
      </w:r>
      <w:r>
        <w:t xml:space="preserve"> </w:t>
      </w:r>
      <w:r w:rsidRPr="00F138B6">
        <w:t>Supp.</w:t>
      </w:r>
      <w:r>
        <w:t xml:space="preserve"> </w:t>
      </w:r>
      <w:r w:rsidRPr="00F138B6">
        <w:t>512,</w:t>
      </w:r>
      <w:r>
        <w:t xml:space="preserve"> </w:t>
      </w:r>
      <w:r w:rsidRPr="00F138B6">
        <w:t>528,</w:t>
      </w:r>
      <w:r>
        <w:t xml:space="preserve"> </w:t>
      </w:r>
      <w:r w:rsidRPr="00F138B6">
        <w:t>19</w:t>
      </w:r>
      <w:r>
        <w:t xml:space="preserve"> </w:t>
      </w:r>
      <w:r w:rsidRPr="00F138B6">
        <w:t>USPQ2d</w:t>
      </w:r>
      <w:r>
        <w:t xml:space="preserve"> </w:t>
      </w:r>
      <w:r w:rsidRPr="00F138B6">
        <w:t>1481</w:t>
      </w:r>
      <w:r>
        <w:t xml:space="preserve"> </w:t>
      </w:r>
      <w:r w:rsidRPr="00F138B6">
        <w:t>(E.D.</w:t>
      </w:r>
      <w:r>
        <w:t xml:space="preserve"> </w:t>
      </w:r>
      <w:r w:rsidRPr="00F138B6">
        <w:t>Mo.</w:t>
      </w:r>
      <w:r>
        <w:t xml:space="preserve"> </w:t>
      </w:r>
      <w:r w:rsidRPr="00F138B6">
        <w:t>1991),</w:t>
      </w:r>
      <w:r>
        <w:t xml:space="preserve"> </w:t>
      </w:r>
      <w:r w:rsidRPr="00F138B6">
        <w:rPr>
          <w:i/>
        </w:rPr>
        <w:t>aff’d</w:t>
      </w:r>
      <w:r w:rsidRPr="00F138B6">
        <w:t>,</w:t>
      </w:r>
      <w:r>
        <w:t xml:space="preserve"> </w:t>
      </w:r>
      <w:r w:rsidRPr="00F138B6">
        <w:t>989</w:t>
      </w:r>
      <w:r>
        <w:t xml:space="preserve"> </w:t>
      </w:r>
      <w:r w:rsidRPr="00F138B6">
        <w:t>F.2d</w:t>
      </w:r>
      <w:r>
        <w:t xml:space="preserve"> </w:t>
      </w:r>
      <w:r w:rsidRPr="00F138B6">
        <w:t>985,</w:t>
      </w:r>
      <w:r>
        <w:t xml:space="preserve"> </w:t>
      </w:r>
      <w:r w:rsidRPr="00F138B6">
        <w:t>26</w:t>
      </w:r>
      <w:r>
        <w:t xml:space="preserve"> </w:t>
      </w:r>
      <w:r w:rsidRPr="00F138B6">
        <w:t>USPQ2d</w:t>
      </w:r>
      <w:r>
        <w:t xml:space="preserve"> </w:t>
      </w:r>
      <w:r w:rsidRPr="00F138B6">
        <w:t>1378</w:t>
      </w:r>
      <w:r>
        <w:t xml:space="preserve"> </w:t>
      </w:r>
      <w:r w:rsidRPr="00F138B6">
        <w:t>(8th</w:t>
      </w:r>
      <w:r>
        <w:t xml:space="preserve"> </w:t>
      </w:r>
      <w:r w:rsidRPr="00F138B6">
        <w:t>Cir.),</w:t>
      </w:r>
      <w:r>
        <w:t xml:space="preserve"> </w:t>
      </w:r>
      <w:r w:rsidRPr="00F138B6">
        <w:rPr>
          <w:i/>
        </w:rPr>
        <w:t>cert</w:t>
      </w:r>
      <w:r w:rsidRPr="00F138B6">
        <w:t>.</w:t>
      </w:r>
      <w:r>
        <w:t xml:space="preserve"> </w:t>
      </w:r>
      <w:r w:rsidRPr="00F138B6">
        <w:rPr>
          <w:i/>
        </w:rPr>
        <w:t>denied</w:t>
      </w:r>
      <w:r w:rsidRPr="00F138B6">
        <w:t>,</w:t>
      </w:r>
      <w:r>
        <w:t xml:space="preserve"> </w:t>
      </w:r>
      <w:r w:rsidRPr="00F138B6">
        <w:t>510</w:t>
      </w:r>
      <w:r>
        <w:t xml:space="preserve"> </w:t>
      </w:r>
      <w:r w:rsidRPr="00F138B6">
        <w:t>U.S.</w:t>
      </w:r>
      <w:r>
        <w:t xml:space="preserve"> </w:t>
      </w:r>
      <w:r w:rsidRPr="00F138B6">
        <w:t>928</w:t>
      </w:r>
      <w:r>
        <w:t xml:space="preserve"> </w:t>
      </w:r>
      <w:r w:rsidRPr="00F138B6">
        <w:t>(1993);</w:t>
      </w:r>
      <w:r>
        <w:t xml:space="preserve"> </w:t>
      </w:r>
      <w:r w:rsidRPr="00F138B6">
        <w:t>Ramsey’s</w:t>
      </w:r>
      <w:r>
        <w:t xml:space="preserve"> </w:t>
      </w:r>
      <w:r w:rsidRPr="00F138B6">
        <w:t>Mfg.</w:t>
      </w:r>
      <w:r>
        <w:t xml:space="preserve"> </w:t>
      </w:r>
      <w:r w:rsidRPr="00F138B6">
        <w:t>Jewelers,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Ramsey,</w:t>
      </w:r>
      <w:r>
        <w:t xml:space="preserve"> </w:t>
      </w:r>
      <w:r w:rsidRPr="00F138B6">
        <w:t>924</w:t>
      </w:r>
      <w:r>
        <w:t xml:space="preserve"> </w:t>
      </w:r>
      <w:r w:rsidRPr="00F138B6">
        <w:t>So.2d</w:t>
      </w:r>
      <w:r>
        <w:t xml:space="preserve"> </w:t>
      </w:r>
      <w:r w:rsidRPr="00F138B6">
        <w:t>1045,</w:t>
      </w:r>
      <w:r>
        <w:t xml:space="preserve"> </w:t>
      </w:r>
      <w:r w:rsidRPr="00F138B6">
        <w:t>1051</w:t>
      </w:r>
      <w:r>
        <w:t xml:space="preserve"> </w:t>
      </w:r>
      <w:r w:rsidRPr="00F138B6">
        <w:t>(La.</w:t>
      </w:r>
      <w:r>
        <w:t xml:space="preserve"> </w:t>
      </w:r>
      <w:r w:rsidRPr="00F138B6">
        <w:t>Ct.</w:t>
      </w:r>
      <w:r>
        <w:t xml:space="preserve"> </w:t>
      </w:r>
      <w:r w:rsidRPr="00F138B6">
        <w:t>App.</w:t>
      </w:r>
      <w:r>
        <w:t xml:space="preserve"> </w:t>
      </w:r>
      <w:r w:rsidRPr="00F138B6">
        <w:t>2006)</w:t>
      </w:r>
      <w:r>
        <w:t xml:space="preserve"> </w:t>
      </w:r>
      <w:r w:rsidRPr="00F138B6">
        <w:t>(Louisiana</w:t>
      </w:r>
      <w:r>
        <w:t xml:space="preserve"> </w:t>
      </w:r>
      <w:r w:rsidRPr="00F138B6">
        <w:t>dilution</w:t>
      </w:r>
      <w:r>
        <w:t xml:space="preserve"> </w:t>
      </w:r>
      <w:r w:rsidRPr="00F138B6">
        <w:t>law</w:t>
      </w:r>
      <w:r>
        <w:t xml:space="preserve"> </w:t>
      </w:r>
      <w:r w:rsidRPr="00F138B6">
        <w:t>does</w:t>
      </w:r>
      <w:r>
        <w:t xml:space="preserve"> </w:t>
      </w:r>
      <w:r w:rsidRPr="00F138B6">
        <w:t>not</w:t>
      </w:r>
      <w:r>
        <w:t xml:space="preserve"> </w:t>
      </w:r>
      <w:r w:rsidRPr="00F138B6">
        <w:t>require</w:t>
      </w:r>
      <w:r>
        <w:t xml:space="preserve"> </w:t>
      </w:r>
      <w:r w:rsidRPr="00F138B6">
        <w:t>irreparable</w:t>
      </w:r>
      <w:r>
        <w:t xml:space="preserve"> </w:t>
      </w:r>
      <w:r w:rsidRPr="00F138B6">
        <w:t>harm</w:t>
      </w:r>
      <w:r>
        <w:t xml:space="preserve"> </w:t>
      </w:r>
      <w:r w:rsidRPr="00F138B6">
        <w:t>because</w:t>
      </w:r>
      <w:r>
        <w:t xml:space="preserve"> </w:t>
      </w:r>
      <w:r w:rsidRPr="00F138B6">
        <w:t>it</w:t>
      </w:r>
      <w:r>
        <w:t xml:space="preserve"> </w:t>
      </w:r>
      <w:r w:rsidRPr="00F138B6">
        <w:t>does</w:t>
      </w:r>
      <w:r>
        <w:t xml:space="preserve"> </w:t>
      </w:r>
      <w:r w:rsidRPr="00F138B6">
        <w:t>not</w:t>
      </w:r>
      <w:r>
        <w:t xml:space="preserve"> </w:t>
      </w:r>
      <w:r w:rsidRPr="00F138B6">
        <w:t>require</w:t>
      </w:r>
      <w:r>
        <w:t xml:space="preserve"> </w:t>
      </w:r>
      <w:r w:rsidRPr="00F138B6">
        <w:t>confusion);</w:t>
      </w:r>
      <w:r>
        <w:t xml:space="preserve"> </w:t>
      </w:r>
      <w:r w:rsidRPr="00F138B6">
        <w:rPr>
          <w:i/>
        </w:rPr>
        <w:t>see</w:t>
      </w:r>
      <w:r>
        <w:rPr>
          <w:i/>
        </w:rPr>
        <w:t xml:space="preserve"> </w:t>
      </w:r>
      <w:r w:rsidRPr="00F138B6">
        <w:rPr>
          <w:i/>
        </w:rPr>
        <w:t>also</w:t>
      </w:r>
      <w:r>
        <w:t xml:space="preserve"> </w:t>
      </w:r>
      <w:r w:rsidRPr="00F138B6">
        <w:t>Ringling</w:t>
      </w:r>
      <w:r>
        <w:t xml:space="preserve"> </w:t>
      </w:r>
      <w:r w:rsidRPr="00F138B6">
        <w:t>Bros.-Barnum</w:t>
      </w:r>
      <w:r>
        <w:t xml:space="preserve"> </w:t>
      </w:r>
      <w:r w:rsidRPr="00F138B6">
        <w:t>&amp;</w:t>
      </w:r>
      <w:r>
        <w:t xml:space="preserve"> </w:t>
      </w:r>
      <w:r w:rsidRPr="00F138B6">
        <w:t>Bailey</w:t>
      </w:r>
      <w:r>
        <w:t xml:space="preserve"> </w:t>
      </w:r>
      <w:r w:rsidRPr="00F138B6">
        <w:t>Combined</w:t>
      </w:r>
      <w:r>
        <w:t xml:space="preserve"> </w:t>
      </w:r>
      <w:r w:rsidRPr="00F138B6">
        <w:t>Shows,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Celozzi-Ettelson</w:t>
      </w:r>
      <w:r>
        <w:t xml:space="preserve"> </w:t>
      </w:r>
      <w:r w:rsidRPr="00F138B6">
        <w:t>Chevrolet,</w:t>
      </w:r>
      <w:r>
        <w:t xml:space="preserve"> </w:t>
      </w:r>
      <w:r w:rsidRPr="00F138B6">
        <w:t>Inc.,</w:t>
      </w:r>
      <w:r>
        <w:t xml:space="preserve"> </w:t>
      </w:r>
      <w:r w:rsidRPr="00F138B6">
        <w:t>855</w:t>
      </w:r>
      <w:r>
        <w:t xml:space="preserve"> </w:t>
      </w:r>
      <w:r w:rsidRPr="00F138B6">
        <w:t>F.2d</w:t>
      </w:r>
      <w:r>
        <w:t xml:space="preserve"> </w:t>
      </w:r>
      <w:r w:rsidRPr="00F138B6">
        <w:t>480,</w:t>
      </w:r>
      <w:r>
        <w:t xml:space="preserve"> </w:t>
      </w:r>
      <w:r w:rsidRPr="00F138B6">
        <w:t>482,</w:t>
      </w:r>
      <w:r>
        <w:t xml:space="preserve"> </w:t>
      </w:r>
      <w:r w:rsidRPr="00F138B6">
        <w:t>8</w:t>
      </w:r>
      <w:r>
        <w:t xml:space="preserve"> </w:t>
      </w:r>
      <w:r w:rsidRPr="00F138B6">
        <w:t>USPQ2d</w:t>
      </w:r>
      <w:r>
        <w:t xml:space="preserve"> </w:t>
      </w:r>
      <w:r w:rsidRPr="00F138B6">
        <w:t>1072</w:t>
      </w:r>
      <w:r>
        <w:t xml:space="preserve"> </w:t>
      </w:r>
      <w:r w:rsidRPr="00F138B6">
        <w:t>(7th</w:t>
      </w:r>
      <w:r>
        <w:t xml:space="preserve"> </w:t>
      </w:r>
      <w:r w:rsidRPr="00F138B6">
        <w:t>Cir.</w:t>
      </w:r>
      <w:r>
        <w:t xml:space="preserve"> </w:t>
      </w:r>
      <w:r w:rsidRPr="00F138B6">
        <w:t>1988)</w:t>
      </w:r>
      <w:r>
        <w:t xml:space="preserve"> </w:t>
      </w:r>
      <w:r w:rsidRPr="00F138B6">
        <w:t>(“Under</w:t>
      </w:r>
      <w:r>
        <w:t xml:space="preserve"> </w:t>
      </w:r>
      <w:r w:rsidRPr="00F138B6">
        <w:t>the</w:t>
      </w:r>
      <w:r>
        <w:t xml:space="preserve"> </w:t>
      </w:r>
      <w:r w:rsidRPr="00F138B6">
        <w:t>Illinois</w:t>
      </w:r>
      <w:r>
        <w:t xml:space="preserve"> </w:t>
      </w:r>
      <w:r w:rsidRPr="00F138B6">
        <w:t>Act,</w:t>
      </w:r>
      <w:r>
        <w:t xml:space="preserve"> </w:t>
      </w:r>
      <w:r w:rsidRPr="00F138B6">
        <w:t>‘an</w:t>
      </w:r>
      <w:r>
        <w:t xml:space="preserve"> </w:t>
      </w:r>
      <w:r w:rsidRPr="00F138B6">
        <w:t>injunction</w:t>
      </w:r>
      <w:r>
        <w:t xml:space="preserve"> </w:t>
      </w:r>
      <w:r w:rsidRPr="00F138B6">
        <w:rPr>
          <w:i/>
        </w:rPr>
        <w:t>must</w:t>
      </w:r>
      <w:r>
        <w:t xml:space="preserve"> </w:t>
      </w:r>
      <w:r w:rsidRPr="00F138B6">
        <w:t>be</w:t>
      </w:r>
      <w:r>
        <w:t xml:space="preserve"> </w:t>
      </w:r>
      <w:r w:rsidRPr="00F138B6">
        <w:t>granted</w:t>
      </w:r>
      <w:r>
        <w:t xml:space="preserve"> </w:t>
      </w:r>
      <w:r w:rsidRPr="00F138B6">
        <w:t>if</w:t>
      </w:r>
      <w:r>
        <w:t xml:space="preserve"> </w:t>
      </w:r>
      <w:r w:rsidRPr="00F138B6">
        <w:t>the</w:t>
      </w:r>
      <w:r>
        <w:t xml:space="preserve"> </w:t>
      </w:r>
      <w:r w:rsidRPr="00F138B6">
        <w:t>prior</w:t>
      </w:r>
      <w:r>
        <w:t xml:space="preserve"> </w:t>
      </w:r>
      <w:r w:rsidRPr="00F138B6">
        <w:t>user</w:t>
      </w:r>
      <w:r>
        <w:t xml:space="preserve"> </w:t>
      </w:r>
      <w:r w:rsidRPr="00F138B6">
        <w:t>can</w:t>
      </w:r>
      <w:r>
        <w:t xml:space="preserve"> </w:t>
      </w:r>
      <w:r w:rsidRPr="00F138B6">
        <w:t>show</w:t>
      </w:r>
      <w:r>
        <w:t xml:space="preserve"> </w:t>
      </w:r>
      <w:r w:rsidRPr="00F138B6">
        <w:t>that</w:t>
      </w:r>
      <w:r>
        <w:t xml:space="preserve"> </w:t>
      </w:r>
      <w:r w:rsidRPr="00F138B6">
        <w:t>the</w:t>
      </w:r>
      <w:r>
        <w:t xml:space="preserve"> </w:t>
      </w:r>
      <w:r w:rsidRPr="00F138B6">
        <w:t>mark</w:t>
      </w:r>
      <w:r>
        <w:t xml:space="preserve"> </w:t>
      </w:r>
      <w:r w:rsidRPr="00F138B6">
        <w:t>is</w:t>
      </w:r>
      <w:r>
        <w:t xml:space="preserve"> </w:t>
      </w:r>
      <w:r w:rsidRPr="00F138B6">
        <w:t>distinctive</w:t>
      </w:r>
      <w:r>
        <w:t xml:space="preserve"> </w:t>
      </w:r>
      <w:r w:rsidRPr="00F138B6">
        <w:t>and</w:t>
      </w:r>
      <w:r>
        <w:t xml:space="preserve"> </w:t>
      </w:r>
      <w:r w:rsidRPr="00F138B6">
        <w:t>that</w:t>
      </w:r>
      <w:r>
        <w:t xml:space="preserve"> </w:t>
      </w:r>
      <w:r w:rsidRPr="00F138B6">
        <w:t>the</w:t>
      </w:r>
      <w:r>
        <w:t xml:space="preserve"> </w:t>
      </w:r>
      <w:r w:rsidRPr="00F138B6">
        <w:t>subsequent</w:t>
      </w:r>
      <w:r>
        <w:t xml:space="preserve"> </w:t>
      </w:r>
      <w:r w:rsidRPr="00F138B6">
        <w:t>user’s</w:t>
      </w:r>
      <w:r>
        <w:t xml:space="preserve"> </w:t>
      </w:r>
      <w:r w:rsidRPr="00F138B6">
        <w:t>use</w:t>
      </w:r>
      <w:r>
        <w:t xml:space="preserve"> </w:t>
      </w:r>
      <w:r w:rsidRPr="00F138B6">
        <w:t>dilutes</w:t>
      </w:r>
      <w:r>
        <w:t xml:space="preserve"> </w:t>
      </w:r>
      <w:r w:rsidRPr="00F138B6">
        <w:t>that</w:t>
      </w:r>
      <w:r>
        <w:t xml:space="preserve"> </w:t>
      </w:r>
      <w:r w:rsidRPr="00F138B6">
        <w:t>distinctiveness.’”</w:t>
      </w:r>
      <w:r>
        <w:t xml:space="preserve"> </w:t>
      </w:r>
      <w:r w:rsidRPr="00F138B6">
        <w:t>(quoting</w:t>
      </w:r>
      <w:r>
        <w:t xml:space="preserve"> </w:t>
      </w:r>
      <w:r w:rsidRPr="00F138B6">
        <w:t>Hyatt</w:t>
      </w:r>
      <w:r>
        <w:t xml:space="preserve"> </w:t>
      </w:r>
      <w:r w:rsidRPr="00F138B6">
        <w:t>Corp.</w:t>
      </w:r>
      <w:r>
        <w:t xml:space="preserve"> </w:t>
      </w:r>
      <w:r w:rsidRPr="00F138B6">
        <w:t>v.</w:t>
      </w:r>
      <w:r>
        <w:t xml:space="preserve"> </w:t>
      </w:r>
      <w:r w:rsidRPr="00F138B6">
        <w:t>Hyatt</w:t>
      </w:r>
      <w:r>
        <w:t xml:space="preserve"> </w:t>
      </w:r>
      <w:r w:rsidRPr="00F138B6">
        <w:t>Legal</w:t>
      </w:r>
      <w:r>
        <w:t xml:space="preserve"> </w:t>
      </w:r>
      <w:r w:rsidRPr="00F138B6">
        <w:t>Servs.,</w:t>
      </w:r>
      <w:r>
        <w:t xml:space="preserve"> </w:t>
      </w:r>
      <w:r w:rsidRPr="00F138B6">
        <w:t>736</w:t>
      </w:r>
      <w:r>
        <w:t xml:space="preserve"> </w:t>
      </w:r>
      <w:r w:rsidRPr="00F138B6">
        <w:t>F.2d</w:t>
      </w:r>
      <w:r>
        <w:t xml:space="preserve"> </w:t>
      </w:r>
      <w:r w:rsidRPr="00F138B6">
        <w:t>1153,</w:t>
      </w:r>
      <w:r>
        <w:t xml:space="preserve"> </w:t>
      </w:r>
      <w:r w:rsidRPr="00F138B6">
        <w:t>1157</w:t>
      </w:r>
      <w:r>
        <w:t xml:space="preserve"> </w:t>
      </w:r>
      <w:r w:rsidRPr="00F138B6">
        <w:t>(7th</w:t>
      </w:r>
      <w:r>
        <w:t xml:space="preserve"> </w:t>
      </w:r>
      <w:r w:rsidRPr="00F138B6">
        <w:t>Cir.),</w:t>
      </w:r>
      <w:r>
        <w:t xml:space="preserve"> </w:t>
      </w:r>
      <w:r w:rsidRPr="00F138B6">
        <w:rPr>
          <w:i/>
        </w:rPr>
        <w:t>cert</w:t>
      </w:r>
      <w:r w:rsidRPr="00F138B6">
        <w:t>.</w:t>
      </w:r>
      <w:r>
        <w:t xml:space="preserve"> </w:t>
      </w:r>
      <w:r w:rsidRPr="00F138B6">
        <w:rPr>
          <w:i/>
        </w:rPr>
        <w:t>denied</w:t>
      </w:r>
      <w:r w:rsidRPr="00F138B6">
        <w:t>,</w:t>
      </w:r>
      <w:r>
        <w:t xml:space="preserve"> </w:t>
      </w:r>
      <w:r w:rsidRPr="00F138B6">
        <w:t>469</w:t>
      </w:r>
      <w:r>
        <w:t xml:space="preserve"> </w:t>
      </w:r>
      <w:r w:rsidRPr="00F138B6">
        <w:t>U.S.</w:t>
      </w:r>
      <w:r>
        <w:t xml:space="preserve"> </w:t>
      </w:r>
      <w:r w:rsidRPr="00F138B6">
        <w:t>1019</w:t>
      </w:r>
      <w:r>
        <w:t xml:space="preserve"> </w:t>
      </w:r>
      <w:r w:rsidRPr="00F138B6">
        <w:t>(1984))).</w:t>
      </w:r>
      <w:r>
        <w:t xml:space="preserve"> </w:t>
      </w:r>
      <w:r w:rsidRPr="00F138B6">
        <w:t>The</w:t>
      </w:r>
      <w:r>
        <w:t xml:space="preserve"> </w:t>
      </w:r>
      <w:r w:rsidRPr="00F138B6">
        <w:t>Illinois</w:t>
      </w:r>
      <w:r>
        <w:t xml:space="preserve"> </w:t>
      </w:r>
      <w:r w:rsidRPr="00F138B6">
        <w:t>statute</w:t>
      </w:r>
      <w:r>
        <w:t xml:space="preserve"> </w:t>
      </w:r>
      <w:r w:rsidRPr="00F138B6">
        <w:t>at</w:t>
      </w:r>
      <w:r>
        <w:t xml:space="preserve"> </w:t>
      </w:r>
      <w:r w:rsidRPr="00F138B6">
        <w:t>issue</w:t>
      </w:r>
      <w:r>
        <w:t xml:space="preserve"> </w:t>
      </w:r>
      <w:r w:rsidRPr="00F138B6">
        <w:t>has</w:t>
      </w:r>
      <w:r>
        <w:t xml:space="preserve"> </w:t>
      </w:r>
      <w:r w:rsidRPr="00F138B6">
        <w:t>since</w:t>
      </w:r>
      <w:r>
        <w:t xml:space="preserve"> </w:t>
      </w:r>
      <w:r w:rsidRPr="00F138B6">
        <w:t>been</w:t>
      </w:r>
      <w:r>
        <w:t xml:space="preserve"> </w:t>
      </w:r>
      <w:r w:rsidRPr="00F138B6">
        <w:t>replaced.</w:t>
      </w:r>
    </w:p>
  </w:footnote>
  <w:footnote w:id="9">
    <w:p w14:paraId="62CE0775" w14:textId="1DCAD75D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See,</w:t>
      </w:r>
      <w:r>
        <w:rPr>
          <w:i/>
        </w:rPr>
        <w:t xml:space="preserve"> </w:t>
      </w:r>
      <w:r w:rsidRPr="00F138B6">
        <w:rPr>
          <w:i/>
        </w:rPr>
        <w:t>e</w:t>
      </w:r>
      <w:r w:rsidRPr="00F138B6">
        <w:t>.</w:t>
      </w:r>
      <w:r w:rsidRPr="00F138B6">
        <w:rPr>
          <w:i/>
        </w:rPr>
        <w:t>g</w:t>
      </w:r>
      <w:r w:rsidRPr="00F138B6">
        <w:t>.,</w:t>
      </w:r>
      <w:r>
        <w:t xml:space="preserve"> </w:t>
      </w:r>
      <w:r w:rsidRPr="00F138B6">
        <w:t>Advantage</w:t>
      </w:r>
      <w:r>
        <w:t xml:space="preserve"> </w:t>
      </w:r>
      <w:r w:rsidRPr="00F138B6">
        <w:t>Rent-A-Car,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Enterprise</w:t>
      </w:r>
      <w:r>
        <w:t xml:space="preserve"> </w:t>
      </w:r>
      <w:r w:rsidRPr="00F138B6">
        <w:t>Rent-A-Car</w:t>
      </w:r>
      <w:r>
        <w:t xml:space="preserve"> </w:t>
      </w:r>
      <w:r w:rsidRPr="00F138B6">
        <w:t>Co.,</w:t>
      </w:r>
      <w:r>
        <w:t xml:space="preserve"> </w:t>
      </w:r>
      <w:r w:rsidRPr="00F138B6">
        <w:t>238</w:t>
      </w:r>
      <w:r>
        <w:t xml:space="preserve"> </w:t>
      </w:r>
      <w:r w:rsidRPr="00F138B6">
        <w:t>F.3d</w:t>
      </w:r>
      <w:r>
        <w:t xml:space="preserve"> </w:t>
      </w:r>
      <w:r w:rsidRPr="00F138B6">
        <w:t>378,</w:t>
      </w:r>
      <w:r>
        <w:t xml:space="preserve"> </w:t>
      </w:r>
      <w:r w:rsidRPr="00F138B6">
        <w:t>381,</w:t>
      </w:r>
      <w:r>
        <w:t xml:space="preserve"> </w:t>
      </w:r>
      <w:r w:rsidRPr="00F138B6">
        <w:t>57</w:t>
      </w:r>
      <w:r>
        <w:t xml:space="preserve"> </w:t>
      </w:r>
      <w:r w:rsidRPr="00F138B6">
        <w:t>USPQ2d</w:t>
      </w:r>
      <w:r>
        <w:t xml:space="preserve"> </w:t>
      </w:r>
      <w:r w:rsidRPr="00F138B6">
        <w:t>1561</w:t>
      </w:r>
      <w:r>
        <w:t xml:space="preserve"> </w:t>
      </w:r>
      <w:r w:rsidRPr="00F138B6">
        <w:t>(5th</w:t>
      </w:r>
      <w:r>
        <w:t xml:space="preserve"> </w:t>
      </w:r>
      <w:r w:rsidRPr="00F138B6">
        <w:t>Cir.</w:t>
      </w:r>
      <w:r>
        <w:t xml:space="preserve"> </w:t>
      </w:r>
      <w:r w:rsidRPr="00F138B6">
        <w:t>2001)</w:t>
      </w:r>
      <w:r>
        <w:t xml:space="preserve"> </w:t>
      </w:r>
      <w:r w:rsidRPr="00F138B6">
        <w:t>(finding</w:t>
      </w:r>
      <w:r>
        <w:t xml:space="preserve"> </w:t>
      </w:r>
      <w:r w:rsidRPr="00F138B6">
        <w:t>mark</w:t>
      </w:r>
      <w:r>
        <w:t xml:space="preserve"> </w:t>
      </w:r>
      <w:r w:rsidRPr="00F138B6">
        <w:t>not</w:t>
      </w:r>
      <w:r>
        <w:t xml:space="preserve"> </w:t>
      </w:r>
      <w:r w:rsidRPr="00F138B6">
        <w:t>famous</w:t>
      </w:r>
      <w:r>
        <w:t xml:space="preserve"> </w:t>
      </w:r>
      <w:r w:rsidRPr="00F138B6">
        <w:t>under</w:t>
      </w:r>
      <w:r>
        <w:t xml:space="preserve"> </w:t>
      </w:r>
      <w:r w:rsidRPr="00F138B6">
        <w:t>FTDA</w:t>
      </w:r>
      <w:r>
        <w:t xml:space="preserve"> </w:t>
      </w:r>
      <w:r w:rsidRPr="00F138B6">
        <w:t>but</w:t>
      </w:r>
      <w:r>
        <w:t xml:space="preserve"> </w:t>
      </w:r>
      <w:r w:rsidRPr="00F138B6">
        <w:t>remanding</w:t>
      </w:r>
      <w:r>
        <w:t xml:space="preserve"> </w:t>
      </w:r>
      <w:r w:rsidRPr="00F138B6">
        <w:t>to</w:t>
      </w:r>
      <w:r>
        <w:t xml:space="preserve"> </w:t>
      </w:r>
      <w:r w:rsidRPr="00F138B6">
        <w:t>consider</w:t>
      </w:r>
      <w:r>
        <w:t xml:space="preserve"> </w:t>
      </w:r>
      <w:r w:rsidRPr="00F138B6">
        <w:t>whether</w:t>
      </w:r>
      <w:r>
        <w:t xml:space="preserve"> </w:t>
      </w:r>
      <w:r w:rsidRPr="00F138B6">
        <w:t>claims</w:t>
      </w:r>
      <w:r>
        <w:t xml:space="preserve"> </w:t>
      </w:r>
      <w:r w:rsidRPr="00F138B6">
        <w:t>under</w:t>
      </w:r>
      <w:r>
        <w:t xml:space="preserve"> </w:t>
      </w:r>
      <w:r w:rsidRPr="00F138B6">
        <w:t>Texas</w:t>
      </w:r>
      <w:r>
        <w:t xml:space="preserve"> </w:t>
      </w:r>
      <w:r w:rsidRPr="00F138B6">
        <w:t>and</w:t>
      </w:r>
      <w:r>
        <w:t xml:space="preserve"> </w:t>
      </w:r>
      <w:r w:rsidRPr="00F138B6">
        <w:t>Louisiana</w:t>
      </w:r>
      <w:r>
        <w:t xml:space="preserve"> </w:t>
      </w:r>
      <w:r w:rsidRPr="00F138B6">
        <w:t>laws</w:t>
      </w:r>
      <w:r>
        <w:t xml:space="preserve"> </w:t>
      </w:r>
      <w:r w:rsidRPr="00F138B6">
        <w:t>were</w:t>
      </w:r>
      <w:r>
        <w:t xml:space="preserve"> </w:t>
      </w:r>
      <w:r w:rsidRPr="00F138B6">
        <w:t>viable).</w:t>
      </w:r>
    </w:p>
  </w:footnote>
  <w:footnote w:id="10">
    <w:p w14:paraId="4578B6F0" w14:textId="6A962B70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Nabisco,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PF</w:t>
      </w:r>
      <w:r>
        <w:t xml:space="preserve"> </w:t>
      </w:r>
      <w:r w:rsidRPr="00F138B6">
        <w:t>Brands,</w:t>
      </w:r>
      <w:r>
        <w:t xml:space="preserve"> </w:t>
      </w:r>
      <w:r w:rsidRPr="00F138B6">
        <w:t>Inc.,</w:t>
      </w:r>
      <w:r>
        <w:t xml:space="preserve"> </w:t>
      </w:r>
      <w:r w:rsidRPr="00F138B6">
        <w:t>191</w:t>
      </w:r>
      <w:r>
        <w:t xml:space="preserve"> </w:t>
      </w:r>
      <w:r w:rsidRPr="00F138B6">
        <w:t>F.3d</w:t>
      </w:r>
      <w:r>
        <w:t xml:space="preserve"> </w:t>
      </w:r>
      <w:r w:rsidRPr="00F138B6">
        <w:t>208,</w:t>
      </w:r>
      <w:r>
        <w:t xml:space="preserve"> </w:t>
      </w:r>
      <w:r w:rsidRPr="00F138B6">
        <w:t>225</w:t>
      </w:r>
      <w:r>
        <w:t xml:space="preserve"> </w:t>
      </w:r>
      <w:r w:rsidRPr="00F138B6">
        <w:t>n.7,</w:t>
      </w:r>
      <w:r>
        <w:t xml:space="preserve"> </w:t>
      </w:r>
      <w:r w:rsidRPr="00F138B6">
        <w:t>51</w:t>
      </w:r>
      <w:r>
        <w:t xml:space="preserve"> </w:t>
      </w:r>
      <w:r w:rsidRPr="00F138B6">
        <w:t>USPQ2d</w:t>
      </w:r>
      <w:r>
        <w:t xml:space="preserve"> </w:t>
      </w:r>
      <w:r w:rsidRPr="00F138B6">
        <w:t>1882</w:t>
      </w:r>
      <w:r>
        <w:t xml:space="preserve"> </w:t>
      </w:r>
      <w:r w:rsidRPr="00F138B6">
        <w:t>(2d</w:t>
      </w:r>
      <w:r>
        <w:t xml:space="preserve"> </w:t>
      </w:r>
      <w:r w:rsidRPr="00F138B6">
        <w:t>Cir.</w:t>
      </w:r>
      <w:r>
        <w:t xml:space="preserve"> </w:t>
      </w:r>
      <w:r w:rsidRPr="00F138B6">
        <w:t>1999);</w:t>
      </w:r>
      <w:r>
        <w:t xml:space="preserve"> </w:t>
      </w:r>
      <w:r w:rsidRPr="00F138B6">
        <w:t>E.</w:t>
      </w:r>
      <w:r>
        <w:t xml:space="preserve"> </w:t>
      </w:r>
      <w:r w:rsidRPr="00F138B6">
        <w:t>&amp;</w:t>
      </w:r>
      <w:r>
        <w:t xml:space="preserve"> </w:t>
      </w:r>
      <w:r w:rsidRPr="00F138B6">
        <w:t>J.</w:t>
      </w:r>
      <w:r>
        <w:t xml:space="preserve"> </w:t>
      </w:r>
      <w:r w:rsidRPr="00F138B6">
        <w:t>Gallo</w:t>
      </w:r>
      <w:r>
        <w:t xml:space="preserve"> </w:t>
      </w:r>
      <w:r w:rsidRPr="00F138B6">
        <w:t>Winery</w:t>
      </w:r>
      <w:r>
        <w:t xml:space="preserve"> </w:t>
      </w:r>
      <w:r w:rsidRPr="00F138B6">
        <w:t>v.</w:t>
      </w:r>
      <w:r>
        <w:t xml:space="preserve"> </w:t>
      </w:r>
      <w:r w:rsidRPr="00F138B6">
        <w:t>Spider</w:t>
      </w:r>
      <w:r>
        <w:t xml:space="preserve"> </w:t>
      </w:r>
      <w:r w:rsidRPr="00F138B6">
        <w:t>Webs</w:t>
      </w:r>
      <w:r>
        <w:t xml:space="preserve"> </w:t>
      </w:r>
      <w:r w:rsidRPr="00F138B6">
        <w:t>Ltd.,</w:t>
      </w:r>
      <w:r>
        <w:t xml:space="preserve"> </w:t>
      </w:r>
      <w:r w:rsidRPr="00F138B6">
        <w:t>129</w:t>
      </w:r>
      <w:r>
        <w:t xml:space="preserve"> </w:t>
      </w:r>
      <w:r w:rsidRPr="00F138B6">
        <w:t>F.</w:t>
      </w:r>
      <w:r>
        <w:t xml:space="preserve"> </w:t>
      </w:r>
      <w:r w:rsidRPr="00F138B6">
        <w:t>Supp.</w:t>
      </w:r>
      <w:r>
        <w:t xml:space="preserve"> </w:t>
      </w:r>
      <w:r w:rsidRPr="00F138B6">
        <w:t>2d</w:t>
      </w:r>
      <w:r>
        <w:t xml:space="preserve"> </w:t>
      </w:r>
      <w:r w:rsidRPr="00F138B6">
        <w:t>1033,</w:t>
      </w:r>
      <w:r>
        <w:t xml:space="preserve"> </w:t>
      </w:r>
      <w:r w:rsidRPr="00F138B6">
        <w:t>1037</w:t>
      </w:r>
      <w:r>
        <w:t xml:space="preserve"> </w:t>
      </w:r>
      <w:r w:rsidRPr="00F138B6">
        <w:t>(S.D.</w:t>
      </w:r>
      <w:r>
        <w:t xml:space="preserve"> </w:t>
      </w:r>
      <w:r w:rsidRPr="00F138B6">
        <w:t>Tex.</w:t>
      </w:r>
      <w:r>
        <w:t xml:space="preserve"> </w:t>
      </w:r>
      <w:r w:rsidRPr="00F138B6">
        <w:t>2001),</w:t>
      </w:r>
      <w:r>
        <w:t xml:space="preserve"> </w:t>
      </w:r>
      <w:r w:rsidRPr="00F138B6">
        <w:rPr>
          <w:i/>
        </w:rPr>
        <w:t>aff’d</w:t>
      </w:r>
      <w:r w:rsidRPr="00F138B6">
        <w:t>,</w:t>
      </w:r>
      <w:r>
        <w:t xml:space="preserve"> </w:t>
      </w:r>
      <w:r w:rsidRPr="00F138B6">
        <w:t>286</w:t>
      </w:r>
      <w:r>
        <w:t xml:space="preserve"> </w:t>
      </w:r>
      <w:r w:rsidRPr="00F138B6">
        <w:t>F.3d</w:t>
      </w:r>
      <w:r>
        <w:t xml:space="preserve"> </w:t>
      </w:r>
      <w:r w:rsidRPr="00F138B6">
        <w:t>270,</w:t>
      </w:r>
      <w:r>
        <w:t xml:space="preserve"> </w:t>
      </w:r>
      <w:r w:rsidRPr="00F138B6">
        <w:t>62</w:t>
      </w:r>
      <w:r>
        <w:t xml:space="preserve"> </w:t>
      </w:r>
      <w:r w:rsidRPr="00F138B6">
        <w:t>USPQ2d</w:t>
      </w:r>
      <w:r>
        <w:t xml:space="preserve"> </w:t>
      </w:r>
      <w:r w:rsidRPr="00F138B6">
        <w:t>1404</w:t>
      </w:r>
      <w:r>
        <w:t xml:space="preserve"> </w:t>
      </w:r>
      <w:r w:rsidRPr="00F138B6">
        <w:t>(5th</w:t>
      </w:r>
      <w:r>
        <w:t xml:space="preserve"> </w:t>
      </w:r>
      <w:r w:rsidRPr="00F138B6">
        <w:t>Cir.</w:t>
      </w:r>
      <w:r>
        <w:t xml:space="preserve"> </w:t>
      </w:r>
      <w:r w:rsidRPr="00F138B6">
        <w:t>2002).</w:t>
      </w:r>
    </w:p>
  </w:footnote>
  <w:footnote w:id="11">
    <w:p w14:paraId="720C9D1B" w14:textId="78156A55" w:rsidR="00F138B6" w:rsidRPr="00903803" w:rsidRDefault="00F138B6" w:rsidP="001763C1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See,</w:t>
      </w:r>
      <w:r>
        <w:rPr>
          <w:i/>
        </w:rPr>
        <w:t xml:space="preserve"> </w:t>
      </w:r>
      <w:r w:rsidRPr="00F138B6">
        <w:rPr>
          <w:i/>
        </w:rPr>
        <w:t>e</w:t>
      </w:r>
      <w:r w:rsidRPr="00F138B6">
        <w:t>.</w:t>
      </w:r>
      <w:r w:rsidRPr="00F138B6">
        <w:rPr>
          <w:i/>
        </w:rPr>
        <w:t>g</w:t>
      </w:r>
      <w:r w:rsidRPr="00F138B6">
        <w:t>.,</w:t>
      </w:r>
      <w:r>
        <w:t xml:space="preserve"> </w:t>
      </w:r>
      <w:r w:rsidRPr="00F138B6">
        <w:t>Person’s</w:t>
      </w:r>
      <w:r>
        <w:t xml:space="preserve"> </w:t>
      </w:r>
      <w:r w:rsidRPr="00F138B6">
        <w:t>Co.</w:t>
      </w:r>
      <w:r>
        <w:t xml:space="preserve"> </w:t>
      </w:r>
      <w:r w:rsidRPr="00F138B6">
        <w:t>v.</w:t>
      </w:r>
      <w:r>
        <w:t xml:space="preserve"> </w:t>
      </w:r>
      <w:r w:rsidRPr="00F138B6">
        <w:t>Christman,</w:t>
      </w:r>
      <w:r>
        <w:t xml:space="preserve"> </w:t>
      </w:r>
      <w:r w:rsidRPr="00F138B6">
        <w:t>900</w:t>
      </w:r>
      <w:r>
        <w:t xml:space="preserve"> </w:t>
      </w:r>
      <w:r w:rsidRPr="00F138B6">
        <w:t>F.2d</w:t>
      </w:r>
      <w:r>
        <w:t xml:space="preserve"> </w:t>
      </w:r>
      <w:r w:rsidRPr="00F138B6">
        <w:t>1565,</w:t>
      </w:r>
      <w:r>
        <w:t xml:space="preserve"> </w:t>
      </w:r>
      <w:r w:rsidRPr="00F138B6">
        <w:t>1569,</w:t>
      </w:r>
      <w:r>
        <w:t xml:space="preserve"> </w:t>
      </w:r>
      <w:r w:rsidRPr="00F138B6">
        <w:t>14</w:t>
      </w:r>
      <w:r>
        <w:t xml:space="preserve"> </w:t>
      </w:r>
      <w:r w:rsidRPr="00F138B6">
        <w:t>USPQ2d</w:t>
      </w:r>
      <w:r>
        <w:t xml:space="preserve"> </w:t>
      </w:r>
      <w:r w:rsidRPr="00F138B6">
        <w:t>1477</w:t>
      </w:r>
      <w:r>
        <w:t xml:space="preserve"> </w:t>
      </w:r>
      <w:r w:rsidRPr="00F138B6">
        <w:t>(Fed.</w:t>
      </w:r>
      <w:r>
        <w:t xml:space="preserve"> </w:t>
      </w:r>
      <w:r w:rsidRPr="00F138B6">
        <w:t>Cir.</w:t>
      </w:r>
      <w:r>
        <w:t xml:space="preserve"> </w:t>
      </w:r>
      <w:r w:rsidRPr="00F138B6">
        <w:t>1990)</w:t>
      </w:r>
      <w:r>
        <w:t xml:space="preserve"> </w:t>
      </w:r>
      <w:r w:rsidRPr="00F138B6">
        <w:t>(granting</w:t>
      </w:r>
      <w:r>
        <w:t xml:space="preserve"> </w:t>
      </w:r>
      <w:r w:rsidRPr="00F138B6">
        <w:t>priority</w:t>
      </w:r>
      <w:r>
        <w:t xml:space="preserve"> </w:t>
      </w:r>
      <w:r w:rsidRPr="00F138B6">
        <w:t>to</w:t>
      </w:r>
      <w:r>
        <w:t xml:space="preserve"> </w:t>
      </w:r>
      <w:r w:rsidRPr="00F138B6">
        <w:t>the</w:t>
      </w:r>
      <w:r>
        <w:t xml:space="preserve"> </w:t>
      </w:r>
      <w:r w:rsidRPr="00F138B6">
        <w:t>first</w:t>
      </w:r>
      <w:r>
        <w:t xml:space="preserve"> </w:t>
      </w:r>
      <w:r w:rsidRPr="00F138B6">
        <w:t>user</w:t>
      </w:r>
      <w:r>
        <w:t xml:space="preserve"> </w:t>
      </w:r>
      <w:r w:rsidRPr="00F138B6">
        <w:t>in</w:t>
      </w:r>
      <w:r>
        <w:t xml:space="preserve"> </w:t>
      </w:r>
      <w:r w:rsidRPr="00F138B6">
        <w:t>the</w:t>
      </w:r>
      <w:r>
        <w:t xml:space="preserve"> </w:t>
      </w:r>
      <w:r w:rsidRPr="00F138B6">
        <w:t>United</w:t>
      </w:r>
      <w:r>
        <w:t xml:space="preserve"> </w:t>
      </w:r>
      <w:r w:rsidRPr="00F138B6">
        <w:t>States,</w:t>
      </w:r>
      <w:r>
        <w:t xml:space="preserve"> </w:t>
      </w:r>
      <w:r w:rsidRPr="00F138B6">
        <w:t>even</w:t>
      </w:r>
      <w:r>
        <w:t xml:space="preserve"> </w:t>
      </w:r>
      <w:r w:rsidRPr="00F138B6">
        <w:t>though</w:t>
      </w:r>
      <w:r>
        <w:t xml:space="preserve"> </w:t>
      </w:r>
      <w:r w:rsidRPr="00F138B6">
        <w:t>he</w:t>
      </w:r>
      <w:r>
        <w:t xml:space="preserve"> </w:t>
      </w:r>
      <w:r w:rsidRPr="00F138B6">
        <w:t>knew</w:t>
      </w:r>
      <w:r>
        <w:t xml:space="preserve"> </w:t>
      </w:r>
      <w:r w:rsidRPr="00F138B6">
        <w:t>of</w:t>
      </w:r>
      <w:r>
        <w:t xml:space="preserve"> </w:t>
      </w:r>
      <w:r w:rsidRPr="00F138B6">
        <w:t>a</w:t>
      </w:r>
      <w:r>
        <w:t xml:space="preserve"> </w:t>
      </w:r>
      <w:r w:rsidRPr="00F138B6">
        <w:t>prior</w:t>
      </w:r>
      <w:r>
        <w:t xml:space="preserve"> </w:t>
      </w:r>
      <w:r w:rsidRPr="00F138B6">
        <w:t>user</w:t>
      </w:r>
      <w:r>
        <w:t xml:space="preserve"> </w:t>
      </w:r>
      <w:r w:rsidRPr="00F138B6">
        <w:t>in</w:t>
      </w:r>
      <w:r>
        <w:t xml:space="preserve"> </w:t>
      </w:r>
      <w:r w:rsidRPr="00F138B6">
        <w:t>Japan);</w:t>
      </w:r>
      <w:r>
        <w:t xml:space="preserve"> </w:t>
      </w:r>
      <w:r w:rsidRPr="00F138B6">
        <w:t>Marshall</w:t>
      </w:r>
      <w:r>
        <w:t xml:space="preserve"> </w:t>
      </w:r>
      <w:r w:rsidRPr="00F138B6">
        <w:t>A.</w:t>
      </w:r>
      <w:r>
        <w:t xml:space="preserve"> </w:t>
      </w:r>
      <w:r w:rsidRPr="00F138B6">
        <w:t>Leaffer,</w:t>
      </w:r>
      <w:r>
        <w:t xml:space="preserve"> </w:t>
      </w:r>
      <w:r w:rsidRPr="00F138B6">
        <w:rPr>
          <w:i/>
        </w:rPr>
        <w:t>The</w:t>
      </w:r>
      <w:r>
        <w:rPr>
          <w:i/>
        </w:rPr>
        <w:t xml:space="preserve"> </w:t>
      </w:r>
      <w:r w:rsidRPr="00F138B6">
        <w:rPr>
          <w:i/>
        </w:rPr>
        <w:t>New</w:t>
      </w:r>
      <w:r>
        <w:rPr>
          <w:i/>
        </w:rPr>
        <w:t xml:space="preserve"> </w:t>
      </w:r>
      <w:r w:rsidRPr="00F138B6">
        <w:rPr>
          <w:i/>
        </w:rPr>
        <w:t>World</w:t>
      </w:r>
      <w:r>
        <w:rPr>
          <w:i/>
        </w:rPr>
        <w:t xml:space="preserve"> </w:t>
      </w:r>
      <w:r w:rsidRPr="00F138B6">
        <w:rPr>
          <w:i/>
        </w:rPr>
        <w:t>of</w:t>
      </w:r>
      <w:r>
        <w:rPr>
          <w:i/>
        </w:rPr>
        <w:t xml:space="preserve"> </w:t>
      </w:r>
      <w:r w:rsidRPr="00F138B6">
        <w:rPr>
          <w:i/>
        </w:rPr>
        <w:t>International</w:t>
      </w:r>
      <w:r>
        <w:rPr>
          <w:i/>
        </w:rPr>
        <w:t xml:space="preserve"> </w:t>
      </w:r>
      <w:r w:rsidRPr="00F138B6">
        <w:rPr>
          <w:i/>
        </w:rPr>
        <w:t>Trademark</w:t>
      </w:r>
      <w:r>
        <w:rPr>
          <w:i/>
        </w:rPr>
        <w:t xml:space="preserve"> </w:t>
      </w:r>
      <w:r w:rsidRPr="00F138B6">
        <w:rPr>
          <w:i/>
        </w:rPr>
        <w:t>Law</w:t>
      </w:r>
      <w:r w:rsidRPr="00F138B6">
        <w:t>,</w:t>
      </w:r>
      <w:r>
        <w:t xml:space="preserve"> </w:t>
      </w:r>
      <w:r w:rsidRPr="00F138B6">
        <w:t>2</w:t>
      </w:r>
      <w:r>
        <w:t xml:space="preserve"> </w:t>
      </w:r>
      <w:r w:rsidRPr="00F138B6">
        <w:rPr>
          <w:smallCaps/>
        </w:rPr>
        <w:t>Marq.</w:t>
      </w:r>
      <w:r>
        <w:rPr>
          <w:smallCaps/>
        </w:rPr>
        <w:t xml:space="preserve"> </w:t>
      </w:r>
      <w:r w:rsidRPr="00F138B6">
        <w:rPr>
          <w:smallCaps/>
        </w:rPr>
        <w:t>Intell.</w:t>
      </w:r>
      <w:r>
        <w:rPr>
          <w:smallCaps/>
        </w:rPr>
        <w:t xml:space="preserve"> </w:t>
      </w:r>
      <w:r w:rsidRPr="00F138B6">
        <w:rPr>
          <w:smallCaps/>
        </w:rPr>
        <w:t>Prop.</w:t>
      </w:r>
      <w:r>
        <w:rPr>
          <w:smallCaps/>
        </w:rPr>
        <w:t xml:space="preserve"> </w:t>
      </w:r>
      <w:r w:rsidRPr="00F138B6">
        <w:rPr>
          <w:smallCaps/>
        </w:rPr>
        <w:t>L.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t>1,</w:t>
      </w:r>
      <w:r>
        <w:t xml:space="preserve"> </w:t>
      </w:r>
      <w:r w:rsidRPr="00F138B6">
        <w:t>2–3</w:t>
      </w:r>
      <w:r>
        <w:t xml:space="preserve"> </w:t>
      </w:r>
      <w:r w:rsidRPr="00F138B6">
        <w:t>(1998)</w:t>
      </w:r>
      <w:r>
        <w:t xml:space="preserve"> </w:t>
      </w:r>
      <w:r w:rsidRPr="00F138B6">
        <w:t>(discussing</w:t>
      </w:r>
      <w:r>
        <w:t xml:space="preserve"> </w:t>
      </w:r>
      <w:r w:rsidRPr="00F138B6">
        <w:t>territoriality);</w:t>
      </w:r>
      <w:r>
        <w:t xml:space="preserve"> </w:t>
      </w:r>
      <w:r w:rsidRPr="00F138B6">
        <w:rPr>
          <w:i/>
        </w:rPr>
        <w:t>see</w:t>
      </w:r>
      <w:r>
        <w:rPr>
          <w:i/>
        </w:rPr>
        <w:t xml:space="preserve"> </w:t>
      </w:r>
      <w:r w:rsidRPr="00F138B6">
        <w:rPr>
          <w:i/>
        </w:rPr>
        <w:t>also</w:t>
      </w:r>
      <w:r>
        <w:t xml:space="preserve"> </w:t>
      </w:r>
      <w:r w:rsidRPr="00F138B6">
        <w:t>ITC</w:t>
      </w:r>
      <w:r>
        <w:t xml:space="preserve"> </w:t>
      </w:r>
      <w:r w:rsidRPr="00F138B6">
        <w:t>Ltd.</w:t>
      </w:r>
      <w:r>
        <w:t xml:space="preserve"> </w:t>
      </w:r>
      <w:r w:rsidRPr="00F138B6">
        <w:t>v.</w:t>
      </w:r>
      <w:r>
        <w:t xml:space="preserve"> </w:t>
      </w:r>
      <w:r w:rsidRPr="00F138B6">
        <w:t>Punchgini,</w:t>
      </w:r>
      <w:r>
        <w:t xml:space="preserve"> </w:t>
      </w:r>
      <w:r w:rsidRPr="00F138B6">
        <w:t>Inc.,</w:t>
      </w:r>
      <w:r>
        <w:t xml:space="preserve"> </w:t>
      </w:r>
      <w:r w:rsidRPr="00F138B6">
        <w:t>482</w:t>
      </w:r>
      <w:r>
        <w:t xml:space="preserve"> </w:t>
      </w:r>
      <w:r w:rsidRPr="00F138B6">
        <w:t>F.3d</w:t>
      </w:r>
      <w:r>
        <w:t xml:space="preserve"> </w:t>
      </w:r>
      <w:r w:rsidRPr="00F138B6">
        <w:t>135,</w:t>
      </w:r>
      <w:r>
        <w:t xml:space="preserve"> </w:t>
      </w:r>
      <w:r w:rsidRPr="00F138B6">
        <w:t>155–156,</w:t>
      </w:r>
      <w:r>
        <w:t xml:space="preserve"> </w:t>
      </w:r>
      <w:r w:rsidRPr="00F138B6">
        <w:t>82</w:t>
      </w:r>
      <w:r>
        <w:t xml:space="preserve"> </w:t>
      </w:r>
      <w:r w:rsidRPr="00F138B6">
        <w:t>USPQ2d</w:t>
      </w:r>
      <w:r>
        <w:t xml:space="preserve"> </w:t>
      </w:r>
      <w:r w:rsidRPr="00F138B6">
        <w:t>1414</w:t>
      </w:r>
      <w:r>
        <w:t xml:space="preserve"> </w:t>
      </w:r>
      <w:r w:rsidRPr="00F138B6">
        <w:t>(2d</w:t>
      </w:r>
      <w:r>
        <w:t xml:space="preserve"> </w:t>
      </w:r>
      <w:r w:rsidRPr="00F138B6">
        <w:t>Cir.)</w:t>
      </w:r>
      <w:r>
        <w:t xml:space="preserve"> </w:t>
      </w:r>
      <w:r w:rsidRPr="00F138B6">
        <w:t>(discussing</w:t>
      </w:r>
      <w:r>
        <w:t xml:space="preserve"> </w:t>
      </w:r>
      <w:r w:rsidRPr="00F138B6">
        <w:t>territoriality</w:t>
      </w:r>
      <w:r>
        <w:t xml:space="preserve"> </w:t>
      </w:r>
      <w:r w:rsidRPr="00F138B6">
        <w:t>principle),</w:t>
      </w:r>
      <w:r>
        <w:t xml:space="preserve"> </w:t>
      </w:r>
      <w:r w:rsidRPr="00F138B6">
        <w:rPr>
          <w:i/>
        </w:rPr>
        <w:t>cert</w:t>
      </w:r>
      <w:r w:rsidRPr="00F138B6">
        <w:t>.</w:t>
      </w:r>
      <w:r>
        <w:t xml:space="preserve"> </w:t>
      </w:r>
      <w:r w:rsidRPr="00F138B6">
        <w:rPr>
          <w:i/>
        </w:rPr>
        <w:t>denied</w:t>
      </w:r>
      <w:r w:rsidRPr="00F138B6">
        <w:t>,</w:t>
      </w:r>
      <w:r>
        <w:t xml:space="preserve"> </w:t>
      </w:r>
      <w:r w:rsidRPr="00F138B6">
        <w:t>552</w:t>
      </w:r>
      <w:r>
        <w:t xml:space="preserve"> </w:t>
      </w:r>
      <w:r w:rsidRPr="00F138B6">
        <w:t>U.S.</w:t>
      </w:r>
      <w:r>
        <w:t xml:space="preserve"> </w:t>
      </w:r>
      <w:r w:rsidRPr="00F138B6">
        <w:t>827</w:t>
      </w:r>
      <w:r>
        <w:t xml:space="preserve"> </w:t>
      </w:r>
      <w:r w:rsidRPr="00F138B6">
        <w:t>(2007).</w:t>
      </w:r>
    </w:p>
  </w:footnote>
  <w:footnote w:id="12">
    <w:p w14:paraId="05201A22" w14:textId="1FE780CB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E</w:t>
      </w:r>
      <w:r w:rsidRPr="00F138B6">
        <w:t>.</w:t>
      </w:r>
      <w:r w:rsidRPr="00F138B6">
        <w:rPr>
          <w:i/>
        </w:rPr>
        <w:t>g</w:t>
      </w:r>
      <w:r w:rsidRPr="00F138B6">
        <w:t>.,</w:t>
      </w:r>
      <w:r>
        <w:t xml:space="preserve"> </w:t>
      </w:r>
      <w:r w:rsidRPr="00F138B6">
        <w:t>Steele</w:t>
      </w:r>
      <w:r>
        <w:t xml:space="preserve"> </w:t>
      </w:r>
      <w:r w:rsidRPr="00F138B6">
        <w:t>v.</w:t>
      </w:r>
      <w:r>
        <w:t xml:space="preserve"> </w:t>
      </w:r>
      <w:r w:rsidRPr="00F138B6">
        <w:t>Bulova</w:t>
      </w:r>
      <w:r>
        <w:t xml:space="preserve"> </w:t>
      </w:r>
      <w:r w:rsidRPr="00F138B6">
        <w:t>Watch</w:t>
      </w:r>
      <w:r>
        <w:t xml:space="preserve"> </w:t>
      </w:r>
      <w:r w:rsidRPr="00F138B6">
        <w:t>Co.,</w:t>
      </w:r>
      <w:r>
        <w:t xml:space="preserve"> </w:t>
      </w:r>
      <w:r w:rsidRPr="00F138B6">
        <w:t>344</w:t>
      </w:r>
      <w:r>
        <w:t xml:space="preserve"> </w:t>
      </w:r>
      <w:r w:rsidRPr="00F138B6">
        <w:t>U.S.</w:t>
      </w:r>
      <w:r>
        <w:t xml:space="preserve"> </w:t>
      </w:r>
      <w:r w:rsidRPr="00F138B6">
        <w:t>280,</w:t>
      </w:r>
      <w:r>
        <w:t xml:space="preserve"> </w:t>
      </w:r>
      <w:r w:rsidRPr="00F138B6">
        <w:t>286,</w:t>
      </w:r>
      <w:r>
        <w:t xml:space="preserve"> </w:t>
      </w:r>
      <w:r w:rsidRPr="00F138B6">
        <w:t>95</w:t>
      </w:r>
      <w:r>
        <w:t xml:space="preserve"> </w:t>
      </w:r>
      <w:r w:rsidRPr="00F138B6">
        <w:t>USPQ</w:t>
      </w:r>
      <w:r>
        <w:t xml:space="preserve"> </w:t>
      </w:r>
      <w:r w:rsidRPr="00F138B6">
        <w:t>391</w:t>
      </w:r>
      <w:r>
        <w:t xml:space="preserve"> </w:t>
      </w:r>
      <w:r w:rsidRPr="00F138B6">
        <w:t>(1952)</w:t>
      </w:r>
      <w:r>
        <w:t xml:space="preserve"> </w:t>
      </w:r>
      <w:r w:rsidRPr="00F138B6">
        <w:t>(counterfeit</w:t>
      </w:r>
      <w:r>
        <w:t xml:space="preserve"> </w:t>
      </w:r>
      <w:r w:rsidRPr="00F138B6">
        <w:t>watches</w:t>
      </w:r>
      <w:r>
        <w:t xml:space="preserve"> </w:t>
      </w:r>
      <w:r w:rsidRPr="00F138B6">
        <w:t>made</w:t>
      </w:r>
      <w:r>
        <w:t xml:space="preserve"> </w:t>
      </w:r>
      <w:r w:rsidRPr="00F138B6">
        <w:t>and</w:t>
      </w:r>
      <w:r>
        <w:t xml:space="preserve"> </w:t>
      </w:r>
      <w:r w:rsidRPr="00F138B6">
        <w:t>sold</w:t>
      </w:r>
      <w:r>
        <w:t xml:space="preserve"> </w:t>
      </w:r>
      <w:r w:rsidRPr="00F138B6">
        <w:t>in</w:t>
      </w:r>
      <w:r>
        <w:t xml:space="preserve"> </w:t>
      </w:r>
      <w:r w:rsidRPr="00F138B6">
        <w:t>Mexico);</w:t>
      </w:r>
      <w:r>
        <w:t xml:space="preserve"> </w:t>
      </w:r>
      <w:r w:rsidRPr="00F138B6">
        <w:t>Babbit</w:t>
      </w:r>
      <w:r>
        <w:t xml:space="preserve"> </w:t>
      </w:r>
      <w:r w:rsidRPr="00F138B6">
        <w:t>Elecs.,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Dynascan</w:t>
      </w:r>
      <w:r>
        <w:t xml:space="preserve"> </w:t>
      </w:r>
      <w:r w:rsidRPr="00F138B6">
        <w:t>Corp.,</w:t>
      </w:r>
      <w:r>
        <w:t xml:space="preserve"> </w:t>
      </w:r>
      <w:r w:rsidRPr="00F138B6">
        <w:t>38</w:t>
      </w:r>
      <w:r>
        <w:t xml:space="preserve"> </w:t>
      </w:r>
      <w:r w:rsidRPr="00F138B6">
        <w:t>F.3d</w:t>
      </w:r>
      <w:r>
        <w:t xml:space="preserve"> </w:t>
      </w:r>
      <w:r w:rsidRPr="00F138B6">
        <w:t>1161,</w:t>
      </w:r>
      <w:r>
        <w:t xml:space="preserve"> </w:t>
      </w:r>
      <w:r w:rsidRPr="00F138B6">
        <w:t>1179,</w:t>
      </w:r>
      <w:r>
        <w:t xml:space="preserve"> </w:t>
      </w:r>
      <w:r w:rsidRPr="00F138B6">
        <w:t>33</w:t>
      </w:r>
      <w:r>
        <w:t xml:space="preserve"> </w:t>
      </w:r>
      <w:r w:rsidRPr="00F138B6">
        <w:t>USPQ2d</w:t>
      </w:r>
      <w:r>
        <w:t xml:space="preserve"> </w:t>
      </w:r>
      <w:r w:rsidRPr="00F138B6">
        <w:t>1001</w:t>
      </w:r>
      <w:r>
        <w:t xml:space="preserve"> </w:t>
      </w:r>
      <w:r w:rsidRPr="00F138B6">
        <w:t>(11th</w:t>
      </w:r>
      <w:r>
        <w:t xml:space="preserve"> </w:t>
      </w:r>
      <w:r w:rsidRPr="00F138B6">
        <w:t>Cir.</w:t>
      </w:r>
      <w:r>
        <w:t xml:space="preserve"> </w:t>
      </w:r>
      <w:r w:rsidRPr="00F138B6">
        <w:t>1994)</w:t>
      </w:r>
      <w:r>
        <w:t xml:space="preserve"> </w:t>
      </w:r>
      <w:r w:rsidRPr="00F138B6">
        <w:t>(cordless</w:t>
      </w:r>
      <w:r>
        <w:t xml:space="preserve"> </w:t>
      </w:r>
      <w:r w:rsidRPr="00F138B6">
        <w:t>telephones</w:t>
      </w:r>
      <w:r>
        <w:t xml:space="preserve"> </w:t>
      </w:r>
      <w:r w:rsidRPr="00F138B6">
        <w:t>sold</w:t>
      </w:r>
      <w:r>
        <w:t xml:space="preserve"> </w:t>
      </w:r>
      <w:r w:rsidRPr="00F138B6">
        <w:t>outside</w:t>
      </w:r>
      <w:r>
        <w:t xml:space="preserve"> </w:t>
      </w:r>
      <w:r w:rsidRPr="00F138B6">
        <w:t>the</w:t>
      </w:r>
      <w:r>
        <w:t xml:space="preserve"> </w:t>
      </w:r>
      <w:r w:rsidRPr="00F138B6">
        <w:t>United</w:t>
      </w:r>
      <w:r>
        <w:t xml:space="preserve"> </w:t>
      </w:r>
      <w:r w:rsidRPr="00F138B6">
        <w:t>States</w:t>
      </w:r>
      <w:r>
        <w:t xml:space="preserve"> </w:t>
      </w:r>
      <w:r w:rsidRPr="00F138B6">
        <w:t>but</w:t>
      </w:r>
      <w:r>
        <w:t xml:space="preserve"> </w:t>
      </w:r>
      <w:r w:rsidRPr="00F138B6">
        <w:t>shipped</w:t>
      </w:r>
      <w:r>
        <w:t xml:space="preserve"> </w:t>
      </w:r>
      <w:r w:rsidRPr="00F138B6">
        <w:t>through</w:t>
      </w:r>
      <w:r>
        <w:t xml:space="preserve"> </w:t>
      </w:r>
      <w:r w:rsidRPr="00F138B6">
        <w:t>a</w:t>
      </w:r>
      <w:r>
        <w:t xml:space="preserve"> </w:t>
      </w:r>
      <w:r w:rsidRPr="00F138B6">
        <w:t>U.S.</w:t>
      </w:r>
      <w:r>
        <w:t xml:space="preserve"> </w:t>
      </w:r>
      <w:r w:rsidRPr="00F138B6">
        <w:t>free-trade</w:t>
      </w:r>
      <w:r>
        <w:t xml:space="preserve"> </w:t>
      </w:r>
      <w:r w:rsidRPr="00F138B6">
        <w:t>zone);</w:t>
      </w:r>
      <w:r>
        <w:t xml:space="preserve"> </w:t>
      </w:r>
      <w:r w:rsidRPr="00F138B6">
        <w:rPr>
          <w:i/>
        </w:rPr>
        <w:t>see</w:t>
      </w:r>
      <w:r>
        <w:rPr>
          <w:i/>
        </w:rPr>
        <w:t xml:space="preserve"> </w:t>
      </w:r>
      <w:r w:rsidRPr="00F138B6">
        <w:rPr>
          <w:i/>
        </w:rPr>
        <w:t>also</w:t>
      </w:r>
      <w:r>
        <w:t xml:space="preserve"> </w:t>
      </w:r>
      <w:r w:rsidRPr="00F138B6">
        <w:t>Ali</w:t>
      </w:r>
      <w:r>
        <w:t xml:space="preserve"> </w:t>
      </w:r>
      <w:r w:rsidRPr="00F138B6">
        <w:t>v.</w:t>
      </w:r>
      <w:r>
        <w:t xml:space="preserve"> </w:t>
      </w:r>
      <w:r w:rsidRPr="00F138B6">
        <w:t>Playgirl,</w:t>
      </w:r>
      <w:r>
        <w:t xml:space="preserve"> </w:t>
      </w:r>
      <w:r w:rsidRPr="00F138B6">
        <w:t>Inc.,</w:t>
      </w:r>
      <w:r>
        <w:t xml:space="preserve"> </w:t>
      </w:r>
      <w:r w:rsidRPr="00F138B6">
        <w:t>447</w:t>
      </w:r>
      <w:r>
        <w:t xml:space="preserve"> </w:t>
      </w:r>
      <w:r w:rsidRPr="00F138B6">
        <w:t>F.</w:t>
      </w:r>
      <w:r>
        <w:t xml:space="preserve"> </w:t>
      </w:r>
      <w:r w:rsidRPr="00F138B6">
        <w:t>Supp.</w:t>
      </w:r>
      <w:r>
        <w:t xml:space="preserve"> </w:t>
      </w:r>
      <w:r w:rsidRPr="00F138B6">
        <w:t>723,</w:t>
      </w:r>
      <w:r>
        <w:t xml:space="preserve"> </w:t>
      </w:r>
      <w:r w:rsidRPr="00F138B6">
        <w:t>731–32,</w:t>
      </w:r>
      <w:r>
        <w:t xml:space="preserve"> </w:t>
      </w:r>
      <w:r w:rsidRPr="00F138B6">
        <w:t>206</w:t>
      </w:r>
      <w:r>
        <w:t xml:space="preserve"> </w:t>
      </w:r>
      <w:r w:rsidRPr="00F138B6">
        <w:t>USPQ</w:t>
      </w:r>
      <w:r>
        <w:t xml:space="preserve"> </w:t>
      </w:r>
      <w:r w:rsidRPr="00F138B6">
        <w:t>1021</w:t>
      </w:r>
      <w:r>
        <w:t xml:space="preserve"> </w:t>
      </w:r>
      <w:r w:rsidRPr="00F138B6">
        <w:t>(S.D.N.Y.</w:t>
      </w:r>
      <w:r>
        <w:t xml:space="preserve"> </w:t>
      </w:r>
      <w:r w:rsidRPr="00F138B6">
        <w:t>1978)</w:t>
      </w:r>
      <w:r>
        <w:t xml:space="preserve"> </w:t>
      </w:r>
      <w:r w:rsidRPr="00F138B6">
        <w:t>(worldwide</w:t>
      </w:r>
      <w:r>
        <w:t xml:space="preserve"> </w:t>
      </w:r>
      <w:r w:rsidRPr="00F138B6">
        <w:t>injunction</w:t>
      </w:r>
      <w:r>
        <w:t xml:space="preserve"> </w:t>
      </w:r>
      <w:r w:rsidRPr="00F138B6">
        <w:t>issued</w:t>
      </w:r>
      <w:r>
        <w:t xml:space="preserve"> </w:t>
      </w:r>
      <w:r w:rsidRPr="00F138B6">
        <w:t>pursuant</w:t>
      </w:r>
      <w:r>
        <w:t xml:space="preserve"> </w:t>
      </w:r>
      <w:r w:rsidRPr="00F138B6">
        <w:t>to</w:t>
      </w:r>
      <w:r>
        <w:t xml:space="preserve"> </w:t>
      </w:r>
      <w:r w:rsidRPr="00F138B6">
        <w:t>claim</w:t>
      </w:r>
      <w:r>
        <w:t xml:space="preserve"> </w:t>
      </w:r>
      <w:r w:rsidRPr="00F138B6">
        <w:t>based</w:t>
      </w:r>
      <w:r>
        <w:t xml:space="preserve"> </w:t>
      </w:r>
      <w:r w:rsidRPr="00F138B6">
        <w:t>on</w:t>
      </w:r>
      <w:r>
        <w:t xml:space="preserve"> </w:t>
      </w:r>
      <w:r w:rsidRPr="00F138B6">
        <w:t>New</w:t>
      </w:r>
      <w:r>
        <w:t xml:space="preserve"> </w:t>
      </w:r>
      <w:r w:rsidRPr="00F138B6">
        <w:t>York</w:t>
      </w:r>
      <w:r>
        <w:t xml:space="preserve"> </w:t>
      </w:r>
      <w:r w:rsidRPr="00F138B6">
        <w:t>law).</w:t>
      </w:r>
    </w:p>
  </w:footnote>
  <w:footnote w:id="13">
    <w:p w14:paraId="1AAD198E" w14:textId="588FD362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Totalplan</w:t>
      </w:r>
      <w:r>
        <w:t xml:space="preserve"> </w:t>
      </w:r>
      <w:r w:rsidRPr="00F138B6">
        <w:t>Corp.</w:t>
      </w:r>
      <w:r>
        <w:t xml:space="preserve"> </w:t>
      </w:r>
      <w:r w:rsidRPr="00F138B6">
        <w:t>of</w:t>
      </w:r>
      <w:r>
        <w:t xml:space="preserve"> </w:t>
      </w:r>
      <w:r w:rsidRPr="00F138B6">
        <w:t>Am.</w:t>
      </w:r>
      <w:r>
        <w:t xml:space="preserve"> </w:t>
      </w:r>
      <w:r w:rsidRPr="00F138B6">
        <w:t>v.</w:t>
      </w:r>
      <w:r>
        <w:t xml:space="preserve"> </w:t>
      </w:r>
      <w:r w:rsidRPr="00F138B6">
        <w:t>Colborne,</w:t>
      </w:r>
      <w:r>
        <w:t xml:space="preserve"> </w:t>
      </w:r>
      <w:r w:rsidRPr="00F138B6">
        <w:t>14</w:t>
      </w:r>
      <w:r>
        <w:t xml:space="preserve"> </w:t>
      </w:r>
      <w:r w:rsidRPr="00F138B6">
        <w:t>F.3d</w:t>
      </w:r>
      <w:r>
        <w:t xml:space="preserve"> </w:t>
      </w:r>
      <w:r w:rsidRPr="00F138B6">
        <w:t>824,</w:t>
      </w:r>
      <w:r>
        <w:t xml:space="preserve"> </w:t>
      </w:r>
      <w:r w:rsidRPr="00F138B6">
        <w:t>830,</w:t>
      </w:r>
      <w:r>
        <w:t xml:space="preserve"> </w:t>
      </w:r>
      <w:r w:rsidRPr="00F138B6">
        <w:t>29</w:t>
      </w:r>
      <w:r>
        <w:t xml:space="preserve"> </w:t>
      </w:r>
      <w:r w:rsidRPr="00F138B6">
        <w:t>USPQ2d</w:t>
      </w:r>
      <w:r>
        <w:t xml:space="preserve"> </w:t>
      </w:r>
      <w:r w:rsidRPr="00F138B6">
        <w:t>1740</w:t>
      </w:r>
      <w:r>
        <w:t xml:space="preserve"> </w:t>
      </w:r>
      <w:r w:rsidRPr="00F138B6">
        <w:t>(2d</w:t>
      </w:r>
      <w:r>
        <w:t xml:space="preserve"> </w:t>
      </w:r>
      <w:r w:rsidRPr="00F138B6">
        <w:t>Cir.</w:t>
      </w:r>
      <w:r>
        <w:t xml:space="preserve"> </w:t>
      </w:r>
      <w:r w:rsidRPr="00F138B6">
        <w:t>1994)</w:t>
      </w:r>
      <w:r>
        <w:t xml:space="preserve"> </w:t>
      </w:r>
      <w:r w:rsidRPr="00F138B6">
        <w:t>(Lanham</w:t>
      </w:r>
      <w:r>
        <w:t xml:space="preserve"> </w:t>
      </w:r>
      <w:r w:rsidRPr="00F138B6">
        <w:t>Act</w:t>
      </w:r>
      <w:r>
        <w:t xml:space="preserve"> </w:t>
      </w:r>
      <w:r w:rsidRPr="00F138B6">
        <w:t>does</w:t>
      </w:r>
      <w:r>
        <w:t xml:space="preserve"> </w:t>
      </w:r>
      <w:r w:rsidRPr="00F138B6">
        <w:t>not</w:t>
      </w:r>
      <w:r>
        <w:t xml:space="preserve"> </w:t>
      </w:r>
      <w:r w:rsidRPr="00F138B6">
        <w:t>apply</w:t>
      </w:r>
      <w:r>
        <w:t xml:space="preserve"> </w:t>
      </w:r>
      <w:r w:rsidRPr="00F138B6">
        <w:t>where</w:t>
      </w:r>
      <w:r>
        <w:t xml:space="preserve"> </w:t>
      </w:r>
      <w:r w:rsidRPr="00F138B6">
        <w:t>noncitizen’s</w:t>
      </w:r>
      <w:r>
        <w:t xml:space="preserve"> </w:t>
      </w:r>
      <w:r w:rsidRPr="00F138B6">
        <w:t>acts</w:t>
      </w:r>
      <w:r>
        <w:t xml:space="preserve"> </w:t>
      </w:r>
      <w:r w:rsidRPr="00F138B6">
        <w:t>do</w:t>
      </w:r>
      <w:r>
        <w:t xml:space="preserve"> </w:t>
      </w:r>
      <w:r w:rsidRPr="00F138B6">
        <w:t>not</w:t>
      </w:r>
      <w:r>
        <w:t xml:space="preserve"> </w:t>
      </w:r>
      <w:r w:rsidRPr="00F138B6">
        <w:t>have</w:t>
      </w:r>
      <w:r>
        <w:t xml:space="preserve"> </w:t>
      </w:r>
      <w:r w:rsidRPr="00F138B6">
        <w:t>“substantial</w:t>
      </w:r>
      <w:r>
        <w:t xml:space="preserve"> </w:t>
      </w:r>
      <w:r w:rsidRPr="00F138B6">
        <w:t>effect”</w:t>
      </w:r>
      <w:r>
        <w:t xml:space="preserve"> </w:t>
      </w:r>
      <w:r w:rsidRPr="00F138B6">
        <w:t>on</w:t>
      </w:r>
      <w:r>
        <w:t xml:space="preserve"> </w:t>
      </w:r>
      <w:r w:rsidRPr="00F138B6">
        <w:t>U.S.</w:t>
      </w:r>
      <w:r>
        <w:t xml:space="preserve"> </w:t>
      </w:r>
      <w:r w:rsidRPr="00F138B6">
        <w:t>commerce);</w:t>
      </w:r>
      <w:r>
        <w:t xml:space="preserve"> </w:t>
      </w:r>
      <w:r w:rsidRPr="00F138B6">
        <w:t>Vanity</w:t>
      </w:r>
      <w:r>
        <w:t xml:space="preserve"> </w:t>
      </w:r>
      <w:r w:rsidRPr="00F138B6">
        <w:t>Fair</w:t>
      </w:r>
      <w:r>
        <w:t xml:space="preserve"> </w:t>
      </w:r>
      <w:r w:rsidRPr="00F138B6">
        <w:t>Mills,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T.</w:t>
      </w:r>
      <w:r>
        <w:t xml:space="preserve"> </w:t>
      </w:r>
      <w:r w:rsidRPr="00F138B6">
        <w:t>Eaton</w:t>
      </w:r>
      <w:r>
        <w:t xml:space="preserve"> </w:t>
      </w:r>
      <w:r w:rsidRPr="00F138B6">
        <w:t>Co.,</w:t>
      </w:r>
      <w:r>
        <w:t xml:space="preserve"> </w:t>
      </w:r>
      <w:r w:rsidRPr="00F138B6">
        <w:t>234</w:t>
      </w:r>
      <w:r>
        <w:t xml:space="preserve"> </w:t>
      </w:r>
      <w:r w:rsidRPr="00F138B6">
        <w:t>F.2d</w:t>
      </w:r>
      <w:r>
        <w:t xml:space="preserve"> </w:t>
      </w:r>
      <w:r w:rsidRPr="00F138B6">
        <w:t>633,</w:t>
      </w:r>
      <w:r>
        <w:t xml:space="preserve"> </w:t>
      </w:r>
      <w:r w:rsidRPr="00F138B6">
        <w:t>642,</w:t>
      </w:r>
      <w:r>
        <w:t xml:space="preserve"> </w:t>
      </w:r>
      <w:r w:rsidRPr="00F138B6">
        <w:t>109</w:t>
      </w:r>
      <w:r>
        <w:t xml:space="preserve"> </w:t>
      </w:r>
      <w:r w:rsidRPr="00F138B6">
        <w:t>USPQ</w:t>
      </w:r>
      <w:r>
        <w:t xml:space="preserve"> </w:t>
      </w:r>
      <w:r w:rsidRPr="00F138B6">
        <w:t>438</w:t>
      </w:r>
      <w:r>
        <w:t xml:space="preserve"> </w:t>
      </w:r>
      <w:r w:rsidRPr="00F138B6">
        <w:t>(2d</w:t>
      </w:r>
      <w:r>
        <w:t xml:space="preserve"> </w:t>
      </w:r>
      <w:r w:rsidRPr="00F138B6">
        <w:t>Cir.)</w:t>
      </w:r>
      <w:r>
        <w:t xml:space="preserve"> </w:t>
      </w:r>
      <w:r w:rsidRPr="00F138B6">
        <w:t>(Lanham</w:t>
      </w:r>
      <w:r>
        <w:t xml:space="preserve"> </w:t>
      </w:r>
      <w:r w:rsidRPr="00F138B6">
        <w:t>Act</w:t>
      </w:r>
      <w:r>
        <w:t xml:space="preserve"> </w:t>
      </w:r>
      <w:r w:rsidRPr="00F138B6">
        <w:t>does</w:t>
      </w:r>
      <w:r>
        <w:t xml:space="preserve"> </w:t>
      </w:r>
      <w:r w:rsidRPr="00F138B6">
        <w:t>not</w:t>
      </w:r>
      <w:r>
        <w:t xml:space="preserve"> </w:t>
      </w:r>
      <w:r w:rsidRPr="00F138B6">
        <w:t>apply</w:t>
      </w:r>
      <w:r>
        <w:t xml:space="preserve"> </w:t>
      </w:r>
      <w:r w:rsidRPr="00F138B6">
        <w:t>to</w:t>
      </w:r>
      <w:r>
        <w:t xml:space="preserve"> </w:t>
      </w:r>
      <w:r w:rsidRPr="00F138B6">
        <w:t>acts</w:t>
      </w:r>
      <w:r>
        <w:t xml:space="preserve"> </w:t>
      </w:r>
      <w:r w:rsidRPr="00F138B6">
        <w:t>of</w:t>
      </w:r>
      <w:r>
        <w:t xml:space="preserve"> </w:t>
      </w:r>
      <w:r w:rsidRPr="00F138B6">
        <w:t>a</w:t>
      </w:r>
      <w:r>
        <w:t xml:space="preserve"> </w:t>
      </w:r>
      <w:r w:rsidRPr="00F138B6">
        <w:t>foreign</w:t>
      </w:r>
      <w:r>
        <w:t xml:space="preserve"> </w:t>
      </w:r>
      <w:r w:rsidRPr="00F138B6">
        <w:t>national</w:t>
      </w:r>
      <w:r>
        <w:t xml:space="preserve"> </w:t>
      </w:r>
      <w:r w:rsidRPr="00F138B6">
        <w:t>in</w:t>
      </w:r>
      <w:r>
        <w:t xml:space="preserve"> </w:t>
      </w:r>
      <w:r w:rsidRPr="00F138B6">
        <w:t>another</w:t>
      </w:r>
      <w:r>
        <w:t xml:space="preserve"> </w:t>
      </w:r>
      <w:r w:rsidRPr="00F138B6">
        <w:t>country</w:t>
      </w:r>
      <w:r>
        <w:t xml:space="preserve"> </w:t>
      </w:r>
      <w:r w:rsidRPr="00F138B6">
        <w:t>pursuant</w:t>
      </w:r>
      <w:r>
        <w:t xml:space="preserve"> </w:t>
      </w:r>
      <w:r w:rsidRPr="00F138B6">
        <w:t>to</w:t>
      </w:r>
      <w:r>
        <w:t xml:space="preserve"> </w:t>
      </w:r>
      <w:r w:rsidRPr="00F138B6">
        <w:t>a</w:t>
      </w:r>
      <w:r>
        <w:t xml:space="preserve"> </w:t>
      </w:r>
      <w:r w:rsidRPr="00F138B6">
        <w:t>valid</w:t>
      </w:r>
      <w:r>
        <w:t xml:space="preserve"> </w:t>
      </w:r>
      <w:r w:rsidRPr="00F138B6">
        <w:t>trademark</w:t>
      </w:r>
      <w:r>
        <w:t xml:space="preserve"> </w:t>
      </w:r>
      <w:r w:rsidRPr="00F138B6">
        <w:t>in</w:t>
      </w:r>
      <w:r>
        <w:t xml:space="preserve"> </w:t>
      </w:r>
      <w:r w:rsidRPr="00F138B6">
        <w:t>that</w:t>
      </w:r>
      <w:r>
        <w:t xml:space="preserve"> </w:t>
      </w:r>
      <w:r w:rsidRPr="00F138B6">
        <w:t>country),</w:t>
      </w:r>
      <w:r>
        <w:t xml:space="preserve"> </w:t>
      </w:r>
      <w:r w:rsidRPr="00F138B6">
        <w:rPr>
          <w:i/>
        </w:rPr>
        <w:t>cert</w:t>
      </w:r>
      <w:r w:rsidRPr="00F138B6">
        <w:t>.</w:t>
      </w:r>
      <w:r>
        <w:t xml:space="preserve"> </w:t>
      </w:r>
      <w:r w:rsidRPr="00F138B6">
        <w:rPr>
          <w:i/>
        </w:rPr>
        <w:t>denied</w:t>
      </w:r>
      <w:r w:rsidRPr="00F138B6">
        <w:t>,</w:t>
      </w:r>
      <w:r>
        <w:t xml:space="preserve"> </w:t>
      </w:r>
      <w:r w:rsidRPr="00F138B6">
        <w:t>352</w:t>
      </w:r>
      <w:r>
        <w:t xml:space="preserve"> </w:t>
      </w:r>
      <w:r w:rsidRPr="00F138B6">
        <w:t>U.S.</w:t>
      </w:r>
      <w:r>
        <w:t xml:space="preserve"> </w:t>
      </w:r>
      <w:r w:rsidRPr="00F138B6">
        <w:t>871,</w:t>
      </w:r>
      <w:r>
        <w:t xml:space="preserve"> </w:t>
      </w:r>
      <w:r w:rsidRPr="00F138B6">
        <w:t>111</w:t>
      </w:r>
      <w:r>
        <w:t xml:space="preserve"> </w:t>
      </w:r>
      <w:r w:rsidRPr="00F138B6">
        <w:t>USPQ</w:t>
      </w:r>
      <w:r>
        <w:t xml:space="preserve"> </w:t>
      </w:r>
      <w:r w:rsidRPr="00F138B6">
        <w:t>468</w:t>
      </w:r>
      <w:r>
        <w:t xml:space="preserve"> </w:t>
      </w:r>
      <w:r w:rsidRPr="00F138B6">
        <w:t>(1956);</w:t>
      </w:r>
      <w:r>
        <w:t xml:space="preserve"> </w:t>
      </w:r>
      <w:r w:rsidRPr="00F138B6">
        <w:rPr>
          <w:i/>
        </w:rPr>
        <w:t>see</w:t>
      </w:r>
      <w:r>
        <w:t xml:space="preserve"> </w:t>
      </w:r>
      <w:r w:rsidRPr="00F138B6">
        <w:t>Aurora</w:t>
      </w:r>
      <w:r>
        <w:t xml:space="preserve"> </w:t>
      </w:r>
      <w:r w:rsidRPr="00F138B6">
        <w:t>World,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Ty,</w:t>
      </w:r>
      <w:r>
        <w:t xml:space="preserve"> </w:t>
      </w:r>
      <w:r w:rsidRPr="00F138B6">
        <w:t>Inc.,</w:t>
      </w:r>
      <w:r>
        <w:t xml:space="preserve"> </w:t>
      </w:r>
      <w:r w:rsidRPr="00F138B6">
        <w:t>719</w:t>
      </w:r>
      <w:r>
        <w:t xml:space="preserve"> </w:t>
      </w:r>
      <w:r w:rsidRPr="00F138B6">
        <w:t>F.</w:t>
      </w:r>
      <w:r>
        <w:t xml:space="preserve"> </w:t>
      </w:r>
      <w:r w:rsidRPr="00F138B6">
        <w:t>Supp.</w:t>
      </w:r>
      <w:r>
        <w:t xml:space="preserve"> </w:t>
      </w:r>
      <w:r w:rsidRPr="00F138B6">
        <w:t>2d</w:t>
      </w:r>
      <w:r>
        <w:t xml:space="preserve"> </w:t>
      </w:r>
      <w:r w:rsidRPr="00F138B6">
        <w:t>1115,</w:t>
      </w:r>
      <w:r>
        <w:t xml:space="preserve"> </w:t>
      </w:r>
      <w:r w:rsidRPr="00F138B6">
        <w:t>1142–46</w:t>
      </w:r>
      <w:r>
        <w:t xml:space="preserve"> </w:t>
      </w:r>
      <w:r w:rsidRPr="00F138B6">
        <w:t>(C.D.</w:t>
      </w:r>
      <w:r>
        <w:t xml:space="preserve"> </w:t>
      </w:r>
      <w:r w:rsidRPr="00F138B6">
        <w:t>Cal.</w:t>
      </w:r>
      <w:r>
        <w:t xml:space="preserve"> </w:t>
      </w:r>
      <w:r w:rsidRPr="00F138B6">
        <w:t>2009)</w:t>
      </w:r>
      <w:r>
        <w:t xml:space="preserve"> </w:t>
      </w:r>
      <w:r w:rsidRPr="00F138B6">
        <w:t>(declining</w:t>
      </w:r>
      <w:r>
        <w:t xml:space="preserve"> </w:t>
      </w:r>
      <w:r w:rsidRPr="00F138B6">
        <w:t>to</w:t>
      </w:r>
      <w:r>
        <w:t xml:space="preserve"> </w:t>
      </w:r>
      <w:r w:rsidRPr="00F138B6">
        <w:t>apply</w:t>
      </w:r>
      <w:r>
        <w:t xml:space="preserve"> </w:t>
      </w:r>
      <w:r w:rsidRPr="00F138B6">
        <w:t>Lanham</w:t>
      </w:r>
      <w:r>
        <w:t xml:space="preserve"> </w:t>
      </w:r>
      <w:r w:rsidRPr="00F138B6">
        <w:t>Act</w:t>
      </w:r>
      <w:r>
        <w:t xml:space="preserve"> </w:t>
      </w:r>
      <w:r w:rsidRPr="00F138B6">
        <w:t>extraterritoriality</w:t>
      </w:r>
      <w:r>
        <w:t xml:space="preserve"> </w:t>
      </w:r>
      <w:r w:rsidRPr="00F138B6">
        <w:t>under</w:t>
      </w:r>
      <w:r>
        <w:t xml:space="preserve"> </w:t>
      </w:r>
      <w:r w:rsidRPr="00F138B6">
        <w:t>facts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case);.United</w:t>
      </w:r>
      <w:r>
        <w:t xml:space="preserve"> </w:t>
      </w:r>
      <w:r w:rsidRPr="00F138B6">
        <w:t>Air</w:t>
      </w:r>
      <w:r>
        <w:t xml:space="preserve"> </w:t>
      </w:r>
      <w:r w:rsidRPr="00F138B6">
        <w:t>Lines,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United</w:t>
      </w:r>
      <w:r>
        <w:t xml:space="preserve"> </w:t>
      </w:r>
      <w:r w:rsidRPr="00F138B6">
        <w:t>Airways,</w:t>
      </w:r>
      <w:r>
        <w:t xml:space="preserve"> </w:t>
      </w:r>
      <w:r w:rsidRPr="00F138B6">
        <w:t>Ltd.,</w:t>
      </w:r>
      <w:r>
        <w:t xml:space="preserve"> </w:t>
      </w:r>
      <w:r w:rsidRPr="00F138B6">
        <w:t>2013</w:t>
      </w:r>
      <w:r>
        <w:t xml:space="preserve"> </w:t>
      </w:r>
      <w:r w:rsidRPr="00F138B6">
        <w:t>U.S.</w:t>
      </w:r>
      <w:r>
        <w:t xml:space="preserve"> </w:t>
      </w:r>
      <w:r w:rsidRPr="00F138B6">
        <w:t>Dist.</w:t>
      </w:r>
      <w:r>
        <w:t xml:space="preserve"> </w:t>
      </w:r>
      <w:r w:rsidRPr="00F138B6">
        <w:t>LEXIS</w:t>
      </w:r>
      <w:r>
        <w:t xml:space="preserve"> </w:t>
      </w:r>
      <w:r w:rsidRPr="00F138B6">
        <w:t>47100,</w:t>
      </w:r>
      <w:r>
        <w:t xml:space="preserve"> </w:t>
      </w:r>
      <w:r w:rsidRPr="00F138B6">
        <w:t>at</w:t>
      </w:r>
      <w:r>
        <w:t xml:space="preserve"> </w:t>
      </w:r>
      <w:r w:rsidRPr="00F138B6">
        <w:t>*32–33</w:t>
      </w:r>
      <w:r>
        <w:t xml:space="preserve"> </w:t>
      </w:r>
      <w:r w:rsidRPr="00F138B6">
        <w:t>(E.D.N.Y.</w:t>
      </w:r>
      <w:r>
        <w:t xml:space="preserve"> </w:t>
      </w:r>
      <w:r w:rsidRPr="00F138B6">
        <w:t>Mar.</w:t>
      </w:r>
      <w:r>
        <w:t xml:space="preserve"> </w:t>
      </w:r>
      <w:r w:rsidRPr="00F138B6">
        <w:t>4,</w:t>
      </w:r>
      <w:r>
        <w:t xml:space="preserve"> </w:t>
      </w:r>
      <w:r w:rsidRPr="00F138B6">
        <w:t>2013)</w:t>
      </w:r>
      <w:r>
        <w:t xml:space="preserve"> </w:t>
      </w:r>
      <w:r w:rsidRPr="00F138B6">
        <w:t>(limiting</w:t>
      </w:r>
      <w:r>
        <w:t xml:space="preserve"> </w:t>
      </w:r>
      <w:r w:rsidRPr="00F138B6">
        <w:t>injunction</w:t>
      </w:r>
      <w:r>
        <w:t xml:space="preserve"> </w:t>
      </w:r>
      <w:r w:rsidRPr="00F138B6">
        <w:t>to</w:t>
      </w:r>
      <w:r>
        <w:t xml:space="preserve"> </w:t>
      </w:r>
      <w:r w:rsidRPr="00F138B6">
        <w:t>activities</w:t>
      </w:r>
      <w:r>
        <w:t xml:space="preserve"> </w:t>
      </w:r>
      <w:r w:rsidRPr="00F138B6">
        <w:t>in</w:t>
      </w:r>
      <w:r>
        <w:t xml:space="preserve"> </w:t>
      </w:r>
      <w:r w:rsidRPr="00F138B6">
        <w:t>the</w:t>
      </w:r>
      <w:r>
        <w:t xml:space="preserve"> </w:t>
      </w:r>
      <w:r w:rsidRPr="00F138B6">
        <w:t>United</w:t>
      </w:r>
      <w:r>
        <w:t xml:space="preserve"> </w:t>
      </w:r>
      <w:r w:rsidRPr="00F138B6">
        <w:t>States)</w:t>
      </w:r>
      <w:r>
        <w:t xml:space="preserve"> </w:t>
      </w:r>
      <w:r w:rsidRPr="00F138B6">
        <w:t>(magistrate</w:t>
      </w:r>
      <w:r>
        <w:t xml:space="preserve"> </w:t>
      </w:r>
      <w:r w:rsidRPr="00F138B6">
        <w:t>judge),</w:t>
      </w:r>
      <w:r>
        <w:t xml:space="preserve"> </w:t>
      </w:r>
      <w:r w:rsidRPr="00F138B6">
        <w:rPr>
          <w:i/>
        </w:rPr>
        <w:t>recommendation</w:t>
      </w:r>
      <w:r>
        <w:rPr>
          <w:i/>
        </w:rPr>
        <w:t xml:space="preserve"> </w:t>
      </w:r>
      <w:r w:rsidRPr="00F138B6">
        <w:rPr>
          <w:i/>
        </w:rPr>
        <w:t>adopted</w:t>
      </w:r>
      <w:r w:rsidRPr="00F138B6">
        <w:t>,</w:t>
      </w:r>
      <w:r>
        <w:t xml:space="preserve"> </w:t>
      </w:r>
      <w:r w:rsidRPr="00F138B6">
        <w:t>2013</w:t>
      </w:r>
      <w:r>
        <w:t xml:space="preserve"> </w:t>
      </w:r>
      <w:r w:rsidRPr="00F138B6">
        <w:t>U.S.</w:t>
      </w:r>
      <w:r>
        <w:t xml:space="preserve"> </w:t>
      </w:r>
      <w:r w:rsidRPr="00F138B6">
        <w:t>Dist.</w:t>
      </w:r>
      <w:r>
        <w:t xml:space="preserve"> </w:t>
      </w:r>
      <w:r w:rsidRPr="00F138B6">
        <w:t>LEXIS</w:t>
      </w:r>
      <w:r>
        <w:t xml:space="preserve"> </w:t>
      </w:r>
      <w:r w:rsidRPr="00F138B6">
        <w:t>45343</w:t>
      </w:r>
      <w:r>
        <w:t xml:space="preserve"> </w:t>
      </w:r>
      <w:r w:rsidRPr="00F138B6">
        <w:t>(E.D.N.Y.</w:t>
      </w:r>
      <w:r>
        <w:t xml:space="preserve"> </w:t>
      </w:r>
      <w:r w:rsidRPr="00F138B6">
        <w:t>Mar.</w:t>
      </w:r>
      <w:r>
        <w:t xml:space="preserve"> </w:t>
      </w:r>
      <w:r w:rsidRPr="00F138B6">
        <w:t>28,</w:t>
      </w:r>
      <w:r>
        <w:t xml:space="preserve"> </w:t>
      </w:r>
      <w:r w:rsidRPr="00F138B6">
        <w:t>2013).</w:t>
      </w:r>
      <w:r>
        <w:t xml:space="preserve"> </w:t>
      </w:r>
      <w:r w:rsidRPr="00F138B6">
        <w:rPr>
          <w:i/>
        </w:rPr>
        <w:t>See</w:t>
      </w:r>
      <w:r>
        <w:t xml:space="preserve"> </w:t>
      </w:r>
      <w:r w:rsidRPr="00F138B6">
        <w:t>Chapter</w:t>
      </w:r>
      <w:r>
        <w:t xml:space="preserve"> </w:t>
      </w:r>
      <w:r w:rsidRPr="00F138B6">
        <w:t>11,</w:t>
      </w:r>
      <w:r>
        <w:t xml:space="preserve"> </w:t>
      </w:r>
      <w:r w:rsidRPr="00F138B6">
        <w:t>§I.</w:t>
      </w:r>
    </w:p>
  </w:footnote>
  <w:footnote w:id="14">
    <w:p w14:paraId="442BDB3E" w14:textId="1258D2DF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Presently,</w:t>
      </w:r>
      <w:r>
        <w:t xml:space="preserve"> </w:t>
      </w:r>
      <w:r w:rsidRPr="00F138B6">
        <w:t>38</w:t>
      </w:r>
      <w:r>
        <w:t xml:space="preserve"> </w:t>
      </w:r>
      <w:r w:rsidRPr="00F138B6">
        <w:t>states</w:t>
      </w:r>
      <w:r>
        <w:t xml:space="preserve"> </w:t>
      </w:r>
      <w:r w:rsidRPr="00F138B6">
        <w:t>plus</w:t>
      </w:r>
      <w:r>
        <w:t xml:space="preserve"> </w:t>
      </w:r>
      <w:r w:rsidRPr="00F138B6">
        <w:t>Puerto</w:t>
      </w:r>
      <w:r>
        <w:t xml:space="preserve"> </w:t>
      </w:r>
      <w:r w:rsidRPr="00F138B6">
        <w:t>Rico</w:t>
      </w:r>
      <w:r>
        <w:t xml:space="preserve"> </w:t>
      </w:r>
      <w:r w:rsidRPr="00F138B6">
        <w:t>have</w:t>
      </w:r>
      <w:r>
        <w:t xml:space="preserve"> </w:t>
      </w:r>
      <w:r w:rsidRPr="00F138B6">
        <w:t>some</w:t>
      </w:r>
      <w:r>
        <w:t xml:space="preserve"> </w:t>
      </w:r>
      <w:r w:rsidRPr="00F138B6">
        <w:t>sort</w:t>
      </w:r>
      <w:r>
        <w:t xml:space="preserve"> </w:t>
      </w:r>
      <w:r w:rsidRPr="00F138B6">
        <w:t>of</w:t>
      </w:r>
      <w:r>
        <w:t xml:space="preserve"> </w:t>
      </w:r>
      <w:r w:rsidRPr="00F138B6">
        <w:t>dilution</w:t>
      </w:r>
      <w:r>
        <w:t xml:space="preserve"> </w:t>
      </w:r>
      <w:r w:rsidRPr="00F138B6">
        <w:t>statute.</w:t>
      </w:r>
      <w:r>
        <w:t xml:space="preserve"> </w:t>
      </w:r>
      <w:r w:rsidRPr="00F138B6">
        <w:t>See</w:t>
      </w:r>
      <w:r>
        <w:t xml:space="preserve"> </w:t>
      </w:r>
      <w:r w:rsidRPr="00F138B6">
        <w:t>Chapter</w:t>
      </w:r>
      <w:r>
        <w:t xml:space="preserve"> </w:t>
      </w:r>
      <w:r w:rsidRPr="00F138B6">
        <w:t>1,</w:t>
      </w:r>
      <w:r>
        <w:t xml:space="preserve"> </w:t>
      </w:r>
      <w:r w:rsidRPr="00F138B6">
        <w:t>§III.A.3,</w:t>
      </w:r>
      <w:r>
        <w:t xml:space="preserve"> </w:t>
      </w:r>
      <w:r w:rsidRPr="00F138B6">
        <w:t>for</w:t>
      </w:r>
      <w:r>
        <w:t xml:space="preserve"> </w:t>
      </w:r>
      <w:r w:rsidRPr="00F138B6">
        <w:t>a</w:t>
      </w:r>
      <w:r>
        <w:t xml:space="preserve"> </w:t>
      </w:r>
      <w:r w:rsidRPr="00F138B6">
        <w:t>listing</w:t>
      </w:r>
      <w:r>
        <w:t xml:space="preserve"> </w:t>
      </w:r>
      <w:r w:rsidRPr="00F138B6">
        <w:t>of</w:t>
      </w:r>
      <w:r>
        <w:t xml:space="preserve"> </w:t>
      </w:r>
      <w:r w:rsidRPr="00F138B6">
        <w:t>all</w:t>
      </w:r>
      <w:r>
        <w:t xml:space="preserve"> </w:t>
      </w:r>
      <w:r w:rsidRPr="00F138B6">
        <w:t>state</w:t>
      </w:r>
      <w:r>
        <w:t xml:space="preserve"> </w:t>
      </w:r>
      <w:r w:rsidRPr="00F138B6">
        <w:t>statutes.</w:t>
      </w:r>
    </w:p>
  </w:footnote>
  <w:footnote w:id="15">
    <w:p w14:paraId="6CFCEB2A" w14:textId="29E8D508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See,</w:t>
      </w:r>
      <w:r>
        <w:rPr>
          <w:i/>
        </w:rPr>
        <w:t xml:space="preserve"> </w:t>
      </w:r>
      <w:r w:rsidRPr="00F138B6">
        <w:rPr>
          <w:i/>
        </w:rPr>
        <w:t>e.g.</w:t>
      </w:r>
      <w:r w:rsidRPr="00F138B6">
        <w:t>,</w:t>
      </w:r>
      <w:r>
        <w:t xml:space="preserve"> </w:t>
      </w:r>
      <w:r w:rsidRPr="00F138B6">
        <w:t>Chapter</w:t>
      </w:r>
      <w:r>
        <w:t xml:space="preserve"> </w:t>
      </w:r>
      <w:r w:rsidRPr="00F138B6">
        <w:t>2,</w:t>
      </w:r>
      <w:r>
        <w:t xml:space="preserve"> </w:t>
      </w:r>
      <w:r w:rsidRPr="00F138B6">
        <w:t>§I.A.2</w:t>
      </w:r>
      <w:r>
        <w:t xml:space="preserve"> </w:t>
      </w:r>
      <w:r w:rsidRPr="00F138B6">
        <w:t>(discussing</w:t>
      </w:r>
      <w:r>
        <w:t xml:space="preserve"> </w:t>
      </w:r>
      <w:r w:rsidRPr="00F138B6">
        <w:t>different</w:t>
      </w:r>
      <w:r>
        <w:t xml:space="preserve"> </w:t>
      </w:r>
      <w:r w:rsidRPr="00F138B6">
        <w:t>interpretations</w:t>
      </w:r>
      <w:r>
        <w:t xml:space="preserve"> </w:t>
      </w:r>
      <w:r w:rsidRPr="00F138B6">
        <w:t>of</w:t>
      </w:r>
      <w:r>
        <w:t xml:space="preserve"> </w:t>
      </w:r>
      <w:r w:rsidRPr="00F138B6">
        <w:t>distinctiveness</w:t>
      </w:r>
      <w:r>
        <w:t xml:space="preserve"> </w:t>
      </w:r>
      <w:r w:rsidRPr="00F138B6">
        <w:t>under</w:t>
      </w:r>
      <w:r>
        <w:t xml:space="preserve"> </w:t>
      </w:r>
      <w:r w:rsidRPr="00F138B6">
        <w:t>state</w:t>
      </w:r>
      <w:r>
        <w:t xml:space="preserve"> </w:t>
      </w:r>
      <w:r w:rsidRPr="00F138B6">
        <w:t>law).</w:t>
      </w:r>
    </w:p>
  </w:footnote>
  <w:footnote w:id="16">
    <w:p w14:paraId="748F0EFC" w14:textId="762D393C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The</w:t>
      </w:r>
      <w:r>
        <w:t xml:space="preserve"> </w:t>
      </w:r>
      <w:r w:rsidRPr="00F138B6">
        <w:t>exceptions</w:t>
      </w:r>
      <w:r>
        <w:t xml:space="preserve"> </w:t>
      </w:r>
      <w:r w:rsidRPr="00F138B6">
        <w:t>are</w:t>
      </w:r>
      <w:r>
        <w:t xml:space="preserve"> </w:t>
      </w:r>
      <w:r w:rsidRPr="00F138B6">
        <w:t>Alaska,</w:t>
      </w:r>
      <w:r>
        <w:t xml:space="preserve"> </w:t>
      </w:r>
      <w:r w:rsidRPr="00F138B6">
        <w:t>Indiana,</w:t>
      </w:r>
      <w:r>
        <w:t xml:space="preserve"> </w:t>
      </w:r>
      <w:r w:rsidRPr="00F138B6">
        <w:t>Nevada,</w:t>
      </w:r>
      <w:r>
        <w:t xml:space="preserve"> </w:t>
      </w:r>
      <w:r w:rsidRPr="00F138B6">
        <w:t>and</w:t>
      </w:r>
      <w:r>
        <w:t xml:space="preserve"> </w:t>
      </w:r>
      <w:r w:rsidRPr="00F138B6">
        <w:t>Washington.</w:t>
      </w:r>
      <w:r>
        <w:t xml:space="preserve"> </w:t>
      </w:r>
      <w:r w:rsidRPr="00F138B6">
        <w:rPr>
          <w:smallCaps/>
        </w:rPr>
        <w:t>Alaska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t>§45.50.180(d)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2006);</w:t>
      </w:r>
      <w:r>
        <w:t xml:space="preserve"> </w:t>
      </w:r>
      <w:r w:rsidRPr="00F138B6">
        <w:rPr>
          <w:smallCaps/>
        </w:rPr>
        <w:t>Ind.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§24-2-1-13.5(c)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2006);</w:t>
      </w:r>
      <w:r>
        <w:t xml:space="preserve"> </w:t>
      </w:r>
      <w:r w:rsidRPr="00F138B6">
        <w:rPr>
          <w:smallCaps/>
        </w:rPr>
        <w:t>Nev.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§600.435(3)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2004);</w:t>
      </w:r>
      <w:r>
        <w:t xml:space="preserve"> </w:t>
      </w:r>
      <w:r w:rsidRPr="00F138B6">
        <w:rPr>
          <w:smallCaps/>
        </w:rPr>
        <w:t>Wash.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§19.77.160</w:t>
      </w:r>
      <w:r>
        <w:t xml:space="preserve"> </w:t>
      </w:r>
      <w:r w:rsidRPr="00F138B6">
        <w:t>(West</w:t>
      </w:r>
      <w:r>
        <w:t xml:space="preserve"> </w:t>
      </w:r>
      <w:r w:rsidRPr="00F138B6">
        <w:t>Supp.</w:t>
      </w:r>
      <w:r>
        <w:t xml:space="preserve"> </w:t>
      </w:r>
      <w:r w:rsidRPr="00F138B6">
        <w:t>2012).</w:t>
      </w:r>
    </w:p>
  </w:footnote>
  <w:footnote w:id="17">
    <w:p w14:paraId="782A21AF" w14:textId="72AF6434" w:rsidR="00F138B6" w:rsidRPr="00903803" w:rsidRDefault="00F138B6" w:rsidP="001763C1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smallCaps/>
        </w:rPr>
        <w:t>Model</w:t>
      </w:r>
      <w:r>
        <w:rPr>
          <w:smallCaps/>
        </w:rPr>
        <w:t xml:space="preserve"> </w:t>
      </w:r>
      <w:r w:rsidRPr="00F138B6">
        <w:rPr>
          <w:smallCaps/>
        </w:rPr>
        <w:t>State</w:t>
      </w:r>
      <w:r>
        <w:rPr>
          <w:smallCaps/>
        </w:rPr>
        <w:t xml:space="preserve"> </w:t>
      </w:r>
      <w:r w:rsidRPr="00F138B6">
        <w:rPr>
          <w:smallCaps/>
        </w:rPr>
        <w:t>Trademark</w:t>
      </w:r>
      <w:r>
        <w:rPr>
          <w:smallCaps/>
        </w:rPr>
        <w:t xml:space="preserve"> </w:t>
      </w:r>
      <w:r w:rsidRPr="00F138B6">
        <w:rPr>
          <w:smallCaps/>
        </w:rPr>
        <w:t>Bill</w:t>
      </w:r>
      <w:r>
        <w:t xml:space="preserve"> </w:t>
      </w:r>
      <w:r w:rsidRPr="00F138B6">
        <w:t>§13</w:t>
      </w:r>
      <w:r>
        <w:t xml:space="preserve"> </w:t>
      </w:r>
      <w:r w:rsidRPr="00F138B6">
        <w:t>(1996)</w:t>
      </w:r>
      <w:r>
        <w:t xml:space="preserve"> </w:t>
      </w:r>
      <w:r w:rsidRPr="00F138B6">
        <w:t>(emphasis</w:t>
      </w:r>
      <w:r>
        <w:t xml:space="preserve"> </w:t>
      </w:r>
      <w:r w:rsidRPr="00F138B6">
        <w:t>added)</w:t>
      </w:r>
      <w:r>
        <w:t xml:space="preserve"> </w:t>
      </w:r>
      <w:r w:rsidRPr="00F138B6">
        <w:t>[hereinafter</w:t>
      </w:r>
      <w:r>
        <w:t xml:space="preserve"> </w:t>
      </w:r>
      <w:r w:rsidRPr="00F138B6">
        <w:t>1996</w:t>
      </w:r>
      <w:r>
        <w:t xml:space="preserve"> </w:t>
      </w:r>
      <w:r w:rsidRPr="00F138B6">
        <w:t>Model</w:t>
      </w:r>
      <w:r>
        <w:t xml:space="preserve"> </w:t>
      </w:r>
      <w:r w:rsidRPr="00F138B6">
        <w:t>Bill],</w:t>
      </w:r>
      <w:r>
        <w:t xml:space="preserve"> </w:t>
      </w:r>
      <w:r w:rsidRPr="00F138B6">
        <w:rPr>
          <w:i/>
        </w:rPr>
        <w:t>reprinted</w:t>
      </w:r>
      <w:r>
        <w:rPr>
          <w:i/>
        </w:rPr>
        <w:t xml:space="preserve"> </w:t>
      </w:r>
      <w:r w:rsidRPr="00F138B6">
        <w:rPr>
          <w:i/>
        </w:rPr>
        <w:t>in</w:t>
      </w:r>
      <w:r>
        <w:t xml:space="preserve"> </w:t>
      </w:r>
      <w:r w:rsidRPr="00F138B6">
        <w:t>Andrew</w:t>
      </w:r>
      <w:r>
        <w:t xml:space="preserve"> </w:t>
      </w:r>
      <w:r w:rsidRPr="00F138B6">
        <w:t>L.</w:t>
      </w:r>
      <w:r>
        <w:t xml:space="preserve"> </w:t>
      </w:r>
      <w:r w:rsidRPr="00F138B6">
        <w:t>Goldstein,</w:t>
      </w:r>
      <w:r>
        <w:t xml:space="preserve"> </w:t>
      </w:r>
      <w:r w:rsidRPr="00F138B6">
        <w:rPr>
          <w:i/>
        </w:rPr>
        <w:t>Bringing</w:t>
      </w:r>
      <w:r>
        <w:rPr>
          <w:i/>
        </w:rPr>
        <w:t xml:space="preserve"> </w:t>
      </w:r>
      <w:r w:rsidRPr="00F138B6">
        <w:rPr>
          <w:i/>
        </w:rPr>
        <w:t>the</w:t>
      </w:r>
      <w:r>
        <w:rPr>
          <w:i/>
        </w:rPr>
        <w:t xml:space="preserve"> </w:t>
      </w:r>
      <w:r w:rsidRPr="00F138B6">
        <w:rPr>
          <w:i/>
        </w:rPr>
        <w:t>Model</w:t>
      </w:r>
      <w:r>
        <w:rPr>
          <w:i/>
        </w:rPr>
        <w:t xml:space="preserve"> </w:t>
      </w:r>
      <w:r w:rsidRPr="00F138B6">
        <w:rPr>
          <w:i/>
        </w:rPr>
        <w:t>State</w:t>
      </w:r>
      <w:r>
        <w:rPr>
          <w:i/>
        </w:rPr>
        <w:t xml:space="preserve"> </w:t>
      </w:r>
      <w:r w:rsidRPr="00F138B6">
        <w:rPr>
          <w:i/>
        </w:rPr>
        <w:t>Trademark</w:t>
      </w:r>
      <w:r>
        <w:rPr>
          <w:i/>
        </w:rPr>
        <w:t xml:space="preserve"> </w:t>
      </w:r>
      <w:r w:rsidRPr="00F138B6">
        <w:rPr>
          <w:i/>
        </w:rPr>
        <w:t>Bill</w:t>
      </w:r>
      <w:r>
        <w:rPr>
          <w:i/>
        </w:rPr>
        <w:t xml:space="preserve"> </w:t>
      </w:r>
      <w:r w:rsidRPr="00F138B6">
        <w:rPr>
          <w:i/>
        </w:rPr>
        <w:t>into</w:t>
      </w:r>
      <w:r>
        <w:rPr>
          <w:i/>
        </w:rPr>
        <w:t xml:space="preserve"> </w:t>
      </w:r>
      <w:r w:rsidRPr="00F138B6">
        <w:rPr>
          <w:i/>
        </w:rPr>
        <w:t>the</w:t>
      </w:r>
      <w:r>
        <w:rPr>
          <w:i/>
        </w:rPr>
        <w:t xml:space="preserve"> </w:t>
      </w:r>
      <w:r w:rsidRPr="00F138B6">
        <w:rPr>
          <w:i/>
        </w:rPr>
        <w:t>90s</w:t>
      </w:r>
      <w:r>
        <w:rPr>
          <w:i/>
        </w:rPr>
        <w:t xml:space="preserve"> </w:t>
      </w:r>
      <w:r w:rsidRPr="00F138B6">
        <w:rPr>
          <w:i/>
        </w:rPr>
        <w:t>and</w:t>
      </w:r>
      <w:r>
        <w:rPr>
          <w:i/>
        </w:rPr>
        <w:t xml:space="preserve"> </w:t>
      </w:r>
      <w:proofErr w:type="gramStart"/>
      <w:r w:rsidRPr="00F138B6">
        <w:rPr>
          <w:i/>
        </w:rPr>
        <w:t>Beyond</w:t>
      </w:r>
      <w:proofErr w:type="gramEnd"/>
      <w:r w:rsidRPr="00F138B6">
        <w:t>,</w:t>
      </w:r>
      <w:r>
        <w:t xml:space="preserve"> </w:t>
      </w:r>
      <w:r w:rsidRPr="00F138B6">
        <w:t>83</w:t>
      </w:r>
      <w:r>
        <w:t xml:space="preserve"> </w:t>
      </w:r>
      <w:r w:rsidRPr="00F138B6">
        <w:rPr>
          <w:smallCaps/>
        </w:rPr>
        <w:t>Trademark</w:t>
      </w:r>
      <w:r>
        <w:rPr>
          <w:smallCaps/>
        </w:rPr>
        <w:t xml:space="preserve"> </w:t>
      </w:r>
      <w:r w:rsidRPr="00F138B6">
        <w:rPr>
          <w:smallCaps/>
        </w:rPr>
        <w:t>Rep</w:t>
      </w:r>
      <w:r w:rsidRPr="00F138B6">
        <w:t>.</w:t>
      </w:r>
      <w:r>
        <w:t xml:space="preserve"> </w:t>
      </w:r>
      <w:r w:rsidRPr="00F138B6">
        <w:t>226,</w:t>
      </w:r>
      <w:r>
        <w:t xml:space="preserve"> </w:t>
      </w:r>
      <w:r w:rsidRPr="00F138B6">
        <w:t>255</w:t>
      </w:r>
      <w:r>
        <w:t xml:space="preserve"> </w:t>
      </w:r>
      <w:r w:rsidRPr="00F138B6">
        <w:t>(App.</w:t>
      </w:r>
      <w:r>
        <w:t xml:space="preserve"> </w:t>
      </w:r>
      <w:r w:rsidRPr="00F138B6">
        <w:t>A)</w:t>
      </w:r>
      <w:r>
        <w:t xml:space="preserve"> </w:t>
      </w:r>
      <w:r w:rsidRPr="00F138B6">
        <w:t>(1993).</w:t>
      </w:r>
      <w:r>
        <w:t xml:space="preserve"> </w:t>
      </w:r>
      <w:r w:rsidRPr="00F138B6">
        <w:t>The</w:t>
      </w:r>
      <w:r>
        <w:t xml:space="preserve"> </w:t>
      </w:r>
      <w:r w:rsidRPr="00F138B6">
        <w:t>1992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uses</w:t>
      </w:r>
      <w:r>
        <w:t xml:space="preserve"> </w:t>
      </w:r>
      <w:r w:rsidRPr="00F138B6">
        <w:t>equivalent</w:t>
      </w:r>
      <w:r>
        <w:t xml:space="preserve"> </w:t>
      </w:r>
      <w:r w:rsidRPr="00F138B6">
        <w:t>language:</w:t>
      </w:r>
      <w:r>
        <w:t xml:space="preserve"> </w:t>
      </w:r>
      <w:r w:rsidRPr="00F138B6">
        <w:t>“The</w:t>
      </w:r>
      <w:r>
        <w:t xml:space="preserve"> </w:t>
      </w:r>
      <w:r w:rsidRPr="00F138B6">
        <w:t>owner</w:t>
      </w:r>
      <w:r>
        <w:t xml:space="preserve"> </w:t>
      </w:r>
      <w:r w:rsidRPr="00F138B6">
        <w:t>of</w:t>
      </w:r>
      <w:r>
        <w:t xml:space="preserve"> </w:t>
      </w:r>
      <w:r w:rsidRPr="00F138B6">
        <w:t>a</w:t>
      </w:r>
      <w:r>
        <w:t xml:space="preserve"> </w:t>
      </w:r>
      <w:r w:rsidRPr="00F138B6">
        <w:t>famous</w:t>
      </w:r>
      <w:r>
        <w:t xml:space="preserve"> </w:t>
      </w:r>
      <w:r w:rsidRPr="00F138B6">
        <w:t>mark</w:t>
      </w:r>
      <w:r>
        <w:t xml:space="preserve"> </w:t>
      </w:r>
      <w:r w:rsidRPr="00F138B6">
        <w:t>shall</w:t>
      </w:r>
      <w:r>
        <w:t xml:space="preserve"> </w:t>
      </w:r>
      <w:r w:rsidRPr="00F138B6">
        <w:t>be</w:t>
      </w:r>
      <w:r>
        <w:t xml:space="preserve"> </w:t>
      </w:r>
      <w:r w:rsidRPr="00F138B6">
        <w:t>entitled</w:t>
      </w:r>
      <w:r>
        <w:t xml:space="preserve"> </w:t>
      </w:r>
      <w:r w:rsidRPr="00F138B6">
        <w:t>only</w:t>
      </w:r>
      <w:r>
        <w:t xml:space="preserve"> </w:t>
      </w:r>
      <w:r w:rsidRPr="00F138B6">
        <w:t>to</w:t>
      </w:r>
      <w:r>
        <w:t xml:space="preserve"> </w:t>
      </w:r>
      <w:r w:rsidRPr="00F138B6">
        <w:t>injunctive</w:t>
      </w:r>
      <w:r>
        <w:t xml:space="preserve"> </w:t>
      </w:r>
      <w:r w:rsidRPr="00F138B6">
        <w:t>relief</w:t>
      </w:r>
      <w:r>
        <w:t xml:space="preserve"> </w:t>
      </w:r>
      <w:r w:rsidRPr="00F138B6">
        <w:t>in</w:t>
      </w:r>
      <w:r>
        <w:t xml:space="preserve"> </w:t>
      </w:r>
      <w:r w:rsidRPr="00F138B6">
        <w:t>this</w:t>
      </w:r>
      <w:r>
        <w:t xml:space="preserve"> </w:t>
      </w:r>
      <w:r w:rsidRPr="00F138B6">
        <w:t>state</w:t>
      </w:r>
      <w:r>
        <w:t xml:space="preserve"> </w:t>
      </w:r>
      <w:r w:rsidRPr="00F138B6">
        <w:t>in</w:t>
      </w:r>
      <w:r>
        <w:t xml:space="preserve"> </w:t>
      </w:r>
      <w:r w:rsidRPr="00F138B6">
        <w:t>an</w:t>
      </w:r>
      <w:r>
        <w:t xml:space="preserve"> </w:t>
      </w:r>
      <w:r w:rsidRPr="00F138B6">
        <w:t>action</w:t>
      </w:r>
      <w:r>
        <w:t xml:space="preserve"> </w:t>
      </w:r>
      <w:r w:rsidRPr="00F138B6">
        <w:t>brought</w:t>
      </w:r>
      <w:r>
        <w:t xml:space="preserve"> </w:t>
      </w:r>
      <w:r w:rsidRPr="00F138B6">
        <w:t>under</w:t>
      </w:r>
      <w:r>
        <w:t xml:space="preserve"> </w:t>
      </w:r>
      <w:r w:rsidRPr="00F138B6">
        <w:t>this</w:t>
      </w:r>
      <w:r>
        <w:t xml:space="preserve"> </w:t>
      </w:r>
      <w:r w:rsidRPr="00F138B6">
        <w:t>section</w:t>
      </w:r>
      <w:r>
        <w:t xml:space="preserve"> </w:t>
      </w:r>
      <w:proofErr w:type="gramStart"/>
      <w:r w:rsidRPr="00F138B6">
        <w:t>…</w:t>
      </w:r>
      <w:r>
        <w:t xml:space="preserve"> </w:t>
      </w:r>
      <w:r w:rsidRPr="00F138B6">
        <w:t>.</w:t>
      </w:r>
      <w:proofErr w:type="gramEnd"/>
      <w:r w:rsidRPr="00F138B6">
        <w:t>”</w:t>
      </w:r>
    </w:p>
  </w:footnote>
  <w:footnote w:id="18">
    <w:p w14:paraId="57704728" w14:textId="359AE316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Goldstein,</w:t>
      </w:r>
      <w:r>
        <w:t xml:space="preserve"> </w:t>
      </w:r>
      <w:r w:rsidRPr="00F138B6">
        <w:t>83</w:t>
      </w:r>
      <w:r>
        <w:t xml:space="preserve"> </w:t>
      </w:r>
      <w:r w:rsidRPr="00F138B6">
        <w:rPr>
          <w:smallCaps/>
        </w:rPr>
        <w:t>Trademark</w:t>
      </w:r>
      <w:r>
        <w:rPr>
          <w:smallCaps/>
        </w:rPr>
        <w:t xml:space="preserve"> </w:t>
      </w:r>
      <w:r w:rsidRPr="00F138B6">
        <w:rPr>
          <w:smallCaps/>
        </w:rPr>
        <w:t>Rep.</w:t>
      </w:r>
      <w:r>
        <w:rPr>
          <w:smallCaps/>
        </w:rPr>
        <w:t xml:space="preserve"> </w:t>
      </w:r>
      <w:r w:rsidRPr="00F138B6">
        <w:t>at</w:t>
      </w:r>
      <w:r>
        <w:t xml:space="preserve"> </w:t>
      </w:r>
      <w:r w:rsidRPr="00F138B6">
        <w:t>238.</w:t>
      </w:r>
    </w:p>
  </w:footnote>
  <w:footnote w:id="19">
    <w:p w14:paraId="707848B1" w14:textId="0023B5E9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2007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§13(c).</w:t>
      </w:r>
      <w:r>
        <w:t xml:space="preserve"> </w:t>
      </w:r>
      <w:r w:rsidRPr="00F138B6">
        <w:t>This</w:t>
      </w:r>
      <w:r>
        <w:t xml:space="preserve"> </w:t>
      </w:r>
      <w:r w:rsidRPr="00F138B6">
        <w:t>language,</w:t>
      </w:r>
      <w:r>
        <w:t xml:space="preserve"> </w:t>
      </w:r>
      <w:r w:rsidRPr="00F138B6">
        <w:t>or</w:t>
      </w:r>
      <w:r>
        <w:t xml:space="preserve"> </w:t>
      </w:r>
      <w:r w:rsidRPr="00F138B6">
        <w:t>language</w:t>
      </w:r>
      <w:r>
        <w:t xml:space="preserve"> </w:t>
      </w:r>
      <w:r w:rsidRPr="00F138B6">
        <w:t>very</w:t>
      </w:r>
      <w:r>
        <w:t xml:space="preserve"> </w:t>
      </w:r>
      <w:r w:rsidRPr="00F138B6">
        <w:t>much</w:t>
      </w:r>
      <w:r>
        <w:t xml:space="preserve"> </w:t>
      </w:r>
      <w:r w:rsidRPr="00F138B6">
        <w:t>like</w:t>
      </w:r>
      <w:r>
        <w:t xml:space="preserve"> </w:t>
      </w:r>
      <w:r w:rsidRPr="00F138B6">
        <w:t>it,</w:t>
      </w:r>
      <w:r>
        <w:t xml:space="preserve"> </w:t>
      </w:r>
      <w:r w:rsidRPr="00F138B6">
        <w:t>has</w:t>
      </w:r>
      <w:r>
        <w:t xml:space="preserve"> </w:t>
      </w:r>
      <w:r w:rsidRPr="00F138B6">
        <w:t>been</w:t>
      </w:r>
      <w:r>
        <w:t xml:space="preserve"> </w:t>
      </w:r>
      <w:r w:rsidRPr="00F138B6">
        <w:t>adopted</w:t>
      </w:r>
      <w:r>
        <w:t xml:space="preserve"> </w:t>
      </w:r>
      <w:r w:rsidRPr="00F138B6">
        <w:t>in</w:t>
      </w:r>
      <w:r>
        <w:t xml:space="preserve"> </w:t>
      </w:r>
      <w:r w:rsidRPr="00F138B6">
        <w:t>Alabama,</w:t>
      </w:r>
      <w:r>
        <w:t xml:space="preserve"> </w:t>
      </w:r>
      <w:r w:rsidRPr="00F138B6">
        <w:t>California,</w:t>
      </w:r>
      <w:r>
        <w:t xml:space="preserve"> </w:t>
      </w:r>
      <w:r w:rsidRPr="00F138B6">
        <w:t>Mississippi,</w:t>
      </w:r>
      <w:r>
        <w:t xml:space="preserve"> </w:t>
      </w:r>
      <w:r w:rsidRPr="00F138B6">
        <w:t>Oregon,</w:t>
      </w:r>
      <w:r>
        <w:t xml:space="preserve"> </w:t>
      </w:r>
      <w:r w:rsidRPr="00F138B6">
        <w:t>and</w:t>
      </w:r>
      <w:r>
        <w:t xml:space="preserve"> </w:t>
      </w:r>
      <w:r w:rsidRPr="00F138B6">
        <w:t>Texas.</w:t>
      </w:r>
      <w:r>
        <w:t xml:space="preserve"> </w:t>
      </w:r>
      <w:r w:rsidRPr="00F138B6">
        <w:rPr>
          <w:smallCaps/>
        </w:rPr>
        <w:t>Ala.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t>§8-12-17(c)</w:t>
      </w:r>
      <w:r>
        <w:t xml:space="preserve"> </w:t>
      </w:r>
      <w:r w:rsidRPr="00F138B6">
        <w:t>(2010);</w:t>
      </w:r>
      <w:r>
        <w:t xml:space="preserve"> </w:t>
      </w:r>
      <w:r w:rsidRPr="00F138B6">
        <w:rPr>
          <w:smallCaps/>
        </w:rPr>
        <w:t>Cal.</w:t>
      </w:r>
      <w:r>
        <w:rPr>
          <w:smallCaps/>
        </w:rPr>
        <w:t xml:space="preserve"> </w:t>
      </w:r>
      <w:r w:rsidRPr="00F138B6">
        <w:rPr>
          <w:smallCaps/>
        </w:rPr>
        <w:t>Bus.</w:t>
      </w:r>
      <w:r>
        <w:rPr>
          <w:smallCaps/>
        </w:rPr>
        <w:t xml:space="preserve"> </w:t>
      </w:r>
      <w:r w:rsidRPr="00F138B6">
        <w:rPr>
          <w:smallCaps/>
        </w:rPr>
        <w:t>&amp;</w:t>
      </w:r>
      <w:r>
        <w:rPr>
          <w:smallCaps/>
        </w:rPr>
        <w:t xml:space="preserve"> </w:t>
      </w:r>
      <w:r w:rsidRPr="00F138B6">
        <w:rPr>
          <w:smallCaps/>
        </w:rPr>
        <w:t>Prof.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t xml:space="preserve"> </w:t>
      </w:r>
      <w:r w:rsidRPr="00F138B6">
        <w:t>§14247(b)</w:t>
      </w:r>
      <w:r>
        <w:t xml:space="preserve"> </w:t>
      </w:r>
      <w:r w:rsidRPr="00F138B6">
        <w:t>(West</w:t>
      </w:r>
      <w:r>
        <w:t xml:space="preserve"> </w:t>
      </w:r>
      <w:r w:rsidRPr="00F138B6">
        <w:t>2008);</w:t>
      </w:r>
      <w:r>
        <w:t xml:space="preserve"> </w:t>
      </w:r>
      <w:r w:rsidRPr="00F138B6">
        <w:rPr>
          <w:smallCaps/>
        </w:rPr>
        <w:t>Miss.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§75-25-25(c)</w:t>
      </w:r>
      <w:r>
        <w:t xml:space="preserve"> </w:t>
      </w:r>
      <w:r w:rsidRPr="00F138B6">
        <w:t>(West</w:t>
      </w:r>
      <w:r>
        <w:t xml:space="preserve"> </w:t>
      </w:r>
      <w:r w:rsidRPr="00F138B6">
        <w:t>Supp.</w:t>
      </w:r>
      <w:r>
        <w:t xml:space="preserve"> </w:t>
      </w:r>
      <w:r w:rsidRPr="00F138B6">
        <w:t>2011);</w:t>
      </w:r>
      <w:r>
        <w:t xml:space="preserve"> </w:t>
      </w:r>
      <w:r w:rsidRPr="00F138B6">
        <w:rPr>
          <w:smallCaps/>
        </w:rPr>
        <w:t>Or.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rPr>
          <w:smallCaps/>
        </w:rPr>
        <w:t>Stat</w:t>
      </w:r>
      <w:r w:rsidRPr="00F138B6">
        <w:t>.</w:t>
      </w:r>
      <w:r>
        <w:t xml:space="preserve"> </w:t>
      </w:r>
      <w:r w:rsidRPr="00F138B6">
        <w:t>§647.107(3)</w:t>
      </w:r>
      <w:r>
        <w:t xml:space="preserve"> </w:t>
      </w:r>
      <w:r w:rsidRPr="00F138B6">
        <w:t>(2011);</w:t>
      </w:r>
      <w:r>
        <w:t xml:space="preserve"> </w:t>
      </w:r>
      <w:r w:rsidRPr="00F138B6">
        <w:rPr>
          <w:smallCaps/>
        </w:rPr>
        <w:t>Tex.</w:t>
      </w:r>
      <w:r>
        <w:rPr>
          <w:smallCaps/>
        </w:rPr>
        <w:t xml:space="preserve"> </w:t>
      </w:r>
      <w:r w:rsidRPr="00F138B6">
        <w:rPr>
          <w:smallCaps/>
        </w:rPr>
        <w:t>Bus.</w:t>
      </w:r>
      <w:r>
        <w:rPr>
          <w:smallCaps/>
        </w:rPr>
        <w:t xml:space="preserve"> </w:t>
      </w:r>
      <w:r w:rsidRPr="00F138B6">
        <w:rPr>
          <w:smallCaps/>
        </w:rPr>
        <w:t>&amp;</w:t>
      </w:r>
      <w:r>
        <w:rPr>
          <w:smallCaps/>
        </w:rPr>
        <w:t xml:space="preserve"> </w:t>
      </w:r>
      <w:r w:rsidRPr="00F138B6">
        <w:rPr>
          <w:smallCaps/>
        </w:rPr>
        <w:t>Com.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t>§16.103(c)</w:t>
      </w:r>
      <w:r>
        <w:t xml:space="preserve"> </w:t>
      </w:r>
      <w:r w:rsidRPr="00F138B6">
        <w:t>(2011).</w:t>
      </w:r>
      <w:r>
        <w:t xml:space="preserve"> </w:t>
      </w:r>
      <w:r w:rsidRPr="00F138B6">
        <w:t>The</w:t>
      </w:r>
      <w:r>
        <w:t xml:space="preserve"> </w:t>
      </w:r>
      <w:r w:rsidRPr="00F138B6">
        <w:t>Texas</w:t>
      </w:r>
      <w:r>
        <w:t xml:space="preserve"> </w:t>
      </w:r>
      <w:r w:rsidRPr="00F138B6">
        <w:t>statute</w:t>
      </w:r>
      <w:r>
        <w:t xml:space="preserve"> </w:t>
      </w:r>
      <w:r w:rsidRPr="00F138B6">
        <w:t>alters</w:t>
      </w:r>
      <w:r>
        <w:t xml:space="preserve"> </w:t>
      </w:r>
      <w:r w:rsidRPr="00F138B6">
        <w:t>the</w:t>
      </w:r>
      <w:r>
        <w:t xml:space="preserve"> </w:t>
      </w:r>
      <w:r w:rsidRPr="00F138B6">
        <w:t>language</w:t>
      </w:r>
      <w:r>
        <w:t xml:space="preserve"> </w:t>
      </w:r>
      <w:r w:rsidRPr="00F138B6">
        <w:t>to</w:t>
      </w:r>
      <w:r>
        <w:t xml:space="preserve"> </w:t>
      </w:r>
      <w:r w:rsidRPr="00F138B6">
        <w:t>provide,</w:t>
      </w:r>
      <w:r>
        <w:t xml:space="preserve"> </w:t>
      </w:r>
      <w:r w:rsidRPr="00F138B6">
        <w:t>“the</w:t>
      </w:r>
      <w:r>
        <w:t xml:space="preserve"> </w:t>
      </w:r>
      <w:r w:rsidRPr="00F138B6">
        <w:t>owner</w:t>
      </w:r>
      <w:r>
        <w:t xml:space="preserve"> </w:t>
      </w:r>
      <w:r w:rsidRPr="00F138B6">
        <w:t>of</w:t>
      </w:r>
      <w:r>
        <w:t xml:space="preserve"> </w:t>
      </w:r>
      <w:r w:rsidRPr="00F138B6">
        <w:t>a</w:t>
      </w:r>
      <w:r>
        <w:t xml:space="preserve"> </w:t>
      </w:r>
      <w:r w:rsidRPr="00F138B6">
        <w:t>famous</w:t>
      </w:r>
      <w:r>
        <w:t xml:space="preserve"> </w:t>
      </w:r>
      <w:r w:rsidRPr="00F138B6">
        <w:t>mark</w:t>
      </w:r>
      <w:r>
        <w:t xml:space="preserve"> </w:t>
      </w:r>
      <w:r w:rsidRPr="00F138B6">
        <w:t>is</w:t>
      </w:r>
      <w:r>
        <w:t xml:space="preserve"> </w:t>
      </w:r>
      <w:r w:rsidRPr="00F138B6">
        <w:t>entitled</w:t>
      </w:r>
      <w:r>
        <w:t xml:space="preserve"> </w:t>
      </w:r>
      <w:r w:rsidRPr="00F138B6">
        <w:t>to</w:t>
      </w:r>
      <w:r>
        <w:t xml:space="preserve"> </w:t>
      </w:r>
      <w:r w:rsidRPr="00F138B6">
        <w:t>injunctive</w:t>
      </w:r>
      <w:r>
        <w:t xml:space="preserve"> </w:t>
      </w:r>
      <w:r w:rsidRPr="00F138B6">
        <w:t>relief</w:t>
      </w:r>
      <w:r>
        <w:t xml:space="preserve"> </w:t>
      </w:r>
      <w:r w:rsidRPr="00F138B6">
        <w:t>throughout</w:t>
      </w:r>
      <w:r>
        <w:t xml:space="preserve"> </w:t>
      </w:r>
      <w:r w:rsidRPr="00F138B6">
        <w:t>the</w:t>
      </w:r>
      <w:r>
        <w:t xml:space="preserve"> </w:t>
      </w:r>
      <w:r w:rsidRPr="00F138B6">
        <w:t>geographic</w:t>
      </w:r>
      <w:r>
        <w:t xml:space="preserve"> </w:t>
      </w:r>
      <w:r w:rsidRPr="00F138B6">
        <w:t>area</w:t>
      </w:r>
      <w:r>
        <w:t xml:space="preserve"> </w:t>
      </w:r>
      <w:r w:rsidRPr="00F138B6">
        <w:t>in</w:t>
      </w:r>
      <w:r>
        <w:t xml:space="preserve"> </w:t>
      </w:r>
      <w:r w:rsidRPr="00F138B6">
        <w:t>this</w:t>
      </w:r>
      <w:r>
        <w:t xml:space="preserve"> </w:t>
      </w:r>
      <w:r w:rsidRPr="00F138B6">
        <w:t>state</w:t>
      </w:r>
      <w:r>
        <w:t xml:space="preserve"> </w:t>
      </w:r>
      <w:r w:rsidRPr="00F138B6">
        <w:t>in</w:t>
      </w:r>
      <w:r>
        <w:t xml:space="preserve"> </w:t>
      </w:r>
      <w:r w:rsidRPr="00F138B6">
        <w:t>which</w:t>
      </w:r>
      <w:r>
        <w:t xml:space="preserve"> </w:t>
      </w:r>
      <w:r w:rsidRPr="00F138B6">
        <w:t>the</w:t>
      </w:r>
      <w:r>
        <w:t xml:space="preserve"> </w:t>
      </w:r>
      <w:r w:rsidRPr="00F138B6">
        <w:t>mark</w:t>
      </w:r>
      <w:r>
        <w:t xml:space="preserve"> </w:t>
      </w:r>
      <w:r w:rsidRPr="00F138B6">
        <w:t>is</w:t>
      </w:r>
      <w:r>
        <w:t xml:space="preserve"> </w:t>
      </w:r>
      <w:r w:rsidRPr="00F138B6">
        <w:t>found</w:t>
      </w:r>
      <w:r>
        <w:t xml:space="preserve"> </w:t>
      </w:r>
      <w:r w:rsidRPr="00F138B6">
        <w:t>to</w:t>
      </w:r>
      <w:r>
        <w:t xml:space="preserve"> </w:t>
      </w:r>
      <w:r w:rsidRPr="00F138B6">
        <w:t>have</w:t>
      </w:r>
      <w:r>
        <w:t xml:space="preserve"> </w:t>
      </w:r>
      <w:r w:rsidRPr="00F138B6">
        <w:t>become</w:t>
      </w:r>
      <w:r>
        <w:t xml:space="preserve"> </w:t>
      </w:r>
      <w:r w:rsidRPr="00F138B6">
        <w:t>famous</w:t>
      </w:r>
      <w:r>
        <w:t xml:space="preserve"> </w:t>
      </w:r>
      <w:r w:rsidRPr="00F138B6">
        <w:t>before</w:t>
      </w:r>
      <w:r>
        <w:t xml:space="preserve"> </w:t>
      </w:r>
      <w:r w:rsidRPr="00F138B6">
        <w:t>the</w:t>
      </w:r>
      <w:r>
        <w:t xml:space="preserve"> </w:t>
      </w:r>
      <w:r w:rsidRPr="00F138B6">
        <w:t>use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other</w:t>
      </w:r>
      <w:r>
        <w:t xml:space="preserve"> </w:t>
      </w:r>
      <w:r w:rsidRPr="00F138B6">
        <w:t>mark.”</w:t>
      </w:r>
      <w:r>
        <w:t xml:space="preserve"> </w:t>
      </w:r>
      <w:r w:rsidRPr="00F138B6">
        <w:t>However,</w:t>
      </w:r>
      <w:r>
        <w:t xml:space="preserve"> </w:t>
      </w:r>
      <w:r w:rsidRPr="00F138B6">
        <w:t>the</w:t>
      </w:r>
      <w:r>
        <w:t xml:space="preserve"> </w:t>
      </w:r>
      <w:r w:rsidRPr="00F138B6">
        <w:t>effect</w:t>
      </w:r>
      <w:r>
        <w:t xml:space="preserve"> </w:t>
      </w:r>
      <w:r w:rsidRPr="00F138B6">
        <w:t>appears</w:t>
      </w:r>
      <w:r>
        <w:t xml:space="preserve"> </w:t>
      </w:r>
      <w:r w:rsidRPr="00F138B6">
        <w:t>to</w:t>
      </w:r>
      <w:r>
        <w:t xml:space="preserve"> </w:t>
      </w:r>
      <w:r w:rsidRPr="00F138B6">
        <w:t>be</w:t>
      </w:r>
      <w:r>
        <w:t xml:space="preserve"> </w:t>
      </w:r>
      <w:r w:rsidRPr="00F138B6">
        <w:t>the</w:t>
      </w:r>
      <w:r>
        <w:t xml:space="preserve"> </w:t>
      </w:r>
      <w:r w:rsidRPr="00F138B6">
        <w:t>same.</w:t>
      </w:r>
    </w:p>
  </w:footnote>
  <w:footnote w:id="20">
    <w:p w14:paraId="6F0104F1" w14:textId="7735E2CC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The</w:t>
      </w:r>
      <w:r>
        <w:t xml:space="preserve"> </w:t>
      </w:r>
      <w:r w:rsidRPr="00F138B6">
        <w:t>geographic</w:t>
      </w:r>
      <w:r>
        <w:t xml:space="preserve"> </w:t>
      </w:r>
      <w:r w:rsidRPr="00F138B6">
        <w:t>scope</w:t>
      </w:r>
      <w:r>
        <w:t xml:space="preserve"> </w:t>
      </w:r>
      <w:r w:rsidRPr="00F138B6">
        <w:t>of</w:t>
      </w:r>
      <w:r>
        <w:t xml:space="preserve"> </w:t>
      </w:r>
      <w:r w:rsidRPr="00F138B6">
        <w:t>fame</w:t>
      </w:r>
      <w:r>
        <w:t xml:space="preserve"> </w:t>
      </w:r>
      <w:r w:rsidRPr="00F138B6">
        <w:t>under</w:t>
      </w:r>
      <w:r>
        <w:t xml:space="preserve"> </w:t>
      </w:r>
      <w:r w:rsidRPr="00F138B6">
        <w:t>the</w:t>
      </w:r>
      <w:r>
        <w:t xml:space="preserve"> </w:t>
      </w:r>
      <w:r w:rsidRPr="00F138B6">
        <w:t>2007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is</w:t>
      </w:r>
      <w:r>
        <w:t xml:space="preserve"> </w:t>
      </w:r>
      <w:r w:rsidRPr="00F138B6">
        <w:t>discussed</w:t>
      </w:r>
      <w:r>
        <w:t xml:space="preserve"> </w:t>
      </w:r>
      <w:r w:rsidRPr="00F138B6">
        <w:t>in</w:t>
      </w:r>
      <w:r>
        <w:t xml:space="preserve"> </w:t>
      </w:r>
      <w:r w:rsidRPr="00F138B6">
        <w:t>Chapter</w:t>
      </w:r>
      <w:r>
        <w:t xml:space="preserve"> </w:t>
      </w:r>
      <w:r w:rsidRPr="00F138B6">
        <w:t>2,</w:t>
      </w:r>
      <w:r>
        <w:t xml:space="preserve"> </w:t>
      </w:r>
      <w:r w:rsidRPr="00F138B6">
        <w:t>§I.E.</w:t>
      </w:r>
    </w:p>
  </w:footnote>
  <w:footnote w:id="21">
    <w:p w14:paraId="4CBA7E2B" w14:textId="4057E4C4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E</w:t>
      </w:r>
      <w:r w:rsidRPr="00F138B6">
        <w:t>.</w:t>
      </w:r>
      <w:r w:rsidRPr="00F138B6">
        <w:rPr>
          <w:i/>
        </w:rPr>
        <w:t>g</w:t>
      </w:r>
      <w:r w:rsidRPr="00F138B6">
        <w:t>.,</w:t>
      </w:r>
      <w:r>
        <w:t xml:space="preserve"> </w:t>
      </w:r>
      <w:r w:rsidRPr="00F138B6">
        <w:t>Cottonwood</w:t>
      </w:r>
      <w:r>
        <w:t xml:space="preserve"> </w:t>
      </w:r>
      <w:r w:rsidRPr="00F138B6">
        <w:t>Fin.</w:t>
      </w:r>
      <w:r>
        <w:t xml:space="preserve"> </w:t>
      </w:r>
      <w:r w:rsidRPr="00F138B6">
        <w:t>Ltd.</w:t>
      </w:r>
      <w:r>
        <w:t xml:space="preserve"> </w:t>
      </w:r>
      <w:r w:rsidRPr="00F138B6">
        <w:t>v.</w:t>
      </w:r>
      <w:r>
        <w:t xml:space="preserve"> </w:t>
      </w:r>
      <w:r w:rsidRPr="00F138B6">
        <w:t>The</w:t>
      </w:r>
      <w:r>
        <w:t xml:space="preserve"> </w:t>
      </w:r>
      <w:r w:rsidRPr="00F138B6">
        <w:t>Cash</w:t>
      </w:r>
      <w:r>
        <w:t xml:space="preserve"> </w:t>
      </w:r>
      <w:r w:rsidRPr="00F138B6">
        <w:t>Store</w:t>
      </w:r>
      <w:r>
        <w:t xml:space="preserve"> </w:t>
      </w:r>
      <w:r w:rsidRPr="00F138B6">
        <w:t>Fin.</w:t>
      </w:r>
      <w:r>
        <w:t xml:space="preserve"> </w:t>
      </w:r>
      <w:r w:rsidRPr="00F138B6">
        <w:t>Servs.,</w:t>
      </w:r>
      <w:r>
        <w:t xml:space="preserve"> </w:t>
      </w:r>
      <w:r w:rsidRPr="00F138B6">
        <w:t>Inc,</w:t>
      </w:r>
      <w:r>
        <w:t xml:space="preserve"> </w:t>
      </w:r>
      <w:r w:rsidRPr="00F138B6">
        <w:t>778</w:t>
      </w:r>
      <w:r>
        <w:t xml:space="preserve"> </w:t>
      </w:r>
      <w:r w:rsidRPr="00F138B6">
        <w:t>F.</w:t>
      </w:r>
      <w:r>
        <w:t xml:space="preserve"> </w:t>
      </w:r>
      <w:r w:rsidRPr="00F138B6">
        <w:t>Supp.</w:t>
      </w:r>
      <w:r>
        <w:t xml:space="preserve"> </w:t>
      </w:r>
      <w:r w:rsidRPr="00F138B6">
        <w:t>2d</w:t>
      </w:r>
      <w:r>
        <w:t xml:space="preserve"> </w:t>
      </w:r>
      <w:r w:rsidRPr="00F138B6">
        <w:t>726,</w:t>
      </w:r>
      <w:r>
        <w:t xml:space="preserve"> </w:t>
      </w:r>
      <w:r w:rsidRPr="00F138B6">
        <w:t>740–41</w:t>
      </w:r>
      <w:r>
        <w:t xml:space="preserve"> </w:t>
      </w:r>
      <w:r w:rsidRPr="00F138B6">
        <w:t>(N.D.</w:t>
      </w:r>
      <w:r>
        <w:t xml:space="preserve"> </w:t>
      </w:r>
      <w:r w:rsidRPr="00F138B6">
        <w:t>Tex.</w:t>
      </w:r>
      <w:r>
        <w:t xml:space="preserve"> </w:t>
      </w:r>
      <w:r w:rsidRPr="00F138B6">
        <w:t>2011)</w:t>
      </w:r>
      <w:r>
        <w:t xml:space="preserve"> </w:t>
      </w:r>
      <w:r w:rsidRPr="00F138B6">
        <w:t>(issuing</w:t>
      </w:r>
      <w:r>
        <w:t xml:space="preserve"> </w:t>
      </w:r>
      <w:r w:rsidRPr="00F138B6">
        <w:t>nationwide</w:t>
      </w:r>
      <w:r>
        <w:t xml:space="preserve"> </w:t>
      </w:r>
      <w:r w:rsidRPr="00F138B6">
        <w:t>injunction</w:t>
      </w:r>
      <w:r>
        <w:t xml:space="preserve"> </w:t>
      </w:r>
      <w:r w:rsidRPr="00F138B6">
        <w:t>against</w:t>
      </w:r>
      <w:r>
        <w:t xml:space="preserve"> </w:t>
      </w:r>
      <w:r w:rsidRPr="00F138B6">
        <w:t>foreign</w:t>
      </w:r>
      <w:r>
        <w:t xml:space="preserve"> </w:t>
      </w:r>
      <w:r w:rsidRPr="00F138B6">
        <w:t>company,</w:t>
      </w:r>
      <w:r>
        <w:t xml:space="preserve"> </w:t>
      </w:r>
      <w:r w:rsidRPr="00F138B6">
        <w:t>but</w:t>
      </w:r>
      <w:r>
        <w:t xml:space="preserve"> </w:t>
      </w:r>
      <w:r w:rsidRPr="00F138B6">
        <w:t>declining</w:t>
      </w:r>
      <w:r>
        <w:t xml:space="preserve"> </w:t>
      </w:r>
      <w:r w:rsidRPr="00F138B6">
        <w:t>to</w:t>
      </w:r>
      <w:r>
        <w:t xml:space="preserve"> </w:t>
      </w:r>
      <w:r w:rsidRPr="00F138B6">
        <w:t>decide</w:t>
      </w:r>
      <w:r>
        <w:t xml:space="preserve"> </w:t>
      </w:r>
      <w:r w:rsidRPr="00F138B6">
        <w:t>whether</w:t>
      </w:r>
      <w:r>
        <w:t xml:space="preserve"> </w:t>
      </w:r>
      <w:r w:rsidRPr="00F138B6">
        <w:t>court</w:t>
      </w:r>
      <w:r>
        <w:t xml:space="preserve"> </w:t>
      </w:r>
      <w:r w:rsidRPr="00F138B6">
        <w:t>could</w:t>
      </w:r>
      <w:r>
        <w:t xml:space="preserve"> </w:t>
      </w:r>
      <w:r w:rsidRPr="00F138B6">
        <w:t>issue</w:t>
      </w:r>
      <w:r>
        <w:t xml:space="preserve"> </w:t>
      </w:r>
      <w:r w:rsidRPr="00F138B6">
        <w:t>injunction</w:t>
      </w:r>
      <w:r>
        <w:t xml:space="preserve"> </w:t>
      </w:r>
      <w:r w:rsidRPr="00F138B6">
        <w:t>acting</w:t>
      </w:r>
      <w:r>
        <w:t xml:space="preserve"> </w:t>
      </w:r>
      <w:r w:rsidRPr="00F138B6">
        <w:t>outside</w:t>
      </w:r>
      <w:r>
        <w:t xml:space="preserve"> </w:t>
      </w:r>
      <w:r w:rsidRPr="00F138B6">
        <w:t>the</w:t>
      </w:r>
      <w:r>
        <w:t xml:space="preserve"> </w:t>
      </w:r>
      <w:r w:rsidRPr="00F138B6">
        <w:t>U.S.);</w:t>
      </w:r>
      <w:r>
        <w:t xml:space="preserve"> </w:t>
      </w:r>
      <w:r w:rsidRPr="00F138B6">
        <w:t>Eastman</w:t>
      </w:r>
      <w:r>
        <w:t xml:space="preserve"> </w:t>
      </w:r>
      <w:r w:rsidRPr="00F138B6">
        <w:t>Kodak</w:t>
      </w:r>
      <w:r>
        <w:t xml:space="preserve"> </w:t>
      </w:r>
      <w:r w:rsidRPr="00F138B6">
        <w:t>Co.</w:t>
      </w:r>
      <w:r>
        <w:t xml:space="preserve"> </w:t>
      </w:r>
      <w:r w:rsidRPr="00F138B6">
        <w:t>v.</w:t>
      </w:r>
      <w:r>
        <w:t xml:space="preserve"> </w:t>
      </w:r>
      <w:r w:rsidRPr="00F138B6">
        <w:t>Rakow,</w:t>
      </w:r>
      <w:r>
        <w:t xml:space="preserve"> </w:t>
      </w:r>
      <w:r w:rsidRPr="00F138B6">
        <w:t>739</w:t>
      </w:r>
      <w:r>
        <w:t xml:space="preserve"> </w:t>
      </w:r>
      <w:r w:rsidRPr="00F138B6">
        <w:t>F.</w:t>
      </w:r>
      <w:r>
        <w:t xml:space="preserve"> </w:t>
      </w:r>
      <w:r w:rsidRPr="00F138B6">
        <w:t>Supp.</w:t>
      </w:r>
      <w:r>
        <w:t xml:space="preserve"> </w:t>
      </w:r>
      <w:r w:rsidRPr="00F138B6">
        <w:t>116,</w:t>
      </w:r>
      <w:r>
        <w:t xml:space="preserve"> </w:t>
      </w:r>
      <w:r w:rsidRPr="00F138B6">
        <w:t>120</w:t>
      </w:r>
      <w:r>
        <w:t xml:space="preserve"> </w:t>
      </w:r>
      <w:r w:rsidRPr="00F138B6">
        <w:t>n.3,</w:t>
      </w:r>
      <w:r>
        <w:t xml:space="preserve"> </w:t>
      </w:r>
      <w:r w:rsidRPr="00F138B6">
        <w:t>15</w:t>
      </w:r>
      <w:r>
        <w:t xml:space="preserve"> </w:t>
      </w:r>
      <w:r w:rsidRPr="00F138B6">
        <w:t>USPQ2d</w:t>
      </w:r>
      <w:r>
        <w:t xml:space="preserve"> </w:t>
      </w:r>
      <w:r w:rsidRPr="00F138B6">
        <w:t>1631</w:t>
      </w:r>
      <w:r>
        <w:t xml:space="preserve"> </w:t>
      </w:r>
      <w:r w:rsidRPr="00F138B6">
        <w:t>(W.D.N.Y.</w:t>
      </w:r>
      <w:r>
        <w:t xml:space="preserve"> </w:t>
      </w:r>
      <w:r w:rsidRPr="00F138B6">
        <w:t>1989);</w:t>
      </w:r>
      <w:r>
        <w:t xml:space="preserve"> </w:t>
      </w:r>
      <w:r w:rsidRPr="00F138B6">
        <w:t>Mead</w:t>
      </w:r>
      <w:r>
        <w:t xml:space="preserve"> </w:t>
      </w:r>
      <w:r w:rsidRPr="00F138B6">
        <w:t>Data</w:t>
      </w:r>
      <w:r>
        <w:t xml:space="preserve"> </w:t>
      </w:r>
      <w:r w:rsidRPr="00F138B6">
        <w:t>Cent.,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Toyota</w:t>
      </w:r>
      <w:r>
        <w:t xml:space="preserve"> </w:t>
      </w:r>
      <w:r w:rsidRPr="00F138B6">
        <w:t>Motor</w:t>
      </w:r>
      <w:r>
        <w:t xml:space="preserve"> </w:t>
      </w:r>
      <w:r w:rsidRPr="00F138B6">
        <w:t>Sales,</w:t>
      </w:r>
      <w:r>
        <w:t xml:space="preserve"> </w:t>
      </w:r>
      <w:r w:rsidRPr="00F138B6">
        <w:t>USA,</w:t>
      </w:r>
      <w:r>
        <w:t xml:space="preserve"> </w:t>
      </w:r>
      <w:r w:rsidRPr="00F138B6">
        <w:t>702</w:t>
      </w:r>
      <w:r>
        <w:t xml:space="preserve"> </w:t>
      </w:r>
      <w:r w:rsidRPr="00F138B6">
        <w:t>F.</w:t>
      </w:r>
      <w:r>
        <w:t xml:space="preserve"> </w:t>
      </w:r>
      <w:r w:rsidRPr="00F138B6">
        <w:t>Supp.</w:t>
      </w:r>
      <w:r>
        <w:t xml:space="preserve"> </w:t>
      </w:r>
      <w:r w:rsidRPr="00F138B6">
        <w:t>1031,</w:t>
      </w:r>
      <w:r>
        <w:t xml:space="preserve"> </w:t>
      </w:r>
      <w:r w:rsidRPr="00F138B6">
        <w:t>1044–45,</w:t>
      </w:r>
      <w:r>
        <w:t xml:space="preserve"> </w:t>
      </w:r>
      <w:r w:rsidRPr="00F138B6">
        <w:t>9</w:t>
      </w:r>
      <w:r>
        <w:t xml:space="preserve"> </w:t>
      </w:r>
      <w:r w:rsidRPr="00F138B6">
        <w:t>USPQ2d</w:t>
      </w:r>
      <w:r>
        <w:t xml:space="preserve"> </w:t>
      </w:r>
      <w:r w:rsidRPr="00F138B6">
        <w:t>1442</w:t>
      </w:r>
      <w:r>
        <w:t xml:space="preserve"> </w:t>
      </w:r>
      <w:r w:rsidRPr="00F138B6">
        <w:t>(S.D.N.Y.</w:t>
      </w:r>
      <w:r>
        <w:t xml:space="preserve"> </w:t>
      </w:r>
      <w:r w:rsidRPr="00F138B6">
        <w:t>1988)</w:t>
      </w:r>
      <w:r>
        <w:t xml:space="preserve"> </w:t>
      </w:r>
      <w:r w:rsidRPr="00F138B6">
        <w:t>(issuing</w:t>
      </w:r>
      <w:r>
        <w:t xml:space="preserve"> </w:t>
      </w:r>
      <w:r w:rsidRPr="00F138B6">
        <w:t>nationwide</w:t>
      </w:r>
      <w:r>
        <w:t xml:space="preserve"> </w:t>
      </w:r>
      <w:r w:rsidRPr="00F138B6">
        <w:t>injunction</w:t>
      </w:r>
      <w:r>
        <w:t xml:space="preserve"> </w:t>
      </w:r>
      <w:r w:rsidRPr="00F138B6">
        <w:t>against</w:t>
      </w:r>
      <w:r>
        <w:t xml:space="preserve"> </w:t>
      </w:r>
      <w:r w:rsidRPr="00F138B6">
        <w:t>sales</w:t>
      </w:r>
      <w:r>
        <w:t xml:space="preserve"> </w:t>
      </w:r>
      <w:r w:rsidRPr="00F138B6">
        <w:t>of</w:t>
      </w:r>
      <w:r>
        <w:t xml:space="preserve"> </w:t>
      </w:r>
      <w:r w:rsidRPr="00F138B6">
        <w:t>LEXUS</w:t>
      </w:r>
      <w:r>
        <w:t xml:space="preserve"> </w:t>
      </w:r>
      <w:r w:rsidRPr="00F138B6">
        <w:t>cars),</w:t>
      </w:r>
      <w:r>
        <w:t xml:space="preserve"> </w:t>
      </w:r>
      <w:r w:rsidRPr="00F138B6">
        <w:rPr>
          <w:i/>
        </w:rPr>
        <w:t>rev’d</w:t>
      </w:r>
      <w:r>
        <w:rPr>
          <w:i/>
        </w:rPr>
        <w:t xml:space="preserve"> </w:t>
      </w:r>
      <w:r w:rsidRPr="00F138B6">
        <w:rPr>
          <w:i/>
        </w:rPr>
        <w:t>on</w:t>
      </w:r>
      <w:r>
        <w:rPr>
          <w:i/>
        </w:rPr>
        <w:t xml:space="preserve"> </w:t>
      </w:r>
      <w:r w:rsidRPr="00F138B6">
        <w:rPr>
          <w:i/>
        </w:rPr>
        <w:t>other</w:t>
      </w:r>
      <w:r>
        <w:rPr>
          <w:i/>
        </w:rPr>
        <w:t xml:space="preserve"> </w:t>
      </w:r>
      <w:r w:rsidRPr="00F138B6">
        <w:rPr>
          <w:i/>
        </w:rPr>
        <w:t>grounds</w:t>
      </w:r>
      <w:r w:rsidRPr="00F138B6">
        <w:t>,</w:t>
      </w:r>
      <w:r>
        <w:t xml:space="preserve"> </w:t>
      </w:r>
      <w:r w:rsidRPr="00F138B6">
        <w:t>875</w:t>
      </w:r>
      <w:r>
        <w:t xml:space="preserve"> </w:t>
      </w:r>
      <w:r w:rsidRPr="00F138B6">
        <w:t>F.2d</w:t>
      </w:r>
      <w:r>
        <w:t xml:space="preserve"> </w:t>
      </w:r>
      <w:r w:rsidRPr="00F138B6">
        <w:t>1026,</w:t>
      </w:r>
      <w:r>
        <w:t xml:space="preserve"> </w:t>
      </w:r>
      <w:r w:rsidRPr="00F138B6">
        <w:t>10</w:t>
      </w:r>
      <w:r>
        <w:t xml:space="preserve"> </w:t>
      </w:r>
      <w:r w:rsidRPr="00F138B6">
        <w:t>USPQ2d</w:t>
      </w:r>
      <w:r>
        <w:t xml:space="preserve"> </w:t>
      </w:r>
      <w:r w:rsidRPr="00F138B6">
        <w:t>1961</w:t>
      </w:r>
      <w:r>
        <w:t xml:space="preserve"> </w:t>
      </w:r>
      <w:r w:rsidRPr="00F138B6">
        <w:t>(2d</w:t>
      </w:r>
      <w:r>
        <w:t xml:space="preserve"> </w:t>
      </w:r>
      <w:r w:rsidRPr="00F138B6">
        <w:t>Cir.</w:t>
      </w:r>
      <w:r>
        <w:t xml:space="preserve"> </w:t>
      </w:r>
      <w:r w:rsidRPr="00F138B6">
        <w:t>1989);</w:t>
      </w:r>
      <w:r>
        <w:t xml:space="preserve"> </w:t>
      </w:r>
      <w:r w:rsidRPr="00F138B6">
        <w:t>Instrumentalist</w:t>
      </w:r>
      <w:r>
        <w:t xml:space="preserve"> </w:t>
      </w:r>
      <w:r w:rsidRPr="00F138B6">
        <w:t>Co.</w:t>
      </w:r>
      <w:r>
        <w:t xml:space="preserve"> </w:t>
      </w:r>
      <w:r w:rsidRPr="00F138B6">
        <w:t>v.</w:t>
      </w:r>
      <w:r>
        <w:t xml:space="preserve"> </w:t>
      </w:r>
      <w:r w:rsidRPr="00F138B6">
        <w:t>Marine</w:t>
      </w:r>
      <w:r>
        <w:t xml:space="preserve"> </w:t>
      </w:r>
      <w:r w:rsidRPr="00F138B6">
        <w:t>Corps</w:t>
      </w:r>
      <w:r>
        <w:t xml:space="preserve"> </w:t>
      </w:r>
      <w:r w:rsidRPr="00F138B6">
        <w:t>League,</w:t>
      </w:r>
      <w:r>
        <w:t xml:space="preserve"> </w:t>
      </w:r>
      <w:r w:rsidRPr="00F138B6">
        <w:t>509</w:t>
      </w:r>
      <w:r>
        <w:t xml:space="preserve"> </w:t>
      </w:r>
      <w:r w:rsidRPr="00F138B6">
        <w:t>F.</w:t>
      </w:r>
      <w:r>
        <w:t xml:space="preserve"> </w:t>
      </w:r>
      <w:r w:rsidRPr="00F138B6">
        <w:t>Supp.</w:t>
      </w:r>
      <w:r>
        <w:t xml:space="preserve"> </w:t>
      </w:r>
      <w:r w:rsidRPr="00F138B6">
        <w:t>323,</w:t>
      </w:r>
      <w:r>
        <w:t xml:space="preserve"> </w:t>
      </w:r>
      <w:r w:rsidRPr="00F138B6">
        <w:t>340,</w:t>
      </w:r>
      <w:r>
        <w:t xml:space="preserve"> </w:t>
      </w:r>
      <w:r w:rsidRPr="00F138B6">
        <w:t>210</w:t>
      </w:r>
      <w:r>
        <w:t xml:space="preserve"> </w:t>
      </w:r>
      <w:r w:rsidRPr="00F138B6">
        <w:t>USPQ</w:t>
      </w:r>
      <w:r>
        <w:t xml:space="preserve"> </w:t>
      </w:r>
      <w:r w:rsidRPr="00F138B6">
        <w:t>841</w:t>
      </w:r>
      <w:r>
        <w:t xml:space="preserve"> </w:t>
      </w:r>
      <w:r w:rsidRPr="00F138B6">
        <w:t>(N.D.</w:t>
      </w:r>
      <w:r>
        <w:t xml:space="preserve"> </w:t>
      </w:r>
      <w:r w:rsidRPr="00F138B6">
        <w:t>Ill.</w:t>
      </w:r>
      <w:r>
        <w:t xml:space="preserve"> </w:t>
      </w:r>
      <w:r w:rsidRPr="00F138B6">
        <w:t>1981);</w:t>
      </w:r>
      <w:r>
        <w:t xml:space="preserve"> </w:t>
      </w:r>
      <w:r w:rsidRPr="00F138B6">
        <w:t>National</w:t>
      </w:r>
      <w:r>
        <w:t xml:space="preserve"> </w:t>
      </w:r>
      <w:r w:rsidRPr="00F138B6">
        <w:t>Football</w:t>
      </w:r>
      <w:r>
        <w:t xml:space="preserve"> </w:t>
      </w:r>
      <w:r w:rsidRPr="00F138B6">
        <w:t>League</w:t>
      </w:r>
      <w:r>
        <w:t xml:space="preserve"> </w:t>
      </w:r>
      <w:r w:rsidRPr="00F138B6">
        <w:t>Props.,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Dallas</w:t>
      </w:r>
      <w:r>
        <w:t xml:space="preserve"> </w:t>
      </w:r>
      <w:r w:rsidRPr="00F138B6">
        <w:t>Cap</w:t>
      </w:r>
      <w:r>
        <w:t xml:space="preserve"> </w:t>
      </w:r>
      <w:r w:rsidRPr="00F138B6">
        <w:t>&amp;</w:t>
      </w:r>
      <w:r>
        <w:t xml:space="preserve"> </w:t>
      </w:r>
      <w:r w:rsidRPr="00F138B6">
        <w:t>Emblem</w:t>
      </w:r>
      <w:r>
        <w:t xml:space="preserve"> </w:t>
      </w:r>
      <w:r w:rsidRPr="00F138B6">
        <w:t>Mfg.,</w:t>
      </w:r>
      <w:r>
        <w:t xml:space="preserve"> </w:t>
      </w:r>
      <w:r w:rsidRPr="00F138B6">
        <w:t>Inc.,</w:t>
      </w:r>
      <w:r>
        <w:t xml:space="preserve"> </w:t>
      </w:r>
      <w:r w:rsidRPr="00F138B6">
        <w:t>327</w:t>
      </w:r>
      <w:r>
        <w:t xml:space="preserve"> </w:t>
      </w:r>
      <w:r w:rsidRPr="00F138B6">
        <w:t>N.E.2d</w:t>
      </w:r>
      <w:r>
        <w:t xml:space="preserve"> </w:t>
      </w:r>
      <w:r w:rsidRPr="00F138B6">
        <w:t>247,</w:t>
      </w:r>
      <w:r>
        <w:t xml:space="preserve"> </w:t>
      </w:r>
      <w:r w:rsidRPr="00F138B6">
        <w:t>185</w:t>
      </w:r>
      <w:r>
        <w:t xml:space="preserve"> </w:t>
      </w:r>
      <w:r w:rsidRPr="00F138B6">
        <w:t>USPQ</w:t>
      </w:r>
      <w:r>
        <w:t xml:space="preserve"> </w:t>
      </w:r>
      <w:r w:rsidRPr="00F138B6">
        <w:t>554</w:t>
      </w:r>
      <w:r>
        <w:t xml:space="preserve"> </w:t>
      </w:r>
      <w:r w:rsidRPr="00F138B6">
        <w:t>(Ill.</w:t>
      </w:r>
      <w:r>
        <w:t xml:space="preserve"> </w:t>
      </w:r>
      <w:r w:rsidRPr="00F138B6">
        <w:t>App.</w:t>
      </w:r>
      <w:r>
        <w:t xml:space="preserve"> </w:t>
      </w:r>
      <w:r w:rsidRPr="00F138B6">
        <w:t>Ct.</w:t>
      </w:r>
      <w:r>
        <w:t xml:space="preserve"> </w:t>
      </w:r>
      <w:r w:rsidRPr="00F138B6">
        <w:t>1975);</w:t>
      </w:r>
      <w:r>
        <w:t xml:space="preserve"> </w:t>
      </w:r>
      <w:r w:rsidRPr="00F138B6">
        <w:rPr>
          <w:i/>
        </w:rPr>
        <w:t>see</w:t>
      </w:r>
      <w:r>
        <w:t xml:space="preserve"> </w:t>
      </w:r>
      <w:r w:rsidRPr="00F138B6">
        <w:t>Deere</w:t>
      </w:r>
      <w:r>
        <w:t xml:space="preserve"> </w:t>
      </w:r>
      <w:r w:rsidRPr="00F138B6">
        <w:t>&amp;</w:t>
      </w:r>
      <w:r>
        <w:t xml:space="preserve"> </w:t>
      </w:r>
      <w:r w:rsidRPr="00F138B6">
        <w:t>Co.</w:t>
      </w:r>
      <w:r>
        <w:t xml:space="preserve"> </w:t>
      </w:r>
      <w:r w:rsidRPr="00F138B6">
        <w:t>v.</w:t>
      </w:r>
      <w:r>
        <w:t xml:space="preserve"> </w:t>
      </w:r>
      <w:r w:rsidRPr="00F138B6">
        <w:t>MTD</w:t>
      </w:r>
      <w:r>
        <w:t xml:space="preserve"> </w:t>
      </w:r>
      <w:r w:rsidRPr="00F138B6">
        <w:t>Prods.,</w:t>
      </w:r>
      <w:r>
        <w:t xml:space="preserve"> </w:t>
      </w:r>
      <w:r w:rsidRPr="00F138B6">
        <w:t>Inc.,</w:t>
      </w:r>
      <w:r>
        <w:t xml:space="preserve"> </w:t>
      </w:r>
      <w:r w:rsidRPr="00F138B6">
        <w:t>41</w:t>
      </w:r>
      <w:r>
        <w:t xml:space="preserve"> </w:t>
      </w:r>
      <w:r w:rsidRPr="00F138B6">
        <w:t>F.3d</w:t>
      </w:r>
      <w:r>
        <w:t xml:space="preserve"> </w:t>
      </w:r>
      <w:r w:rsidRPr="00F138B6">
        <w:t>39,</w:t>
      </w:r>
      <w:r>
        <w:t xml:space="preserve"> </w:t>
      </w:r>
      <w:r w:rsidRPr="00F138B6">
        <w:t>46,</w:t>
      </w:r>
      <w:r>
        <w:t xml:space="preserve"> </w:t>
      </w:r>
      <w:r w:rsidRPr="00F138B6">
        <w:t>32</w:t>
      </w:r>
      <w:r>
        <w:t xml:space="preserve"> </w:t>
      </w:r>
      <w:r w:rsidRPr="00F138B6">
        <w:t>USPQ2d</w:t>
      </w:r>
      <w:r>
        <w:t xml:space="preserve"> </w:t>
      </w:r>
      <w:r w:rsidRPr="00F138B6">
        <w:t>1936</w:t>
      </w:r>
      <w:r>
        <w:t xml:space="preserve"> </w:t>
      </w:r>
      <w:r w:rsidRPr="00F138B6">
        <w:t>(2d</w:t>
      </w:r>
      <w:r>
        <w:t xml:space="preserve"> </w:t>
      </w:r>
      <w:r w:rsidRPr="00F138B6">
        <w:t>Cir.</w:t>
      </w:r>
      <w:r>
        <w:t xml:space="preserve"> </w:t>
      </w:r>
      <w:r w:rsidRPr="00F138B6">
        <w:t>1994)</w:t>
      </w:r>
      <w:r>
        <w:t xml:space="preserve"> </w:t>
      </w:r>
      <w:r w:rsidRPr="00F138B6">
        <w:t>(stating,</w:t>
      </w:r>
      <w:r>
        <w:t xml:space="preserve"> </w:t>
      </w:r>
      <w:r w:rsidRPr="00F138B6">
        <w:t>in</w:t>
      </w:r>
      <w:r>
        <w:t xml:space="preserve"> </w:t>
      </w:r>
      <w:r w:rsidRPr="00F138B6">
        <w:t>dicta,</w:t>
      </w:r>
      <w:r>
        <w:t xml:space="preserve"> </w:t>
      </w:r>
      <w:r w:rsidRPr="00F138B6">
        <w:t>that</w:t>
      </w:r>
      <w:r>
        <w:t xml:space="preserve"> </w:t>
      </w:r>
      <w:r w:rsidRPr="00F138B6">
        <w:t>the</w:t>
      </w:r>
      <w:r>
        <w:t xml:space="preserve"> </w:t>
      </w:r>
      <w:r w:rsidRPr="00F138B6">
        <w:t>district</w:t>
      </w:r>
      <w:r>
        <w:t xml:space="preserve"> </w:t>
      </w:r>
      <w:r w:rsidRPr="00F138B6">
        <w:t>court</w:t>
      </w:r>
      <w:r>
        <w:t xml:space="preserve"> </w:t>
      </w:r>
      <w:r w:rsidRPr="00F138B6">
        <w:t>was</w:t>
      </w:r>
      <w:r>
        <w:t xml:space="preserve"> </w:t>
      </w:r>
      <w:r w:rsidRPr="00F138B6">
        <w:t>empowered</w:t>
      </w:r>
      <w:r>
        <w:t xml:space="preserve"> </w:t>
      </w:r>
      <w:r w:rsidRPr="00F138B6">
        <w:t>to</w:t>
      </w:r>
      <w:r>
        <w:t xml:space="preserve"> </w:t>
      </w:r>
      <w:r w:rsidRPr="00F138B6">
        <w:t>issue</w:t>
      </w:r>
      <w:r>
        <w:t xml:space="preserve"> </w:t>
      </w:r>
      <w:r w:rsidRPr="00F138B6">
        <w:t>nationwide</w:t>
      </w:r>
      <w:r>
        <w:t xml:space="preserve"> </w:t>
      </w:r>
      <w:r w:rsidRPr="00F138B6">
        <w:t>injunctions);</w:t>
      </w:r>
      <w:r>
        <w:t xml:space="preserve"> </w:t>
      </w:r>
      <w:r w:rsidRPr="00F138B6">
        <w:rPr>
          <w:i/>
        </w:rPr>
        <w:t>see</w:t>
      </w:r>
      <w:r>
        <w:rPr>
          <w:i/>
        </w:rPr>
        <w:t xml:space="preserve"> </w:t>
      </w:r>
      <w:r w:rsidRPr="00F138B6">
        <w:rPr>
          <w:i/>
        </w:rPr>
        <w:t>also</w:t>
      </w:r>
      <w:r>
        <w:t xml:space="preserve"> </w:t>
      </w:r>
      <w:r w:rsidRPr="00F138B6">
        <w:t>Ali</w:t>
      </w:r>
      <w:r>
        <w:t xml:space="preserve"> </w:t>
      </w:r>
      <w:r w:rsidRPr="00F138B6">
        <w:t>v.</w:t>
      </w:r>
      <w:r>
        <w:t xml:space="preserve"> </w:t>
      </w:r>
      <w:r w:rsidRPr="00F138B6">
        <w:t>Playgirl,</w:t>
      </w:r>
      <w:r>
        <w:t xml:space="preserve"> </w:t>
      </w:r>
      <w:r w:rsidRPr="00F138B6">
        <w:t>Inc.,</w:t>
      </w:r>
      <w:r>
        <w:t xml:space="preserve"> </w:t>
      </w:r>
      <w:r w:rsidRPr="00F138B6">
        <w:t>447</w:t>
      </w:r>
      <w:r>
        <w:t xml:space="preserve"> </w:t>
      </w:r>
      <w:r w:rsidRPr="00F138B6">
        <w:t>F.</w:t>
      </w:r>
      <w:r>
        <w:t xml:space="preserve"> </w:t>
      </w:r>
      <w:r w:rsidRPr="00F138B6">
        <w:t>Supp.</w:t>
      </w:r>
      <w:r>
        <w:t xml:space="preserve"> </w:t>
      </w:r>
      <w:r w:rsidRPr="00F138B6">
        <w:t>723,</w:t>
      </w:r>
      <w:r>
        <w:t xml:space="preserve"> </w:t>
      </w:r>
      <w:r w:rsidRPr="00F138B6">
        <w:t>731–32,</w:t>
      </w:r>
      <w:r>
        <w:t xml:space="preserve"> </w:t>
      </w:r>
      <w:r w:rsidRPr="00F138B6">
        <w:t>206</w:t>
      </w:r>
      <w:r>
        <w:t xml:space="preserve"> </w:t>
      </w:r>
      <w:r w:rsidRPr="00F138B6">
        <w:t>USPQ</w:t>
      </w:r>
      <w:r>
        <w:t xml:space="preserve"> </w:t>
      </w:r>
      <w:r w:rsidRPr="00F138B6">
        <w:t>1021</w:t>
      </w:r>
      <w:r>
        <w:t xml:space="preserve"> </w:t>
      </w:r>
      <w:r w:rsidRPr="00F138B6">
        <w:t>(S.D.N.Y.</w:t>
      </w:r>
      <w:r>
        <w:t xml:space="preserve"> </w:t>
      </w:r>
      <w:r w:rsidRPr="00F138B6">
        <w:t>1978)</w:t>
      </w:r>
      <w:r>
        <w:t xml:space="preserve"> </w:t>
      </w:r>
      <w:r w:rsidRPr="00F138B6">
        <w:t>(worldwide</w:t>
      </w:r>
      <w:r>
        <w:t xml:space="preserve"> </w:t>
      </w:r>
      <w:r w:rsidRPr="00F138B6">
        <w:t>injunction</w:t>
      </w:r>
      <w:r>
        <w:t xml:space="preserve"> </w:t>
      </w:r>
      <w:r w:rsidRPr="00F138B6">
        <w:t>based</w:t>
      </w:r>
      <w:r>
        <w:t xml:space="preserve"> </w:t>
      </w:r>
      <w:r w:rsidRPr="00F138B6">
        <w:t>on</w:t>
      </w:r>
      <w:r>
        <w:t xml:space="preserve"> </w:t>
      </w:r>
      <w:r w:rsidRPr="00F138B6">
        <w:t>New</w:t>
      </w:r>
      <w:r>
        <w:t xml:space="preserve"> </w:t>
      </w:r>
      <w:r w:rsidRPr="00F138B6">
        <w:t>York</w:t>
      </w:r>
      <w:r>
        <w:t xml:space="preserve"> </w:t>
      </w:r>
      <w:r w:rsidRPr="00F138B6">
        <w:t>right</w:t>
      </w:r>
      <w:r>
        <w:t xml:space="preserve"> </w:t>
      </w:r>
      <w:r w:rsidRPr="00F138B6">
        <w:t>of</w:t>
      </w:r>
      <w:r>
        <w:t xml:space="preserve"> </w:t>
      </w:r>
      <w:r w:rsidRPr="00F138B6">
        <w:t>publicity).</w:t>
      </w:r>
      <w:r>
        <w:t xml:space="preserve"> </w:t>
      </w:r>
      <w:r w:rsidRPr="00F138B6">
        <w:rPr>
          <w:i/>
        </w:rPr>
        <w:t>But</w:t>
      </w:r>
      <w:r>
        <w:rPr>
          <w:i/>
        </w:rPr>
        <w:t xml:space="preserve"> </w:t>
      </w:r>
      <w:r w:rsidRPr="00F138B6">
        <w:rPr>
          <w:i/>
        </w:rPr>
        <w:t>see</w:t>
      </w:r>
      <w:r>
        <w:t xml:space="preserve"> </w:t>
      </w:r>
      <w:r w:rsidRPr="00F138B6">
        <w:t>Hyatt</w:t>
      </w:r>
      <w:r>
        <w:t xml:space="preserve"> </w:t>
      </w:r>
      <w:r w:rsidRPr="00F138B6">
        <w:t>Corp.</w:t>
      </w:r>
      <w:r>
        <w:t xml:space="preserve"> </w:t>
      </w:r>
      <w:r w:rsidRPr="00F138B6">
        <w:t>v.</w:t>
      </w:r>
      <w:r>
        <w:t xml:space="preserve"> </w:t>
      </w:r>
      <w:r w:rsidRPr="00F138B6">
        <w:t>Hyatt</w:t>
      </w:r>
      <w:r>
        <w:t xml:space="preserve"> </w:t>
      </w:r>
      <w:r w:rsidRPr="00F138B6">
        <w:t>Legal</w:t>
      </w:r>
      <w:r>
        <w:t xml:space="preserve"> </w:t>
      </w:r>
      <w:r w:rsidRPr="00F138B6">
        <w:t>Servs.,</w:t>
      </w:r>
      <w:r>
        <w:t xml:space="preserve"> </w:t>
      </w:r>
      <w:r w:rsidRPr="00F138B6">
        <w:t>610</w:t>
      </w:r>
      <w:r>
        <w:t xml:space="preserve"> </w:t>
      </w:r>
      <w:r w:rsidRPr="00F138B6">
        <w:t>F.</w:t>
      </w:r>
      <w:r>
        <w:t xml:space="preserve"> </w:t>
      </w:r>
      <w:r w:rsidRPr="00F138B6">
        <w:t>Supp.</w:t>
      </w:r>
      <w:r>
        <w:t xml:space="preserve"> </w:t>
      </w:r>
      <w:r w:rsidRPr="00F138B6">
        <w:t>381,</w:t>
      </w:r>
      <w:r>
        <w:t xml:space="preserve"> </w:t>
      </w:r>
      <w:r w:rsidRPr="00F138B6">
        <w:t>383–85</w:t>
      </w:r>
      <w:r>
        <w:t xml:space="preserve"> </w:t>
      </w:r>
      <w:r w:rsidRPr="00F138B6">
        <w:t>(N.D.</w:t>
      </w:r>
      <w:r>
        <w:t xml:space="preserve"> </w:t>
      </w:r>
      <w:r w:rsidRPr="00F138B6">
        <w:t>Ill.</w:t>
      </w:r>
      <w:r>
        <w:t xml:space="preserve"> </w:t>
      </w:r>
      <w:r w:rsidRPr="00F138B6">
        <w:t>1985)</w:t>
      </w:r>
      <w:r>
        <w:t xml:space="preserve"> </w:t>
      </w:r>
      <w:r w:rsidRPr="00F138B6">
        <w:t>(refusing</w:t>
      </w:r>
      <w:r>
        <w:t xml:space="preserve"> </w:t>
      </w:r>
      <w:r w:rsidRPr="00F138B6">
        <w:t>to</w:t>
      </w:r>
      <w:r>
        <w:t xml:space="preserve"> </w:t>
      </w:r>
      <w:r w:rsidRPr="00F138B6">
        <w:t>issue</w:t>
      </w:r>
      <w:r>
        <w:t xml:space="preserve"> </w:t>
      </w:r>
      <w:r w:rsidRPr="00F138B6">
        <w:t>immediate</w:t>
      </w:r>
      <w:r>
        <w:t xml:space="preserve"> </w:t>
      </w:r>
      <w:r w:rsidRPr="00F138B6">
        <w:t>nationwide</w:t>
      </w:r>
      <w:r>
        <w:t xml:space="preserve"> </w:t>
      </w:r>
      <w:r w:rsidRPr="00F138B6">
        <w:t>injunction</w:t>
      </w:r>
      <w:r>
        <w:t xml:space="preserve"> </w:t>
      </w:r>
      <w:r w:rsidRPr="00F138B6">
        <w:t>based</w:t>
      </w:r>
      <w:r>
        <w:t xml:space="preserve"> </w:t>
      </w:r>
      <w:r w:rsidRPr="00F138B6">
        <w:t>on</w:t>
      </w:r>
      <w:r>
        <w:t xml:space="preserve"> </w:t>
      </w:r>
      <w:r w:rsidRPr="00F138B6">
        <w:t>possible</w:t>
      </w:r>
      <w:r>
        <w:t xml:space="preserve"> </w:t>
      </w:r>
      <w:r w:rsidRPr="00F138B6">
        <w:t>violation</w:t>
      </w:r>
      <w:r>
        <w:t xml:space="preserve"> </w:t>
      </w:r>
      <w:r w:rsidRPr="00F138B6">
        <w:t>of</w:t>
      </w:r>
      <w:r>
        <w:t xml:space="preserve"> </w:t>
      </w:r>
      <w:r w:rsidRPr="00F138B6">
        <w:t>Commerce</w:t>
      </w:r>
      <w:r>
        <w:t xml:space="preserve"> </w:t>
      </w:r>
      <w:r w:rsidRPr="00F138B6">
        <w:t>Clause);</w:t>
      </w:r>
      <w:r>
        <w:t xml:space="preserve"> </w:t>
      </w:r>
      <w:r w:rsidRPr="00F138B6">
        <w:t>Francis</w:t>
      </w:r>
      <w:r>
        <w:t xml:space="preserve"> </w:t>
      </w:r>
      <w:r w:rsidRPr="00F138B6">
        <w:t>H.</w:t>
      </w:r>
      <w:r>
        <w:t xml:space="preserve"> </w:t>
      </w:r>
      <w:r w:rsidRPr="00F138B6">
        <w:t>Leggett</w:t>
      </w:r>
      <w:r>
        <w:t xml:space="preserve"> </w:t>
      </w:r>
      <w:r w:rsidRPr="00F138B6">
        <w:t>&amp;</w:t>
      </w:r>
      <w:r>
        <w:t xml:space="preserve"> </w:t>
      </w:r>
      <w:r w:rsidRPr="00F138B6">
        <w:t>Co.</w:t>
      </w:r>
      <w:r>
        <w:t xml:space="preserve"> </w:t>
      </w:r>
      <w:r w:rsidRPr="00F138B6">
        <w:t>v.</w:t>
      </w:r>
      <w:r>
        <w:t xml:space="preserve"> </w:t>
      </w:r>
      <w:r w:rsidRPr="00F138B6">
        <w:t>Premier</w:t>
      </w:r>
      <w:r>
        <w:t xml:space="preserve"> </w:t>
      </w:r>
      <w:r w:rsidRPr="00F138B6">
        <w:t>Packing</w:t>
      </w:r>
      <w:r>
        <w:t xml:space="preserve"> </w:t>
      </w:r>
      <w:r w:rsidRPr="00F138B6">
        <w:t>Co.,</w:t>
      </w:r>
      <w:r>
        <w:t xml:space="preserve"> </w:t>
      </w:r>
      <w:r w:rsidRPr="00F138B6">
        <w:t>140</w:t>
      </w:r>
      <w:r>
        <w:t xml:space="preserve"> </w:t>
      </w:r>
      <w:r w:rsidRPr="00F138B6">
        <w:t>F.</w:t>
      </w:r>
      <w:r>
        <w:t xml:space="preserve"> </w:t>
      </w:r>
      <w:r w:rsidRPr="00F138B6">
        <w:t>Supp.</w:t>
      </w:r>
      <w:r>
        <w:t xml:space="preserve"> </w:t>
      </w:r>
      <w:r w:rsidRPr="00F138B6">
        <w:t>328,</w:t>
      </w:r>
      <w:r>
        <w:t xml:space="preserve"> </w:t>
      </w:r>
      <w:r w:rsidRPr="00F138B6">
        <w:t>332,</w:t>
      </w:r>
      <w:r>
        <w:t xml:space="preserve"> </w:t>
      </w:r>
      <w:r w:rsidRPr="00F138B6">
        <w:t>109</w:t>
      </w:r>
      <w:r>
        <w:t xml:space="preserve"> </w:t>
      </w:r>
      <w:r w:rsidRPr="00F138B6">
        <w:t>USPQ</w:t>
      </w:r>
      <w:r>
        <w:t xml:space="preserve"> </w:t>
      </w:r>
      <w:r w:rsidRPr="00F138B6">
        <w:t>215</w:t>
      </w:r>
      <w:r>
        <w:t xml:space="preserve"> </w:t>
      </w:r>
      <w:r w:rsidRPr="00F138B6">
        <w:t>(D.</w:t>
      </w:r>
      <w:r>
        <w:t xml:space="preserve"> </w:t>
      </w:r>
      <w:r w:rsidRPr="00F138B6">
        <w:t>Mass.</w:t>
      </w:r>
      <w:r>
        <w:t xml:space="preserve"> </w:t>
      </w:r>
      <w:r w:rsidRPr="00F138B6">
        <w:t>1956)</w:t>
      </w:r>
      <w:r>
        <w:t xml:space="preserve"> </w:t>
      </w:r>
      <w:r w:rsidRPr="00F138B6">
        <w:t>(injunction</w:t>
      </w:r>
      <w:r>
        <w:t xml:space="preserve"> </w:t>
      </w:r>
      <w:r w:rsidRPr="00F138B6">
        <w:t>under</w:t>
      </w:r>
      <w:r>
        <w:t xml:space="preserve"> </w:t>
      </w:r>
      <w:r w:rsidRPr="00F138B6">
        <w:t>Massachusetts</w:t>
      </w:r>
      <w:r>
        <w:t xml:space="preserve"> </w:t>
      </w:r>
      <w:r w:rsidRPr="00F138B6">
        <w:t>law</w:t>
      </w:r>
      <w:r>
        <w:t xml:space="preserve"> </w:t>
      </w:r>
      <w:r w:rsidRPr="00F138B6">
        <w:t>authorized</w:t>
      </w:r>
      <w:r>
        <w:t xml:space="preserve"> </w:t>
      </w:r>
      <w:r w:rsidRPr="00F138B6">
        <w:t>“within</w:t>
      </w:r>
      <w:r>
        <w:t xml:space="preserve"> </w:t>
      </w:r>
      <w:r w:rsidRPr="00F138B6">
        <w:t>the</w:t>
      </w:r>
      <w:r>
        <w:t xml:space="preserve"> </w:t>
      </w:r>
      <w:r w:rsidRPr="00F138B6">
        <w:t>Commonwealth”).</w:t>
      </w:r>
    </w:p>
  </w:footnote>
  <w:footnote w:id="22">
    <w:p w14:paraId="5DEDDE1B" w14:textId="4F4BC7C7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E</w:t>
      </w:r>
      <w:r w:rsidRPr="00F138B6">
        <w:t>.</w:t>
      </w:r>
      <w:r w:rsidRPr="00F138B6">
        <w:rPr>
          <w:i/>
        </w:rPr>
        <w:t>g</w:t>
      </w:r>
      <w:r w:rsidRPr="00F138B6">
        <w:t>.,</w:t>
      </w:r>
      <w:r>
        <w:t xml:space="preserve"> </w:t>
      </w:r>
      <w:r w:rsidRPr="00F138B6">
        <w:t>Nutro</w:t>
      </w:r>
      <w:r>
        <w:t xml:space="preserve"> </w:t>
      </w:r>
      <w:r w:rsidRPr="00F138B6">
        <w:t>Prods.,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Cole</w:t>
      </w:r>
      <w:r>
        <w:t xml:space="preserve"> </w:t>
      </w:r>
      <w:r w:rsidRPr="00F138B6">
        <w:t>Grain</w:t>
      </w:r>
      <w:r>
        <w:t xml:space="preserve"> </w:t>
      </w:r>
      <w:r w:rsidRPr="00F138B6">
        <w:t>Co.,</w:t>
      </w:r>
      <w:r>
        <w:t xml:space="preserve"> </w:t>
      </w:r>
      <w:r w:rsidRPr="00F138B6">
        <w:t>5</w:t>
      </w:r>
      <w:r>
        <w:t xml:space="preserve"> </w:t>
      </w:r>
      <w:r w:rsidRPr="00F138B6">
        <w:t>Cal.</w:t>
      </w:r>
      <w:r>
        <w:t xml:space="preserve"> </w:t>
      </w:r>
      <w:r w:rsidRPr="00F138B6">
        <w:t>Rptr.2d</w:t>
      </w:r>
      <w:r>
        <w:t xml:space="preserve"> </w:t>
      </w:r>
      <w:r w:rsidRPr="00F138B6">
        <w:t>41,</w:t>
      </w:r>
      <w:r>
        <w:t xml:space="preserve"> </w:t>
      </w:r>
      <w:r w:rsidRPr="00F138B6">
        <w:t>24</w:t>
      </w:r>
      <w:r>
        <w:t xml:space="preserve"> </w:t>
      </w:r>
      <w:r w:rsidRPr="00F138B6">
        <w:t>USPQ2d</w:t>
      </w:r>
      <w:r>
        <w:t xml:space="preserve"> </w:t>
      </w:r>
      <w:r w:rsidRPr="00F138B6">
        <w:t>1556</w:t>
      </w:r>
      <w:r>
        <w:t xml:space="preserve"> </w:t>
      </w:r>
      <w:r w:rsidRPr="00F138B6">
        <w:t>(Ct.</w:t>
      </w:r>
      <w:r>
        <w:t xml:space="preserve"> </w:t>
      </w:r>
      <w:r w:rsidRPr="00F138B6">
        <w:t>App.</w:t>
      </w:r>
      <w:r>
        <w:t xml:space="preserve"> </w:t>
      </w:r>
      <w:r w:rsidRPr="00F138B6">
        <w:t>1992)</w:t>
      </w:r>
      <w:r>
        <w:t xml:space="preserve"> </w:t>
      </w:r>
      <w:r w:rsidRPr="00F138B6">
        <w:t>(upholding</w:t>
      </w:r>
      <w:r>
        <w:t xml:space="preserve"> </w:t>
      </w:r>
      <w:r w:rsidRPr="00F138B6">
        <w:t>nationwide</w:t>
      </w:r>
      <w:r>
        <w:t xml:space="preserve"> </w:t>
      </w:r>
      <w:r w:rsidRPr="00F138B6">
        <w:t>injunction</w:t>
      </w:r>
      <w:r>
        <w:t xml:space="preserve"> </w:t>
      </w:r>
      <w:r w:rsidRPr="00F138B6">
        <w:t>based</w:t>
      </w:r>
      <w:r>
        <w:t xml:space="preserve"> </w:t>
      </w:r>
      <w:r w:rsidRPr="00F138B6">
        <w:t>on</w:t>
      </w:r>
      <w:r>
        <w:t xml:space="preserve"> </w:t>
      </w:r>
      <w:r w:rsidRPr="00F138B6">
        <w:t>California</w:t>
      </w:r>
      <w:r>
        <w:t xml:space="preserve"> </w:t>
      </w:r>
      <w:r w:rsidRPr="00F138B6">
        <w:t>unfair</w:t>
      </w:r>
      <w:r>
        <w:t xml:space="preserve"> </w:t>
      </w:r>
      <w:r w:rsidRPr="00F138B6">
        <w:t>competition</w:t>
      </w:r>
      <w:r>
        <w:t xml:space="preserve"> </w:t>
      </w:r>
      <w:r w:rsidRPr="00F138B6">
        <w:t>law);</w:t>
      </w:r>
      <w:r>
        <w:t xml:space="preserve"> </w:t>
      </w:r>
      <w:r w:rsidRPr="00F138B6">
        <w:t>Wojnarowicz</w:t>
      </w:r>
      <w:r>
        <w:t xml:space="preserve"> </w:t>
      </w:r>
      <w:r w:rsidRPr="00F138B6">
        <w:t>v.</w:t>
      </w:r>
      <w:r>
        <w:t xml:space="preserve"> </w:t>
      </w:r>
      <w:r w:rsidRPr="00F138B6">
        <w:t>American</w:t>
      </w:r>
      <w:r>
        <w:t xml:space="preserve"> </w:t>
      </w:r>
      <w:r w:rsidRPr="00F138B6">
        <w:t>Family</w:t>
      </w:r>
      <w:r>
        <w:t xml:space="preserve"> </w:t>
      </w:r>
      <w:r w:rsidRPr="00F138B6">
        <w:t>Ass’n,</w:t>
      </w:r>
      <w:r>
        <w:t xml:space="preserve"> </w:t>
      </w:r>
      <w:r w:rsidRPr="00F138B6">
        <w:t>745</w:t>
      </w:r>
      <w:r>
        <w:t xml:space="preserve"> </w:t>
      </w:r>
      <w:r w:rsidRPr="00F138B6">
        <w:t>F.</w:t>
      </w:r>
      <w:r>
        <w:t xml:space="preserve"> </w:t>
      </w:r>
      <w:r w:rsidRPr="00F138B6">
        <w:t>Supp.</w:t>
      </w:r>
      <w:r>
        <w:t xml:space="preserve"> </w:t>
      </w:r>
      <w:r w:rsidRPr="00F138B6">
        <w:t>130,</w:t>
      </w:r>
      <w:r>
        <w:t xml:space="preserve"> </w:t>
      </w:r>
      <w:r w:rsidRPr="00F138B6">
        <w:t>149,</w:t>
      </w:r>
      <w:r>
        <w:t xml:space="preserve"> </w:t>
      </w:r>
      <w:r w:rsidRPr="00F138B6">
        <w:t>17</w:t>
      </w:r>
      <w:r>
        <w:t xml:space="preserve"> </w:t>
      </w:r>
      <w:r w:rsidRPr="00F138B6">
        <w:t>USPQ2d</w:t>
      </w:r>
      <w:r>
        <w:t xml:space="preserve"> </w:t>
      </w:r>
      <w:r w:rsidRPr="00F138B6">
        <w:t>1337</w:t>
      </w:r>
      <w:r>
        <w:t xml:space="preserve"> </w:t>
      </w:r>
      <w:r w:rsidRPr="00F138B6">
        <w:t>(S.D.N.Y.</w:t>
      </w:r>
      <w:r>
        <w:t xml:space="preserve"> </w:t>
      </w:r>
      <w:r w:rsidRPr="00F138B6">
        <w:t>1990)</w:t>
      </w:r>
      <w:r>
        <w:t xml:space="preserve"> </w:t>
      </w:r>
      <w:r w:rsidRPr="00F138B6">
        <w:t>(granting</w:t>
      </w:r>
      <w:r>
        <w:t xml:space="preserve"> </w:t>
      </w:r>
      <w:r w:rsidRPr="00F138B6">
        <w:t>apparent</w:t>
      </w:r>
      <w:r>
        <w:t xml:space="preserve"> </w:t>
      </w:r>
      <w:r w:rsidRPr="00F138B6">
        <w:t>nationwide</w:t>
      </w:r>
      <w:r>
        <w:t xml:space="preserve"> </w:t>
      </w:r>
      <w:r w:rsidRPr="00F138B6">
        <w:t>relief</w:t>
      </w:r>
      <w:r>
        <w:t xml:space="preserve"> </w:t>
      </w:r>
      <w:r w:rsidRPr="00F138B6">
        <w:t>under</w:t>
      </w:r>
      <w:r>
        <w:t xml:space="preserve"> </w:t>
      </w:r>
      <w:r w:rsidRPr="00F138B6">
        <w:t>New</w:t>
      </w:r>
      <w:r>
        <w:t xml:space="preserve"> </w:t>
      </w:r>
      <w:r w:rsidRPr="00F138B6">
        <w:t>York</w:t>
      </w:r>
      <w:r>
        <w:t xml:space="preserve"> </w:t>
      </w:r>
      <w:r w:rsidRPr="00F138B6">
        <w:t>Artists’</w:t>
      </w:r>
      <w:r>
        <w:t xml:space="preserve"> </w:t>
      </w:r>
      <w:r w:rsidRPr="00F138B6">
        <w:t>Authorship</w:t>
      </w:r>
      <w:r>
        <w:t xml:space="preserve"> </w:t>
      </w:r>
      <w:r w:rsidRPr="00F138B6">
        <w:t>Rights</w:t>
      </w:r>
      <w:r>
        <w:t xml:space="preserve"> </w:t>
      </w:r>
      <w:r w:rsidRPr="00F138B6">
        <w:t>Act).</w:t>
      </w:r>
      <w:r>
        <w:t xml:space="preserve"> </w:t>
      </w:r>
      <w:r w:rsidRPr="00F138B6">
        <w:rPr>
          <w:i/>
        </w:rPr>
        <w:t>But</w:t>
      </w:r>
      <w:r>
        <w:rPr>
          <w:i/>
        </w:rPr>
        <w:t xml:space="preserve"> </w:t>
      </w:r>
      <w:r w:rsidRPr="00F138B6">
        <w:rPr>
          <w:i/>
        </w:rPr>
        <w:t>see</w:t>
      </w:r>
      <w:r>
        <w:t xml:space="preserve"> </w:t>
      </w:r>
      <w:r w:rsidRPr="00F138B6">
        <w:t>Blue</w:t>
      </w:r>
      <w:r>
        <w:t xml:space="preserve"> </w:t>
      </w:r>
      <w:r w:rsidRPr="00F138B6">
        <w:t>Ribbon</w:t>
      </w:r>
      <w:r>
        <w:t xml:space="preserve"> </w:t>
      </w:r>
      <w:r w:rsidRPr="00F138B6">
        <w:t>Feed</w:t>
      </w:r>
      <w:r>
        <w:t xml:space="preserve"> </w:t>
      </w:r>
      <w:r w:rsidRPr="00F138B6">
        <w:t>Co.</w:t>
      </w:r>
      <w:r>
        <w:t xml:space="preserve"> </w:t>
      </w:r>
      <w:r w:rsidRPr="00F138B6">
        <w:t>v.</w:t>
      </w:r>
      <w:r>
        <w:t xml:space="preserve"> </w:t>
      </w:r>
      <w:r w:rsidRPr="00F138B6">
        <w:t>Farmers</w:t>
      </w:r>
      <w:r>
        <w:t xml:space="preserve"> </w:t>
      </w:r>
      <w:r w:rsidRPr="00F138B6">
        <w:t>Union</w:t>
      </w:r>
      <w:r>
        <w:t xml:space="preserve"> </w:t>
      </w:r>
      <w:r w:rsidRPr="00F138B6">
        <w:t>Cent.</w:t>
      </w:r>
      <w:r>
        <w:t xml:space="preserve"> </w:t>
      </w:r>
      <w:r w:rsidRPr="00F138B6">
        <w:t>Exch.,</w:t>
      </w:r>
      <w:r>
        <w:t xml:space="preserve"> </w:t>
      </w:r>
      <w:r w:rsidRPr="00F138B6">
        <w:t>Inc.,</w:t>
      </w:r>
      <w:r>
        <w:t xml:space="preserve"> </w:t>
      </w:r>
      <w:r w:rsidRPr="00F138B6">
        <w:t>731</w:t>
      </w:r>
      <w:r>
        <w:t xml:space="preserve"> </w:t>
      </w:r>
      <w:r w:rsidRPr="00F138B6">
        <w:t>F.2d</w:t>
      </w:r>
      <w:r>
        <w:t xml:space="preserve"> </w:t>
      </w:r>
      <w:r w:rsidRPr="00F138B6">
        <w:t>415,</w:t>
      </w:r>
      <w:r>
        <w:t xml:space="preserve"> </w:t>
      </w:r>
      <w:r w:rsidRPr="00F138B6">
        <w:t>422,</w:t>
      </w:r>
      <w:r>
        <w:t xml:space="preserve"> </w:t>
      </w:r>
      <w:r w:rsidRPr="00F138B6">
        <w:t>222</w:t>
      </w:r>
      <w:r>
        <w:t xml:space="preserve"> </w:t>
      </w:r>
      <w:r w:rsidRPr="00F138B6">
        <w:t>USPQ</w:t>
      </w:r>
      <w:r>
        <w:t xml:space="preserve"> </w:t>
      </w:r>
      <w:r w:rsidRPr="00F138B6">
        <w:t>785</w:t>
      </w:r>
      <w:r>
        <w:t xml:space="preserve"> </w:t>
      </w:r>
      <w:r w:rsidRPr="00F138B6">
        <w:t>(7th</w:t>
      </w:r>
      <w:r>
        <w:t xml:space="preserve"> </w:t>
      </w:r>
      <w:r w:rsidRPr="00F138B6">
        <w:t>Cir.</w:t>
      </w:r>
      <w:r>
        <w:t xml:space="preserve"> </w:t>
      </w:r>
      <w:r w:rsidRPr="00F138B6">
        <w:t>1984)</w:t>
      </w:r>
      <w:r>
        <w:t xml:space="preserve"> </w:t>
      </w:r>
      <w:r w:rsidRPr="00F138B6">
        <w:t>(affirming</w:t>
      </w:r>
      <w:r>
        <w:t xml:space="preserve"> </w:t>
      </w:r>
      <w:r w:rsidRPr="00F138B6">
        <w:t>refusal</w:t>
      </w:r>
      <w:r>
        <w:t xml:space="preserve"> </w:t>
      </w:r>
      <w:r w:rsidRPr="00F138B6">
        <w:t>to</w:t>
      </w:r>
      <w:r>
        <w:t xml:space="preserve"> </w:t>
      </w:r>
      <w:r w:rsidRPr="00F138B6">
        <w:t>issue</w:t>
      </w:r>
      <w:r>
        <w:t xml:space="preserve"> </w:t>
      </w:r>
      <w:r w:rsidRPr="00F138B6">
        <w:t>injunction</w:t>
      </w:r>
      <w:r>
        <w:t xml:space="preserve"> </w:t>
      </w:r>
      <w:r w:rsidRPr="00F138B6">
        <w:t>running</w:t>
      </w:r>
      <w:r>
        <w:t xml:space="preserve"> </w:t>
      </w:r>
      <w:r w:rsidRPr="00F138B6">
        <w:t>outside</w:t>
      </w:r>
      <w:r>
        <w:t xml:space="preserve"> </w:t>
      </w:r>
      <w:r w:rsidRPr="00F138B6">
        <w:t>the</w:t>
      </w:r>
      <w:r>
        <w:t xml:space="preserve"> </w:t>
      </w:r>
      <w:r w:rsidRPr="00F138B6">
        <w:t>state</w:t>
      </w:r>
      <w:r>
        <w:t xml:space="preserve"> </w:t>
      </w:r>
      <w:r w:rsidRPr="00F138B6">
        <w:t>in</w:t>
      </w:r>
      <w:r>
        <w:t xml:space="preserve"> </w:t>
      </w:r>
      <w:r w:rsidRPr="00F138B6">
        <w:t>claim</w:t>
      </w:r>
      <w:r>
        <w:t xml:space="preserve"> </w:t>
      </w:r>
      <w:r w:rsidRPr="00F138B6">
        <w:t>based</w:t>
      </w:r>
      <w:r>
        <w:t xml:space="preserve"> </w:t>
      </w:r>
      <w:r w:rsidRPr="00F138B6">
        <w:t>on</w:t>
      </w:r>
      <w:r>
        <w:t xml:space="preserve"> </w:t>
      </w:r>
      <w:r w:rsidRPr="00F138B6">
        <w:t>state</w:t>
      </w:r>
      <w:r>
        <w:t xml:space="preserve"> </w:t>
      </w:r>
      <w:r w:rsidRPr="00F138B6">
        <w:t>trademark</w:t>
      </w:r>
      <w:r>
        <w:t xml:space="preserve"> </w:t>
      </w:r>
      <w:r w:rsidRPr="00F138B6">
        <w:t>law);</w:t>
      </w:r>
      <w:r>
        <w:t xml:space="preserve"> </w:t>
      </w:r>
      <w:r w:rsidRPr="00F138B6">
        <w:t>Columbia</w:t>
      </w:r>
      <w:r>
        <w:t xml:space="preserve"> </w:t>
      </w:r>
      <w:r w:rsidRPr="00F138B6">
        <w:t>Broad.</w:t>
      </w:r>
      <w:r>
        <w:t xml:space="preserve"> </w:t>
      </w:r>
      <w:r w:rsidRPr="00F138B6">
        <w:t>Sys.,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DeCosta,</w:t>
      </w:r>
      <w:r>
        <w:t xml:space="preserve"> </w:t>
      </w:r>
      <w:r w:rsidRPr="00F138B6">
        <w:t>377</w:t>
      </w:r>
      <w:r>
        <w:t xml:space="preserve"> </w:t>
      </w:r>
      <w:r w:rsidRPr="00F138B6">
        <w:t>F.2d</w:t>
      </w:r>
      <w:r>
        <w:t xml:space="preserve"> </w:t>
      </w:r>
      <w:r w:rsidRPr="00F138B6">
        <w:t>315,</w:t>
      </w:r>
      <w:r>
        <w:t xml:space="preserve"> </w:t>
      </w:r>
      <w:r w:rsidRPr="00F138B6">
        <w:t>319</w:t>
      </w:r>
      <w:r>
        <w:t xml:space="preserve"> </w:t>
      </w:r>
      <w:r w:rsidRPr="00F138B6">
        <w:t>n.7,</w:t>
      </w:r>
      <w:r>
        <w:t xml:space="preserve"> </w:t>
      </w:r>
      <w:r w:rsidRPr="00F138B6">
        <w:t>153</w:t>
      </w:r>
      <w:r>
        <w:t xml:space="preserve"> </w:t>
      </w:r>
      <w:r w:rsidRPr="00F138B6">
        <w:t>USPQ</w:t>
      </w:r>
      <w:r>
        <w:t xml:space="preserve"> </w:t>
      </w:r>
      <w:r w:rsidRPr="00F138B6">
        <w:t>649</w:t>
      </w:r>
      <w:r>
        <w:t xml:space="preserve"> </w:t>
      </w:r>
      <w:r w:rsidRPr="00F138B6">
        <w:t>(1st</w:t>
      </w:r>
      <w:r>
        <w:t xml:space="preserve"> </w:t>
      </w:r>
      <w:r w:rsidRPr="00F138B6">
        <w:t>Cir.)</w:t>
      </w:r>
      <w:r>
        <w:t xml:space="preserve"> </w:t>
      </w:r>
      <w:r w:rsidRPr="00F138B6">
        <w:t>(noting</w:t>
      </w:r>
      <w:r>
        <w:t xml:space="preserve"> </w:t>
      </w:r>
      <w:r w:rsidRPr="00F138B6">
        <w:t>the</w:t>
      </w:r>
      <w:r>
        <w:t xml:space="preserve"> </w:t>
      </w:r>
      <w:r w:rsidRPr="00F138B6">
        <w:t>problem</w:t>
      </w:r>
      <w:r>
        <w:t xml:space="preserve"> </w:t>
      </w:r>
      <w:r w:rsidRPr="00F138B6">
        <w:t>raised</w:t>
      </w:r>
      <w:r>
        <w:t xml:space="preserve"> </w:t>
      </w:r>
      <w:r w:rsidRPr="00F138B6">
        <w:t>by</w:t>
      </w:r>
      <w:r>
        <w:t xml:space="preserve"> </w:t>
      </w:r>
      <w:r w:rsidRPr="00F138B6">
        <w:t>such</w:t>
      </w:r>
      <w:r>
        <w:t xml:space="preserve"> </w:t>
      </w:r>
      <w:r w:rsidRPr="00F138B6">
        <w:t>extraterritorial</w:t>
      </w:r>
      <w:r>
        <w:t xml:space="preserve"> </w:t>
      </w:r>
      <w:r w:rsidRPr="00F138B6">
        <w:t>injunctions),</w:t>
      </w:r>
      <w:r>
        <w:t xml:space="preserve"> </w:t>
      </w:r>
      <w:r w:rsidRPr="00F138B6">
        <w:rPr>
          <w:i/>
        </w:rPr>
        <w:t>cert</w:t>
      </w:r>
      <w:r w:rsidRPr="00F138B6">
        <w:t>.</w:t>
      </w:r>
      <w:r>
        <w:t xml:space="preserve"> </w:t>
      </w:r>
      <w:r w:rsidRPr="00F138B6">
        <w:rPr>
          <w:i/>
        </w:rPr>
        <w:t>denied</w:t>
      </w:r>
      <w:r w:rsidRPr="00F138B6">
        <w:t>,</w:t>
      </w:r>
      <w:r>
        <w:t xml:space="preserve"> </w:t>
      </w:r>
      <w:r w:rsidRPr="00F138B6">
        <w:t>389</w:t>
      </w:r>
      <w:r>
        <w:t xml:space="preserve"> </w:t>
      </w:r>
      <w:r w:rsidRPr="00F138B6">
        <w:t>U.S.</w:t>
      </w:r>
      <w:r>
        <w:t xml:space="preserve"> </w:t>
      </w:r>
      <w:r w:rsidRPr="00F138B6">
        <w:t>1007</w:t>
      </w:r>
      <w:r>
        <w:t xml:space="preserve"> </w:t>
      </w:r>
      <w:r w:rsidRPr="00F138B6">
        <w:t>(1967).</w:t>
      </w:r>
    </w:p>
  </w:footnote>
  <w:footnote w:id="23">
    <w:p w14:paraId="7795EDEF" w14:textId="688126B5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See,</w:t>
      </w:r>
      <w:r>
        <w:rPr>
          <w:i/>
        </w:rPr>
        <w:t xml:space="preserve"> </w:t>
      </w:r>
      <w:r w:rsidRPr="00F138B6">
        <w:rPr>
          <w:i/>
        </w:rPr>
        <w:t>e</w:t>
      </w:r>
      <w:r w:rsidRPr="00F138B6">
        <w:t>.</w:t>
      </w:r>
      <w:r w:rsidRPr="00F138B6">
        <w:rPr>
          <w:i/>
        </w:rPr>
        <w:t>g</w:t>
      </w:r>
      <w:r w:rsidRPr="00F138B6">
        <w:t>.,</w:t>
      </w:r>
      <w:r>
        <w:t xml:space="preserve"> </w:t>
      </w:r>
      <w:r w:rsidRPr="00F138B6">
        <w:t>Cole</w:t>
      </w:r>
      <w:r>
        <w:t xml:space="preserve"> </w:t>
      </w:r>
      <w:r w:rsidRPr="00F138B6">
        <w:t>v.</w:t>
      </w:r>
      <w:r>
        <w:t xml:space="preserve"> </w:t>
      </w:r>
      <w:r w:rsidRPr="00F138B6">
        <w:t>Cunningham,</w:t>
      </w:r>
      <w:r>
        <w:t xml:space="preserve"> </w:t>
      </w:r>
      <w:r w:rsidRPr="00F138B6">
        <w:t>133</w:t>
      </w:r>
      <w:r>
        <w:t xml:space="preserve"> </w:t>
      </w:r>
      <w:r w:rsidRPr="00F138B6">
        <w:t>U.S.</w:t>
      </w:r>
      <w:r>
        <w:t xml:space="preserve"> </w:t>
      </w:r>
      <w:r w:rsidRPr="00F138B6">
        <w:t>107,</w:t>
      </w:r>
      <w:r>
        <w:t xml:space="preserve"> </w:t>
      </w:r>
      <w:r w:rsidRPr="00F138B6">
        <w:t>118–19</w:t>
      </w:r>
      <w:r>
        <w:t xml:space="preserve"> </w:t>
      </w:r>
      <w:r w:rsidRPr="00F138B6">
        <w:t>(1890);</w:t>
      </w:r>
      <w:r>
        <w:t xml:space="preserve"> </w:t>
      </w:r>
      <w:r w:rsidRPr="00F138B6">
        <w:t>Allied</w:t>
      </w:r>
      <w:r>
        <w:t xml:space="preserve"> </w:t>
      </w:r>
      <w:r w:rsidRPr="00F138B6">
        <w:t>Artists</w:t>
      </w:r>
      <w:r>
        <w:t xml:space="preserve"> </w:t>
      </w:r>
      <w:r w:rsidRPr="00F138B6">
        <w:t>Pictures</w:t>
      </w:r>
      <w:r>
        <w:t xml:space="preserve"> </w:t>
      </w:r>
      <w:r w:rsidRPr="00F138B6">
        <w:t>Corp.</w:t>
      </w:r>
      <w:r>
        <w:t xml:space="preserve"> </w:t>
      </w:r>
      <w:r w:rsidRPr="00F138B6">
        <w:t>v.</w:t>
      </w:r>
      <w:r>
        <w:t xml:space="preserve"> </w:t>
      </w:r>
      <w:r w:rsidRPr="00F138B6">
        <w:t>Friedman,</w:t>
      </w:r>
      <w:r>
        <w:t xml:space="preserve"> </w:t>
      </w:r>
      <w:r w:rsidRPr="00F138B6">
        <w:t>137</w:t>
      </w:r>
      <w:r>
        <w:t xml:space="preserve"> </w:t>
      </w:r>
      <w:r w:rsidRPr="00F138B6">
        <w:t>Cal.</w:t>
      </w:r>
      <w:r>
        <w:t xml:space="preserve"> </w:t>
      </w:r>
      <w:r w:rsidRPr="00F138B6">
        <w:t>Rptr.</w:t>
      </w:r>
      <w:r>
        <w:t xml:space="preserve"> </w:t>
      </w:r>
      <w:r w:rsidRPr="00F138B6">
        <w:t>94,</w:t>
      </w:r>
      <w:r>
        <w:t xml:space="preserve"> </w:t>
      </w:r>
      <w:r w:rsidRPr="00F138B6">
        <w:t>99</w:t>
      </w:r>
      <w:r>
        <w:t xml:space="preserve"> </w:t>
      </w:r>
      <w:r w:rsidRPr="00F138B6">
        <w:t>(Cal.</w:t>
      </w:r>
      <w:r>
        <w:t xml:space="preserve"> </w:t>
      </w:r>
      <w:r w:rsidRPr="00F138B6">
        <w:t>Ct.</w:t>
      </w:r>
      <w:r>
        <w:t xml:space="preserve"> </w:t>
      </w:r>
      <w:r w:rsidRPr="00F138B6">
        <w:t>App.</w:t>
      </w:r>
      <w:r>
        <w:t xml:space="preserve"> </w:t>
      </w:r>
      <w:r w:rsidRPr="00F138B6">
        <w:t>1977);</w:t>
      </w:r>
      <w:r>
        <w:t xml:space="preserve"> </w:t>
      </w:r>
      <w:r w:rsidRPr="00F138B6">
        <w:t>District</w:t>
      </w:r>
      <w:r>
        <w:t xml:space="preserve"> </w:t>
      </w:r>
      <w:r w:rsidRPr="00F138B6">
        <w:t>Attorney</w:t>
      </w:r>
      <w:r>
        <w:t xml:space="preserve"> </w:t>
      </w:r>
      <w:r w:rsidRPr="00F138B6">
        <w:t>of</w:t>
      </w:r>
      <w:r>
        <w:t xml:space="preserve"> </w:t>
      </w:r>
      <w:r w:rsidRPr="00F138B6">
        <w:t>Queens</w:t>
      </w:r>
      <w:r>
        <w:t xml:space="preserve"> </w:t>
      </w:r>
      <w:r w:rsidRPr="00F138B6">
        <w:t>Cnty.</w:t>
      </w:r>
      <w:r>
        <w:t xml:space="preserve"> </w:t>
      </w:r>
      <w:r w:rsidRPr="00F138B6">
        <w:t>v.</w:t>
      </w:r>
      <w:r>
        <w:t xml:space="preserve"> </w:t>
      </w:r>
      <w:r w:rsidRPr="00F138B6">
        <w:t>McAuliffe,</w:t>
      </w:r>
      <w:r>
        <w:t xml:space="preserve"> </w:t>
      </w:r>
      <w:r w:rsidRPr="00F138B6">
        <w:t>493</w:t>
      </w:r>
      <w:r>
        <w:t xml:space="preserve"> </w:t>
      </w:r>
      <w:r w:rsidRPr="00F138B6">
        <w:t>N.Y.S.2d</w:t>
      </w:r>
      <w:r>
        <w:t xml:space="preserve"> </w:t>
      </w:r>
      <w:r w:rsidRPr="00F138B6">
        <w:t>406,</w:t>
      </w:r>
      <w:r>
        <w:t xml:space="preserve"> </w:t>
      </w:r>
      <w:r w:rsidRPr="00F138B6">
        <w:t>411–13</w:t>
      </w:r>
      <w:r>
        <w:t xml:space="preserve"> </w:t>
      </w:r>
      <w:r w:rsidRPr="00F138B6">
        <w:t>(N.Y.</w:t>
      </w:r>
      <w:r>
        <w:t xml:space="preserve"> </w:t>
      </w:r>
      <w:r w:rsidRPr="00F138B6">
        <w:t>Sup.</w:t>
      </w:r>
      <w:r>
        <w:t xml:space="preserve"> </w:t>
      </w:r>
      <w:r w:rsidRPr="00F138B6">
        <w:t>Ct.</w:t>
      </w:r>
      <w:r>
        <w:t xml:space="preserve"> </w:t>
      </w:r>
      <w:r w:rsidRPr="00F138B6">
        <w:t>1985).</w:t>
      </w:r>
    </w:p>
  </w:footnote>
  <w:footnote w:id="24">
    <w:p w14:paraId="54709022" w14:textId="3F606A0F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Restatement</w:t>
      </w:r>
      <w:r>
        <w:t xml:space="preserve"> </w:t>
      </w:r>
      <w:r w:rsidRPr="00F138B6">
        <w:t>(Second)</w:t>
      </w:r>
      <w:r>
        <w:t xml:space="preserve"> </w:t>
      </w:r>
      <w:r w:rsidRPr="00F138B6">
        <w:t>of</w:t>
      </w:r>
      <w:r>
        <w:t xml:space="preserve"> </w:t>
      </w:r>
      <w:r w:rsidRPr="00F138B6">
        <w:t>Conflict</w:t>
      </w:r>
      <w:r>
        <w:t xml:space="preserve"> </w:t>
      </w:r>
      <w:r w:rsidRPr="00F138B6">
        <w:t>of</w:t>
      </w:r>
      <w:r>
        <w:t xml:space="preserve"> </w:t>
      </w:r>
      <w:r w:rsidRPr="00F138B6">
        <w:t>Laws</w:t>
      </w:r>
      <w:r>
        <w:t xml:space="preserve"> </w:t>
      </w:r>
      <w:r w:rsidRPr="00F138B6">
        <w:t>§53</w:t>
      </w:r>
      <w:r>
        <w:t xml:space="preserve"> </w:t>
      </w:r>
      <w:r w:rsidRPr="00F138B6">
        <w:t>(1969).</w:t>
      </w:r>
    </w:p>
  </w:footnote>
  <w:footnote w:id="25">
    <w:p w14:paraId="0FD35216" w14:textId="0AE89EF5" w:rsidR="00F138B6" w:rsidRPr="008A028F" w:rsidRDefault="00F138B6" w:rsidP="00F138B6">
      <w:pPr>
        <w:pStyle w:val="FootnoteText"/>
        <w:rPr>
          <w:lang w:val="sv-SE"/>
        </w:rPr>
      </w:pPr>
      <w:r w:rsidRPr="00F138B6">
        <w:rPr>
          <w:vertAlign w:val="superscript"/>
        </w:rPr>
        <w:footnoteRef/>
      </w:r>
      <w:r w:rsidRPr="00F138B6">
        <w:t>610</w:t>
      </w:r>
      <w:r>
        <w:t xml:space="preserve"> </w:t>
      </w:r>
      <w:r w:rsidRPr="00F138B6">
        <w:t>F.</w:t>
      </w:r>
      <w:r>
        <w:t xml:space="preserve"> </w:t>
      </w:r>
      <w:r w:rsidRPr="00F138B6">
        <w:t>Supp.</w:t>
      </w:r>
      <w:r>
        <w:t xml:space="preserve"> </w:t>
      </w:r>
      <w:r w:rsidRPr="00F138B6">
        <w:t>381</w:t>
      </w:r>
      <w:r>
        <w:t xml:space="preserve"> </w:t>
      </w:r>
      <w:r w:rsidRPr="00F138B6">
        <w:t>(N.D.</w:t>
      </w:r>
      <w:r>
        <w:t xml:space="preserve"> </w:t>
      </w:r>
      <w:r w:rsidRPr="00F138B6">
        <w:t>Ill.</w:t>
      </w:r>
      <w:r>
        <w:t xml:space="preserve"> </w:t>
      </w:r>
      <w:r w:rsidRPr="00F138B6">
        <w:t>1985).</w:t>
      </w:r>
    </w:p>
  </w:footnote>
  <w:footnote w:id="26">
    <w:p w14:paraId="47C7D613" w14:textId="0330D7BC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at</w:t>
      </w:r>
      <w:r>
        <w:t xml:space="preserve"> </w:t>
      </w:r>
      <w:r w:rsidRPr="00F138B6">
        <w:t>383.</w:t>
      </w:r>
      <w:r>
        <w:t xml:space="preserve"> </w:t>
      </w:r>
      <w:r w:rsidRPr="00F138B6">
        <w:t>The</w:t>
      </w:r>
      <w:r>
        <w:t xml:space="preserve"> </w:t>
      </w:r>
      <w:r w:rsidRPr="00F138B6">
        <w:t>district</w:t>
      </w:r>
      <w:r>
        <w:t xml:space="preserve"> </w:t>
      </w:r>
      <w:r w:rsidRPr="00F138B6">
        <w:t>court’s</w:t>
      </w:r>
      <w:r>
        <w:t xml:space="preserve"> </w:t>
      </w:r>
      <w:r w:rsidRPr="00F138B6">
        <w:t>hesitation</w:t>
      </w:r>
      <w:r>
        <w:t xml:space="preserve"> </w:t>
      </w:r>
      <w:r w:rsidRPr="00F138B6">
        <w:t>is</w:t>
      </w:r>
      <w:r>
        <w:t xml:space="preserve"> </w:t>
      </w:r>
      <w:r w:rsidRPr="00F138B6">
        <w:t>made</w:t>
      </w:r>
      <w:r>
        <w:t xml:space="preserve"> </w:t>
      </w:r>
      <w:r w:rsidRPr="00F138B6">
        <w:t>more</w:t>
      </w:r>
      <w:r>
        <w:t xml:space="preserve"> </w:t>
      </w:r>
      <w:r w:rsidRPr="00F138B6">
        <w:t>interesting</w:t>
      </w:r>
      <w:r>
        <w:t xml:space="preserve"> </w:t>
      </w:r>
      <w:r w:rsidRPr="00F138B6">
        <w:t>by</w:t>
      </w:r>
      <w:r>
        <w:t xml:space="preserve"> </w:t>
      </w:r>
      <w:r w:rsidRPr="00F138B6">
        <w:t>the</w:t>
      </w:r>
      <w:r>
        <w:t xml:space="preserve"> </w:t>
      </w:r>
      <w:r w:rsidRPr="00F138B6">
        <w:t>fact</w:t>
      </w:r>
      <w:r>
        <w:t xml:space="preserve"> </w:t>
      </w:r>
      <w:r w:rsidRPr="00F138B6">
        <w:t>that</w:t>
      </w:r>
      <w:r>
        <w:t xml:space="preserve"> </w:t>
      </w:r>
      <w:r w:rsidRPr="00F138B6">
        <w:t>the</w:t>
      </w:r>
      <w:r>
        <w:t xml:space="preserve"> </w:t>
      </w:r>
      <w:r w:rsidRPr="00F138B6">
        <w:t>U.S.</w:t>
      </w:r>
      <w:r>
        <w:t xml:space="preserve"> </w:t>
      </w:r>
      <w:r w:rsidRPr="00F138B6">
        <w:t>Court</w:t>
      </w:r>
      <w:r>
        <w:t xml:space="preserve"> </w:t>
      </w:r>
      <w:r w:rsidRPr="00F138B6">
        <w:t>of</w:t>
      </w:r>
      <w:r>
        <w:t xml:space="preserve"> </w:t>
      </w:r>
      <w:r w:rsidRPr="00F138B6">
        <w:t>Appeals</w:t>
      </w:r>
      <w:r>
        <w:t xml:space="preserve"> </w:t>
      </w:r>
      <w:r w:rsidRPr="00F138B6">
        <w:t>for</w:t>
      </w:r>
      <w:r>
        <w:t xml:space="preserve"> </w:t>
      </w:r>
      <w:r w:rsidRPr="00F138B6">
        <w:t>the</w:t>
      </w:r>
      <w:r>
        <w:t xml:space="preserve"> </w:t>
      </w:r>
      <w:r w:rsidRPr="00F138B6">
        <w:t>Seventh</w:t>
      </w:r>
      <w:r>
        <w:t xml:space="preserve"> </w:t>
      </w:r>
      <w:r w:rsidRPr="00F138B6">
        <w:t>Circuit,</w:t>
      </w:r>
      <w:r>
        <w:t xml:space="preserve"> </w:t>
      </w:r>
      <w:r w:rsidRPr="00F138B6">
        <w:t>reviewing</w:t>
      </w:r>
      <w:r>
        <w:t xml:space="preserve"> </w:t>
      </w:r>
      <w:r w:rsidRPr="00F138B6">
        <w:t>the</w:t>
      </w:r>
      <w:r>
        <w:t xml:space="preserve"> </w:t>
      </w:r>
      <w:r w:rsidRPr="00F138B6">
        <w:t>merits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dilution</w:t>
      </w:r>
      <w:r>
        <w:t xml:space="preserve"> </w:t>
      </w:r>
      <w:r w:rsidRPr="00F138B6">
        <w:t>claim</w:t>
      </w:r>
      <w:r>
        <w:t xml:space="preserve"> </w:t>
      </w:r>
      <w:r w:rsidRPr="00F138B6">
        <w:t>in</w:t>
      </w:r>
      <w:r>
        <w:t xml:space="preserve"> </w:t>
      </w:r>
      <w:r w:rsidRPr="00F138B6">
        <w:t>the</w:t>
      </w:r>
      <w:r>
        <w:t xml:space="preserve"> </w:t>
      </w:r>
      <w:r w:rsidRPr="00F138B6">
        <w:t>previous</w:t>
      </w:r>
      <w:r>
        <w:t xml:space="preserve"> </w:t>
      </w:r>
      <w:r w:rsidRPr="00F138B6">
        <w:t>opinion,</w:t>
      </w:r>
      <w:r>
        <w:t xml:space="preserve"> </w:t>
      </w:r>
      <w:r w:rsidRPr="00F138B6">
        <w:t>had</w:t>
      </w:r>
      <w:r>
        <w:t xml:space="preserve"> </w:t>
      </w:r>
      <w:r w:rsidRPr="00F138B6">
        <w:t>already</w:t>
      </w:r>
      <w:r>
        <w:t xml:space="preserve"> </w:t>
      </w:r>
      <w:r w:rsidRPr="00F138B6">
        <w:t>indicated</w:t>
      </w:r>
      <w:r>
        <w:t xml:space="preserve"> </w:t>
      </w:r>
      <w:r w:rsidRPr="00F138B6">
        <w:t>support</w:t>
      </w:r>
      <w:r>
        <w:t xml:space="preserve"> </w:t>
      </w:r>
      <w:r w:rsidRPr="00F138B6">
        <w:t>for</w:t>
      </w:r>
      <w:r>
        <w:t xml:space="preserve"> </w:t>
      </w:r>
      <w:r w:rsidRPr="00F138B6">
        <w:t>a</w:t>
      </w:r>
      <w:r>
        <w:t xml:space="preserve"> </w:t>
      </w:r>
      <w:r w:rsidRPr="00F138B6">
        <w:t>nationwide</w:t>
      </w:r>
      <w:r>
        <w:t xml:space="preserve"> </w:t>
      </w:r>
      <w:r w:rsidRPr="00F138B6">
        <w:t>injunction.</w:t>
      </w:r>
      <w:r>
        <w:t xml:space="preserve"> </w:t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at</w:t>
      </w:r>
      <w:r>
        <w:t xml:space="preserve"> </w:t>
      </w:r>
      <w:r w:rsidRPr="00F138B6">
        <w:t>382</w:t>
      </w:r>
      <w:r>
        <w:t xml:space="preserve"> </w:t>
      </w:r>
      <w:r w:rsidRPr="00F138B6">
        <w:t>(citing</w:t>
      </w:r>
      <w:r>
        <w:t xml:space="preserve"> </w:t>
      </w:r>
      <w:r w:rsidRPr="00F138B6">
        <w:t>Hyatt</w:t>
      </w:r>
      <w:r>
        <w:t xml:space="preserve"> </w:t>
      </w:r>
      <w:r w:rsidRPr="00F138B6">
        <w:t>Corp.</w:t>
      </w:r>
      <w:r>
        <w:t xml:space="preserve"> </w:t>
      </w:r>
      <w:r w:rsidRPr="00F138B6">
        <w:t>v.</w:t>
      </w:r>
      <w:r>
        <w:t xml:space="preserve"> </w:t>
      </w:r>
      <w:r w:rsidRPr="00F138B6">
        <w:t>Hyatt</w:t>
      </w:r>
      <w:r>
        <w:t xml:space="preserve"> </w:t>
      </w:r>
      <w:r w:rsidRPr="00F138B6">
        <w:t>Legal</w:t>
      </w:r>
      <w:r>
        <w:t xml:space="preserve"> </w:t>
      </w:r>
      <w:r w:rsidRPr="00F138B6">
        <w:t>Servs.,</w:t>
      </w:r>
      <w:r>
        <w:t xml:space="preserve"> </w:t>
      </w:r>
      <w:r w:rsidRPr="00F138B6">
        <w:t>736</w:t>
      </w:r>
      <w:r>
        <w:t xml:space="preserve"> </w:t>
      </w:r>
      <w:r w:rsidRPr="00F138B6">
        <w:t>F.2d</w:t>
      </w:r>
      <w:r>
        <w:t xml:space="preserve"> </w:t>
      </w:r>
      <w:r w:rsidRPr="00F138B6">
        <w:t>1153,</w:t>
      </w:r>
      <w:r>
        <w:t xml:space="preserve"> </w:t>
      </w:r>
      <w:r w:rsidRPr="00F138B6">
        <w:t>1159,</w:t>
      </w:r>
      <w:r>
        <w:t xml:space="preserve"> </w:t>
      </w:r>
      <w:r w:rsidRPr="00F138B6">
        <w:t>222</w:t>
      </w:r>
      <w:r>
        <w:t xml:space="preserve"> </w:t>
      </w:r>
      <w:r w:rsidRPr="00F138B6">
        <w:t>USPQ</w:t>
      </w:r>
      <w:r>
        <w:t xml:space="preserve"> </w:t>
      </w:r>
      <w:r w:rsidRPr="00F138B6">
        <w:t>669</w:t>
      </w:r>
      <w:r>
        <w:t xml:space="preserve"> </w:t>
      </w:r>
      <w:r w:rsidRPr="00F138B6">
        <w:t>(7th</w:t>
      </w:r>
      <w:r>
        <w:t xml:space="preserve"> </w:t>
      </w:r>
      <w:r w:rsidRPr="00F138B6">
        <w:t>Cir.),</w:t>
      </w:r>
      <w:r>
        <w:t xml:space="preserve"> </w:t>
      </w:r>
      <w:r w:rsidRPr="00F138B6">
        <w:rPr>
          <w:i/>
        </w:rPr>
        <w:t>cert</w:t>
      </w:r>
      <w:r w:rsidRPr="00F138B6">
        <w:t>.</w:t>
      </w:r>
      <w:r>
        <w:t xml:space="preserve"> </w:t>
      </w:r>
      <w:r w:rsidRPr="00F138B6">
        <w:rPr>
          <w:i/>
        </w:rPr>
        <w:t>denied</w:t>
      </w:r>
      <w:r w:rsidRPr="00F138B6">
        <w:t>,</w:t>
      </w:r>
      <w:r>
        <w:t xml:space="preserve"> </w:t>
      </w:r>
      <w:r w:rsidRPr="00F138B6">
        <w:t>469</w:t>
      </w:r>
      <w:r>
        <w:t xml:space="preserve"> </w:t>
      </w:r>
      <w:r w:rsidRPr="00F138B6">
        <w:t>U.S.</w:t>
      </w:r>
      <w:r>
        <w:t xml:space="preserve"> </w:t>
      </w:r>
      <w:r w:rsidRPr="00F138B6">
        <w:t>1019</w:t>
      </w:r>
      <w:r>
        <w:t xml:space="preserve"> </w:t>
      </w:r>
      <w:r w:rsidRPr="00F138B6">
        <w:t>(1984)).</w:t>
      </w:r>
      <w:r>
        <w:t xml:space="preserve"> </w:t>
      </w:r>
      <w:r w:rsidRPr="00F138B6">
        <w:t>Ultimately,</w:t>
      </w:r>
      <w:r>
        <w:t xml:space="preserve"> </w:t>
      </w:r>
      <w:r w:rsidRPr="00F138B6">
        <w:t>the</w:t>
      </w:r>
      <w:r>
        <w:t xml:space="preserve"> </w:t>
      </w:r>
      <w:r w:rsidRPr="00F138B6">
        <w:t>district</w:t>
      </w:r>
      <w:r>
        <w:t xml:space="preserve"> </w:t>
      </w:r>
      <w:r w:rsidRPr="00F138B6">
        <w:t>court</w:t>
      </w:r>
      <w:r>
        <w:t xml:space="preserve"> </w:t>
      </w:r>
      <w:r w:rsidRPr="00F138B6">
        <w:t>limited</w:t>
      </w:r>
      <w:r>
        <w:t xml:space="preserve"> </w:t>
      </w:r>
      <w:r w:rsidRPr="00F138B6">
        <w:t>its</w:t>
      </w:r>
      <w:r>
        <w:t xml:space="preserve"> </w:t>
      </w:r>
      <w:r w:rsidRPr="00F138B6">
        <w:t>refusal</w:t>
      </w:r>
      <w:r>
        <w:t xml:space="preserve"> </w:t>
      </w:r>
      <w:r w:rsidRPr="00F138B6">
        <w:t>to</w:t>
      </w:r>
      <w:r>
        <w:t xml:space="preserve"> </w:t>
      </w:r>
      <w:r w:rsidRPr="00F138B6">
        <w:t>a</w:t>
      </w:r>
      <w:r>
        <w:t xml:space="preserve"> </w:t>
      </w:r>
      <w:r w:rsidRPr="00F138B6">
        <w:t>one-month</w:t>
      </w:r>
      <w:r>
        <w:t xml:space="preserve"> </w:t>
      </w:r>
      <w:r w:rsidRPr="00F138B6">
        <w:t>period,</w:t>
      </w:r>
      <w:r>
        <w:t xml:space="preserve"> </w:t>
      </w:r>
      <w:r w:rsidRPr="00F138B6">
        <w:t>allowing</w:t>
      </w:r>
      <w:r>
        <w:t xml:space="preserve"> </w:t>
      </w:r>
      <w:r w:rsidRPr="00F138B6">
        <w:t>the</w:t>
      </w:r>
      <w:r>
        <w:t xml:space="preserve"> </w:t>
      </w:r>
      <w:r w:rsidRPr="00F138B6">
        <w:t>defendant</w:t>
      </w:r>
      <w:r>
        <w:t xml:space="preserve"> </w:t>
      </w:r>
      <w:r w:rsidRPr="00F138B6">
        <w:t>time</w:t>
      </w:r>
      <w:r>
        <w:t xml:space="preserve"> </w:t>
      </w:r>
      <w:r w:rsidRPr="00F138B6">
        <w:t>to</w:t>
      </w:r>
      <w:r>
        <w:t xml:space="preserve"> </w:t>
      </w:r>
      <w:r w:rsidRPr="00F138B6">
        <w:t>appeal,</w:t>
      </w:r>
      <w:r>
        <w:t xml:space="preserve"> </w:t>
      </w:r>
      <w:proofErr w:type="gramStart"/>
      <w:r w:rsidRPr="00F138B6">
        <w:t>in</w:t>
      </w:r>
      <w:r>
        <w:t xml:space="preserve"> </w:t>
      </w:r>
      <w:r w:rsidRPr="00F138B6">
        <w:t>an</w:t>
      </w:r>
      <w:r>
        <w:t xml:space="preserve"> </w:t>
      </w:r>
      <w:r w:rsidRPr="00F138B6">
        <w:t>attempt</w:t>
      </w:r>
      <w:r>
        <w:t xml:space="preserve"> </w:t>
      </w:r>
      <w:r w:rsidRPr="00F138B6">
        <w:t>to</w:t>
      </w:r>
      <w:proofErr w:type="gramEnd"/>
      <w:r>
        <w:t xml:space="preserve"> </w:t>
      </w:r>
      <w:r w:rsidRPr="00F138B6">
        <w:t>compromise</w:t>
      </w:r>
      <w:r>
        <w:t xml:space="preserve"> </w:t>
      </w:r>
      <w:r w:rsidRPr="00F138B6">
        <w:t>between</w:t>
      </w:r>
      <w:r>
        <w:t xml:space="preserve"> </w:t>
      </w:r>
      <w:r w:rsidRPr="00F138B6">
        <w:t>the</w:t>
      </w:r>
      <w:r>
        <w:t xml:space="preserve"> </w:t>
      </w:r>
      <w:r w:rsidRPr="00F138B6">
        <w:t>Seventh</w:t>
      </w:r>
      <w:r>
        <w:t xml:space="preserve"> </w:t>
      </w:r>
      <w:r w:rsidRPr="00F138B6">
        <w:t>Circuit</w:t>
      </w:r>
      <w:r>
        <w:t xml:space="preserve"> </w:t>
      </w:r>
      <w:r w:rsidRPr="00F138B6">
        <w:t>and</w:t>
      </w:r>
      <w:r>
        <w:t xml:space="preserve"> </w:t>
      </w:r>
      <w:r w:rsidRPr="00F138B6">
        <w:t>the</w:t>
      </w:r>
      <w:r>
        <w:t xml:space="preserve"> </w:t>
      </w:r>
      <w:r w:rsidRPr="00F138B6">
        <w:t>district</w:t>
      </w:r>
      <w:r>
        <w:t xml:space="preserve"> </w:t>
      </w:r>
      <w:r w:rsidRPr="00F138B6">
        <w:t>court’s</w:t>
      </w:r>
      <w:r>
        <w:t xml:space="preserve"> </w:t>
      </w:r>
      <w:r w:rsidRPr="00F138B6">
        <w:t>own</w:t>
      </w:r>
      <w:r>
        <w:t xml:space="preserve"> </w:t>
      </w:r>
      <w:r w:rsidRPr="00F138B6">
        <w:t>constitutional</w:t>
      </w:r>
      <w:r>
        <w:t xml:space="preserve"> </w:t>
      </w:r>
      <w:r w:rsidRPr="00F138B6">
        <w:t>analysis.</w:t>
      </w:r>
      <w:r>
        <w:t xml:space="preserve"> </w:t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at</w:t>
      </w:r>
      <w:r>
        <w:t xml:space="preserve"> </w:t>
      </w:r>
      <w:r w:rsidRPr="00F138B6">
        <w:t>386.</w:t>
      </w:r>
    </w:p>
  </w:footnote>
  <w:footnote w:id="27">
    <w:p w14:paraId="3D9BC256" w14:textId="6DFE4AE3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at</w:t>
      </w:r>
      <w:r>
        <w:t xml:space="preserve"> </w:t>
      </w:r>
      <w:r w:rsidRPr="00F138B6">
        <w:t>383–84.</w:t>
      </w:r>
    </w:p>
  </w:footnote>
  <w:footnote w:id="28">
    <w:p w14:paraId="067AEABA" w14:textId="0CE72CEB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at</w:t>
      </w:r>
      <w:r>
        <w:t xml:space="preserve"> </w:t>
      </w:r>
      <w:r w:rsidRPr="00F138B6">
        <w:t>384–85.</w:t>
      </w:r>
    </w:p>
  </w:footnote>
  <w:footnote w:id="29">
    <w:p w14:paraId="6A3E3B88" w14:textId="18392D35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at</w:t>
      </w:r>
      <w:r>
        <w:t xml:space="preserve"> </w:t>
      </w:r>
      <w:r w:rsidRPr="00F138B6">
        <w:t>384.</w:t>
      </w:r>
      <w:r>
        <w:t xml:space="preserve"> </w:t>
      </w:r>
      <w:r w:rsidRPr="00F138B6">
        <w:t>The</w:t>
      </w:r>
      <w:r>
        <w:t xml:space="preserve"> </w:t>
      </w:r>
      <w:r w:rsidRPr="00F138B6">
        <w:t>lack</w:t>
      </w:r>
      <w:r>
        <w:t xml:space="preserve"> </w:t>
      </w:r>
      <w:r w:rsidRPr="00F138B6">
        <w:t>of</w:t>
      </w:r>
      <w:r>
        <w:t xml:space="preserve"> </w:t>
      </w:r>
      <w:r w:rsidRPr="00F138B6">
        <w:t>any</w:t>
      </w:r>
      <w:r>
        <w:t xml:space="preserve"> </w:t>
      </w:r>
      <w:r w:rsidRPr="00F138B6">
        <w:t>confusion</w:t>
      </w:r>
      <w:r>
        <w:t xml:space="preserve"> </w:t>
      </w:r>
      <w:r w:rsidRPr="00F138B6">
        <w:t>requirement</w:t>
      </w:r>
      <w:r>
        <w:t xml:space="preserve"> </w:t>
      </w:r>
      <w:r w:rsidRPr="00F138B6">
        <w:t>obviated</w:t>
      </w:r>
      <w:r>
        <w:t xml:space="preserve"> </w:t>
      </w:r>
      <w:r w:rsidRPr="00F138B6">
        <w:t>any</w:t>
      </w:r>
      <w:r>
        <w:t xml:space="preserve"> </w:t>
      </w:r>
      <w:r w:rsidRPr="00F138B6">
        <w:t>argument</w:t>
      </w:r>
      <w:r>
        <w:t xml:space="preserve"> </w:t>
      </w:r>
      <w:r w:rsidRPr="00F138B6">
        <w:t>that</w:t>
      </w:r>
      <w:r>
        <w:t xml:space="preserve"> </w:t>
      </w:r>
      <w:r w:rsidRPr="00F138B6">
        <w:t>the</w:t>
      </w:r>
      <w:r>
        <w:t xml:space="preserve"> </w:t>
      </w:r>
      <w:r w:rsidRPr="00F138B6">
        <w:t>state</w:t>
      </w:r>
      <w:r>
        <w:t xml:space="preserve"> </w:t>
      </w:r>
      <w:r w:rsidRPr="00F138B6">
        <w:t>was</w:t>
      </w:r>
      <w:r>
        <w:t xml:space="preserve"> </w:t>
      </w:r>
      <w:r w:rsidRPr="00F138B6">
        <w:t>protecting</w:t>
      </w:r>
      <w:r>
        <w:t xml:space="preserve"> </w:t>
      </w:r>
      <w:r w:rsidRPr="00F138B6">
        <w:t>its</w:t>
      </w:r>
      <w:r>
        <w:t xml:space="preserve"> </w:t>
      </w:r>
      <w:r w:rsidRPr="00F138B6">
        <w:t>citizens</w:t>
      </w:r>
      <w:r>
        <w:t xml:space="preserve"> </w:t>
      </w:r>
      <w:r w:rsidRPr="00F138B6">
        <w:t>from</w:t>
      </w:r>
      <w:r>
        <w:t xml:space="preserve"> </w:t>
      </w:r>
      <w:r w:rsidRPr="00F138B6">
        <w:t>deceptive</w:t>
      </w:r>
      <w:r>
        <w:t xml:space="preserve"> </w:t>
      </w:r>
      <w:r w:rsidRPr="00F138B6">
        <w:t>practices.</w:t>
      </w:r>
    </w:p>
  </w:footnote>
  <w:footnote w:id="30">
    <w:p w14:paraId="0577CBC2" w14:textId="34326CB2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at</w:t>
      </w:r>
      <w:r>
        <w:t xml:space="preserve"> </w:t>
      </w:r>
      <w:r w:rsidRPr="00F138B6">
        <w:t>385.</w:t>
      </w:r>
    </w:p>
  </w:footnote>
  <w:footnote w:id="31">
    <w:p w14:paraId="1E2B3296" w14:textId="381E23E9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at</w:t>
      </w:r>
      <w:r>
        <w:t xml:space="preserve"> </w:t>
      </w:r>
      <w:r w:rsidRPr="00F138B6">
        <w:t>386.</w:t>
      </w:r>
      <w:r>
        <w:t xml:space="preserve"> </w:t>
      </w:r>
      <w:r w:rsidRPr="00F138B6">
        <w:t>Ironically,</w:t>
      </w:r>
      <w:r>
        <w:t xml:space="preserve"> </w:t>
      </w:r>
      <w:r w:rsidRPr="00F138B6">
        <w:t>Illinois</w:t>
      </w:r>
      <w:r>
        <w:t xml:space="preserve"> </w:t>
      </w:r>
      <w:r w:rsidRPr="00F138B6">
        <w:t>has</w:t>
      </w:r>
      <w:r>
        <w:t xml:space="preserve"> </w:t>
      </w:r>
      <w:r w:rsidRPr="00F138B6">
        <w:t>since</w:t>
      </w:r>
      <w:r>
        <w:t xml:space="preserve"> </w:t>
      </w:r>
      <w:r w:rsidRPr="00F138B6">
        <w:t>replaced</w:t>
      </w:r>
      <w:r>
        <w:t xml:space="preserve"> </w:t>
      </w:r>
      <w:r w:rsidRPr="00F138B6">
        <w:t>its</w:t>
      </w:r>
      <w:r>
        <w:t xml:space="preserve"> </w:t>
      </w:r>
      <w:r w:rsidRPr="00F138B6">
        <w:t>dilution</w:t>
      </w:r>
      <w:r>
        <w:t xml:space="preserve"> </w:t>
      </w:r>
      <w:r w:rsidRPr="00F138B6">
        <w:t>law</w:t>
      </w:r>
      <w:r>
        <w:t xml:space="preserve"> </w:t>
      </w:r>
      <w:r w:rsidRPr="00F138B6">
        <w:t>with</w:t>
      </w:r>
      <w:r>
        <w:t xml:space="preserve"> </w:t>
      </w:r>
      <w:r w:rsidRPr="00F138B6">
        <w:t>one</w:t>
      </w:r>
      <w:r>
        <w:t xml:space="preserve"> </w:t>
      </w:r>
      <w:r w:rsidRPr="00F138B6">
        <w:t>that</w:t>
      </w:r>
      <w:r>
        <w:t xml:space="preserve"> </w:t>
      </w:r>
      <w:r w:rsidRPr="00F138B6">
        <w:t>limits</w:t>
      </w:r>
      <w:r>
        <w:t xml:space="preserve"> </w:t>
      </w:r>
      <w:r w:rsidRPr="00F138B6">
        <w:t>injunctive</w:t>
      </w:r>
      <w:r>
        <w:t xml:space="preserve"> </w:t>
      </w:r>
      <w:r w:rsidRPr="00F138B6">
        <w:t>relief</w:t>
      </w:r>
      <w:r>
        <w:t xml:space="preserve"> </w:t>
      </w:r>
      <w:r w:rsidRPr="00F138B6">
        <w:t>to</w:t>
      </w:r>
      <w:r>
        <w:t xml:space="preserve"> </w:t>
      </w:r>
      <w:r w:rsidRPr="00F138B6">
        <w:t>the</w:t>
      </w:r>
      <w:r>
        <w:t xml:space="preserve"> </w:t>
      </w:r>
      <w:r w:rsidRPr="00F138B6">
        <w:t>state’s</w:t>
      </w:r>
      <w:r>
        <w:t xml:space="preserve"> </w:t>
      </w:r>
      <w:r w:rsidRPr="00F138B6">
        <w:t>borders.</w:t>
      </w:r>
      <w:r>
        <w:t xml:space="preserve"> </w:t>
      </w:r>
      <w:r w:rsidRPr="00F138B6">
        <w:t>765</w:t>
      </w:r>
      <w:r>
        <w:t xml:space="preserve"> </w:t>
      </w:r>
      <w:r w:rsidRPr="00F138B6">
        <w:rPr>
          <w:smallCaps/>
        </w:rPr>
        <w:t>Ill.</w:t>
      </w:r>
      <w:r>
        <w:rPr>
          <w:smallCaps/>
        </w:rPr>
        <w:t xml:space="preserve"> </w:t>
      </w:r>
      <w:r w:rsidRPr="00F138B6">
        <w:rPr>
          <w:smallCaps/>
        </w:rPr>
        <w:t>Comp.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§1036/65(a)</w:t>
      </w:r>
      <w:r>
        <w:t xml:space="preserve"> </w:t>
      </w:r>
      <w:r w:rsidRPr="00F138B6">
        <w:t>(West</w:t>
      </w:r>
      <w:r>
        <w:t xml:space="preserve"> </w:t>
      </w:r>
      <w:r w:rsidRPr="00F138B6">
        <w:t>2009)</w:t>
      </w:r>
      <w:r>
        <w:t xml:space="preserve"> </w:t>
      </w:r>
      <w:r w:rsidRPr="00F138B6">
        <w:t>(allowing</w:t>
      </w:r>
      <w:r>
        <w:t xml:space="preserve"> </w:t>
      </w:r>
      <w:r w:rsidRPr="00F138B6">
        <w:t>“injunctive</w:t>
      </w:r>
      <w:r>
        <w:t xml:space="preserve"> </w:t>
      </w:r>
      <w:r w:rsidRPr="00F138B6">
        <w:t>relief</w:t>
      </w:r>
      <w:r>
        <w:t xml:space="preserve"> </w:t>
      </w:r>
      <w:r w:rsidRPr="00F138B6">
        <w:t>in</w:t>
      </w:r>
      <w:r>
        <w:t xml:space="preserve"> </w:t>
      </w:r>
      <w:r w:rsidRPr="00F138B6">
        <w:t>this</w:t>
      </w:r>
      <w:r>
        <w:t xml:space="preserve"> </w:t>
      </w:r>
      <w:r w:rsidRPr="00F138B6">
        <w:t>State”).</w:t>
      </w:r>
    </w:p>
  </w:footnote>
  <w:footnote w:id="32">
    <w:p w14:paraId="0344D7C1" w14:textId="007C35F5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See</w:t>
      </w:r>
      <w:r>
        <w:rPr>
          <w:i/>
        </w:rPr>
        <w:t xml:space="preserve"> </w:t>
      </w:r>
      <w:r w:rsidRPr="00F138B6">
        <w:rPr>
          <w:i/>
        </w:rPr>
        <w:t>generally</w:t>
      </w:r>
      <w:r>
        <w:t xml:space="preserve"> </w:t>
      </w:r>
      <w:r w:rsidRPr="00F138B6">
        <w:t>David</w:t>
      </w:r>
      <w:r>
        <w:t xml:space="preserve"> </w:t>
      </w:r>
      <w:r w:rsidRPr="00F138B6">
        <w:t>S.</w:t>
      </w:r>
      <w:r>
        <w:t xml:space="preserve"> </w:t>
      </w:r>
      <w:r w:rsidRPr="00F138B6">
        <w:t>Welkowitz,</w:t>
      </w:r>
      <w:r>
        <w:t xml:space="preserve"> </w:t>
      </w:r>
      <w:r w:rsidRPr="00F138B6">
        <w:rPr>
          <w:i/>
        </w:rPr>
        <w:t>Preemption,</w:t>
      </w:r>
      <w:r>
        <w:rPr>
          <w:i/>
        </w:rPr>
        <w:t xml:space="preserve"> </w:t>
      </w:r>
      <w:r w:rsidRPr="00F138B6">
        <w:rPr>
          <w:i/>
        </w:rPr>
        <w:t>Extraterritoriality,</w:t>
      </w:r>
      <w:r>
        <w:rPr>
          <w:i/>
        </w:rPr>
        <w:t xml:space="preserve"> </w:t>
      </w:r>
      <w:r w:rsidRPr="00F138B6">
        <w:rPr>
          <w:i/>
        </w:rPr>
        <w:t>and</w:t>
      </w:r>
      <w:r>
        <w:rPr>
          <w:i/>
        </w:rPr>
        <w:t xml:space="preserve"> </w:t>
      </w:r>
      <w:r w:rsidRPr="00F138B6">
        <w:rPr>
          <w:i/>
        </w:rPr>
        <w:t>the</w:t>
      </w:r>
      <w:r>
        <w:rPr>
          <w:i/>
        </w:rPr>
        <w:t xml:space="preserve"> </w:t>
      </w:r>
      <w:r w:rsidRPr="00F138B6">
        <w:rPr>
          <w:i/>
        </w:rPr>
        <w:t>Problem</w:t>
      </w:r>
      <w:r>
        <w:rPr>
          <w:i/>
        </w:rPr>
        <w:t xml:space="preserve"> </w:t>
      </w:r>
      <w:r w:rsidRPr="00F138B6">
        <w:rPr>
          <w:i/>
        </w:rPr>
        <w:t>of</w:t>
      </w:r>
      <w:r>
        <w:rPr>
          <w:i/>
        </w:rPr>
        <w:t xml:space="preserve"> </w:t>
      </w:r>
      <w:r w:rsidRPr="00F138B6">
        <w:rPr>
          <w:i/>
        </w:rPr>
        <w:t>State</w:t>
      </w:r>
      <w:r>
        <w:rPr>
          <w:i/>
        </w:rPr>
        <w:t xml:space="preserve"> </w:t>
      </w:r>
      <w:r w:rsidRPr="00F138B6">
        <w:rPr>
          <w:i/>
        </w:rPr>
        <w:t>Antidilution</w:t>
      </w:r>
      <w:r>
        <w:rPr>
          <w:i/>
        </w:rPr>
        <w:t xml:space="preserve"> </w:t>
      </w:r>
      <w:r w:rsidRPr="00F138B6">
        <w:rPr>
          <w:i/>
        </w:rPr>
        <w:t>Laws</w:t>
      </w:r>
      <w:r w:rsidRPr="00F138B6">
        <w:t>,</w:t>
      </w:r>
      <w:r>
        <w:t xml:space="preserve"> </w:t>
      </w:r>
      <w:r w:rsidRPr="00F138B6">
        <w:t>67</w:t>
      </w:r>
      <w:r>
        <w:t xml:space="preserve"> </w:t>
      </w:r>
      <w:r w:rsidRPr="00F138B6">
        <w:rPr>
          <w:smallCaps/>
        </w:rPr>
        <w:t>Tul.</w:t>
      </w:r>
      <w:r>
        <w:rPr>
          <w:smallCaps/>
        </w:rPr>
        <w:t xml:space="preserve"> </w:t>
      </w:r>
      <w:r w:rsidRPr="00F138B6">
        <w:rPr>
          <w:smallCaps/>
        </w:rPr>
        <w:t>L.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t>1</w:t>
      </w:r>
      <w:r>
        <w:t xml:space="preserve"> </w:t>
      </w:r>
      <w:r w:rsidRPr="00F138B6">
        <w:t>(1992).</w:t>
      </w:r>
      <w:r>
        <w:t xml:space="preserve"> </w:t>
      </w:r>
      <w:r w:rsidRPr="00F138B6">
        <w:t>This</w:t>
      </w:r>
      <w:r>
        <w:t xml:space="preserve"> </w:t>
      </w:r>
      <w:r w:rsidRPr="00F138B6">
        <w:t>article</w:t>
      </w:r>
      <w:r>
        <w:t xml:space="preserve"> </w:t>
      </w:r>
      <w:r w:rsidRPr="00F138B6">
        <w:t>sets</w:t>
      </w:r>
      <w:r>
        <w:t xml:space="preserve"> </w:t>
      </w:r>
      <w:r w:rsidRPr="00F138B6">
        <w:t>forth</w:t>
      </w:r>
      <w:r>
        <w:t xml:space="preserve"> </w:t>
      </w:r>
      <w:r w:rsidRPr="00F138B6">
        <w:t>the</w:t>
      </w:r>
      <w:r>
        <w:t xml:space="preserve"> </w:t>
      </w:r>
      <w:r w:rsidRPr="00F138B6">
        <w:t>author’s</w:t>
      </w:r>
      <w:r>
        <w:t xml:space="preserve"> </w:t>
      </w:r>
      <w:r w:rsidRPr="00F138B6">
        <w:t>constitutional</w:t>
      </w:r>
      <w:r>
        <w:t xml:space="preserve"> </w:t>
      </w:r>
      <w:r w:rsidRPr="00F138B6">
        <w:t>analysis</w:t>
      </w:r>
      <w:r>
        <w:t xml:space="preserve"> </w:t>
      </w:r>
      <w:r w:rsidRPr="00F138B6">
        <w:t>at</w:t>
      </w:r>
      <w:r>
        <w:t xml:space="preserve"> </w:t>
      </w:r>
      <w:r w:rsidRPr="00F138B6">
        <w:t>length.</w:t>
      </w:r>
    </w:p>
  </w:footnote>
  <w:footnote w:id="33">
    <w:p w14:paraId="15C7EEA1" w14:textId="51AE4E47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See,</w:t>
      </w:r>
      <w:r>
        <w:rPr>
          <w:i/>
        </w:rPr>
        <w:t xml:space="preserve"> </w:t>
      </w:r>
      <w:r w:rsidRPr="00F138B6">
        <w:rPr>
          <w:i/>
        </w:rPr>
        <w:t>e</w:t>
      </w:r>
      <w:r w:rsidRPr="00F138B6">
        <w:t>.</w:t>
      </w:r>
      <w:r w:rsidRPr="00F138B6">
        <w:rPr>
          <w:i/>
        </w:rPr>
        <w:t>g</w:t>
      </w:r>
      <w:r w:rsidRPr="00F138B6">
        <w:t>.,</w:t>
      </w:r>
      <w:r>
        <w:t xml:space="preserve"> </w:t>
      </w:r>
      <w:r w:rsidRPr="00F138B6">
        <w:t>World-Wide</w:t>
      </w:r>
      <w:r>
        <w:t xml:space="preserve"> </w:t>
      </w:r>
      <w:r w:rsidRPr="00F138B6">
        <w:t>Volkswagen</w:t>
      </w:r>
      <w:r>
        <w:t xml:space="preserve"> </w:t>
      </w:r>
      <w:r w:rsidRPr="00F138B6">
        <w:t>v.</w:t>
      </w:r>
      <w:r>
        <w:t xml:space="preserve"> </w:t>
      </w:r>
      <w:r w:rsidRPr="00F138B6">
        <w:t>Woodson,</w:t>
      </w:r>
      <w:r>
        <w:t xml:space="preserve"> </w:t>
      </w:r>
      <w:r w:rsidRPr="00F138B6">
        <w:t>444</w:t>
      </w:r>
      <w:r>
        <w:t xml:space="preserve"> </w:t>
      </w:r>
      <w:r w:rsidRPr="00F138B6">
        <w:t>U.S.</w:t>
      </w:r>
      <w:r>
        <w:t xml:space="preserve"> </w:t>
      </w:r>
      <w:r w:rsidRPr="00F138B6">
        <w:t>286,</w:t>
      </w:r>
      <w:r>
        <w:t xml:space="preserve"> </w:t>
      </w:r>
      <w:r w:rsidRPr="00F138B6">
        <w:t>291–93</w:t>
      </w:r>
      <w:r>
        <w:t xml:space="preserve"> </w:t>
      </w:r>
      <w:r w:rsidRPr="00F138B6">
        <w:t>(1980);</w:t>
      </w:r>
      <w:r>
        <w:t xml:space="preserve"> </w:t>
      </w:r>
      <w:r w:rsidRPr="00F138B6">
        <w:t>Hanson</w:t>
      </w:r>
      <w:r>
        <w:t xml:space="preserve"> </w:t>
      </w:r>
      <w:r w:rsidRPr="00F138B6">
        <w:t>v.</w:t>
      </w:r>
      <w:r>
        <w:t xml:space="preserve"> </w:t>
      </w:r>
      <w:r w:rsidRPr="00F138B6">
        <w:t>Denckla,</w:t>
      </w:r>
      <w:r>
        <w:t xml:space="preserve"> </w:t>
      </w:r>
      <w:r w:rsidRPr="00F138B6">
        <w:t>357</w:t>
      </w:r>
      <w:r>
        <w:t xml:space="preserve"> </w:t>
      </w:r>
      <w:r w:rsidRPr="00F138B6">
        <w:t>U.S.</w:t>
      </w:r>
      <w:r>
        <w:t xml:space="preserve"> </w:t>
      </w:r>
      <w:r w:rsidRPr="00F138B6">
        <w:t>235,</w:t>
      </w:r>
      <w:r>
        <w:t xml:space="preserve"> </w:t>
      </w:r>
      <w:r w:rsidRPr="00F138B6">
        <w:t>251</w:t>
      </w:r>
      <w:r>
        <w:t xml:space="preserve"> </w:t>
      </w:r>
      <w:r w:rsidRPr="00F138B6">
        <w:t>(1958)</w:t>
      </w:r>
      <w:r>
        <w:t xml:space="preserve"> </w:t>
      </w:r>
      <w:r w:rsidRPr="00F138B6">
        <w:t>(“[R]estrictions</w:t>
      </w:r>
      <w:r>
        <w:t xml:space="preserve"> </w:t>
      </w:r>
      <w:r w:rsidRPr="00F138B6">
        <w:t>[on</w:t>
      </w:r>
      <w:r>
        <w:t xml:space="preserve"> </w:t>
      </w:r>
      <w:r w:rsidRPr="00F138B6">
        <w:t>personal</w:t>
      </w:r>
      <w:r>
        <w:t xml:space="preserve"> </w:t>
      </w:r>
      <w:r w:rsidRPr="00F138B6">
        <w:t>jurisdiction]</w:t>
      </w:r>
      <w:r>
        <w:t xml:space="preserve"> </w:t>
      </w:r>
      <w:r w:rsidRPr="00F138B6">
        <w:t>are</w:t>
      </w:r>
      <w:r>
        <w:t xml:space="preserve"> </w:t>
      </w:r>
      <w:r w:rsidRPr="00F138B6">
        <w:t>more</w:t>
      </w:r>
      <w:r>
        <w:t xml:space="preserve"> </w:t>
      </w:r>
      <w:r w:rsidRPr="00F138B6">
        <w:t>than</w:t>
      </w:r>
      <w:r>
        <w:t xml:space="preserve"> </w:t>
      </w:r>
      <w:r w:rsidRPr="00F138B6">
        <w:t>a</w:t>
      </w:r>
      <w:r>
        <w:t xml:space="preserve"> </w:t>
      </w:r>
      <w:r w:rsidRPr="00F138B6">
        <w:t>guarantee</w:t>
      </w:r>
      <w:r>
        <w:t xml:space="preserve"> </w:t>
      </w:r>
      <w:r w:rsidRPr="00F138B6">
        <w:t>of</w:t>
      </w:r>
      <w:r>
        <w:t xml:space="preserve"> </w:t>
      </w:r>
      <w:r w:rsidRPr="00F138B6">
        <w:t>immunity</w:t>
      </w:r>
      <w:r>
        <w:t xml:space="preserve"> </w:t>
      </w:r>
      <w:r w:rsidRPr="00F138B6">
        <w:t>from</w:t>
      </w:r>
      <w:r>
        <w:t xml:space="preserve"> </w:t>
      </w:r>
      <w:r w:rsidRPr="00F138B6">
        <w:t>inconvenient</w:t>
      </w:r>
      <w:r>
        <w:t xml:space="preserve"> </w:t>
      </w:r>
      <w:r w:rsidRPr="00F138B6">
        <w:t>or</w:t>
      </w:r>
      <w:r>
        <w:t xml:space="preserve"> </w:t>
      </w:r>
      <w:r w:rsidRPr="00F138B6">
        <w:t>distant</w:t>
      </w:r>
      <w:r>
        <w:t xml:space="preserve"> </w:t>
      </w:r>
      <w:r w:rsidRPr="00F138B6">
        <w:t>litigation.</w:t>
      </w:r>
      <w:r>
        <w:t xml:space="preserve"> </w:t>
      </w:r>
      <w:r w:rsidRPr="00F138B6">
        <w:t>They</w:t>
      </w:r>
      <w:r>
        <w:t xml:space="preserve"> </w:t>
      </w:r>
      <w:r w:rsidRPr="00F138B6">
        <w:t>are</w:t>
      </w:r>
      <w:r>
        <w:t xml:space="preserve"> </w:t>
      </w:r>
      <w:r w:rsidRPr="00F138B6">
        <w:t>a</w:t>
      </w:r>
      <w:r>
        <w:t xml:space="preserve"> </w:t>
      </w:r>
      <w:r w:rsidRPr="00F138B6">
        <w:t>consequence</w:t>
      </w:r>
      <w:r>
        <w:t xml:space="preserve"> </w:t>
      </w:r>
      <w:r w:rsidRPr="00F138B6">
        <w:t>of</w:t>
      </w:r>
      <w:r>
        <w:t xml:space="preserve"> </w:t>
      </w:r>
      <w:r w:rsidRPr="00F138B6">
        <w:t>territorial</w:t>
      </w:r>
      <w:r>
        <w:t xml:space="preserve"> </w:t>
      </w:r>
      <w:r w:rsidRPr="00F138B6">
        <w:t>limitations</w:t>
      </w:r>
      <w:r>
        <w:t xml:space="preserve"> </w:t>
      </w:r>
      <w:r w:rsidRPr="00F138B6">
        <w:t>on</w:t>
      </w:r>
      <w:r>
        <w:t xml:space="preserve"> </w:t>
      </w:r>
      <w:r w:rsidRPr="00F138B6">
        <w:t>the</w:t>
      </w:r>
      <w:r>
        <w:t xml:space="preserve"> </w:t>
      </w:r>
      <w:r w:rsidRPr="00F138B6">
        <w:t>power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respective</w:t>
      </w:r>
      <w:r>
        <w:t xml:space="preserve"> </w:t>
      </w:r>
      <w:r w:rsidRPr="00F138B6">
        <w:t>States.”);</w:t>
      </w:r>
      <w:r>
        <w:t xml:space="preserve"> </w:t>
      </w:r>
      <w:r w:rsidRPr="00F138B6">
        <w:rPr>
          <w:i/>
        </w:rPr>
        <w:t>see</w:t>
      </w:r>
      <w:r>
        <w:t xml:space="preserve"> </w:t>
      </w:r>
      <w:r w:rsidRPr="00F138B6">
        <w:t>Welkowitz,</w:t>
      </w:r>
      <w:r>
        <w:t xml:space="preserve"> </w:t>
      </w:r>
      <w:r w:rsidRPr="00F138B6">
        <w:rPr>
          <w:i/>
        </w:rPr>
        <w:t>supra</w:t>
      </w:r>
      <w:r>
        <w:rPr>
          <w:i/>
        </w:rPr>
        <w:t xml:space="preserve"> </w:t>
      </w:r>
      <w:r w:rsidRPr="00F138B6">
        <w:t>note</w:t>
      </w:r>
      <w:r>
        <w:t xml:space="preserve"> </w:t>
      </w:r>
      <w:r w:rsidRPr="00F138B6">
        <w:t>31,</w:t>
      </w:r>
      <w:r>
        <w:t xml:space="preserve"> </w:t>
      </w:r>
      <w:r w:rsidRPr="00F138B6">
        <w:t>at</w:t>
      </w:r>
      <w:r>
        <w:t xml:space="preserve"> </w:t>
      </w:r>
      <w:r w:rsidRPr="00F138B6">
        <w:t>25–30.</w:t>
      </w:r>
    </w:p>
  </w:footnote>
  <w:footnote w:id="34">
    <w:p w14:paraId="0E01BAF5" w14:textId="795014A4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See</w:t>
      </w:r>
      <w:r>
        <w:t xml:space="preserve"> </w:t>
      </w:r>
      <w:r w:rsidRPr="00F138B6">
        <w:t>Goldstein</w:t>
      </w:r>
      <w:r>
        <w:t xml:space="preserve"> </w:t>
      </w:r>
      <w:r w:rsidRPr="00F138B6">
        <w:t>v.</w:t>
      </w:r>
      <w:r>
        <w:t xml:space="preserve"> </w:t>
      </w:r>
      <w:r w:rsidRPr="00F138B6">
        <w:t>California,</w:t>
      </w:r>
      <w:r>
        <w:t xml:space="preserve"> </w:t>
      </w:r>
      <w:r w:rsidRPr="00F138B6">
        <w:t>412</w:t>
      </w:r>
      <w:r>
        <w:t xml:space="preserve"> </w:t>
      </w:r>
      <w:r w:rsidRPr="00F138B6">
        <w:t>U.S.</w:t>
      </w:r>
      <w:r>
        <w:t xml:space="preserve"> </w:t>
      </w:r>
      <w:r w:rsidRPr="00F138B6">
        <w:t>546,</w:t>
      </w:r>
      <w:r>
        <w:t xml:space="preserve"> </w:t>
      </w:r>
      <w:r w:rsidRPr="00F138B6">
        <w:t>558–59</w:t>
      </w:r>
      <w:r>
        <w:t xml:space="preserve"> </w:t>
      </w:r>
      <w:r w:rsidRPr="00F138B6">
        <w:t>(1973)</w:t>
      </w:r>
      <w:r>
        <w:t xml:space="preserve"> </w:t>
      </w:r>
      <w:r w:rsidRPr="00F138B6">
        <w:t>(suggesting</w:t>
      </w:r>
      <w:r>
        <w:t xml:space="preserve"> </w:t>
      </w:r>
      <w:r w:rsidRPr="00F138B6">
        <w:t>that</w:t>
      </w:r>
      <w:r>
        <w:t xml:space="preserve"> </w:t>
      </w:r>
      <w:r w:rsidRPr="00F138B6">
        <w:t>those</w:t>
      </w:r>
      <w:r>
        <w:t xml:space="preserve"> </w:t>
      </w:r>
      <w:r w:rsidRPr="00F138B6">
        <w:t>seeking</w:t>
      </w:r>
      <w:r>
        <w:t xml:space="preserve"> </w:t>
      </w:r>
      <w:r w:rsidRPr="00F138B6">
        <w:t>to</w:t>
      </w:r>
      <w:r>
        <w:t xml:space="preserve"> </w:t>
      </w:r>
      <w:r w:rsidRPr="00F138B6">
        <w:t>avoid</w:t>
      </w:r>
      <w:r>
        <w:t xml:space="preserve"> </w:t>
      </w:r>
      <w:r w:rsidRPr="00F138B6">
        <w:t>California’s</w:t>
      </w:r>
      <w:r>
        <w:t xml:space="preserve"> </w:t>
      </w:r>
      <w:r w:rsidRPr="00F138B6">
        <w:t>ban</w:t>
      </w:r>
      <w:r>
        <w:t xml:space="preserve"> </w:t>
      </w:r>
      <w:r w:rsidRPr="00F138B6">
        <w:t>on</w:t>
      </w:r>
      <w:r>
        <w:t xml:space="preserve"> </w:t>
      </w:r>
      <w:r w:rsidRPr="00F138B6">
        <w:t>record</w:t>
      </w:r>
      <w:r>
        <w:t xml:space="preserve"> </w:t>
      </w:r>
      <w:r w:rsidRPr="00F138B6">
        <w:t>piracy</w:t>
      </w:r>
      <w:r>
        <w:t xml:space="preserve"> </w:t>
      </w:r>
      <w:r w:rsidRPr="00F138B6">
        <w:t>could</w:t>
      </w:r>
      <w:r>
        <w:t xml:space="preserve"> </w:t>
      </w:r>
      <w:r w:rsidRPr="00F138B6">
        <w:t>go</w:t>
      </w:r>
      <w:r>
        <w:t xml:space="preserve"> </w:t>
      </w:r>
      <w:r w:rsidRPr="00F138B6">
        <w:t>to</w:t>
      </w:r>
      <w:r>
        <w:t xml:space="preserve"> </w:t>
      </w:r>
      <w:r w:rsidRPr="00F138B6">
        <w:t>another</w:t>
      </w:r>
      <w:r>
        <w:t xml:space="preserve"> </w:t>
      </w:r>
      <w:r w:rsidRPr="00F138B6">
        <w:t>state</w:t>
      </w:r>
      <w:r>
        <w:t xml:space="preserve"> </w:t>
      </w:r>
      <w:r w:rsidRPr="00F138B6">
        <w:t>without</w:t>
      </w:r>
      <w:r>
        <w:t xml:space="preserve"> </w:t>
      </w:r>
      <w:r w:rsidRPr="00F138B6">
        <w:t>an</w:t>
      </w:r>
      <w:r>
        <w:t xml:space="preserve"> </w:t>
      </w:r>
      <w:r w:rsidRPr="00F138B6">
        <w:t>antipiracy</w:t>
      </w:r>
      <w:r>
        <w:t xml:space="preserve"> </w:t>
      </w:r>
      <w:r w:rsidRPr="00F138B6">
        <w:t>law).</w:t>
      </w:r>
    </w:p>
  </w:footnote>
  <w:footnote w:id="35">
    <w:p w14:paraId="554AC66D" w14:textId="1203C1C8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34</w:t>
      </w:r>
      <w:r>
        <w:t xml:space="preserve"> </w:t>
      </w:r>
      <w:r w:rsidRPr="00F138B6">
        <w:t>USPQ2d</w:t>
      </w:r>
      <w:r>
        <w:t xml:space="preserve"> </w:t>
      </w:r>
      <w:r w:rsidRPr="00F138B6">
        <w:t>1706</w:t>
      </w:r>
      <w:r>
        <w:t xml:space="preserve"> </w:t>
      </w:r>
      <w:r w:rsidRPr="00F138B6">
        <w:t>(S.D.N.Y.</w:t>
      </w:r>
      <w:r>
        <w:t xml:space="preserve"> </w:t>
      </w:r>
      <w:r w:rsidRPr="00F138B6">
        <w:t>1995).</w:t>
      </w:r>
    </w:p>
  </w:footnote>
  <w:footnote w:id="36">
    <w:p w14:paraId="564EE71A" w14:textId="645FCB30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at</w:t>
      </w:r>
      <w:r>
        <w:t xml:space="preserve"> </w:t>
      </w:r>
      <w:r w:rsidRPr="00F138B6">
        <w:t>1710</w:t>
      </w:r>
      <w:r>
        <w:t xml:space="preserve"> </w:t>
      </w:r>
      <w:r w:rsidRPr="00F138B6">
        <w:t>(citing</w:t>
      </w:r>
      <w:r>
        <w:t xml:space="preserve"> </w:t>
      </w:r>
      <w:r w:rsidRPr="00F138B6">
        <w:t>Deere</w:t>
      </w:r>
      <w:r>
        <w:t xml:space="preserve"> </w:t>
      </w:r>
      <w:r w:rsidRPr="00F138B6">
        <w:t>&amp;</w:t>
      </w:r>
      <w:r>
        <w:t xml:space="preserve"> </w:t>
      </w:r>
      <w:r w:rsidRPr="00F138B6">
        <w:t>Co.</w:t>
      </w:r>
      <w:r>
        <w:t xml:space="preserve"> </w:t>
      </w:r>
      <w:r w:rsidRPr="00F138B6">
        <w:t>v.</w:t>
      </w:r>
      <w:r>
        <w:t xml:space="preserve"> </w:t>
      </w:r>
      <w:r w:rsidRPr="00F138B6">
        <w:t>MTD</w:t>
      </w:r>
      <w:r>
        <w:t xml:space="preserve"> </w:t>
      </w:r>
      <w:r w:rsidRPr="00F138B6">
        <w:t>Prods.,</w:t>
      </w:r>
      <w:r>
        <w:t xml:space="preserve"> </w:t>
      </w:r>
      <w:r w:rsidRPr="00F138B6">
        <w:t>41</w:t>
      </w:r>
      <w:r>
        <w:t xml:space="preserve"> </w:t>
      </w:r>
      <w:r w:rsidRPr="00F138B6">
        <w:t>F.3d</w:t>
      </w:r>
      <w:r>
        <w:t xml:space="preserve"> </w:t>
      </w:r>
      <w:r w:rsidRPr="00F138B6">
        <w:t>39,</w:t>
      </w:r>
      <w:r>
        <w:t xml:space="preserve"> </w:t>
      </w:r>
      <w:r w:rsidRPr="00F138B6">
        <w:t>46,</w:t>
      </w:r>
      <w:r>
        <w:t xml:space="preserve"> </w:t>
      </w:r>
      <w:r w:rsidRPr="00F138B6">
        <w:t>32</w:t>
      </w:r>
      <w:r>
        <w:t xml:space="preserve"> </w:t>
      </w:r>
      <w:r w:rsidRPr="00F138B6">
        <w:t>USPQ2d</w:t>
      </w:r>
      <w:r>
        <w:t xml:space="preserve"> </w:t>
      </w:r>
      <w:r w:rsidRPr="00F138B6">
        <w:t>1936</w:t>
      </w:r>
      <w:r>
        <w:t xml:space="preserve"> </w:t>
      </w:r>
      <w:r w:rsidRPr="00F138B6">
        <w:t>(2d</w:t>
      </w:r>
      <w:r>
        <w:t xml:space="preserve"> </w:t>
      </w:r>
      <w:r w:rsidRPr="00F138B6">
        <w:t>Cir.</w:t>
      </w:r>
      <w:r>
        <w:t xml:space="preserve"> </w:t>
      </w:r>
      <w:r w:rsidRPr="00F138B6">
        <w:t>1994)).</w:t>
      </w:r>
    </w:p>
  </w:footnote>
  <w:footnote w:id="37">
    <w:p w14:paraId="49CC66DB" w14:textId="287579A4" w:rsidR="00F138B6" w:rsidRPr="00903803" w:rsidRDefault="00F138B6" w:rsidP="001763C1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Id</w:t>
      </w:r>
      <w:r w:rsidRPr="00F138B6">
        <w:t>.</w:t>
      </w:r>
    </w:p>
  </w:footnote>
  <w:footnote w:id="38">
    <w:p w14:paraId="0672C931" w14:textId="763730F9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The</w:t>
      </w:r>
      <w:r>
        <w:t xml:space="preserve"> </w:t>
      </w:r>
      <w:r w:rsidRPr="00F138B6">
        <w:t>court</w:t>
      </w:r>
      <w:r>
        <w:t xml:space="preserve"> </w:t>
      </w:r>
      <w:r w:rsidRPr="00F138B6">
        <w:t>did</w:t>
      </w:r>
      <w:r>
        <w:t xml:space="preserve"> </w:t>
      </w:r>
      <w:r w:rsidRPr="00F138B6">
        <w:t>note</w:t>
      </w:r>
      <w:r>
        <w:t xml:space="preserve"> </w:t>
      </w:r>
      <w:r w:rsidRPr="00F138B6">
        <w:t>the</w:t>
      </w:r>
      <w:r>
        <w:t xml:space="preserve"> </w:t>
      </w:r>
      <w:r w:rsidRPr="00F138B6">
        <w:t>possible</w:t>
      </w:r>
      <w:r>
        <w:t xml:space="preserve"> </w:t>
      </w:r>
      <w:r w:rsidRPr="00F138B6">
        <w:t>existence</w:t>
      </w:r>
      <w:r>
        <w:t xml:space="preserve"> </w:t>
      </w:r>
      <w:r w:rsidRPr="00F138B6">
        <w:t>of</w:t>
      </w:r>
      <w:r>
        <w:t xml:space="preserve"> </w:t>
      </w:r>
      <w:r w:rsidRPr="00F138B6">
        <w:t>a</w:t>
      </w:r>
      <w:r>
        <w:t xml:space="preserve"> </w:t>
      </w:r>
      <w:r w:rsidRPr="00F138B6">
        <w:t>common-law</w:t>
      </w:r>
      <w:r>
        <w:t xml:space="preserve"> </w:t>
      </w:r>
      <w:r w:rsidRPr="00F138B6">
        <w:t>claim</w:t>
      </w:r>
      <w:r>
        <w:t xml:space="preserve"> </w:t>
      </w:r>
      <w:r w:rsidRPr="00F138B6">
        <w:t>in</w:t>
      </w:r>
      <w:r>
        <w:t xml:space="preserve"> </w:t>
      </w:r>
      <w:r w:rsidRPr="00F138B6">
        <w:t>Ohio.</w:t>
      </w:r>
      <w:r>
        <w:t xml:space="preserve"> </w:t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It</w:t>
      </w:r>
      <w:r>
        <w:t xml:space="preserve"> </w:t>
      </w:r>
      <w:r w:rsidRPr="00F138B6">
        <w:t>also</w:t>
      </w:r>
      <w:r>
        <w:t xml:space="preserve"> </w:t>
      </w:r>
      <w:r w:rsidRPr="00F138B6">
        <w:t>noted</w:t>
      </w:r>
      <w:r>
        <w:t xml:space="preserve"> </w:t>
      </w:r>
      <w:r w:rsidRPr="00F138B6">
        <w:t>that</w:t>
      </w:r>
      <w:r>
        <w:t xml:space="preserve"> </w:t>
      </w:r>
      <w:r w:rsidRPr="00F138B6">
        <w:t>the</w:t>
      </w:r>
      <w:r>
        <w:t xml:space="preserve"> </w:t>
      </w:r>
      <w:r w:rsidRPr="00F138B6">
        <w:t>dilution</w:t>
      </w:r>
      <w:r>
        <w:t xml:space="preserve"> </w:t>
      </w:r>
      <w:r w:rsidRPr="00F138B6">
        <w:t>law</w:t>
      </w:r>
      <w:r>
        <w:t xml:space="preserve"> </w:t>
      </w:r>
      <w:r w:rsidRPr="00F138B6">
        <w:t>in</w:t>
      </w:r>
      <w:r>
        <w:t xml:space="preserve"> </w:t>
      </w:r>
      <w:r w:rsidRPr="00F138B6">
        <w:t>Illinois</w:t>
      </w:r>
      <w:r>
        <w:t xml:space="preserve"> </w:t>
      </w:r>
      <w:r w:rsidRPr="00F138B6">
        <w:t>at</w:t>
      </w:r>
      <w:r>
        <w:t xml:space="preserve"> </w:t>
      </w:r>
      <w:r w:rsidRPr="00F138B6">
        <w:t>that</w:t>
      </w:r>
      <w:r>
        <w:t xml:space="preserve"> </w:t>
      </w:r>
      <w:r w:rsidRPr="00F138B6">
        <w:t>time</w:t>
      </w:r>
      <w:r>
        <w:t xml:space="preserve"> </w:t>
      </w:r>
      <w:r w:rsidRPr="00F138B6">
        <w:t>did</w:t>
      </w:r>
      <w:r>
        <w:t xml:space="preserve"> </w:t>
      </w:r>
      <w:r w:rsidRPr="00F138B6">
        <w:t>not</w:t>
      </w:r>
      <w:r>
        <w:t xml:space="preserve"> </w:t>
      </w:r>
      <w:r w:rsidRPr="00F138B6">
        <w:t>apply</w:t>
      </w:r>
      <w:r>
        <w:t xml:space="preserve"> </w:t>
      </w:r>
      <w:r w:rsidRPr="00F138B6">
        <w:t>to</w:t>
      </w:r>
      <w:r>
        <w:t xml:space="preserve"> </w:t>
      </w:r>
      <w:r w:rsidRPr="00F138B6">
        <w:t>competitors.</w:t>
      </w:r>
      <w:r>
        <w:t xml:space="preserve"> </w:t>
      </w:r>
      <w:r w:rsidRPr="00F138B6">
        <w:rPr>
          <w:i/>
        </w:rPr>
        <w:t>Id</w:t>
      </w:r>
      <w:r w:rsidRPr="00F138B6">
        <w:t>.</w:t>
      </w:r>
    </w:p>
  </w:footnote>
  <w:footnote w:id="39">
    <w:p w14:paraId="44EB4F84" w14:textId="7D7E5D53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Id</w:t>
      </w:r>
      <w:r w:rsidRPr="00F138B6">
        <w:t>.</w:t>
      </w:r>
      <w:r>
        <w:t xml:space="preserve"> </w:t>
      </w:r>
      <w:proofErr w:type="gramStart"/>
      <w:r w:rsidRPr="00F138B6">
        <w:t>at</w:t>
      </w:r>
      <w:proofErr w:type="gramEnd"/>
      <w:r>
        <w:t xml:space="preserve"> </w:t>
      </w:r>
      <w:r w:rsidRPr="00F138B6">
        <w:t>1711.</w:t>
      </w:r>
    </w:p>
  </w:footnote>
  <w:footnote w:id="40">
    <w:p w14:paraId="367DD477" w14:textId="3A6F0184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In</w:t>
      </w:r>
      <w:r>
        <w:t xml:space="preserve"> </w:t>
      </w:r>
      <w:r w:rsidRPr="00F138B6">
        <w:rPr>
          <w:i/>
        </w:rPr>
        <w:t>Deere</w:t>
      </w:r>
      <w:r w:rsidRPr="00F138B6">
        <w:t>,</w:t>
      </w:r>
      <w:r>
        <w:t xml:space="preserve"> </w:t>
      </w:r>
      <w:r w:rsidRPr="00F138B6">
        <w:t>the</w:t>
      </w:r>
      <w:r>
        <w:t xml:space="preserve"> </w:t>
      </w:r>
      <w:r w:rsidRPr="00F138B6">
        <w:t>Second</w:t>
      </w:r>
      <w:r>
        <w:t xml:space="preserve"> </w:t>
      </w:r>
      <w:r w:rsidRPr="00F138B6">
        <w:t>Circuit</w:t>
      </w:r>
      <w:r>
        <w:t xml:space="preserve"> </w:t>
      </w:r>
      <w:r w:rsidRPr="00F138B6">
        <w:t>imposed</w:t>
      </w:r>
      <w:r>
        <w:t xml:space="preserve"> </w:t>
      </w:r>
      <w:r w:rsidRPr="00F138B6">
        <w:t>liability</w:t>
      </w:r>
      <w:r>
        <w:t xml:space="preserve"> </w:t>
      </w:r>
      <w:r w:rsidRPr="00F138B6">
        <w:t>for</w:t>
      </w:r>
      <w:r>
        <w:t xml:space="preserve"> </w:t>
      </w:r>
      <w:r w:rsidRPr="00F138B6">
        <w:t>a</w:t>
      </w:r>
      <w:r>
        <w:t xml:space="preserve"> </w:t>
      </w:r>
      <w:r w:rsidRPr="00F138B6">
        <w:t>comparative</w:t>
      </w:r>
      <w:r>
        <w:t xml:space="preserve"> </w:t>
      </w:r>
      <w:r w:rsidRPr="00F138B6">
        <w:t>advertisement</w:t>
      </w:r>
      <w:r>
        <w:t xml:space="preserve"> </w:t>
      </w:r>
      <w:r w:rsidRPr="00F138B6">
        <w:t>containing</w:t>
      </w:r>
      <w:r>
        <w:t xml:space="preserve"> </w:t>
      </w:r>
      <w:r w:rsidRPr="00F138B6">
        <w:t>a</w:t>
      </w:r>
      <w:r>
        <w:t xml:space="preserve"> </w:t>
      </w:r>
      <w:r w:rsidRPr="00F138B6">
        <w:t>humorous</w:t>
      </w:r>
      <w:r>
        <w:t xml:space="preserve"> </w:t>
      </w:r>
      <w:r w:rsidRPr="00F138B6">
        <w:t>alteration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plaintiff’s</w:t>
      </w:r>
      <w:r>
        <w:t xml:space="preserve"> </w:t>
      </w:r>
      <w:r w:rsidRPr="00F138B6">
        <w:t>logo.</w:t>
      </w:r>
      <w:r>
        <w:t xml:space="preserve"> </w:t>
      </w:r>
      <w:r w:rsidRPr="00F138B6">
        <w:t>41</w:t>
      </w:r>
      <w:r>
        <w:t xml:space="preserve"> </w:t>
      </w:r>
      <w:r w:rsidRPr="00F138B6">
        <w:t>F.3d</w:t>
      </w:r>
      <w:r>
        <w:t xml:space="preserve"> </w:t>
      </w:r>
      <w:r w:rsidRPr="00F138B6">
        <w:t>at</w:t>
      </w:r>
      <w:r>
        <w:t xml:space="preserve"> </w:t>
      </w:r>
      <w:r w:rsidRPr="00F138B6">
        <w:t>44–45.</w:t>
      </w:r>
      <w:r>
        <w:t xml:space="preserve"> </w:t>
      </w:r>
      <w:r w:rsidRPr="00F138B6">
        <w:t>Dilution</w:t>
      </w:r>
      <w:r>
        <w:t xml:space="preserve"> </w:t>
      </w:r>
      <w:r w:rsidRPr="00F138B6">
        <w:t>had</w:t>
      </w:r>
      <w:r>
        <w:t xml:space="preserve"> </w:t>
      </w:r>
      <w:r w:rsidRPr="00F138B6">
        <w:t>not</w:t>
      </w:r>
      <w:r>
        <w:t xml:space="preserve"> </w:t>
      </w:r>
      <w:r w:rsidRPr="00F138B6">
        <w:t>been</w:t>
      </w:r>
      <w:r>
        <w:t xml:space="preserve"> </w:t>
      </w:r>
      <w:r w:rsidRPr="00F138B6">
        <w:t>used</w:t>
      </w:r>
      <w:r>
        <w:t xml:space="preserve"> </w:t>
      </w:r>
      <w:r w:rsidRPr="00F138B6">
        <w:t>for</w:t>
      </w:r>
      <w:r>
        <w:t xml:space="preserve"> </w:t>
      </w:r>
      <w:r w:rsidRPr="00F138B6">
        <w:t>such</w:t>
      </w:r>
      <w:r>
        <w:t xml:space="preserve"> </w:t>
      </w:r>
      <w:r w:rsidRPr="00F138B6">
        <w:t>circumstances</w:t>
      </w:r>
      <w:r>
        <w:t xml:space="preserve"> </w:t>
      </w:r>
      <w:r w:rsidRPr="00F138B6">
        <w:t>previously.</w:t>
      </w:r>
      <w:r>
        <w:t xml:space="preserve"> </w:t>
      </w:r>
      <w:r w:rsidRPr="00F138B6">
        <w:t>Indeed,</w:t>
      </w:r>
      <w:r>
        <w:t xml:space="preserve"> </w:t>
      </w:r>
      <w:r w:rsidRPr="00F138B6">
        <w:t>as</w:t>
      </w:r>
      <w:r>
        <w:t xml:space="preserve"> </w:t>
      </w:r>
      <w:r w:rsidRPr="00F138B6">
        <w:t>the</w:t>
      </w:r>
      <w:r>
        <w:t xml:space="preserve"> </w:t>
      </w:r>
      <w:r w:rsidRPr="00F138B6">
        <w:t>court</w:t>
      </w:r>
      <w:r>
        <w:t xml:space="preserve"> </w:t>
      </w:r>
      <w:r w:rsidRPr="00F138B6">
        <w:t>noted,</w:t>
      </w:r>
      <w:r>
        <w:t xml:space="preserve"> </w:t>
      </w:r>
      <w:r w:rsidRPr="00F138B6">
        <w:t>some</w:t>
      </w:r>
      <w:r>
        <w:t xml:space="preserve"> </w:t>
      </w:r>
      <w:r w:rsidRPr="00F138B6">
        <w:t>states</w:t>
      </w:r>
      <w:r>
        <w:t xml:space="preserve"> </w:t>
      </w:r>
      <w:r w:rsidRPr="00F138B6">
        <w:t>do</w:t>
      </w:r>
      <w:r>
        <w:t xml:space="preserve"> </w:t>
      </w:r>
      <w:r w:rsidRPr="00F138B6">
        <w:t>not</w:t>
      </w:r>
      <w:r>
        <w:t xml:space="preserve"> </w:t>
      </w:r>
      <w:r w:rsidRPr="00F138B6">
        <w:t>even</w:t>
      </w:r>
      <w:r>
        <w:t xml:space="preserve"> </w:t>
      </w:r>
      <w:r w:rsidRPr="00F138B6">
        <w:t>apply</w:t>
      </w:r>
      <w:r>
        <w:t xml:space="preserve"> </w:t>
      </w:r>
      <w:r w:rsidRPr="00F138B6">
        <w:t>their</w:t>
      </w:r>
      <w:r>
        <w:t xml:space="preserve"> </w:t>
      </w:r>
      <w:r w:rsidRPr="00F138B6">
        <w:t>dilution</w:t>
      </w:r>
      <w:r>
        <w:t xml:space="preserve"> </w:t>
      </w:r>
      <w:r w:rsidRPr="00F138B6">
        <w:t>laws</w:t>
      </w:r>
      <w:r>
        <w:t xml:space="preserve"> </w:t>
      </w:r>
      <w:r w:rsidRPr="00F138B6">
        <w:t>to</w:t>
      </w:r>
      <w:r>
        <w:t xml:space="preserve"> </w:t>
      </w:r>
      <w:r w:rsidRPr="00F138B6">
        <w:t>competitors.</w:t>
      </w:r>
      <w:r>
        <w:t xml:space="preserve"> </w:t>
      </w:r>
      <w:r w:rsidRPr="00F138B6">
        <w:rPr>
          <w:i/>
        </w:rPr>
        <w:t>See</w:t>
      </w:r>
      <w:r>
        <w:t xml:space="preserve"> </w:t>
      </w:r>
      <w:r w:rsidRPr="00F138B6">
        <w:t>Chapter</w:t>
      </w:r>
      <w:r>
        <w:t xml:space="preserve"> </w:t>
      </w:r>
      <w:r w:rsidRPr="00F138B6">
        <w:t>2,</w:t>
      </w:r>
      <w:r>
        <w:t xml:space="preserve"> </w:t>
      </w:r>
      <w:r w:rsidRPr="00F138B6">
        <w:t>§II.A.</w:t>
      </w:r>
      <w:r>
        <w:t xml:space="preserve"> </w:t>
      </w:r>
      <w:r w:rsidRPr="00F138B6">
        <w:rPr>
          <w:i/>
        </w:rPr>
        <w:t>Deere</w:t>
      </w:r>
      <w:r>
        <w:t xml:space="preserve"> </w:t>
      </w:r>
      <w:r w:rsidRPr="00F138B6">
        <w:t>is</w:t>
      </w:r>
      <w:r>
        <w:t xml:space="preserve"> </w:t>
      </w:r>
      <w:r w:rsidRPr="00F138B6">
        <w:t>discussed</w:t>
      </w:r>
      <w:r>
        <w:t xml:space="preserve"> </w:t>
      </w:r>
      <w:r w:rsidRPr="00F138B6">
        <w:t>in</w:t>
      </w:r>
      <w:r>
        <w:t xml:space="preserve"> </w:t>
      </w:r>
      <w:r w:rsidRPr="00F138B6">
        <w:t>Chapter</w:t>
      </w:r>
      <w:r>
        <w:t xml:space="preserve"> </w:t>
      </w:r>
      <w:r w:rsidRPr="00F138B6">
        <w:t>4,</w:t>
      </w:r>
      <w:r>
        <w:t xml:space="preserve"> </w:t>
      </w:r>
      <w:r w:rsidRPr="00F138B6">
        <w:t>§I.A.1.</w:t>
      </w:r>
    </w:p>
  </w:footnote>
  <w:footnote w:id="41">
    <w:p w14:paraId="5FC3F20D" w14:textId="076B73D1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Johnson</w:t>
      </w:r>
      <w:r>
        <w:t xml:space="preserve"> </w:t>
      </w:r>
      <w:r w:rsidRPr="00F138B6">
        <w:t>&amp;</w:t>
      </w:r>
      <w:r>
        <w:t xml:space="preserve"> </w:t>
      </w:r>
      <w:r w:rsidRPr="00F138B6">
        <w:t>Johnson</w:t>
      </w:r>
      <w:r>
        <w:t xml:space="preserve"> </w:t>
      </w:r>
      <w:r w:rsidRPr="00F138B6">
        <w:t>v.</w:t>
      </w:r>
      <w:r>
        <w:t xml:space="preserve"> </w:t>
      </w:r>
      <w:r w:rsidRPr="00F138B6">
        <w:t>Actavis</w:t>
      </w:r>
      <w:r>
        <w:t xml:space="preserve"> </w:t>
      </w:r>
      <w:r w:rsidRPr="00F138B6">
        <w:t>Grp.,</w:t>
      </w:r>
      <w:r>
        <w:t xml:space="preserve"> </w:t>
      </w:r>
      <w:r w:rsidRPr="00F138B6">
        <w:t>2008</w:t>
      </w:r>
      <w:r>
        <w:t xml:space="preserve"> </w:t>
      </w:r>
      <w:r w:rsidRPr="00F138B6">
        <w:t>U.S.</w:t>
      </w:r>
      <w:r>
        <w:t xml:space="preserve"> </w:t>
      </w:r>
      <w:r w:rsidRPr="00F138B6">
        <w:t>Dist.</w:t>
      </w:r>
      <w:r>
        <w:t xml:space="preserve"> </w:t>
      </w:r>
      <w:r w:rsidRPr="00F138B6">
        <w:t>LEXIS</w:t>
      </w:r>
      <w:r>
        <w:t xml:space="preserve"> </w:t>
      </w:r>
      <w:r w:rsidRPr="00F138B6">
        <w:t>5242,</w:t>
      </w:r>
      <w:r>
        <w:t xml:space="preserve"> </w:t>
      </w:r>
      <w:r w:rsidRPr="00F138B6">
        <w:t>at</w:t>
      </w:r>
      <w:r>
        <w:t xml:space="preserve"> </w:t>
      </w:r>
      <w:r w:rsidRPr="00F138B6">
        <w:t>*24</w:t>
      </w:r>
      <w:r>
        <w:t xml:space="preserve"> </w:t>
      </w:r>
      <w:r w:rsidRPr="00F138B6">
        <w:t>n.9</w:t>
      </w:r>
      <w:r>
        <w:t xml:space="preserve"> </w:t>
      </w:r>
      <w:r w:rsidRPr="00F138B6">
        <w:t>(S.D.N.Y.</w:t>
      </w:r>
      <w:r>
        <w:t xml:space="preserve"> </w:t>
      </w:r>
      <w:r w:rsidRPr="00F138B6">
        <w:t>2008).</w:t>
      </w:r>
    </w:p>
  </w:footnote>
  <w:footnote w:id="42">
    <w:p w14:paraId="426838F0" w14:textId="7CA4A219" w:rsidR="00F138B6" w:rsidRPr="008A028F" w:rsidRDefault="00F138B6" w:rsidP="00F138B6">
      <w:pPr>
        <w:pStyle w:val="FootnoteText"/>
        <w:rPr>
          <w:lang w:val="da-DK"/>
        </w:rPr>
      </w:pPr>
      <w:r w:rsidRPr="00F138B6">
        <w:rPr>
          <w:vertAlign w:val="superscript"/>
        </w:rPr>
        <w:footnoteRef/>
      </w:r>
      <w:r w:rsidRPr="00F138B6">
        <w:t>Cottonwood</w:t>
      </w:r>
      <w:r>
        <w:t xml:space="preserve"> </w:t>
      </w:r>
      <w:r w:rsidRPr="00F138B6">
        <w:t>Fin.</w:t>
      </w:r>
      <w:r>
        <w:t xml:space="preserve"> </w:t>
      </w:r>
      <w:r w:rsidRPr="00F138B6">
        <w:t>Ltd.</w:t>
      </w:r>
      <w:r>
        <w:t xml:space="preserve"> </w:t>
      </w:r>
      <w:r w:rsidRPr="00F138B6">
        <w:t>v.</w:t>
      </w:r>
      <w:r>
        <w:t xml:space="preserve"> </w:t>
      </w:r>
      <w:r w:rsidRPr="00F138B6">
        <w:t>The</w:t>
      </w:r>
      <w:r>
        <w:t xml:space="preserve"> </w:t>
      </w:r>
      <w:r w:rsidRPr="00F138B6">
        <w:t>Cash</w:t>
      </w:r>
      <w:r>
        <w:t xml:space="preserve"> </w:t>
      </w:r>
      <w:r w:rsidRPr="00F138B6">
        <w:t>Store</w:t>
      </w:r>
      <w:r>
        <w:t xml:space="preserve"> </w:t>
      </w:r>
      <w:r w:rsidRPr="00F138B6">
        <w:t>Fin.</w:t>
      </w:r>
      <w:r>
        <w:t xml:space="preserve"> </w:t>
      </w:r>
      <w:r w:rsidRPr="00F138B6">
        <w:t>Servs.,</w:t>
      </w:r>
      <w:r>
        <w:t xml:space="preserve"> </w:t>
      </w:r>
      <w:r w:rsidRPr="00F138B6">
        <w:t>Inc,</w:t>
      </w:r>
      <w:r>
        <w:t xml:space="preserve"> </w:t>
      </w:r>
      <w:r w:rsidRPr="00F138B6">
        <w:t>778F.</w:t>
      </w:r>
      <w:r>
        <w:t xml:space="preserve"> </w:t>
      </w:r>
      <w:r w:rsidRPr="00F138B6">
        <w:t>Supp.</w:t>
      </w:r>
      <w:r>
        <w:t xml:space="preserve"> </w:t>
      </w:r>
      <w:r w:rsidRPr="00F138B6">
        <w:t>2d</w:t>
      </w:r>
      <w:r>
        <w:t xml:space="preserve"> </w:t>
      </w:r>
      <w:r w:rsidRPr="00F138B6">
        <w:t>726,</w:t>
      </w:r>
      <w:r>
        <w:t xml:space="preserve"> </w:t>
      </w:r>
      <w:r w:rsidRPr="00F138B6">
        <w:t>740–41</w:t>
      </w:r>
      <w:r>
        <w:t xml:space="preserve"> </w:t>
      </w:r>
      <w:r w:rsidRPr="00F138B6">
        <w:t>(N.D.</w:t>
      </w:r>
      <w:r>
        <w:t xml:space="preserve"> </w:t>
      </w:r>
      <w:r w:rsidRPr="00F138B6">
        <w:t>Tex.</w:t>
      </w:r>
      <w:r>
        <w:t xml:space="preserve"> </w:t>
      </w:r>
      <w:r w:rsidRPr="00F138B6">
        <w:t>2011).</w:t>
      </w:r>
    </w:p>
  </w:footnote>
  <w:footnote w:id="43">
    <w:p w14:paraId="140AA5C5" w14:textId="2F316821" w:rsidR="00F138B6" w:rsidRPr="008A028F" w:rsidRDefault="00F138B6" w:rsidP="00F138B6">
      <w:pPr>
        <w:pStyle w:val="FootnoteText"/>
        <w:rPr>
          <w:lang w:val="da-DK"/>
        </w:rPr>
      </w:pPr>
      <w:r w:rsidRPr="00F138B6">
        <w:rPr>
          <w:vertAlign w:val="superscript"/>
        </w:rPr>
        <w:footnoteRef/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at</w:t>
      </w:r>
      <w:r>
        <w:t xml:space="preserve"> </w:t>
      </w:r>
      <w:r w:rsidRPr="00F138B6">
        <w:t>760.</w:t>
      </w:r>
    </w:p>
  </w:footnote>
  <w:footnote w:id="44">
    <w:p w14:paraId="5A4DAC6F" w14:textId="26BDE804" w:rsidR="00F138B6" w:rsidRPr="008A028F" w:rsidRDefault="00F138B6" w:rsidP="00F138B6">
      <w:pPr>
        <w:pStyle w:val="FootnoteText"/>
        <w:rPr>
          <w:lang w:val="da-DK"/>
        </w:rPr>
      </w:pPr>
      <w:r w:rsidRPr="00F138B6">
        <w:rPr>
          <w:vertAlign w:val="superscript"/>
        </w:rPr>
        <w:footnoteRef/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at</w:t>
      </w:r>
      <w:r>
        <w:t xml:space="preserve"> </w:t>
      </w:r>
      <w:r w:rsidRPr="00F138B6">
        <w:t>760–61.</w:t>
      </w:r>
    </w:p>
  </w:footnote>
  <w:footnote w:id="45">
    <w:p w14:paraId="5D9FFC1E" w14:textId="3CCD24EE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at</w:t>
      </w:r>
      <w:r>
        <w:t xml:space="preserve"> </w:t>
      </w:r>
      <w:r w:rsidRPr="00F138B6">
        <w:t>761.</w:t>
      </w:r>
      <w:r>
        <w:t xml:space="preserve"> </w:t>
      </w:r>
      <w:r w:rsidRPr="00F138B6">
        <w:t>On</w:t>
      </w:r>
      <w:r>
        <w:t xml:space="preserve"> </w:t>
      </w:r>
      <w:r w:rsidRPr="00F138B6">
        <w:t>the</w:t>
      </w:r>
      <w:r>
        <w:t xml:space="preserve"> </w:t>
      </w:r>
      <w:r w:rsidRPr="00F138B6">
        <w:t>effectiveness</w:t>
      </w:r>
      <w:r>
        <w:t xml:space="preserve"> </w:t>
      </w:r>
      <w:r w:rsidRPr="00F138B6">
        <w:t>of</w:t>
      </w:r>
      <w:r>
        <w:t xml:space="preserve"> </w:t>
      </w:r>
      <w:r w:rsidRPr="00F138B6">
        <w:t>a</w:t>
      </w:r>
      <w:r>
        <w:t xml:space="preserve"> </w:t>
      </w:r>
      <w:r w:rsidRPr="00F138B6">
        <w:t>disclaimer,</w:t>
      </w:r>
      <w:r>
        <w:t xml:space="preserve"> </w:t>
      </w:r>
      <w:r w:rsidRPr="00F138B6">
        <w:t>see</w:t>
      </w:r>
      <w:r>
        <w:t xml:space="preserve"> </w:t>
      </w:r>
      <w:r w:rsidRPr="00F138B6">
        <w:t>§III.C,</w:t>
      </w:r>
      <w:r>
        <w:t xml:space="preserve"> </w:t>
      </w:r>
      <w:r w:rsidRPr="00F138B6">
        <w:t>below.</w:t>
      </w:r>
    </w:p>
  </w:footnote>
  <w:footnote w:id="46">
    <w:p w14:paraId="55DDBD68" w14:textId="22858EB2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See</w:t>
      </w:r>
      <w:r>
        <w:rPr>
          <w:i/>
        </w:rPr>
        <w:t xml:space="preserve"> </w:t>
      </w:r>
      <w:r w:rsidRPr="00F138B6">
        <w:t>Deere</w:t>
      </w:r>
      <w:r>
        <w:t xml:space="preserve"> </w:t>
      </w:r>
      <w:r w:rsidRPr="00F138B6">
        <w:t>&amp;</w:t>
      </w:r>
      <w:r>
        <w:t xml:space="preserve"> </w:t>
      </w:r>
      <w:r w:rsidRPr="00F138B6">
        <w:t>Co.</w:t>
      </w:r>
      <w:r>
        <w:t xml:space="preserve"> </w:t>
      </w:r>
      <w:r w:rsidRPr="00F138B6">
        <w:t>v.</w:t>
      </w:r>
      <w:r>
        <w:t xml:space="preserve"> </w:t>
      </w:r>
      <w:r w:rsidRPr="00F138B6">
        <w:t>MTD</w:t>
      </w:r>
      <w:r>
        <w:t xml:space="preserve"> </w:t>
      </w:r>
      <w:r w:rsidRPr="00F138B6">
        <w:t>Prods.,</w:t>
      </w:r>
      <w:r>
        <w:t xml:space="preserve"> </w:t>
      </w:r>
      <w:r w:rsidRPr="00F138B6">
        <w:t>41</w:t>
      </w:r>
      <w:r>
        <w:t xml:space="preserve"> </w:t>
      </w:r>
      <w:r w:rsidRPr="00F138B6">
        <w:t>F.3d</w:t>
      </w:r>
      <w:r>
        <w:t xml:space="preserve"> </w:t>
      </w:r>
      <w:r w:rsidRPr="00F138B6">
        <w:t>39,</w:t>
      </w:r>
      <w:r>
        <w:t xml:space="preserve"> </w:t>
      </w:r>
      <w:r w:rsidRPr="00F138B6">
        <w:t>46,</w:t>
      </w:r>
      <w:r>
        <w:t xml:space="preserve"> </w:t>
      </w:r>
      <w:r w:rsidRPr="00F138B6">
        <w:t>32</w:t>
      </w:r>
      <w:r>
        <w:t xml:space="preserve"> </w:t>
      </w:r>
      <w:r w:rsidRPr="00F138B6">
        <w:t>USPQ2d</w:t>
      </w:r>
      <w:r>
        <w:t xml:space="preserve"> </w:t>
      </w:r>
      <w:r w:rsidRPr="00F138B6">
        <w:t>1936</w:t>
      </w:r>
      <w:r>
        <w:t xml:space="preserve"> </w:t>
      </w:r>
      <w:r w:rsidRPr="00F138B6">
        <w:t>(2d</w:t>
      </w:r>
      <w:r>
        <w:t xml:space="preserve"> </w:t>
      </w:r>
      <w:r w:rsidRPr="00F138B6">
        <w:t>Cir.</w:t>
      </w:r>
      <w:r>
        <w:t xml:space="preserve"> </w:t>
      </w:r>
      <w:r w:rsidRPr="00F138B6">
        <w:t>1994)</w:t>
      </w:r>
      <w:r>
        <w:t xml:space="preserve"> </w:t>
      </w:r>
      <w:r w:rsidRPr="00F138B6">
        <w:t>(reviewing</w:t>
      </w:r>
      <w:r>
        <w:t xml:space="preserve"> </w:t>
      </w:r>
      <w:r w:rsidRPr="00F138B6">
        <w:t>geographic</w:t>
      </w:r>
      <w:r>
        <w:t xml:space="preserve"> </w:t>
      </w:r>
      <w:r w:rsidRPr="00F138B6">
        <w:t>scope</w:t>
      </w:r>
      <w:r>
        <w:t xml:space="preserve"> </w:t>
      </w:r>
      <w:r w:rsidRPr="00F138B6">
        <w:t>of</w:t>
      </w:r>
      <w:r>
        <w:t xml:space="preserve"> </w:t>
      </w:r>
      <w:r w:rsidRPr="00F138B6">
        <w:t>injunction</w:t>
      </w:r>
      <w:r>
        <w:t xml:space="preserve"> </w:t>
      </w:r>
      <w:r w:rsidRPr="00F138B6">
        <w:t>under</w:t>
      </w:r>
      <w:r>
        <w:t xml:space="preserve"> </w:t>
      </w:r>
      <w:r w:rsidRPr="00F138B6">
        <w:t>abuse</w:t>
      </w:r>
      <w:r>
        <w:t xml:space="preserve"> </w:t>
      </w:r>
      <w:r w:rsidRPr="00F138B6">
        <w:t>of</w:t>
      </w:r>
      <w:r>
        <w:t xml:space="preserve"> </w:t>
      </w:r>
      <w:r w:rsidRPr="00F138B6">
        <w:t>discretion</w:t>
      </w:r>
      <w:r>
        <w:t xml:space="preserve"> </w:t>
      </w:r>
      <w:r w:rsidRPr="00F138B6">
        <w:t>standard);</w:t>
      </w:r>
      <w:r>
        <w:t xml:space="preserve"> </w:t>
      </w:r>
      <w:r w:rsidRPr="00F138B6">
        <w:t>Blue</w:t>
      </w:r>
      <w:r>
        <w:t xml:space="preserve"> </w:t>
      </w:r>
      <w:r w:rsidRPr="00F138B6">
        <w:t>Ribbon</w:t>
      </w:r>
      <w:r>
        <w:t xml:space="preserve"> </w:t>
      </w:r>
      <w:r w:rsidRPr="00F138B6">
        <w:t>Feed</w:t>
      </w:r>
      <w:r>
        <w:t xml:space="preserve"> </w:t>
      </w:r>
      <w:r w:rsidRPr="00F138B6">
        <w:t>Co.</w:t>
      </w:r>
      <w:r>
        <w:t xml:space="preserve"> </w:t>
      </w:r>
      <w:r w:rsidRPr="00F138B6">
        <w:t>v.</w:t>
      </w:r>
      <w:r>
        <w:t xml:space="preserve"> </w:t>
      </w:r>
      <w:r w:rsidRPr="00F138B6">
        <w:t>Farmers</w:t>
      </w:r>
      <w:r>
        <w:t xml:space="preserve"> </w:t>
      </w:r>
      <w:r w:rsidRPr="00F138B6">
        <w:t>Union</w:t>
      </w:r>
      <w:r>
        <w:t xml:space="preserve"> </w:t>
      </w:r>
      <w:r w:rsidRPr="00F138B6">
        <w:t>Cent.</w:t>
      </w:r>
      <w:r>
        <w:t xml:space="preserve"> </w:t>
      </w:r>
      <w:r w:rsidRPr="00F138B6">
        <w:t>Exch.,</w:t>
      </w:r>
      <w:r>
        <w:t xml:space="preserve"> </w:t>
      </w:r>
      <w:r w:rsidRPr="00F138B6">
        <w:t>Inc.,</w:t>
      </w:r>
      <w:r>
        <w:t xml:space="preserve"> </w:t>
      </w:r>
      <w:r w:rsidRPr="00F138B6">
        <w:t>731</w:t>
      </w:r>
      <w:r>
        <w:t xml:space="preserve"> </w:t>
      </w:r>
      <w:r w:rsidRPr="00F138B6">
        <w:t>F.2d</w:t>
      </w:r>
      <w:r>
        <w:t xml:space="preserve"> </w:t>
      </w:r>
      <w:r w:rsidRPr="00F138B6">
        <w:t>415,</w:t>
      </w:r>
      <w:r>
        <w:t xml:space="preserve"> </w:t>
      </w:r>
      <w:r w:rsidRPr="00F138B6">
        <w:t>422,</w:t>
      </w:r>
      <w:r>
        <w:t xml:space="preserve"> </w:t>
      </w:r>
      <w:r w:rsidRPr="00F138B6">
        <w:t>222</w:t>
      </w:r>
      <w:r>
        <w:t xml:space="preserve"> </w:t>
      </w:r>
      <w:r w:rsidRPr="00F138B6">
        <w:t>USPQ</w:t>
      </w:r>
      <w:r>
        <w:t xml:space="preserve"> </w:t>
      </w:r>
      <w:r w:rsidRPr="00F138B6">
        <w:t>785</w:t>
      </w:r>
      <w:r>
        <w:t xml:space="preserve"> </w:t>
      </w:r>
      <w:r w:rsidRPr="00F138B6">
        <w:t>(7th</w:t>
      </w:r>
      <w:r>
        <w:t xml:space="preserve"> </w:t>
      </w:r>
      <w:r w:rsidRPr="00F138B6">
        <w:t>Cir.</w:t>
      </w:r>
      <w:r>
        <w:t xml:space="preserve"> </w:t>
      </w:r>
      <w:r w:rsidRPr="00F138B6">
        <w:t>1984)</w:t>
      </w:r>
      <w:r>
        <w:t xml:space="preserve"> </w:t>
      </w:r>
      <w:r w:rsidRPr="00F138B6">
        <w:t>(upholding</w:t>
      </w:r>
      <w:r>
        <w:t xml:space="preserve"> </w:t>
      </w:r>
      <w:r w:rsidRPr="00F138B6">
        <w:t>geographically</w:t>
      </w:r>
      <w:r>
        <w:t xml:space="preserve"> </w:t>
      </w:r>
      <w:r w:rsidRPr="00F138B6">
        <w:t>limited</w:t>
      </w:r>
      <w:r>
        <w:t xml:space="preserve"> </w:t>
      </w:r>
      <w:r w:rsidRPr="00F138B6">
        <w:t>injunction</w:t>
      </w:r>
      <w:r>
        <w:t xml:space="preserve"> </w:t>
      </w:r>
      <w:r w:rsidRPr="00F138B6">
        <w:t>as</w:t>
      </w:r>
      <w:r>
        <w:t xml:space="preserve"> </w:t>
      </w:r>
      <w:r w:rsidRPr="00F138B6">
        <w:t>within</w:t>
      </w:r>
      <w:r>
        <w:t xml:space="preserve"> </w:t>
      </w:r>
      <w:r w:rsidRPr="00F138B6">
        <w:t>the</w:t>
      </w:r>
      <w:r>
        <w:t xml:space="preserve"> </w:t>
      </w:r>
      <w:r w:rsidRPr="00F138B6">
        <w:t>trial</w:t>
      </w:r>
      <w:r>
        <w:t xml:space="preserve"> </w:t>
      </w:r>
      <w:r w:rsidRPr="00F138B6">
        <w:t>court’s</w:t>
      </w:r>
      <w:r>
        <w:t xml:space="preserve"> </w:t>
      </w:r>
      <w:r w:rsidRPr="00F138B6">
        <w:t>discretion).</w:t>
      </w:r>
    </w:p>
  </w:footnote>
  <w:footnote w:id="47">
    <w:p w14:paraId="2D544FC6" w14:textId="2989EF49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smallCaps/>
        </w:rPr>
        <w:t>2007</w:t>
      </w:r>
      <w:r>
        <w:rPr>
          <w:smallCaps/>
        </w:rP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rPr>
          <w:smallCaps/>
        </w:rPr>
        <w:t xml:space="preserve"> </w:t>
      </w:r>
      <w:r w:rsidRPr="00F138B6">
        <w:t>§13(a);</w:t>
      </w:r>
      <w:r>
        <w:t xml:space="preserve"> </w:t>
      </w:r>
      <w:r w:rsidRPr="00F138B6">
        <w:t>1996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§13;</w:t>
      </w:r>
      <w:r>
        <w:t xml:space="preserve"> </w:t>
      </w:r>
      <w:r w:rsidRPr="00F138B6">
        <w:t>1992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§13;</w:t>
      </w:r>
      <w:r>
        <w:t xml:space="preserve"> </w:t>
      </w:r>
      <w:r w:rsidRPr="00F138B6">
        <w:t>Lanham</w:t>
      </w:r>
      <w:r>
        <w:t xml:space="preserve"> </w:t>
      </w:r>
      <w:r w:rsidRPr="00F138B6">
        <w:t>Act</w:t>
      </w:r>
      <w:r>
        <w:t xml:space="preserve"> </w:t>
      </w:r>
      <w:r w:rsidRPr="00F138B6">
        <w:t>§43(c)(1),</w:t>
      </w:r>
      <w:r>
        <w:t xml:space="preserve"> </w:t>
      </w:r>
      <w:r w:rsidRPr="00F138B6">
        <w:t>15</w:t>
      </w:r>
      <w:r>
        <w:t xml:space="preserve"> </w:t>
      </w:r>
      <w:r w:rsidRPr="00F138B6">
        <w:t>U.S.C.</w:t>
      </w:r>
      <w:r>
        <w:t xml:space="preserve"> </w:t>
      </w:r>
      <w:r w:rsidRPr="00F138B6">
        <w:t>§1125(c)(1).</w:t>
      </w:r>
    </w:p>
  </w:footnote>
  <w:footnote w:id="48">
    <w:p w14:paraId="776F0194" w14:textId="41885E17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See</w:t>
      </w:r>
      <w:r>
        <w:t xml:space="preserve"> </w:t>
      </w:r>
      <w:r w:rsidRPr="00F138B6">
        <w:t>Mastercard</w:t>
      </w:r>
      <w:r>
        <w:t xml:space="preserve"> </w:t>
      </w:r>
      <w:r w:rsidRPr="00F138B6">
        <w:t>Int’l,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Arbel</w:t>
      </w:r>
      <w:r>
        <w:t xml:space="preserve"> </w:t>
      </w:r>
      <w:r w:rsidRPr="00F138B6">
        <w:t>Corp.,</w:t>
      </w:r>
      <w:r>
        <w:t xml:space="preserve"> </w:t>
      </w:r>
      <w:r w:rsidRPr="00F138B6">
        <w:t>13</w:t>
      </w:r>
      <w:r>
        <w:t xml:space="preserve"> </w:t>
      </w:r>
      <w:r w:rsidRPr="00F138B6">
        <w:t>USPQ2d</w:t>
      </w:r>
      <w:r>
        <w:t xml:space="preserve"> </w:t>
      </w:r>
      <w:r w:rsidRPr="00F138B6">
        <w:t>1958,</w:t>
      </w:r>
      <w:r>
        <w:t xml:space="preserve"> </w:t>
      </w:r>
      <w:r w:rsidRPr="00F138B6">
        <w:t>1966</w:t>
      </w:r>
      <w:r>
        <w:t xml:space="preserve"> </w:t>
      </w:r>
      <w:r w:rsidRPr="00F138B6">
        <w:t>(S.D.N.Y.</w:t>
      </w:r>
      <w:r>
        <w:t xml:space="preserve"> </w:t>
      </w:r>
      <w:r w:rsidRPr="00F138B6">
        <w:t>1989)</w:t>
      </w:r>
      <w:r>
        <w:t xml:space="preserve"> </w:t>
      </w:r>
      <w:r w:rsidRPr="00F138B6">
        <w:t>(neither</w:t>
      </w:r>
      <w:r>
        <w:t xml:space="preserve"> </w:t>
      </w:r>
      <w:r w:rsidRPr="00F138B6">
        <w:t>New</w:t>
      </w:r>
      <w:r>
        <w:t xml:space="preserve"> </w:t>
      </w:r>
      <w:r w:rsidRPr="00F138B6">
        <w:t>York</w:t>
      </w:r>
      <w:r>
        <w:t xml:space="preserve"> </w:t>
      </w:r>
      <w:r w:rsidRPr="00F138B6">
        <w:t>nor</w:t>
      </w:r>
      <w:r>
        <w:t xml:space="preserve"> </w:t>
      </w:r>
      <w:r w:rsidRPr="00F138B6">
        <w:t>California</w:t>
      </w:r>
      <w:r>
        <w:t xml:space="preserve"> </w:t>
      </w:r>
      <w:r w:rsidRPr="00F138B6">
        <w:t>dilution</w:t>
      </w:r>
      <w:r>
        <w:t xml:space="preserve"> </w:t>
      </w:r>
      <w:r w:rsidRPr="00F138B6">
        <w:t>laws</w:t>
      </w:r>
      <w:r>
        <w:t xml:space="preserve"> </w:t>
      </w:r>
      <w:r w:rsidRPr="00F138B6">
        <w:t>provide</w:t>
      </w:r>
      <w:r>
        <w:t xml:space="preserve"> </w:t>
      </w:r>
      <w:r w:rsidRPr="00F138B6">
        <w:t>for</w:t>
      </w:r>
      <w:r>
        <w:t xml:space="preserve"> </w:t>
      </w:r>
      <w:r w:rsidRPr="00F138B6">
        <w:t>damages);</w:t>
      </w:r>
      <w:r>
        <w:t xml:space="preserve"> </w:t>
      </w:r>
      <w:r w:rsidRPr="00F138B6">
        <w:t>Johnson</w:t>
      </w:r>
      <w:r>
        <w:t xml:space="preserve"> </w:t>
      </w:r>
      <w:r w:rsidRPr="00F138B6">
        <w:t>&amp;</w:t>
      </w:r>
      <w:r>
        <w:t xml:space="preserve"> </w:t>
      </w:r>
      <w:r w:rsidRPr="00F138B6">
        <w:t>Johnson</w:t>
      </w:r>
      <w:r>
        <w:t xml:space="preserve"> </w:t>
      </w:r>
      <w:r w:rsidRPr="00F138B6">
        <w:t>v.</w:t>
      </w:r>
      <w:r>
        <w:t xml:space="preserve"> </w:t>
      </w:r>
      <w:r w:rsidRPr="00F138B6">
        <w:t>Guilin</w:t>
      </w:r>
      <w:r>
        <w:t xml:space="preserve"> </w:t>
      </w:r>
      <w:r w:rsidRPr="00F138B6">
        <w:t>Chung</w:t>
      </w:r>
      <w:r>
        <w:t xml:space="preserve"> </w:t>
      </w:r>
      <w:r w:rsidRPr="00F138B6">
        <w:t>Fai</w:t>
      </w:r>
      <w:r>
        <w:t xml:space="preserve"> </w:t>
      </w:r>
      <w:r w:rsidRPr="00F138B6">
        <w:t>Biotech</w:t>
      </w:r>
      <w:r>
        <w:t xml:space="preserve"> </w:t>
      </w:r>
      <w:r w:rsidRPr="00F138B6">
        <w:t>Co.,</w:t>
      </w:r>
      <w:r>
        <w:t xml:space="preserve"> </w:t>
      </w:r>
      <w:r w:rsidRPr="00F138B6">
        <w:t>2018</w:t>
      </w:r>
      <w:r>
        <w:t xml:space="preserve"> </w:t>
      </w:r>
      <w:r w:rsidRPr="00F138B6">
        <w:t>WL</w:t>
      </w:r>
      <w:r>
        <w:t xml:space="preserve"> </w:t>
      </w:r>
      <w:r w:rsidRPr="00F138B6">
        <w:t>2078233,</w:t>
      </w:r>
      <w:r>
        <w:t xml:space="preserve"> </w:t>
      </w:r>
      <w:r w:rsidRPr="00F138B6">
        <w:t>at</w:t>
      </w:r>
      <w:r>
        <w:t xml:space="preserve"> </w:t>
      </w:r>
      <w:r w:rsidRPr="00F138B6">
        <w:t>*10</w:t>
      </w:r>
      <w:r>
        <w:t xml:space="preserve"> </w:t>
      </w:r>
      <w:r w:rsidRPr="00F138B6">
        <w:t>(E.D.N.Y.</w:t>
      </w:r>
      <w:r>
        <w:t xml:space="preserve"> </w:t>
      </w:r>
      <w:r w:rsidRPr="00F138B6">
        <w:t>2018)</w:t>
      </w:r>
      <w:r>
        <w:t xml:space="preserve"> </w:t>
      </w:r>
      <w:r w:rsidRPr="00F138B6">
        <w:t>(New</w:t>
      </w:r>
      <w:r>
        <w:t xml:space="preserve"> </w:t>
      </w:r>
      <w:r w:rsidRPr="00F138B6">
        <w:t>York</w:t>
      </w:r>
      <w:r>
        <w:t xml:space="preserve"> </w:t>
      </w:r>
      <w:r w:rsidRPr="00F138B6">
        <w:t>dilution</w:t>
      </w:r>
      <w:r>
        <w:t xml:space="preserve"> </w:t>
      </w:r>
      <w:r w:rsidRPr="00F138B6">
        <w:t>law</w:t>
      </w:r>
      <w:r>
        <w:t xml:space="preserve"> </w:t>
      </w:r>
      <w:r w:rsidRPr="00F138B6">
        <w:t>does</w:t>
      </w:r>
      <w:r>
        <w:t xml:space="preserve"> </w:t>
      </w:r>
      <w:r w:rsidRPr="00F138B6">
        <w:t>not</w:t>
      </w:r>
      <w:r>
        <w:t xml:space="preserve"> </w:t>
      </w:r>
      <w:r w:rsidRPr="00F138B6">
        <w:t>permit</w:t>
      </w:r>
      <w:r>
        <w:t xml:space="preserve"> </w:t>
      </w:r>
      <w:r w:rsidRPr="00F138B6">
        <w:t>punitive</w:t>
      </w:r>
      <w:r>
        <w:t xml:space="preserve"> </w:t>
      </w:r>
      <w:r w:rsidRPr="00F138B6">
        <w:t>damages).</w:t>
      </w:r>
      <w:r>
        <w:t xml:space="preserve"> </w:t>
      </w:r>
      <w:r w:rsidRPr="00F138B6">
        <w:t>A</w:t>
      </w:r>
      <w:r>
        <w:t xml:space="preserve"> </w:t>
      </w:r>
      <w:r w:rsidRPr="00F138B6">
        <w:t>bill</w:t>
      </w:r>
      <w:r>
        <w:t xml:space="preserve"> </w:t>
      </w:r>
      <w:r w:rsidRPr="00F138B6">
        <w:t>introduced</w:t>
      </w:r>
      <w:r>
        <w:t xml:space="preserve"> </w:t>
      </w:r>
      <w:r w:rsidRPr="00F138B6">
        <w:t>in</w:t>
      </w:r>
      <w:r>
        <w:t xml:space="preserve"> </w:t>
      </w:r>
      <w:r w:rsidRPr="00F138B6">
        <w:t>the</w:t>
      </w:r>
      <w:r>
        <w:t xml:space="preserve"> </w:t>
      </w:r>
      <w:r w:rsidRPr="00F138B6">
        <w:t>New</w:t>
      </w:r>
      <w:r>
        <w:t xml:space="preserve"> </w:t>
      </w:r>
      <w:r w:rsidRPr="00F138B6">
        <w:t>York</w:t>
      </w:r>
      <w:r>
        <w:t xml:space="preserve"> </w:t>
      </w:r>
      <w:r w:rsidRPr="00F138B6">
        <w:t>legislature</w:t>
      </w:r>
      <w:r>
        <w:t xml:space="preserve"> </w:t>
      </w:r>
      <w:r w:rsidRPr="00F138B6">
        <w:t>in</w:t>
      </w:r>
      <w:r>
        <w:t xml:space="preserve"> </w:t>
      </w:r>
      <w:r w:rsidRPr="00F138B6">
        <w:t>2015</w:t>
      </w:r>
      <w:r>
        <w:t xml:space="preserve"> </w:t>
      </w:r>
      <w:r w:rsidRPr="00F138B6">
        <w:t>would</w:t>
      </w:r>
      <w:r>
        <w:t xml:space="preserve"> </w:t>
      </w:r>
      <w:r w:rsidRPr="00F138B6">
        <w:t>permit</w:t>
      </w:r>
      <w:r>
        <w:t xml:space="preserve"> </w:t>
      </w:r>
      <w:r w:rsidRPr="00F138B6">
        <w:t>awards</w:t>
      </w:r>
      <w:r>
        <w:t xml:space="preserve"> </w:t>
      </w:r>
      <w:r w:rsidRPr="00F138B6">
        <w:t>of</w:t>
      </w:r>
      <w:r>
        <w:t xml:space="preserve"> </w:t>
      </w:r>
      <w:r w:rsidRPr="00F138B6">
        <w:t>damages</w:t>
      </w:r>
      <w:r>
        <w:t xml:space="preserve"> </w:t>
      </w:r>
      <w:r w:rsidRPr="00F138B6">
        <w:t>and</w:t>
      </w:r>
      <w:r>
        <w:t xml:space="preserve"> </w:t>
      </w:r>
      <w:r w:rsidRPr="00F138B6">
        <w:t>attorneys’</w:t>
      </w:r>
      <w:r>
        <w:t xml:space="preserve"> </w:t>
      </w:r>
      <w:r w:rsidRPr="00F138B6">
        <w:t>fees</w:t>
      </w:r>
      <w:r>
        <w:t xml:space="preserve"> </w:t>
      </w:r>
      <w:r w:rsidRPr="00F138B6">
        <w:t>for</w:t>
      </w:r>
      <w:r>
        <w:t xml:space="preserve"> </w:t>
      </w:r>
      <w:r w:rsidRPr="00F138B6">
        <w:t>state</w:t>
      </w:r>
      <w:r>
        <w:t xml:space="preserve"> </w:t>
      </w:r>
      <w:r w:rsidRPr="00F138B6">
        <w:t>law</w:t>
      </w:r>
      <w:r>
        <w:t xml:space="preserve"> </w:t>
      </w:r>
      <w:r w:rsidRPr="00F138B6">
        <w:t>dilution</w:t>
      </w:r>
      <w:r>
        <w:t xml:space="preserve"> </w:t>
      </w:r>
      <w:r w:rsidRPr="00F138B6">
        <w:t>violations.</w:t>
      </w:r>
      <w:r>
        <w:t xml:space="preserve"> </w:t>
      </w:r>
      <w:proofErr w:type="gramStart"/>
      <w:r w:rsidRPr="00F138B6">
        <w:t>Senate</w:t>
      </w:r>
      <w:r>
        <w:t xml:space="preserve"> </w:t>
      </w:r>
      <w:r w:rsidRPr="00F138B6">
        <w:t>Bill</w:t>
      </w:r>
      <w:r>
        <w:t xml:space="preserve"> </w:t>
      </w:r>
      <w:r w:rsidRPr="00F138B6">
        <w:t>3793,</w:t>
      </w:r>
      <w:proofErr w:type="gramEnd"/>
      <w:r>
        <w:t xml:space="preserve"> </w:t>
      </w:r>
      <w:r w:rsidRPr="00F138B6">
        <w:t>introduced</w:t>
      </w:r>
      <w:r>
        <w:t xml:space="preserve"> </w:t>
      </w:r>
      <w:r w:rsidRPr="00F138B6">
        <w:t>February</w:t>
      </w:r>
      <w:r>
        <w:t xml:space="preserve"> </w:t>
      </w:r>
      <w:r w:rsidRPr="00F138B6">
        <w:t>17,</w:t>
      </w:r>
      <w:r>
        <w:t xml:space="preserve"> </w:t>
      </w:r>
      <w:r w:rsidRPr="00F138B6">
        <w:t>2015</w:t>
      </w:r>
      <w:r>
        <w:t xml:space="preserve"> </w:t>
      </w:r>
      <w:r w:rsidRPr="00F138B6">
        <w:t>(available</w:t>
      </w:r>
      <w:r>
        <w:t xml:space="preserve"> </w:t>
      </w:r>
      <w:r w:rsidRPr="00F138B6">
        <w:t>on</w:t>
      </w:r>
      <w:r>
        <w:t xml:space="preserve"> </w:t>
      </w:r>
      <w:r w:rsidRPr="00F138B6">
        <w:t>Westlaw).</w:t>
      </w:r>
    </w:p>
  </w:footnote>
  <w:footnote w:id="49">
    <w:p w14:paraId="3EF68D8F" w14:textId="367ABF83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Damages</w:t>
      </w:r>
      <w:r>
        <w:t xml:space="preserve"> </w:t>
      </w:r>
      <w:r w:rsidRPr="00F138B6">
        <w:t>under</w:t>
      </w:r>
      <w:r>
        <w:t xml:space="preserve"> </w:t>
      </w:r>
      <w:r w:rsidRPr="00F138B6">
        <w:t>the</w:t>
      </w:r>
      <w:r>
        <w:t xml:space="preserve"> </w:t>
      </w:r>
      <w:r w:rsidRPr="00F138B6">
        <w:t>TDRA</w:t>
      </w:r>
      <w:r>
        <w:t xml:space="preserve"> </w:t>
      </w:r>
      <w:r w:rsidRPr="00F138B6">
        <w:t>and</w:t>
      </w:r>
      <w:r>
        <w:t xml:space="preserve"> </w:t>
      </w:r>
      <w:r w:rsidRPr="00F138B6">
        <w:t>FTDA</w:t>
      </w:r>
      <w:r>
        <w:t xml:space="preserve"> </w:t>
      </w:r>
      <w:r w:rsidRPr="00F138B6">
        <w:t>are</w:t>
      </w:r>
      <w:r>
        <w:t xml:space="preserve"> </w:t>
      </w:r>
      <w:r w:rsidRPr="00F138B6">
        <w:t>discussed</w:t>
      </w:r>
      <w:r>
        <w:t xml:space="preserve"> </w:t>
      </w:r>
      <w:r w:rsidRPr="00F138B6">
        <w:t>in</w:t>
      </w:r>
      <w:r>
        <w:t xml:space="preserve"> </w:t>
      </w:r>
      <w:r w:rsidRPr="00F138B6">
        <w:t>detail</w:t>
      </w:r>
      <w:r>
        <w:t xml:space="preserve"> </w:t>
      </w:r>
      <w:r w:rsidRPr="00F138B6">
        <w:t>in</w:t>
      </w:r>
      <w:r>
        <w:t xml:space="preserve"> </w:t>
      </w:r>
      <w:r w:rsidRPr="00F138B6">
        <w:t>Chapter</w:t>
      </w:r>
      <w:r>
        <w:t xml:space="preserve"> </w:t>
      </w:r>
      <w:r w:rsidRPr="00F138B6">
        <w:t>11,</w:t>
      </w:r>
      <w:r>
        <w:t xml:space="preserve"> </w:t>
      </w:r>
      <w:r w:rsidRPr="00F138B6">
        <w:t>§III.</w:t>
      </w:r>
    </w:p>
  </w:footnote>
  <w:footnote w:id="50">
    <w:p w14:paraId="4EDB0D5C" w14:textId="33598424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Lanham</w:t>
      </w:r>
      <w:r>
        <w:t xml:space="preserve"> </w:t>
      </w:r>
      <w:r w:rsidRPr="00F138B6">
        <w:t>Act</w:t>
      </w:r>
      <w:r>
        <w:t xml:space="preserve"> </w:t>
      </w:r>
      <w:r w:rsidRPr="00F138B6">
        <w:t>§43(c)(5),</w:t>
      </w:r>
      <w:r>
        <w:t xml:space="preserve"> </w:t>
      </w:r>
      <w:r w:rsidRPr="00F138B6">
        <w:t>15</w:t>
      </w:r>
      <w:r>
        <w:t xml:space="preserve"> </w:t>
      </w:r>
      <w:r w:rsidRPr="00F138B6">
        <w:t>U.S.C.</w:t>
      </w:r>
      <w:r>
        <w:t xml:space="preserve"> </w:t>
      </w:r>
      <w:r w:rsidRPr="00F138B6">
        <w:t>§1125(c)(5).</w:t>
      </w:r>
    </w:p>
  </w:footnote>
  <w:footnote w:id="51">
    <w:p w14:paraId="53D130D3" w14:textId="4B5A95B5" w:rsidR="00F138B6" w:rsidRPr="00903803" w:rsidRDefault="00F138B6" w:rsidP="001763C1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Id</w:t>
      </w:r>
      <w:r w:rsidRPr="00F138B6">
        <w:t>.</w:t>
      </w:r>
    </w:p>
  </w:footnote>
  <w:footnote w:id="52">
    <w:p w14:paraId="38265CE2" w14:textId="3652F13A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The</w:t>
      </w:r>
      <w:r>
        <w:t xml:space="preserve"> </w:t>
      </w:r>
      <w:r w:rsidRPr="00F138B6">
        <w:t>1992</w:t>
      </w:r>
      <w:r>
        <w:t xml:space="preserve"> </w:t>
      </w:r>
      <w:r w:rsidRPr="00F138B6">
        <w:t>and</w:t>
      </w:r>
      <w:r>
        <w:t xml:space="preserve"> </w:t>
      </w:r>
      <w:r w:rsidRPr="00F138B6">
        <w:t>1996</w:t>
      </w:r>
      <w:r>
        <w:t xml:space="preserve"> </w:t>
      </w:r>
      <w:r w:rsidRPr="00F138B6">
        <w:t>Model</w:t>
      </w:r>
      <w:r>
        <w:t xml:space="preserve"> </w:t>
      </w:r>
      <w:r w:rsidRPr="00F138B6">
        <w:t>Bills</w:t>
      </w:r>
      <w:r>
        <w:t xml:space="preserve"> </w:t>
      </w:r>
      <w:r w:rsidRPr="00F138B6">
        <w:t>permit</w:t>
      </w:r>
      <w:r>
        <w:t xml:space="preserve"> </w:t>
      </w:r>
      <w:r w:rsidRPr="00F138B6">
        <w:t>damages</w:t>
      </w:r>
      <w:r>
        <w:t xml:space="preserve"> </w:t>
      </w:r>
      <w:r w:rsidRPr="00F138B6">
        <w:t>under</w:t>
      </w:r>
      <w:r>
        <w:t xml:space="preserve"> </w:t>
      </w:r>
      <w:r w:rsidRPr="00F138B6">
        <w:t>this</w:t>
      </w:r>
      <w:r>
        <w:t xml:space="preserve"> </w:t>
      </w:r>
      <w:r w:rsidRPr="00F138B6">
        <w:t>condition.</w:t>
      </w:r>
      <w:r>
        <w:t xml:space="preserve"> </w:t>
      </w:r>
      <w:r w:rsidRPr="00F138B6">
        <w:t>For</w:t>
      </w:r>
      <w:r>
        <w:t xml:space="preserve"> </w:t>
      </w:r>
      <w:r w:rsidRPr="00F138B6">
        <w:t>a</w:t>
      </w:r>
      <w:r>
        <w:t xml:space="preserve"> </w:t>
      </w:r>
      <w:r w:rsidRPr="00F138B6">
        <w:t>listing</w:t>
      </w:r>
      <w:r>
        <w:t xml:space="preserve"> </w:t>
      </w:r>
      <w:r w:rsidRPr="00F138B6">
        <w:t>of</w:t>
      </w:r>
      <w:r>
        <w:t xml:space="preserve"> </w:t>
      </w:r>
      <w:r w:rsidRPr="00F138B6">
        <w:t>state</w:t>
      </w:r>
      <w:r>
        <w:t xml:space="preserve"> </w:t>
      </w:r>
      <w:r w:rsidRPr="00F138B6">
        <w:t>statutes</w:t>
      </w:r>
      <w:r>
        <w:t xml:space="preserve"> </w:t>
      </w:r>
      <w:r w:rsidRPr="00F138B6">
        <w:t>patterned</w:t>
      </w:r>
      <w:r>
        <w:t xml:space="preserve"> </w:t>
      </w:r>
      <w:r w:rsidRPr="00F138B6">
        <w:t>after</w:t>
      </w:r>
      <w:r>
        <w:t xml:space="preserve"> </w:t>
      </w:r>
      <w:r w:rsidRPr="00F138B6">
        <w:t>these</w:t>
      </w:r>
      <w:r>
        <w:t xml:space="preserve"> </w:t>
      </w:r>
      <w:r w:rsidRPr="00F138B6">
        <w:t>bills,</w:t>
      </w:r>
      <w:r>
        <w:t xml:space="preserve"> </w:t>
      </w:r>
      <w:r w:rsidRPr="00F138B6">
        <w:t>see</w:t>
      </w:r>
      <w:r>
        <w:t xml:space="preserve"> </w:t>
      </w:r>
      <w:r w:rsidRPr="00F138B6">
        <w:t>Chapter</w:t>
      </w:r>
      <w:r>
        <w:t xml:space="preserve"> </w:t>
      </w:r>
      <w:r w:rsidRPr="00F138B6">
        <w:t>1,</w:t>
      </w:r>
      <w:r>
        <w:t xml:space="preserve"> </w:t>
      </w:r>
      <w:r w:rsidRPr="00F138B6">
        <w:t>§III.A.3.</w:t>
      </w:r>
    </w:p>
  </w:footnote>
  <w:footnote w:id="53">
    <w:p w14:paraId="14111341" w14:textId="1B2B8607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2007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§13(c).</w:t>
      </w:r>
    </w:p>
  </w:footnote>
  <w:footnote w:id="54">
    <w:p w14:paraId="0C120322" w14:textId="1C9284D5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The</w:t>
      </w:r>
      <w:r>
        <w:t xml:space="preserve"> </w:t>
      </w:r>
      <w:r w:rsidRPr="00F138B6">
        <w:t>exceptions</w:t>
      </w:r>
      <w:r>
        <w:t xml:space="preserve"> </w:t>
      </w:r>
      <w:r w:rsidRPr="00F138B6">
        <w:t>are</w:t>
      </w:r>
      <w:r>
        <w:t xml:space="preserve"> </w:t>
      </w:r>
      <w:r w:rsidRPr="00F138B6">
        <w:t>Alaska</w:t>
      </w:r>
      <w:r>
        <w:t xml:space="preserve"> </w:t>
      </w:r>
      <w:r w:rsidRPr="00F138B6">
        <w:t>and</w:t>
      </w:r>
      <w:r>
        <w:t xml:space="preserve"> </w:t>
      </w:r>
      <w:r w:rsidRPr="00F138B6">
        <w:t>Nevada,</w:t>
      </w:r>
      <w:r>
        <w:t xml:space="preserve"> </w:t>
      </w:r>
      <w:r w:rsidRPr="00F138B6">
        <w:t>which</w:t>
      </w:r>
      <w:r>
        <w:t xml:space="preserve"> </w:t>
      </w:r>
      <w:r w:rsidRPr="00F138B6">
        <w:t>have</w:t>
      </w:r>
      <w:r>
        <w:t xml:space="preserve"> </w:t>
      </w:r>
      <w:r w:rsidRPr="00F138B6">
        <w:t>dilution</w:t>
      </w:r>
      <w:r>
        <w:t xml:space="preserve"> </w:t>
      </w:r>
      <w:r w:rsidRPr="00F138B6">
        <w:t>statutes</w:t>
      </w:r>
      <w:r>
        <w:t xml:space="preserve"> </w:t>
      </w:r>
      <w:r w:rsidRPr="00F138B6">
        <w:t>that</w:t>
      </w:r>
      <w:r>
        <w:t xml:space="preserve"> </w:t>
      </w:r>
      <w:r w:rsidRPr="00F138B6">
        <w:t>do</w:t>
      </w:r>
      <w:r>
        <w:t xml:space="preserve"> </w:t>
      </w:r>
      <w:r w:rsidRPr="00F138B6">
        <w:t>not</w:t>
      </w:r>
      <w:r>
        <w:t xml:space="preserve"> </w:t>
      </w:r>
      <w:r w:rsidRPr="00F138B6">
        <w:t>contain</w:t>
      </w:r>
      <w:r>
        <w:t xml:space="preserve"> </w:t>
      </w:r>
      <w:r w:rsidRPr="00F138B6">
        <w:t>this</w:t>
      </w:r>
      <w:r>
        <w:t xml:space="preserve"> </w:t>
      </w:r>
      <w:r w:rsidRPr="00F138B6">
        <w:t>limitation.</w:t>
      </w:r>
      <w:r>
        <w:t xml:space="preserve"> </w:t>
      </w:r>
      <w:r w:rsidRPr="00F138B6">
        <w:rPr>
          <w:smallCaps/>
        </w:rPr>
        <w:t>Alaska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t>§45.50.180(d)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2006);</w:t>
      </w:r>
      <w:r>
        <w:t xml:space="preserve"> </w:t>
      </w:r>
      <w:r w:rsidRPr="00F138B6">
        <w:rPr>
          <w:smallCaps/>
        </w:rPr>
        <w:t>Nev.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§600.435(3)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2004).</w:t>
      </w:r>
    </w:p>
  </w:footnote>
  <w:footnote w:id="55">
    <w:p w14:paraId="356B74D8" w14:textId="54BA2E69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See</w:t>
      </w:r>
      <w:r>
        <w:t xml:space="preserve"> </w:t>
      </w:r>
      <w:r w:rsidRPr="00F138B6">
        <w:t>Chapter</w:t>
      </w:r>
      <w:r>
        <w:t xml:space="preserve"> </w:t>
      </w:r>
      <w:r w:rsidRPr="00F138B6">
        <w:t>11,</w:t>
      </w:r>
      <w:r>
        <w:t xml:space="preserve"> </w:t>
      </w:r>
      <w:r w:rsidRPr="00F138B6">
        <w:t>§§III.A</w:t>
      </w:r>
      <w:r>
        <w:t xml:space="preserve"> </w:t>
      </w:r>
      <w:r w:rsidRPr="00F138B6">
        <w:t>and</w:t>
      </w:r>
      <w:r>
        <w:t xml:space="preserve"> </w:t>
      </w:r>
      <w:r w:rsidRPr="00F138B6">
        <w:t>B,</w:t>
      </w:r>
      <w:r>
        <w:t xml:space="preserve"> </w:t>
      </w:r>
      <w:r w:rsidRPr="00F138B6">
        <w:t>for</w:t>
      </w:r>
      <w:r>
        <w:t xml:space="preserve"> </w:t>
      </w:r>
      <w:r w:rsidRPr="00F138B6">
        <w:t>a</w:t>
      </w:r>
      <w:r>
        <w:t xml:space="preserve"> </w:t>
      </w:r>
      <w:r w:rsidRPr="00F138B6">
        <w:t>discussion</w:t>
      </w:r>
      <w:r>
        <w:t xml:space="preserve"> </w:t>
      </w:r>
      <w:r w:rsidRPr="00F138B6">
        <w:t>of</w:t>
      </w:r>
      <w:r>
        <w:t xml:space="preserve"> </w:t>
      </w:r>
      <w:r w:rsidRPr="00F138B6">
        <w:t>willfulness</w:t>
      </w:r>
      <w:r>
        <w:t xml:space="preserve"> </w:t>
      </w:r>
      <w:r w:rsidRPr="00F138B6">
        <w:t>under</w:t>
      </w:r>
      <w:r>
        <w:t xml:space="preserve"> </w:t>
      </w:r>
      <w:r w:rsidRPr="00F138B6">
        <w:t>the</w:t>
      </w:r>
      <w:r>
        <w:t xml:space="preserve"> </w:t>
      </w:r>
      <w:r w:rsidRPr="00F138B6">
        <w:t>TDRA.</w:t>
      </w:r>
    </w:p>
  </w:footnote>
  <w:footnote w:id="56">
    <w:p w14:paraId="21F4BF5C" w14:textId="5C229C0D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Lanham</w:t>
      </w:r>
      <w:r>
        <w:t xml:space="preserve"> </w:t>
      </w:r>
      <w:r w:rsidRPr="00F138B6">
        <w:t>Act</w:t>
      </w:r>
      <w:r>
        <w:t xml:space="preserve"> </w:t>
      </w:r>
      <w:r w:rsidRPr="00F138B6">
        <w:t>§35(a),</w:t>
      </w:r>
      <w:r>
        <w:t xml:space="preserve"> </w:t>
      </w:r>
      <w:r w:rsidRPr="00F138B6">
        <w:t>15</w:t>
      </w:r>
      <w:r>
        <w:t xml:space="preserve"> </w:t>
      </w:r>
      <w:r w:rsidRPr="00F138B6">
        <w:t>U.S.C.</w:t>
      </w:r>
      <w:r>
        <w:t xml:space="preserve"> </w:t>
      </w:r>
      <w:r w:rsidRPr="00F138B6">
        <w:t>§1117(a).</w:t>
      </w:r>
    </w:p>
  </w:footnote>
  <w:footnote w:id="57">
    <w:p w14:paraId="186101D4" w14:textId="3F7D8B55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See</w:t>
      </w:r>
      <w:r>
        <w:t xml:space="preserve"> </w:t>
      </w:r>
      <w:r w:rsidRPr="00F138B6">
        <w:t>Chapter</w:t>
      </w:r>
      <w:r>
        <w:t xml:space="preserve"> </w:t>
      </w:r>
      <w:r w:rsidRPr="00F138B6">
        <w:t>11,</w:t>
      </w:r>
      <w:r>
        <w:t xml:space="preserve"> </w:t>
      </w:r>
      <w:r w:rsidRPr="00F138B6">
        <w:t>§III.</w:t>
      </w:r>
    </w:p>
  </w:footnote>
  <w:footnote w:id="58">
    <w:p w14:paraId="142B8B85" w14:textId="21FAC9BC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E</w:t>
      </w:r>
      <w:r w:rsidRPr="00F138B6">
        <w:t>.</w:t>
      </w:r>
      <w:r w:rsidRPr="00F138B6">
        <w:rPr>
          <w:i/>
        </w:rPr>
        <w:t>g</w:t>
      </w:r>
      <w:r w:rsidRPr="00F138B6">
        <w:t>.,</w:t>
      </w:r>
      <w:r>
        <w:t xml:space="preserve"> </w:t>
      </w:r>
      <w:r w:rsidRPr="00F138B6">
        <w:t>765</w:t>
      </w:r>
      <w:r>
        <w:t xml:space="preserve"> </w:t>
      </w:r>
      <w:r w:rsidRPr="00F138B6">
        <w:rPr>
          <w:smallCaps/>
        </w:rPr>
        <w:t>Ill.</w:t>
      </w:r>
      <w:r>
        <w:rPr>
          <w:smallCaps/>
        </w:rPr>
        <w:t xml:space="preserve"> </w:t>
      </w:r>
      <w:r w:rsidRPr="00F138B6">
        <w:rPr>
          <w:smallCaps/>
        </w:rPr>
        <w:t>Comp.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§1036/65(a)</w:t>
      </w:r>
      <w:r>
        <w:t xml:space="preserve"> </w:t>
      </w:r>
      <w:r w:rsidRPr="00F138B6">
        <w:t>(West</w:t>
      </w:r>
      <w:r>
        <w:t xml:space="preserve"> </w:t>
      </w:r>
      <w:r w:rsidRPr="00F138B6">
        <w:t>2009).</w:t>
      </w:r>
    </w:p>
  </w:footnote>
  <w:footnote w:id="59">
    <w:p w14:paraId="1A8DF3C8" w14:textId="1C7CEDDE" w:rsidR="00F138B6" w:rsidRPr="00903803" w:rsidRDefault="00F138B6" w:rsidP="001763C1">
      <w:pPr>
        <w:pStyle w:val="FootnoteText"/>
      </w:pPr>
      <w:r w:rsidRPr="00F138B6">
        <w:rPr>
          <w:vertAlign w:val="superscript"/>
        </w:rPr>
        <w:footnoteRef/>
      </w:r>
      <w:r w:rsidRPr="00F138B6">
        <w:t>2007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§14(a);</w:t>
      </w:r>
      <w:r>
        <w:t xml:space="preserve"> </w:t>
      </w:r>
      <w:r w:rsidRPr="00F138B6">
        <w:t>1996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§14.</w:t>
      </w:r>
    </w:p>
  </w:footnote>
  <w:footnote w:id="60">
    <w:p w14:paraId="563AC3F7" w14:textId="3C4A2BC7" w:rsidR="00F138B6" w:rsidRPr="00903803" w:rsidRDefault="00F138B6" w:rsidP="001763C1">
      <w:pPr>
        <w:pStyle w:val="FootnoteText"/>
      </w:pPr>
      <w:r w:rsidRPr="00F138B6">
        <w:rPr>
          <w:vertAlign w:val="superscript"/>
        </w:rPr>
        <w:footnoteRef/>
      </w:r>
      <w:r w:rsidRPr="00F138B6">
        <w:t>2007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§14(a)</w:t>
      </w:r>
      <w:r>
        <w:t xml:space="preserve"> </w:t>
      </w:r>
      <w:r w:rsidRPr="00F138B6">
        <w:t>(emphasis</w:t>
      </w:r>
      <w:r>
        <w:t xml:space="preserve"> </w:t>
      </w:r>
      <w:r w:rsidRPr="00F138B6">
        <w:t>added);</w:t>
      </w:r>
      <w:r>
        <w:t xml:space="preserve"> </w:t>
      </w:r>
      <w:r w:rsidRPr="00F138B6">
        <w:t>1996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§14</w:t>
      </w:r>
      <w:r>
        <w:t xml:space="preserve"> </w:t>
      </w:r>
      <w:r w:rsidRPr="00F138B6">
        <w:t>(emphasis</w:t>
      </w:r>
      <w:r>
        <w:t xml:space="preserve"> </w:t>
      </w:r>
      <w:r w:rsidRPr="00F138B6">
        <w:t>added).</w:t>
      </w:r>
    </w:p>
  </w:footnote>
  <w:footnote w:id="61">
    <w:p w14:paraId="6245D913" w14:textId="70F006D1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See</w:t>
      </w:r>
      <w:r>
        <w:t xml:space="preserve"> </w:t>
      </w:r>
      <w:r w:rsidRPr="00F138B6">
        <w:t>Chapter</w:t>
      </w:r>
      <w:r>
        <w:t xml:space="preserve"> </w:t>
      </w:r>
      <w:r w:rsidRPr="00F138B6">
        <w:t>2,</w:t>
      </w:r>
      <w:r>
        <w:t xml:space="preserve"> </w:t>
      </w:r>
      <w:r w:rsidRPr="00F138B6">
        <w:t>§I.G.1.</w:t>
      </w:r>
    </w:p>
  </w:footnote>
  <w:footnote w:id="62">
    <w:p w14:paraId="4F9606B5" w14:textId="7A3FC378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Metric</w:t>
      </w:r>
      <w:r>
        <w:t xml:space="preserve"> </w:t>
      </w:r>
      <w:r w:rsidRPr="00F138B6">
        <w:t>&amp;</w:t>
      </w:r>
      <w:r>
        <w:t xml:space="preserve"> </w:t>
      </w:r>
      <w:r w:rsidRPr="00F138B6">
        <w:t>Multistandard</w:t>
      </w:r>
      <w:r>
        <w:t xml:space="preserve"> </w:t>
      </w:r>
      <w:r w:rsidRPr="00F138B6">
        <w:t>Components</w:t>
      </w:r>
      <w:r>
        <w:t xml:space="preserve"> </w:t>
      </w:r>
      <w:r w:rsidRPr="00F138B6">
        <w:t>Corp.</w:t>
      </w:r>
      <w:r>
        <w:t xml:space="preserve"> </w:t>
      </w:r>
      <w:r w:rsidRPr="00F138B6">
        <w:t>v.</w:t>
      </w:r>
      <w:r>
        <w:t xml:space="preserve"> </w:t>
      </w:r>
      <w:r w:rsidRPr="00F138B6">
        <w:t>Metric’s,</w:t>
      </w:r>
      <w:r>
        <w:t xml:space="preserve"> </w:t>
      </w:r>
      <w:r w:rsidRPr="00F138B6">
        <w:t>Inc.,</w:t>
      </w:r>
      <w:r>
        <w:t xml:space="preserve"> </w:t>
      </w:r>
      <w:r w:rsidRPr="00F138B6">
        <w:t>635</w:t>
      </w:r>
      <w:r>
        <w:t xml:space="preserve"> </w:t>
      </w:r>
      <w:r w:rsidRPr="00F138B6">
        <w:t>F.2d</w:t>
      </w:r>
      <w:r>
        <w:t xml:space="preserve"> </w:t>
      </w:r>
      <w:r w:rsidRPr="00F138B6">
        <w:t>710,</w:t>
      </w:r>
      <w:r>
        <w:t xml:space="preserve"> </w:t>
      </w:r>
      <w:r w:rsidRPr="00F138B6">
        <w:t>716</w:t>
      </w:r>
      <w:r>
        <w:t xml:space="preserve"> </w:t>
      </w:r>
      <w:r w:rsidRPr="00F138B6">
        <w:t>(8th</w:t>
      </w:r>
      <w:r>
        <w:t xml:space="preserve"> </w:t>
      </w:r>
      <w:r w:rsidRPr="00F138B6">
        <w:t>Cir.</w:t>
      </w:r>
      <w:r>
        <w:t xml:space="preserve"> </w:t>
      </w:r>
      <w:r w:rsidRPr="00F138B6">
        <w:t>1980)</w:t>
      </w:r>
      <w:r>
        <w:t xml:space="preserve"> </w:t>
      </w:r>
      <w:r w:rsidRPr="00F138B6">
        <w:t>(no</w:t>
      </w:r>
      <w:r>
        <w:t xml:space="preserve"> </w:t>
      </w:r>
      <w:r w:rsidRPr="00F138B6">
        <w:t>punitive</w:t>
      </w:r>
      <w:r>
        <w:t xml:space="preserve"> </w:t>
      </w:r>
      <w:r w:rsidRPr="00F138B6">
        <w:t>damages</w:t>
      </w:r>
      <w:r>
        <w:t xml:space="preserve"> </w:t>
      </w:r>
      <w:r w:rsidRPr="00F138B6">
        <w:t>under</w:t>
      </w:r>
      <w:r>
        <w:t xml:space="preserve"> </w:t>
      </w:r>
      <w:r w:rsidRPr="00F138B6">
        <w:t>the</w:t>
      </w:r>
      <w:r>
        <w:t xml:space="preserve"> </w:t>
      </w:r>
      <w:r w:rsidRPr="00F138B6">
        <w:t>Lanham</w:t>
      </w:r>
      <w:r>
        <w:t xml:space="preserve"> </w:t>
      </w:r>
      <w:r w:rsidRPr="00F138B6">
        <w:t>Act);</w:t>
      </w:r>
      <w:r>
        <w:t xml:space="preserve"> </w:t>
      </w:r>
      <w:r w:rsidRPr="00F138B6">
        <w:rPr>
          <w:i/>
        </w:rPr>
        <w:t>see</w:t>
      </w:r>
      <w:r>
        <w:t xml:space="preserve"> </w:t>
      </w:r>
      <w:r w:rsidRPr="00F138B6">
        <w:t>Minnesota</w:t>
      </w:r>
      <w:r>
        <w:t xml:space="preserve"> </w:t>
      </w:r>
      <w:r w:rsidRPr="00F138B6">
        <w:t>Pet</w:t>
      </w:r>
      <w:r>
        <w:t xml:space="preserve"> </w:t>
      </w:r>
      <w:r w:rsidRPr="00F138B6">
        <w:t>Breeders,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Schell</w:t>
      </w:r>
      <w:r>
        <w:t xml:space="preserve"> </w:t>
      </w:r>
      <w:r w:rsidRPr="00F138B6">
        <w:t>&amp;</w:t>
      </w:r>
      <w:r>
        <w:t xml:space="preserve"> </w:t>
      </w:r>
      <w:r w:rsidRPr="00F138B6">
        <w:t>Kampeter,</w:t>
      </w:r>
      <w:r>
        <w:t xml:space="preserve"> </w:t>
      </w:r>
      <w:r w:rsidRPr="00F138B6">
        <w:t>Inc.,</w:t>
      </w:r>
      <w:r>
        <w:t xml:space="preserve"> </w:t>
      </w:r>
      <w:r w:rsidRPr="00F138B6">
        <w:t>41</w:t>
      </w:r>
      <w:r>
        <w:t xml:space="preserve"> </w:t>
      </w:r>
      <w:r w:rsidRPr="00F138B6">
        <w:t>F.3d</w:t>
      </w:r>
      <w:r>
        <w:t xml:space="preserve"> </w:t>
      </w:r>
      <w:r w:rsidRPr="00F138B6">
        <w:t>1242,</w:t>
      </w:r>
      <w:r>
        <w:t xml:space="preserve"> </w:t>
      </w:r>
      <w:r w:rsidRPr="00F138B6">
        <w:t>1247,</w:t>
      </w:r>
      <w:r>
        <w:t xml:space="preserve"> </w:t>
      </w:r>
      <w:r w:rsidRPr="00F138B6">
        <w:t>33</w:t>
      </w:r>
      <w:r>
        <w:t xml:space="preserve"> </w:t>
      </w:r>
      <w:r w:rsidRPr="00F138B6">
        <w:t>USPQ2d</w:t>
      </w:r>
      <w:r>
        <w:t xml:space="preserve"> </w:t>
      </w:r>
      <w:r w:rsidRPr="00F138B6">
        <w:t>1140</w:t>
      </w:r>
      <w:r>
        <w:t xml:space="preserve"> </w:t>
      </w:r>
      <w:r w:rsidRPr="00F138B6">
        <w:t>(8th</w:t>
      </w:r>
      <w:r>
        <w:t xml:space="preserve"> </w:t>
      </w:r>
      <w:r w:rsidRPr="00F138B6">
        <w:t>Cir.</w:t>
      </w:r>
      <w:r>
        <w:t xml:space="preserve"> </w:t>
      </w:r>
      <w:r w:rsidRPr="00F138B6">
        <w:t>1994);</w:t>
      </w:r>
      <w:r>
        <w:t xml:space="preserve"> </w:t>
      </w:r>
      <w:r w:rsidRPr="00F138B6">
        <w:t>Jurgens</w:t>
      </w:r>
      <w:r>
        <w:t xml:space="preserve"> </w:t>
      </w:r>
      <w:r w:rsidRPr="00F138B6">
        <w:t>v.</w:t>
      </w:r>
      <w:r>
        <w:t xml:space="preserve"> </w:t>
      </w:r>
      <w:r w:rsidRPr="00F138B6">
        <w:t>McKasy,</w:t>
      </w:r>
      <w:r>
        <w:t xml:space="preserve"> </w:t>
      </w:r>
      <w:r w:rsidRPr="00F138B6">
        <w:t>927</w:t>
      </w:r>
      <w:r>
        <w:t xml:space="preserve"> </w:t>
      </w:r>
      <w:r w:rsidRPr="00F138B6">
        <w:t>F.2d</w:t>
      </w:r>
      <w:r>
        <w:t xml:space="preserve"> </w:t>
      </w:r>
      <w:r w:rsidRPr="00F138B6">
        <w:t>1552,</w:t>
      </w:r>
      <w:r>
        <w:t xml:space="preserve"> </w:t>
      </w:r>
      <w:r w:rsidRPr="00F138B6">
        <w:t>1563–64,</w:t>
      </w:r>
      <w:r>
        <w:t xml:space="preserve"> </w:t>
      </w:r>
      <w:r w:rsidRPr="00F138B6">
        <w:t>18</w:t>
      </w:r>
      <w:r>
        <w:t xml:space="preserve"> </w:t>
      </w:r>
      <w:r w:rsidRPr="00F138B6">
        <w:t>USPQ</w:t>
      </w:r>
      <w:r>
        <w:t xml:space="preserve"> </w:t>
      </w:r>
      <w:r w:rsidRPr="00F138B6">
        <w:t>1031</w:t>
      </w:r>
      <w:r>
        <w:t xml:space="preserve"> </w:t>
      </w:r>
      <w:r w:rsidRPr="00F138B6">
        <w:t>(Fed.</w:t>
      </w:r>
      <w:r>
        <w:t xml:space="preserve"> </w:t>
      </w:r>
      <w:r w:rsidRPr="00F138B6">
        <w:t>Cir.),</w:t>
      </w:r>
      <w:r>
        <w:t xml:space="preserve"> </w:t>
      </w:r>
      <w:r w:rsidRPr="00F138B6">
        <w:rPr>
          <w:i/>
        </w:rPr>
        <w:t>cert</w:t>
      </w:r>
      <w:r w:rsidRPr="00F138B6">
        <w:t>.</w:t>
      </w:r>
      <w:r>
        <w:t xml:space="preserve"> </w:t>
      </w:r>
      <w:r w:rsidRPr="00F138B6">
        <w:rPr>
          <w:i/>
        </w:rPr>
        <w:t>denied</w:t>
      </w:r>
      <w:r w:rsidRPr="00F138B6">
        <w:t>,</w:t>
      </w:r>
      <w:r>
        <w:t xml:space="preserve"> </w:t>
      </w:r>
      <w:r w:rsidRPr="00F138B6">
        <w:t>502</w:t>
      </w:r>
      <w:r>
        <w:t xml:space="preserve"> </w:t>
      </w:r>
      <w:r w:rsidRPr="00F138B6">
        <w:t>U.S.</w:t>
      </w:r>
      <w:r>
        <w:t xml:space="preserve"> </w:t>
      </w:r>
      <w:r w:rsidRPr="00F138B6">
        <w:t>902</w:t>
      </w:r>
      <w:r>
        <w:t xml:space="preserve"> </w:t>
      </w:r>
      <w:r w:rsidRPr="00F138B6">
        <w:t>(1991)</w:t>
      </w:r>
      <w:r>
        <w:t xml:space="preserve"> </w:t>
      </w:r>
      <w:r w:rsidRPr="00F138B6">
        <w:t>(Eighth</w:t>
      </w:r>
      <w:r>
        <w:t xml:space="preserve"> </w:t>
      </w:r>
      <w:r w:rsidRPr="00F138B6">
        <w:t>Circuit</w:t>
      </w:r>
      <w:r>
        <w:t xml:space="preserve"> </w:t>
      </w:r>
      <w:r w:rsidRPr="00F138B6">
        <w:t>precedent</w:t>
      </w:r>
      <w:r>
        <w:t xml:space="preserve"> </w:t>
      </w:r>
      <w:r w:rsidRPr="00F138B6">
        <w:t>does</w:t>
      </w:r>
      <w:r>
        <w:t xml:space="preserve"> </w:t>
      </w:r>
      <w:r w:rsidRPr="00F138B6">
        <w:t>not</w:t>
      </w:r>
      <w:r>
        <w:t xml:space="preserve"> </w:t>
      </w:r>
      <w:r w:rsidRPr="00F138B6">
        <w:t>permit</w:t>
      </w:r>
      <w:r>
        <w:t xml:space="preserve"> </w:t>
      </w:r>
      <w:r w:rsidRPr="00F138B6">
        <w:t>enhancement</w:t>
      </w:r>
      <w:r>
        <w:t xml:space="preserve"> </w:t>
      </w:r>
      <w:r w:rsidRPr="00F138B6">
        <w:t>for</w:t>
      </w:r>
      <w:r>
        <w:t xml:space="preserve"> </w:t>
      </w:r>
      <w:r w:rsidRPr="00F138B6">
        <w:t>intentional</w:t>
      </w:r>
      <w:r>
        <w:t xml:space="preserve"> </w:t>
      </w:r>
      <w:r w:rsidRPr="00F138B6">
        <w:t>infringement);</w:t>
      </w:r>
      <w:r>
        <w:t xml:space="preserve"> </w:t>
      </w:r>
      <w:r w:rsidRPr="00F138B6">
        <w:t>Getty</w:t>
      </w:r>
      <w:r>
        <w:t xml:space="preserve"> </w:t>
      </w:r>
      <w:r w:rsidRPr="00F138B6">
        <w:t>Petroleum</w:t>
      </w:r>
      <w:r>
        <w:t xml:space="preserve"> </w:t>
      </w:r>
      <w:r w:rsidRPr="00F138B6">
        <w:t>Corp.</w:t>
      </w:r>
      <w:r>
        <w:t xml:space="preserve"> </w:t>
      </w:r>
      <w:r w:rsidRPr="00F138B6">
        <w:t>v.</w:t>
      </w:r>
      <w:r>
        <w:t xml:space="preserve"> </w:t>
      </w:r>
      <w:r w:rsidRPr="00F138B6">
        <w:t>Bartco</w:t>
      </w:r>
      <w:r>
        <w:t xml:space="preserve"> </w:t>
      </w:r>
      <w:r w:rsidRPr="00F138B6">
        <w:t>Petroleum</w:t>
      </w:r>
      <w:r>
        <w:t xml:space="preserve"> </w:t>
      </w:r>
      <w:r w:rsidRPr="00F138B6">
        <w:t>Corp.,</w:t>
      </w:r>
      <w:r>
        <w:t xml:space="preserve"> </w:t>
      </w:r>
      <w:r w:rsidRPr="00F138B6">
        <w:t>858</w:t>
      </w:r>
      <w:r>
        <w:t xml:space="preserve"> </w:t>
      </w:r>
      <w:r w:rsidRPr="00F138B6">
        <w:t>F.2d</w:t>
      </w:r>
      <w:r>
        <w:t xml:space="preserve"> </w:t>
      </w:r>
      <w:r w:rsidRPr="00F138B6">
        <w:t>103,</w:t>
      </w:r>
      <w:r>
        <w:t xml:space="preserve"> </w:t>
      </w:r>
      <w:r w:rsidRPr="00F138B6">
        <w:t>112,</w:t>
      </w:r>
      <w:r>
        <w:t xml:space="preserve"> </w:t>
      </w:r>
      <w:r w:rsidRPr="00F138B6">
        <w:t>8</w:t>
      </w:r>
      <w:r>
        <w:t xml:space="preserve"> </w:t>
      </w:r>
      <w:r w:rsidRPr="00F138B6">
        <w:t>USPQ2d</w:t>
      </w:r>
      <w:r>
        <w:t xml:space="preserve"> </w:t>
      </w:r>
      <w:r w:rsidRPr="00F138B6">
        <w:t>1336</w:t>
      </w:r>
      <w:r>
        <w:t xml:space="preserve"> </w:t>
      </w:r>
      <w:r w:rsidRPr="00F138B6">
        <w:t>(2d</w:t>
      </w:r>
      <w:r>
        <w:t xml:space="preserve"> </w:t>
      </w:r>
      <w:r w:rsidRPr="00F138B6">
        <w:t>Cir.</w:t>
      </w:r>
      <w:r>
        <w:t xml:space="preserve"> </w:t>
      </w:r>
      <w:r w:rsidRPr="00F138B6">
        <w:t>1988)</w:t>
      </w:r>
      <w:r>
        <w:t xml:space="preserve"> </w:t>
      </w:r>
      <w:r w:rsidRPr="00F138B6">
        <w:t>(no</w:t>
      </w:r>
      <w:r>
        <w:t xml:space="preserve"> </w:t>
      </w:r>
      <w:r w:rsidRPr="00F138B6">
        <w:t>punitive</w:t>
      </w:r>
      <w:r>
        <w:t xml:space="preserve"> </w:t>
      </w:r>
      <w:r w:rsidRPr="00F138B6">
        <w:t>damages</w:t>
      </w:r>
      <w:r>
        <w:t xml:space="preserve"> </w:t>
      </w:r>
      <w:r w:rsidRPr="00F138B6">
        <w:t>under</w:t>
      </w:r>
      <w:r>
        <w:t xml:space="preserve"> </w:t>
      </w:r>
      <w:r w:rsidRPr="00F138B6">
        <w:t>the</w:t>
      </w:r>
      <w:r>
        <w:t xml:space="preserve"> </w:t>
      </w:r>
      <w:r w:rsidRPr="00F138B6">
        <w:t>Lanham</w:t>
      </w:r>
      <w:r>
        <w:t xml:space="preserve"> </w:t>
      </w:r>
      <w:r w:rsidRPr="00F138B6">
        <w:t>Act),</w:t>
      </w:r>
      <w:r>
        <w:t xml:space="preserve"> </w:t>
      </w:r>
      <w:r w:rsidRPr="00F138B6">
        <w:rPr>
          <w:i/>
        </w:rPr>
        <w:t>cert</w:t>
      </w:r>
      <w:r w:rsidRPr="00F138B6">
        <w:t>.</w:t>
      </w:r>
      <w:r>
        <w:t xml:space="preserve"> </w:t>
      </w:r>
      <w:r w:rsidRPr="00F138B6">
        <w:rPr>
          <w:i/>
        </w:rPr>
        <w:t>denied</w:t>
      </w:r>
      <w:r w:rsidRPr="00F138B6">
        <w:t>,</w:t>
      </w:r>
      <w:r>
        <w:t xml:space="preserve"> </w:t>
      </w:r>
      <w:r w:rsidRPr="00F138B6">
        <w:t>490</w:t>
      </w:r>
      <w:r>
        <w:t xml:space="preserve"> </w:t>
      </w:r>
      <w:r w:rsidRPr="00F138B6">
        <w:t>U.S.</w:t>
      </w:r>
      <w:r>
        <w:t xml:space="preserve"> </w:t>
      </w:r>
      <w:r w:rsidRPr="00F138B6">
        <w:t>1006</w:t>
      </w:r>
      <w:r>
        <w:t xml:space="preserve"> </w:t>
      </w:r>
      <w:r w:rsidRPr="00F138B6">
        <w:t>(1989);</w:t>
      </w:r>
      <w:r>
        <w:t xml:space="preserve"> </w:t>
      </w:r>
      <w:r w:rsidRPr="00F138B6">
        <w:rPr>
          <w:i/>
        </w:rPr>
        <w:t>see</w:t>
      </w:r>
      <w:r>
        <w:rPr>
          <w:i/>
        </w:rPr>
        <w:t xml:space="preserve"> </w:t>
      </w:r>
      <w:r w:rsidRPr="00F138B6">
        <w:rPr>
          <w:i/>
        </w:rPr>
        <w:t>also</w:t>
      </w:r>
      <w:r>
        <w:t xml:space="preserve"> </w:t>
      </w:r>
      <w:r w:rsidRPr="00F138B6">
        <w:t>ALPO</w:t>
      </w:r>
      <w:r>
        <w:t xml:space="preserve"> </w:t>
      </w:r>
      <w:r w:rsidRPr="00F138B6">
        <w:t>Petfoods</w:t>
      </w:r>
      <w:r>
        <w:t xml:space="preserve"> </w:t>
      </w:r>
      <w:r w:rsidRPr="00F138B6">
        <w:t>v.</w:t>
      </w:r>
      <w:r>
        <w:t xml:space="preserve"> </w:t>
      </w:r>
      <w:r w:rsidRPr="00F138B6">
        <w:t>Ralston</w:t>
      </w:r>
      <w:r>
        <w:t xml:space="preserve"> </w:t>
      </w:r>
      <w:r w:rsidRPr="00F138B6">
        <w:t>Purina</w:t>
      </w:r>
      <w:r>
        <w:t xml:space="preserve"> </w:t>
      </w:r>
      <w:r w:rsidRPr="00F138B6">
        <w:t>Co.,</w:t>
      </w:r>
      <w:r>
        <w:t xml:space="preserve"> </w:t>
      </w:r>
      <w:r w:rsidRPr="00F138B6">
        <w:t>997</w:t>
      </w:r>
      <w:r>
        <w:t xml:space="preserve"> </w:t>
      </w:r>
      <w:r w:rsidRPr="00F138B6">
        <w:t>F.2d</w:t>
      </w:r>
      <w:r>
        <w:t xml:space="preserve"> </w:t>
      </w:r>
      <w:r w:rsidRPr="00F138B6">
        <w:t>949,</w:t>
      </w:r>
      <w:r>
        <w:t xml:space="preserve"> </w:t>
      </w:r>
      <w:r w:rsidRPr="00F138B6">
        <w:t>955,</w:t>
      </w:r>
      <w:r>
        <w:t xml:space="preserve"> </w:t>
      </w:r>
      <w:r w:rsidRPr="00F138B6">
        <w:t>27</w:t>
      </w:r>
      <w:r>
        <w:t xml:space="preserve"> </w:t>
      </w:r>
      <w:r w:rsidRPr="00F138B6">
        <w:t>USPQ2d</w:t>
      </w:r>
      <w:r>
        <w:t xml:space="preserve"> </w:t>
      </w:r>
      <w:r w:rsidRPr="00F138B6">
        <w:t>1455</w:t>
      </w:r>
      <w:r>
        <w:t xml:space="preserve"> </w:t>
      </w:r>
      <w:r w:rsidRPr="00F138B6">
        <w:t>(D.C.</w:t>
      </w:r>
      <w:r>
        <w:t xml:space="preserve"> </w:t>
      </w:r>
      <w:r w:rsidRPr="00F138B6">
        <w:t>Cir.</w:t>
      </w:r>
      <w:r>
        <w:t xml:space="preserve"> </w:t>
      </w:r>
      <w:r w:rsidRPr="00F138B6">
        <w:t>1993)</w:t>
      </w:r>
      <w:r>
        <w:t xml:space="preserve"> </w:t>
      </w:r>
      <w:r w:rsidRPr="00F138B6">
        <w:t>(permitting</w:t>
      </w:r>
      <w:r>
        <w:t xml:space="preserve"> </w:t>
      </w:r>
      <w:r w:rsidRPr="00F138B6">
        <w:t>enhancement</w:t>
      </w:r>
      <w:r>
        <w:t xml:space="preserve"> </w:t>
      </w:r>
      <w:r w:rsidRPr="00F138B6">
        <w:t>for</w:t>
      </w:r>
      <w:r>
        <w:t xml:space="preserve"> </w:t>
      </w:r>
      <w:r w:rsidRPr="00F138B6">
        <w:t>market</w:t>
      </w:r>
      <w:r>
        <w:t xml:space="preserve"> </w:t>
      </w:r>
      <w:r w:rsidRPr="00F138B6">
        <w:t>distortion,</w:t>
      </w:r>
      <w:r>
        <w:t xml:space="preserve"> </w:t>
      </w:r>
      <w:r w:rsidRPr="00F138B6">
        <w:t>but</w:t>
      </w:r>
      <w:r>
        <w:t xml:space="preserve"> </w:t>
      </w:r>
      <w:r w:rsidRPr="00F138B6">
        <w:t>not</w:t>
      </w:r>
      <w:r>
        <w:t xml:space="preserve"> </w:t>
      </w:r>
      <w:r w:rsidRPr="00F138B6">
        <w:t>for</w:t>
      </w:r>
      <w:r>
        <w:t xml:space="preserve"> </w:t>
      </w:r>
      <w:r w:rsidRPr="00F138B6">
        <w:t>inflation).</w:t>
      </w:r>
      <w:r>
        <w:t xml:space="preserve"> </w:t>
      </w:r>
      <w:r w:rsidRPr="00F138B6">
        <w:rPr>
          <w:i/>
        </w:rPr>
        <w:t>But</w:t>
      </w:r>
      <w:r>
        <w:rPr>
          <w:i/>
        </w:rPr>
        <w:t xml:space="preserve"> </w:t>
      </w:r>
      <w:r w:rsidRPr="00F138B6">
        <w:rPr>
          <w:i/>
        </w:rPr>
        <w:t>cf</w:t>
      </w:r>
      <w:r w:rsidRPr="00F138B6">
        <w:t>.</w:t>
      </w:r>
      <w:r>
        <w:t xml:space="preserve"> </w:t>
      </w:r>
      <w:r w:rsidRPr="00F138B6">
        <w:t>Gorenstein</w:t>
      </w:r>
      <w:r>
        <w:t xml:space="preserve"> </w:t>
      </w:r>
      <w:r w:rsidRPr="00F138B6">
        <w:t>Enters.,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Quality</w:t>
      </w:r>
      <w:r>
        <w:t xml:space="preserve"> </w:t>
      </w:r>
      <w:r w:rsidRPr="00F138B6">
        <w:t>Care-USA,</w:t>
      </w:r>
      <w:r>
        <w:t xml:space="preserve"> </w:t>
      </w:r>
      <w:r w:rsidRPr="00F138B6">
        <w:t>Inc.,</w:t>
      </w:r>
      <w:r>
        <w:t xml:space="preserve"> </w:t>
      </w:r>
      <w:r w:rsidRPr="00F138B6">
        <w:t>874</w:t>
      </w:r>
      <w:r>
        <w:t xml:space="preserve"> </w:t>
      </w:r>
      <w:r w:rsidRPr="00F138B6">
        <w:t>F.2d</w:t>
      </w:r>
      <w:r>
        <w:t xml:space="preserve"> </w:t>
      </w:r>
      <w:r w:rsidRPr="00F138B6">
        <w:t>431,</w:t>
      </w:r>
      <w:r>
        <w:t xml:space="preserve"> </w:t>
      </w:r>
      <w:r w:rsidRPr="00F138B6">
        <w:t>436,</w:t>
      </w:r>
      <w:r>
        <w:t xml:space="preserve"> </w:t>
      </w:r>
      <w:r w:rsidRPr="00F138B6">
        <w:t>10</w:t>
      </w:r>
      <w:r>
        <w:t xml:space="preserve"> </w:t>
      </w:r>
      <w:r w:rsidRPr="00F138B6">
        <w:t>USPQ2d</w:t>
      </w:r>
      <w:r>
        <w:t xml:space="preserve"> </w:t>
      </w:r>
      <w:r w:rsidRPr="00F138B6">
        <w:t>1762</w:t>
      </w:r>
      <w:r>
        <w:t xml:space="preserve"> </w:t>
      </w:r>
      <w:r w:rsidRPr="00F138B6">
        <w:t>(7th</w:t>
      </w:r>
      <w:r>
        <w:t xml:space="preserve"> </w:t>
      </w:r>
      <w:r w:rsidRPr="00F138B6">
        <w:t>Cir.</w:t>
      </w:r>
      <w:r>
        <w:t xml:space="preserve"> </w:t>
      </w:r>
      <w:r w:rsidRPr="00F138B6">
        <w:t>1989)</w:t>
      </w:r>
      <w:r>
        <w:t xml:space="preserve"> </w:t>
      </w:r>
      <w:r w:rsidRPr="00F138B6">
        <w:t>(permitting</w:t>
      </w:r>
      <w:r>
        <w:t xml:space="preserve"> </w:t>
      </w:r>
      <w:r w:rsidRPr="00F138B6">
        <w:t>enhancement</w:t>
      </w:r>
      <w:r>
        <w:t xml:space="preserve"> </w:t>
      </w:r>
      <w:r w:rsidRPr="00F138B6">
        <w:t>as</w:t>
      </w:r>
      <w:r>
        <w:t xml:space="preserve"> </w:t>
      </w:r>
      <w:r w:rsidRPr="00F138B6">
        <w:t>a</w:t>
      </w:r>
      <w:r>
        <w:t xml:space="preserve"> </w:t>
      </w:r>
      <w:r w:rsidRPr="00F138B6">
        <w:t>deterrent</w:t>
      </w:r>
      <w:r>
        <w:t xml:space="preserve"> </w:t>
      </w:r>
      <w:r w:rsidRPr="00F138B6">
        <w:t>to</w:t>
      </w:r>
      <w:r>
        <w:t xml:space="preserve"> </w:t>
      </w:r>
      <w:r w:rsidRPr="00F138B6">
        <w:t>intentional</w:t>
      </w:r>
      <w:r>
        <w:t xml:space="preserve"> </w:t>
      </w:r>
      <w:r w:rsidRPr="00F138B6">
        <w:t>infringement).</w:t>
      </w:r>
      <w:r>
        <w:t xml:space="preserve"> </w:t>
      </w:r>
      <w:r w:rsidRPr="00F138B6">
        <w:t>For</w:t>
      </w:r>
      <w:r>
        <w:t xml:space="preserve"> </w:t>
      </w:r>
      <w:r w:rsidRPr="00F138B6">
        <w:t>a</w:t>
      </w:r>
      <w:r>
        <w:t xml:space="preserve"> </w:t>
      </w:r>
      <w:r w:rsidRPr="00F138B6">
        <w:t>discussion</w:t>
      </w:r>
      <w:r>
        <w:t xml:space="preserve"> </w:t>
      </w:r>
      <w:r w:rsidRPr="00F138B6">
        <w:t>of</w:t>
      </w:r>
      <w:r>
        <w:t xml:space="preserve"> </w:t>
      </w:r>
      <w:r w:rsidRPr="00F138B6">
        <w:t>these</w:t>
      </w:r>
      <w:r>
        <w:t xml:space="preserve"> </w:t>
      </w:r>
      <w:r w:rsidRPr="00F138B6">
        <w:t>issues</w:t>
      </w:r>
      <w:r>
        <w:t xml:space="preserve"> </w:t>
      </w:r>
      <w:r w:rsidRPr="00F138B6">
        <w:t>under</w:t>
      </w:r>
      <w:r>
        <w:t xml:space="preserve"> </w:t>
      </w:r>
      <w:r w:rsidRPr="00F138B6">
        <w:t>the</w:t>
      </w:r>
      <w:r>
        <w:t xml:space="preserve"> </w:t>
      </w:r>
      <w:r w:rsidRPr="00F138B6">
        <w:t>FTDA</w:t>
      </w:r>
      <w:r>
        <w:t xml:space="preserve"> </w:t>
      </w:r>
      <w:r w:rsidRPr="00F138B6">
        <w:t>and</w:t>
      </w:r>
      <w:r>
        <w:t xml:space="preserve"> </w:t>
      </w:r>
      <w:r w:rsidRPr="00F138B6">
        <w:t>TDRA,</w:t>
      </w:r>
      <w:r>
        <w:t xml:space="preserve"> </w:t>
      </w:r>
      <w:r w:rsidRPr="00F138B6">
        <w:t>see</w:t>
      </w:r>
      <w:r>
        <w:t xml:space="preserve"> </w:t>
      </w:r>
      <w:r w:rsidRPr="00F138B6">
        <w:t>Chapter</w:t>
      </w:r>
      <w:r>
        <w:t xml:space="preserve"> </w:t>
      </w:r>
      <w:r w:rsidRPr="00F138B6">
        <w:t>11,</w:t>
      </w:r>
      <w:r>
        <w:t xml:space="preserve"> </w:t>
      </w:r>
      <w:r w:rsidRPr="00F138B6">
        <w:t>§§III.C,</w:t>
      </w:r>
      <w:r>
        <w:t xml:space="preserve"> </w:t>
      </w:r>
      <w:r w:rsidRPr="00F138B6">
        <w:t>D.</w:t>
      </w:r>
    </w:p>
  </w:footnote>
  <w:footnote w:id="63">
    <w:p w14:paraId="0A92655C" w14:textId="3A1054AE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2007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§14(a);</w:t>
      </w:r>
      <w:r>
        <w:t xml:space="preserve"> </w:t>
      </w:r>
      <w:r w:rsidRPr="00F138B6">
        <w:rPr>
          <w:smallCaps/>
        </w:rPr>
        <w:t>Ala.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t xml:space="preserve"> </w:t>
      </w:r>
      <w:r w:rsidRPr="00F138B6">
        <w:t>§8-12-18(b)</w:t>
      </w:r>
      <w:r>
        <w:t xml:space="preserve"> </w:t>
      </w:r>
      <w:r w:rsidRPr="00F138B6">
        <w:t>(2010);</w:t>
      </w:r>
      <w:r>
        <w:t xml:space="preserve"> </w:t>
      </w:r>
      <w:r w:rsidRPr="00F138B6">
        <w:rPr>
          <w:smallCaps/>
        </w:rPr>
        <w:t>Ark.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§4-71-214(a)(2)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2001);</w:t>
      </w:r>
      <w:r>
        <w:t xml:space="preserve"> </w:t>
      </w:r>
      <w:r w:rsidRPr="00F138B6">
        <w:rPr>
          <w:smallCaps/>
        </w:rPr>
        <w:t>Fla.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§495.141</w:t>
      </w:r>
      <w:r>
        <w:t xml:space="preserve"> </w:t>
      </w:r>
      <w:r w:rsidRPr="00F138B6">
        <w:t>(West</w:t>
      </w:r>
      <w:r>
        <w:t xml:space="preserve"> </w:t>
      </w:r>
      <w:r w:rsidRPr="00F138B6">
        <w:t>2010);</w:t>
      </w:r>
      <w:r>
        <w:t xml:space="preserve"> </w:t>
      </w:r>
      <w:r w:rsidRPr="00F138B6">
        <w:rPr>
          <w:smallCaps/>
        </w:rPr>
        <w:t>Haw.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§482-33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2005)</w:t>
      </w:r>
      <w:r>
        <w:t xml:space="preserve"> </w:t>
      </w:r>
      <w:r w:rsidRPr="00F138B6">
        <w:t>(this</w:t>
      </w:r>
      <w:r>
        <w:t xml:space="preserve"> </w:t>
      </w:r>
      <w:r w:rsidRPr="00F138B6">
        <w:t>section</w:t>
      </w:r>
      <w:r>
        <w:t xml:space="preserve"> </w:t>
      </w:r>
      <w:r w:rsidRPr="00F138B6">
        <w:t>does</w:t>
      </w:r>
      <w:r>
        <w:t xml:space="preserve"> </w:t>
      </w:r>
      <w:r w:rsidRPr="00F138B6">
        <w:t>not</w:t>
      </w:r>
      <w:r>
        <w:t xml:space="preserve"> </w:t>
      </w:r>
      <w:r w:rsidRPr="00F138B6">
        <w:t>include</w:t>
      </w:r>
      <w:r>
        <w:t xml:space="preserve"> </w:t>
      </w:r>
      <w:r w:rsidRPr="00F138B6">
        <w:t>the</w:t>
      </w:r>
      <w:r>
        <w:t xml:space="preserve"> </w:t>
      </w:r>
      <w:r w:rsidRPr="00F138B6">
        <w:t>“or</w:t>
      </w:r>
      <w:r>
        <w:t xml:space="preserve"> </w:t>
      </w:r>
      <w:r w:rsidRPr="00F138B6">
        <w:t>otherwise</w:t>
      </w:r>
      <w:r>
        <w:t xml:space="preserve"> </w:t>
      </w:r>
      <w:r w:rsidRPr="00F138B6">
        <w:t>according</w:t>
      </w:r>
      <w:r>
        <w:t xml:space="preserve"> </w:t>
      </w:r>
      <w:r w:rsidRPr="00F138B6">
        <w:t>to</w:t>
      </w:r>
      <w:r>
        <w:t xml:space="preserve"> </w:t>
      </w:r>
      <w:r w:rsidRPr="00F138B6">
        <w:t>the</w:t>
      </w:r>
      <w:r>
        <w:t xml:space="preserve"> </w:t>
      </w:r>
      <w:r w:rsidRPr="00F138B6">
        <w:t>circumstances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case”</w:t>
      </w:r>
      <w:r>
        <w:t xml:space="preserve"> </w:t>
      </w:r>
      <w:r w:rsidRPr="00F138B6">
        <w:t>language);</w:t>
      </w:r>
      <w:r>
        <w:t xml:space="preserve"> </w:t>
      </w:r>
      <w:r w:rsidRPr="00F138B6">
        <w:rPr>
          <w:smallCaps/>
        </w:rPr>
        <w:t>Idaho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§48-514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2003);</w:t>
      </w:r>
      <w:r>
        <w:t xml:space="preserve"> </w:t>
      </w:r>
      <w:r w:rsidRPr="00F138B6">
        <w:t>765</w:t>
      </w:r>
      <w:r>
        <w:t xml:space="preserve"> </w:t>
      </w:r>
      <w:r w:rsidRPr="00F138B6">
        <w:rPr>
          <w:smallCaps/>
        </w:rPr>
        <w:t>Ill.</w:t>
      </w:r>
      <w:r>
        <w:rPr>
          <w:smallCaps/>
        </w:rPr>
        <w:t xml:space="preserve"> </w:t>
      </w:r>
      <w:r w:rsidRPr="00F138B6">
        <w:rPr>
          <w:smallCaps/>
        </w:rPr>
        <w:t>Comp.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§1036/70</w:t>
      </w:r>
      <w:r>
        <w:t xml:space="preserve"> </w:t>
      </w:r>
      <w:r w:rsidRPr="00F138B6">
        <w:t>(West</w:t>
      </w:r>
      <w:r>
        <w:t xml:space="preserve"> </w:t>
      </w:r>
      <w:r w:rsidRPr="00F138B6">
        <w:t>2009);</w:t>
      </w:r>
      <w:r>
        <w:t xml:space="preserve"> </w:t>
      </w:r>
      <w:r w:rsidRPr="00F138B6">
        <w:rPr>
          <w:smallCaps/>
        </w:rPr>
        <w:t>Iowa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§548.114</w:t>
      </w:r>
      <w:r>
        <w:t xml:space="preserve"> </w:t>
      </w:r>
      <w:r w:rsidRPr="00F138B6">
        <w:t>(West</w:t>
      </w:r>
      <w:r>
        <w:t xml:space="preserve"> </w:t>
      </w:r>
      <w:r w:rsidRPr="00F138B6">
        <w:t>1997);</w:t>
      </w:r>
      <w:r>
        <w:t xml:space="preserve"> </w:t>
      </w:r>
      <w:r w:rsidRPr="00F138B6">
        <w:rPr>
          <w:smallCaps/>
        </w:rPr>
        <w:t>Kan.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§81-215(a)</w:t>
      </w:r>
      <w:r>
        <w:t xml:space="preserve"> </w:t>
      </w:r>
      <w:r w:rsidRPr="00F138B6">
        <w:t>(Supp.</w:t>
      </w:r>
      <w:r>
        <w:t xml:space="preserve"> </w:t>
      </w:r>
      <w:r w:rsidRPr="00F138B6">
        <w:t>2006);</w:t>
      </w:r>
      <w:r>
        <w:t xml:space="preserve"> </w:t>
      </w:r>
      <w:r w:rsidRPr="00F138B6">
        <w:rPr>
          <w:smallCaps/>
        </w:rPr>
        <w:t>Minn.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§333.29(1)</w:t>
      </w:r>
      <w:r>
        <w:t xml:space="preserve"> </w:t>
      </w:r>
      <w:r w:rsidRPr="00F138B6">
        <w:t>(West</w:t>
      </w:r>
      <w:r>
        <w:t xml:space="preserve"> </w:t>
      </w:r>
      <w:r w:rsidRPr="00F138B6">
        <w:t>2011);</w:t>
      </w:r>
      <w:r>
        <w:t xml:space="preserve"> </w:t>
      </w:r>
      <w:r w:rsidRPr="00F138B6">
        <w:rPr>
          <w:smallCaps/>
        </w:rPr>
        <w:t>Miss.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§75-25-27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2006)</w:t>
      </w:r>
      <w:r>
        <w:t xml:space="preserve"> </w:t>
      </w:r>
      <w:r w:rsidRPr="00F138B6">
        <w:t>(this</w:t>
      </w:r>
      <w:r>
        <w:t xml:space="preserve"> </w:t>
      </w:r>
      <w:r w:rsidRPr="00F138B6">
        <w:t>section</w:t>
      </w:r>
      <w:r>
        <w:t xml:space="preserve"> </w:t>
      </w:r>
      <w:r w:rsidRPr="00F138B6">
        <w:t>is</w:t>
      </w:r>
      <w:r>
        <w:t xml:space="preserve"> </w:t>
      </w:r>
      <w:r w:rsidRPr="00F138B6">
        <w:t>labeled</w:t>
      </w:r>
      <w:r>
        <w:t xml:space="preserve"> </w:t>
      </w:r>
      <w:r w:rsidRPr="00F138B6">
        <w:t>“Remedies</w:t>
      </w:r>
      <w:r>
        <w:t xml:space="preserve"> </w:t>
      </w:r>
      <w:r w:rsidRPr="00F138B6">
        <w:t>against</w:t>
      </w:r>
      <w:r>
        <w:t xml:space="preserve"> </w:t>
      </w:r>
      <w:r w:rsidRPr="00F138B6">
        <w:t>counterfeits</w:t>
      </w:r>
      <w:r>
        <w:t xml:space="preserve"> </w:t>
      </w:r>
      <w:r w:rsidRPr="00F138B6">
        <w:t>or</w:t>
      </w:r>
      <w:r>
        <w:t xml:space="preserve"> </w:t>
      </w:r>
      <w:r w:rsidRPr="00F138B6">
        <w:t>imitations”);</w:t>
      </w:r>
      <w:r>
        <w:t xml:space="preserve"> </w:t>
      </w:r>
      <w:r w:rsidRPr="00F138B6">
        <w:rPr>
          <w:smallCaps/>
        </w:rPr>
        <w:t>Mont.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§30-13-335</w:t>
      </w:r>
      <w:r>
        <w:t xml:space="preserve"> </w:t>
      </w:r>
      <w:r w:rsidRPr="00F138B6">
        <w:t>(2007);</w:t>
      </w:r>
      <w:r>
        <w:t xml:space="preserve"> </w:t>
      </w:r>
      <w:r w:rsidRPr="00F138B6">
        <w:rPr>
          <w:smallCaps/>
        </w:rPr>
        <w:t>N.J.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§56:4-2</w:t>
      </w:r>
      <w:r>
        <w:t xml:space="preserve"> </w:t>
      </w:r>
      <w:r w:rsidRPr="00F138B6">
        <w:t>(West</w:t>
      </w:r>
      <w:r>
        <w:t xml:space="preserve"> </w:t>
      </w:r>
      <w:r w:rsidRPr="00F138B6">
        <w:t>2001);</w:t>
      </w:r>
      <w:r>
        <w:t xml:space="preserve"> </w:t>
      </w:r>
      <w:r w:rsidRPr="00F138B6">
        <w:rPr>
          <w:smallCaps/>
        </w:rPr>
        <w:t>N.M.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§57-3B-16</w:t>
      </w:r>
      <w:r>
        <w:t xml:space="preserve"> </w:t>
      </w:r>
      <w:r w:rsidRPr="00F138B6">
        <w:t>(West</w:t>
      </w:r>
      <w:r>
        <w:t xml:space="preserve"> </w:t>
      </w:r>
      <w:r w:rsidRPr="00F138B6">
        <w:t>2003);</w:t>
      </w:r>
      <w:r>
        <w:t xml:space="preserve"> </w:t>
      </w:r>
      <w:r w:rsidRPr="00F138B6">
        <w:t>54</w:t>
      </w:r>
      <w:r>
        <w:t xml:space="preserve"> </w:t>
      </w:r>
      <w:r w:rsidRPr="00F138B6">
        <w:rPr>
          <w:smallCaps/>
        </w:rPr>
        <w:t>Pa.</w:t>
      </w:r>
      <w:r>
        <w:rPr>
          <w:smallCaps/>
        </w:rPr>
        <w:t xml:space="preserve"> </w:t>
      </w:r>
      <w:r w:rsidRPr="00F138B6">
        <w:rPr>
          <w:smallCaps/>
        </w:rPr>
        <w:t>Cons.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§1125</w:t>
      </w:r>
      <w:r>
        <w:t xml:space="preserve"> </w:t>
      </w:r>
      <w:r w:rsidRPr="00F138B6">
        <w:t>(West</w:t>
      </w:r>
      <w:r>
        <w:t xml:space="preserve"> </w:t>
      </w:r>
      <w:r w:rsidRPr="00F138B6">
        <w:t>2004);</w:t>
      </w:r>
      <w:r>
        <w:t xml:space="preserve"> </w:t>
      </w:r>
      <w:r w:rsidRPr="00F138B6">
        <w:rPr>
          <w:smallCaps/>
        </w:rPr>
        <w:t>S.C.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§39-15-1170(a)</w:t>
      </w:r>
      <w:r>
        <w:t xml:space="preserve"> </w:t>
      </w:r>
      <w:r w:rsidRPr="00F138B6">
        <w:t>(West</w:t>
      </w:r>
      <w:r>
        <w:t xml:space="preserve"> </w:t>
      </w:r>
      <w:r w:rsidRPr="00F138B6">
        <w:t>Supp.</w:t>
      </w:r>
      <w:r>
        <w:t xml:space="preserve"> </w:t>
      </w:r>
      <w:r w:rsidRPr="00F138B6">
        <w:t>2009);</w:t>
      </w:r>
      <w:r>
        <w:t xml:space="preserve"> </w:t>
      </w:r>
      <w:r w:rsidRPr="00F138B6">
        <w:rPr>
          <w:smallCaps/>
        </w:rPr>
        <w:t>Tenn.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§47-25-514(a)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2001);</w:t>
      </w:r>
      <w:r>
        <w:t xml:space="preserve"> </w:t>
      </w:r>
      <w:r w:rsidRPr="00F138B6">
        <w:rPr>
          <w:smallCaps/>
        </w:rPr>
        <w:t>Tex.</w:t>
      </w:r>
      <w:r>
        <w:rPr>
          <w:smallCaps/>
        </w:rPr>
        <w:t xml:space="preserve"> </w:t>
      </w:r>
      <w:r w:rsidRPr="00F138B6">
        <w:rPr>
          <w:smallCaps/>
        </w:rPr>
        <w:t>Bus.</w:t>
      </w:r>
      <w:r>
        <w:rPr>
          <w:smallCaps/>
        </w:rPr>
        <w:t xml:space="preserve"> </w:t>
      </w:r>
      <w:r w:rsidRPr="00F138B6">
        <w:rPr>
          <w:smallCaps/>
        </w:rPr>
        <w:t>&amp;</w:t>
      </w:r>
      <w:r>
        <w:rPr>
          <w:smallCaps/>
        </w:rPr>
        <w:t xml:space="preserve"> </w:t>
      </w:r>
      <w:r w:rsidRPr="00F138B6">
        <w:rPr>
          <w:smallCaps/>
        </w:rPr>
        <w:t>Com.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§16.104(c)</w:t>
      </w:r>
      <w:r>
        <w:t xml:space="preserve"> </w:t>
      </w:r>
      <w:r w:rsidRPr="00F138B6">
        <w:t>(2011);</w:t>
      </w:r>
      <w:r>
        <w:t xml:space="preserve"> </w:t>
      </w:r>
      <w:r w:rsidRPr="00F138B6">
        <w:rPr>
          <w:smallCaps/>
        </w:rPr>
        <w:t>Utah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§70-3a-404</w:t>
      </w:r>
      <w:r>
        <w:t xml:space="preserve"> </w:t>
      </w:r>
      <w:r w:rsidRPr="00F138B6">
        <w:t>(West</w:t>
      </w:r>
      <w:r>
        <w:t xml:space="preserve"> </w:t>
      </w:r>
      <w:r w:rsidRPr="00F138B6">
        <w:t>2004);</w:t>
      </w:r>
      <w:r>
        <w:t xml:space="preserve"> </w:t>
      </w:r>
      <w:r w:rsidRPr="00F138B6">
        <w:rPr>
          <w:smallCaps/>
        </w:rPr>
        <w:t>W.</w:t>
      </w:r>
      <w:r>
        <w:rPr>
          <w:smallCaps/>
        </w:rPr>
        <w:t xml:space="preserve"> </w:t>
      </w:r>
      <w:r w:rsidRPr="00F138B6">
        <w:rPr>
          <w:smallCaps/>
        </w:rPr>
        <w:t>Va.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§47-2-214(a)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2006);</w:t>
      </w:r>
      <w:r>
        <w:t xml:space="preserve"> </w:t>
      </w:r>
      <w:r w:rsidRPr="00F138B6">
        <w:rPr>
          <w:smallCaps/>
        </w:rPr>
        <w:t>Wyo.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§40-1-112(a)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2001).</w:t>
      </w:r>
      <w:r>
        <w:t xml:space="preserve"> </w:t>
      </w:r>
      <w:r w:rsidRPr="00F138B6">
        <w:t>The</w:t>
      </w:r>
      <w:r>
        <w:t xml:space="preserve"> </w:t>
      </w:r>
      <w:r w:rsidRPr="00F138B6">
        <w:t>original</w:t>
      </w:r>
      <w:r>
        <w:t xml:space="preserve"> </w:t>
      </w:r>
      <w:r w:rsidRPr="00F138B6">
        <w:t>Washington</w:t>
      </w:r>
      <w:r>
        <w:t xml:space="preserve"> </w:t>
      </w:r>
      <w:r w:rsidRPr="00F138B6">
        <w:t>statute,</w:t>
      </w:r>
      <w:r>
        <w:t xml:space="preserve"> </w:t>
      </w:r>
      <w:r w:rsidRPr="00F138B6">
        <w:t>which</w:t>
      </w:r>
      <w:r>
        <w:t xml:space="preserve"> </w:t>
      </w:r>
      <w:r w:rsidRPr="00F138B6">
        <w:t>was</w:t>
      </w:r>
      <w:r>
        <w:t xml:space="preserve"> </w:t>
      </w:r>
      <w:r w:rsidRPr="00F138B6">
        <w:t>enacted</w:t>
      </w:r>
      <w:r>
        <w:t xml:space="preserve"> </w:t>
      </w:r>
      <w:r w:rsidRPr="00F138B6">
        <w:t>in</w:t>
      </w:r>
      <w:r>
        <w:t xml:space="preserve"> </w:t>
      </w:r>
      <w:r w:rsidRPr="00F138B6">
        <w:t>1989</w:t>
      </w:r>
      <w:r>
        <w:t xml:space="preserve"> </w:t>
      </w:r>
      <w:r w:rsidRPr="00F138B6">
        <w:t>and</w:t>
      </w:r>
      <w:r>
        <w:t xml:space="preserve"> </w:t>
      </w:r>
      <w:r w:rsidRPr="00F138B6">
        <w:t>was</w:t>
      </w:r>
      <w:r>
        <w:t xml:space="preserve"> </w:t>
      </w:r>
      <w:r w:rsidRPr="00F138B6">
        <w:t>patterned</w:t>
      </w:r>
      <w:r>
        <w:t xml:space="preserve"> </w:t>
      </w:r>
      <w:r w:rsidRPr="00F138B6">
        <w:t>after</w:t>
      </w:r>
      <w:r>
        <w:t xml:space="preserve"> </w:t>
      </w:r>
      <w:r w:rsidRPr="00F138B6">
        <w:t>the</w:t>
      </w:r>
      <w:r>
        <w:t xml:space="preserve"> </w:t>
      </w:r>
      <w:r w:rsidRPr="00F138B6">
        <w:t>1988</w:t>
      </w:r>
      <w:r>
        <w:t xml:space="preserve"> </w:t>
      </w:r>
      <w:r w:rsidRPr="00F138B6">
        <w:t>federal</w:t>
      </w:r>
      <w:r>
        <w:t xml:space="preserve"> </w:t>
      </w:r>
      <w:r w:rsidRPr="00F138B6">
        <w:t>dilution</w:t>
      </w:r>
      <w:r>
        <w:t xml:space="preserve"> </w:t>
      </w:r>
      <w:r w:rsidRPr="00F138B6">
        <w:t>bill,</w:t>
      </w:r>
      <w:r>
        <w:t xml:space="preserve"> </w:t>
      </w:r>
      <w:r w:rsidRPr="00F138B6">
        <w:t>did</w:t>
      </w:r>
      <w:r>
        <w:t xml:space="preserve"> </w:t>
      </w:r>
      <w:r w:rsidRPr="00F138B6">
        <w:t>not</w:t>
      </w:r>
      <w:r>
        <w:t xml:space="preserve"> </w:t>
      </w:r>
      <w:r w:rsidRPr="00F138B6">
        <w:t>provide</w:t>
      </w:r>
      <w:r>
        <w:t xml:space="preserve"> </w:t>
      </w:r>
      <w:r w:rsidRPr="00F138B6">
        <w:t>for</w:t>
      </w:r>
      <w:r>
        <w:t xml:space="preserve"> </w:t>
      </w:r>
      <w:r w:rsidRPr="00F138B6">
        <w:t>enhanced</w:t>
      </w:r>
      <w:r>
        <w:t xml:space="preserve"> </w:t>
      </w:r>
      <w:r w:rsidRPr="00F138B6">
        <w:t>damages.</w:t>
      </w:r>
      <w:r>
        <w:t xml:space="preserve"> </w:t>
      </w:r>
      <w:r w:rsidRPr="00F138B6">
        <w:rPr>
          <w:smallCaps/>
        </w:rPr>
        <w:t>Wash.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§19.77.50</w:t>
      </w:r>
      <w:r>
        <w:t xml:space="preserve"> </w:t>
      </w:r>
      <w:r w:rsidRPr="00F138B6">
        <w:t>(West</w:t>
      </w:r>
      <w:r>
        <w:t xml:space="preserve"> </w:t>
      </w:r>
      <w:r w:rsidRPr="00F138B6">
        <w:t>1999).</w:t>
      </w:r>
      <w:r>
        <w:t xml:space="preserve"> </w:t>
      </w:r>
      <w:r w:rsidRPr="00F138B6">
        <w:t>However,</w:t>
      </w:r>
      <w:r>
        <w:t xml:space="preserve"> </w:t>
      </w:r>
      <w:r w:rsidRPr="00F138B6">
        <w:t>effective</w:t>
      </w:r>
      <w:r>
        <w:t xml:space="preserve"> </w:t>
      </w:r>
      <w:r w:rsidRPr="00F138B6">
        <w:t>July</w:t>
      </w:r>
      <w:r>
        <w:t xml:space="preserve"> </w:t>
      </w:r>
      <w:r w:rsidRPr="00F138B6">
        <w:t>27,</w:t>
      </w:r>
      <w:r>
        <w:t xml:space="preserve"> </w:t>
      </w:r>
      <w:r w:rsidRPr="00F138B6">
        <w:t>2003,</w:t>
      </w:r>
      <w:r>
        <w:t xml:space="preserve"> </w:t>
      </w:r>
      <w:r w:rsidRPr="00F138B6">
        <w:t>Washington</w:t>
      </w:r>
      <w:r>
        <w:t xml:space="preserve"> </w:t>
      </w:r>
      <w:r w:rsidRPr="00F138B6">
        <w:t>amended</w:t>
      </w:r>
      <w:r>
        <w:t xml:space="preserve"> </w:t>
      </w:r>
      <w:r w:rsidRPr="00F138B6">
        <w:t>this</w:t>
      </w:r>
      <w:r>
        <w:t xml:space="preserve"> </w:t>
      </w:r>
      <w:r w:rsidRPr="00F138B6">
        <w:t>section</w:t>
      </w:r>
      <w:r>
        <w:t xml:space="preserve"> </w:t>
      </w:r>
      <w:r w:rsidRPr="00F138B6">
        <w:t>(</w:t>
      </w:r>
      <w:proofErr w:type="gramStart"/>
      <w:r w:rsidRPr="00F138B6">
        <w:t>and</w:t>
      </w:r>
      <w:r>
        <w:t xml:space="preserve"> </w:t>
      </w:r>
      <w:r w:rsidRPr="00F138B6">
        <w:t>also</w:t>
      </w:r>
      <w:proofErr w:type="gramEnd"/>
      <w:r>
        <w:t xml:space="preserve"> </w:t>
      </w:r>
      <w:r w:rsidRPr="00F138B6">
        <w:t>its</w:t>
      </w:r>
      <w:r>
        <w:t xml:space="preserve"> </w:t>
      </w:r>
      <w:r w:rsidRPr="00F138B6">
        <w:t>dilution</w:t>
      </w:r>
      <w:r>
        <w:t xml:space="preserve"> </w:t>
      </w:r>
      <w:r w:rsidRPr="00F138B6">
        <w:t>statute)</w:t>
      </w:r>
      <w:r>
        <w:t xml:space="preserve"> </w:t>
      </w:r>
      <w:r w:rsidRPr="00F138B6">
        <w:t>to</w:t>
      </w:r>
      <w:r>
        <w:t xml:space="preserve"> </w:t>
      </w:r>
      <w:r w:rsidRPr="00F138B6">
        <w:t>conform</w:t>
      </w:r>
      <w:r>
        <w:t xml:space="preserve"> </w:t>
      </w:r>
      <w:r w:rsidRPr="00F138B6">
        <w:t>to</w:t>
      </w:r>
      <w:r>
        <w:t xml:space="preserve"> </w:t>
      </w:r>
      <w:r w:rsidRPr="00F138B6">
        <w:t>the</w:t>
      </w:r>
      <w:r>
        <w:t xml:space="preserve"> </w:t>
      </w:r>
      <w:r w:rsidRPr="00F138B6">
        <w:t>1996</w:t>
      </w:r>
      <w:r>
        <w:t xml:space="preserve"> </w:t>
      </w:r>
      <w:r w:rsidRPr="00F138B6">
        <w:t>Model</w:t>
      </w:r>
      <w:r>
        <w:t xml:space="preserve"> </w:t>
      </w:r>
      <w:r w:rsidRPr="00F138B6">
        <w:t>Bill.</w:t>
      </w:r>
      <w:r>
        <w:t xml:space="preserve"> </w:t>
      </w:r>
      <w:r w:rsidRPr="00F138B6">
        <w:t>2003</w:t>
      </w:r>
      <w:r>
        <w:t xml:space="preserve"> </w:t>
      </w:r>
      <w:r w:rsidRPr="00F138B6">
        <w:t>Wash.</w:t>
      </w:r>
      <w:r>
        <w:t xml:space="preserve"> </w:t>
      </w:r>
      <w:r w:rsidRPr="00F138B6">
        <w:t>Legis.</w:t>
      </w:r>
      <w:r>
        <w:t xml:space="preserve"> </w:t>
      </w:r>
      <w:r w:rsidRPr="00F138B6">
        <w:t>Serv.</w:t>
      </w:r>
      <w:r>
        <w:t xml:space="preserve"> </w:t>
      </w:r>
      <w:r w:rsidRPr="00F138B6">
        <w:t>ch.</w:t>
      </w:r>
      <w:r>
        <w:t xml:space="preserve"> </w:t>
      </w:r>
      <w:r w:rsidRPr="00F138B6">
        <w:t>34</w:t>
      </w:r>
      <w:r>
        <w:t xml:space="preserve"> </w:t>
      </w:r>
      <w:r w:rsidRPr="00F138B6">
        <w:t>(S.B.</w:t>
      </w:r>
      <w:r>
        <w:t xml:space="preserve"> </w:t>
      </w:r>
      <w:r w:rsidRPr="00F138B6">
        <w:t>5122)</w:t>
      </w:r>
      <w:r>
        <w:t xml:space="preserve"> </w:t>
      </w:r>
      <w:r w:rsidRPr="00F138B6">
        <w:t>(2003)</w:t>
      </w:r>
      <w:r>
        <w:t xml:space="preserve"> </w:t>
      </w:r>
      <w:r w:rsidRPr="00F138B6">
        <w:t>(available</w:t>
      </w:r>
      <w:r>
        <w:t xml:space="preserve"> </w:t>
      </w:r>
      <w:r w:rsidRPr="00F138B6">
        <w:t>on</w:t>
      </w:r>
      <w:r>
        <w:t xml:space="preserve"> </w:t>
      </w:r>
      <w:r w:rsidRPr="00F138B6">
        <w:t>Westlaw).</w:t>
      </w:r>
      <w:r>
        <w:t xml:space="preserve"> </w:t>
      </w:r>
      <w:r w:rsidRPr="00F138B6">
        <w:t>Nevada’s</w:t>
      </w:r>
      <w:r>
        <w:t xml:space="preserve"> </w:t>
      </w:r>
      <w:r w:rsidRPr="00F138B6">
        <w:t>trademark</w:t>
      </w:r>
      <w:r>
        <w:t xml:space="preserve"> </w:t>
      </w:r>
      <w:r w:rsidRPr="00F138B6">
        <w:t>remedies</w:t>
      </w:r>
      <w:r>
        <w:t xml:space="preserve"> </w:t>
      </w:r>
      <w:r w:rsidRPr="00F138B6">
        <w:t>section</w:t>
      </w:r>
      <w:r>
        <w:t xml:space="preserve"> </w:t>
      </w:r>
      <w:r w:rsidRPr="00F138B6">
        <w:t>also</w:t>
      </w:r>
      <w:r>
        <w:t xml:space="preserve"> </w:t>
      </w:r>
      <w:r w:rsidRPr="00F138B6">
        <w:t>does</w:t>
      </w:r>
      <w:r>
        <w:t xml:space="preserve"> </w:t>
      </w:r>
      <w:r w:rsidRPr="00F138B6">
        <w:t>not</w:t>
      </w:r>
      <w:r>
        <w:t xml:space="preserve"> </w:t>
      </w:r>
      <w:r w:rsidRPr="00F138B6">
        <w:t>provide</w:t>
      </w:r>
      <w:r>
        <w:t xml:space="preserve"> </w:t>
      </w:r>
      <w:r w:rsidRPr="00F138B6">
        <w:t>for</w:t>
      </w:r>
      <w:r>
        <w:t xml:space="preserve"> </w:t>
      </w:r>
      <w:r w:rsidRPr="00F138B6">
        <w:t>enhanced</w:t>
      </w:r>
      <w:r>
        <w:t xml:space="preserve"> </w:t>
      </w:r>
      <w:r w:rsidRPr="00F138B6">
        <w:t>damages.</w:t>
      </w:r>
      <w:r>
        <w:t xml:space="preserve"> </w:t>
      </w:r>
      <w:r w:rsidRPr="00F138B6">
        <w:rPr>
          <w:smallCaps/>
        </w:rPr>
        <w:t>Nev.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§600.430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2004).</w:t>
      </w:r>
      <w:r>
        <w:t xml:space="preserve"> </w:t>
      </w:r>
      <w:r w:rsidRPr="00F138B6">
        <w:t>The</w:t>
      </w:r>
      <w:r>
        <w:t xml:space="preserve"> </w:t>
      </w:r>
      <w:r w:rsidRPr="00F138B6">
        <w:t>Indiana</w:t>
      </w:r>
      <w:r>
        <w:t xml:space="preserve"> </w:t>
      </w:r>
      <w:r w:rsidRPr="00F138B6">
        <w:t>statute</w:t>
      </w:r>
      <w:r>
        <w:t xml:space="preserve"> </w:t>
      </w:r>
      <w:r w:rsidRPr="00F138B6">
        <w:t>allows</w:t>
      </w:r>
      <w:r>
        <w:t xml:space="preserve"> </w:t>
      </w:r>
      <w:r w:rsidRPr="00F138B6">
        <w:t>enhanced</w:t>
      </w:r>
      <w:r>
        <w:t xml:space="preserve"> </w:t>
      </w:r>
      <w:r w:rsidRPr="00F138B6">
        <w:t>damages</w:t>
      </w:r>
      <w:r>
        <w:t xml:space="preserve"> </w:t>
      </w:r>
      <w:r w:rsidRPr="00F138B6">
        <w:t>in</w:t>
      </w:r>
      <w:r>
        <w:t xml:space="preserve"> </w:t>
      </w:r>
      <w:r w:rsidRPr="00F138B6">
        <w:t>cases</w:t>
      </w:r>
      <w:r>
        <w:t xml:space="preserve"> </w:t>
      </w:r>
      <w:r w:rsidRPr="00F138B6">
        <w:t>of</w:t>
      </w:r>
      <w:r>
        <w:t xml:space="preserve"> </w:t>
      </w:r>
      <w:r w:rsidRPr="00F138B6">
        <w:t>counterfeit</w:t>
      </w:r>
      <w:r>
        <w:t xml:space="preserve"> </w:t>
      </w:r>
      <w:r w:rsidRPr="00F138B6">
        <w:t>marks.</w:t>
      </w:r>
      <w:r>
        <w:t xml:space="preserve"> </w:t>
      </w:r>
      <w:r w:rsidRPr="00F138B6">
        <w:t>Such</w:t>
      </w:r>
      <w:r>
        <w:t xml:space="preserve"> </w:t>
      </w:r>
      <w:r w:rsidRPr="00F138B6">
        <w:t>damages</w:t>
      </w:r>
      <w:r>
        <w:t xml:space="preserve"> </w:t>
      </w:r>
      <w:r w:rsidRPr="00F138B6">
        <w:t>could</w:t>
      </w:r>
      <w:r>
        <w:t xml:space="preserve"> </w:t>
      </w:r>
      <w:r w:rsidRPr="00F138B6">
        <w:t>be</w:t>
      </w:r>
      <w:r>
        <w:t xml:space="preserve"> </w:t>
      </w:r>
      <w:r w:rsidRPr="00F138B6">
        <w:t>awarded</w:t>
      </w:r>
      <w:r>
        <w:t xml:space="preserve"> </w:t>
      </w:r>
      <w:r w:rsidRPr="00F138B6">
        <w:t>in</w:t>
      </w:r>
      <w:r>
        <w:t xml:space="preserve"> </w:t>
      </w:r>
      <w:r w:rsidRPr="00F138B6">
        <w:t>a</w:t>
      </w:r>
      <w:r>
        <w:t xml:space="preserve"> </w:t>
      </w:r>
      <w:r w:rsidRPr="00F138B6">
        <w:t>dilution</w:t>
      </w:r>
      <w:r>
        <w:t xml:space="preserve"> </w:t>
      </w:r>
      <w:r w:rsidRPr="00F138B6">
        <w:t>case,</w:t>
      </w:r>
      <w:r>
        <w:t xml:space="preserve"> </w:t>
      </w:r>
      <w:r w:rsidRPr="00F138B6">
        <w:t>but</w:t>
      </w:r>
      <w:r>
        <w:t xml:space="preserve"> </w:t>
      </w:r>
      <w:r w:rsidRPr="00F138B6">
        <w:t>that</w:t>
      </w:r>
      <w:r>
        <w:t xml:space="preserve"> </w:t>
      </w:r>
      <w:r w:rsidRPr="00F138B6">
        <w:t>would</w:t>
      </w:r>
      <w:r>
        <w:t xml:space="preserve"> </w:t>
      </w:r>
      <w:r w:rsidRPr="00F138B6">
        <w:t>be</w:t>
      </w:r>
      <w:r>
        <w:t xml:space="preserve"> </w:t>
      </w:r>
      <w:r w:rsidRPr="00F138B6">
        <w:t>a</w:t>
      </w:r>
      <w:r>
        <w:t xml:space="preserve"> </w:t>
      </w:r>
      <w:r w:rsidRPr="00F138B6">
        <w:t>relatively</w:t>
      </w:r>
      <w:r>
        <w:t xml:space="preserve"> </w:t>
      </w:r>
      <w:r w:rsidRPr="00F138B6">
        <w:t>unusual</w:t>
      </w:r>
      <w:r>
        <w:t xml:space="preserve"> </w:t>
      </w:r>
      <w:r w:rsidRPr="00F138B6">
        <w:t>situation.</w:t>
      </w:r>
      <w:r>
        <w:t xml:space="preserve"> </w:t>
      </w:r>
      <w:r w:rsidRPr="00F138B6">
        <w:rPr>
          <w:smallCaps/>
        </w:rPr>
        <w:t>Ind.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§24-2-1-14(c)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2006).</w:t>
      </w:r>
    </w:p>
  </w:footnote>
  <w:footnote w:id="64">
    <w:p w14:paraId="61742092" w14:textId="247D9ECC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smallCaps/>
        </w:rPr>
        <w:t>Ark.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§4-71-214(a)(2)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2001);</w:t>
      </w:r>
      <w:r>
        <w:t xml:space="preserve"> </w:t>
      </w:r>
      <w:r w:rsidRPr="00F138B6">
        <w:rPr>
          <w:smallCaps/>
        </w:rPr>
        <w:t>Haw.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§482-33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2005)</w:t>
      </w:r>
      <w:r>
        <w:t xml:space="preserve"> </w:t>
      </w:r>
      <w:r w:rsidRPr="00F138B6">
        <w:t>(effective</w:t>
      </w:r>
      <w:r>
        <w:t xml:space="preserve"> </w:t>
      </w:r>
      <w:r w:rsidRPr="00F138B6">
        <w:t>July</w:t>
      </w:r>
      <w:r>
        <w:t xml:space="preserve"> </w:t>
      </w:r>
      <w:r w:rsidRPr="00F138B6">
        <w:t>1,</w:t>
      </w:r>
      <w:r>
        <w:t xml:space="preserve"> </w:t>
      </w:r>
      <w:r w:rsidRPr="00F138B6">
        <w:t>2003)</w:t>
      </w:r>
      <w:r>
        <w:t xml:space="preserve"> </w:t>
      </w:r>
      <w:r w:rsidRPr="00F138B6">
        <w:t>(this</w:t>
      </w:r>
      <w:r>
        <w:t xml:space="preserve"> </w:t>
      </w:r>
      <w:r w:rsidRPr="00F138B6">
        <w:t>section</w:t>
      </w:r>
      <w:r>
        <w:t xml:space="preserve"> </w:t>
      </w:r>
      <w:r w:rsidRPr="00F138B6">
        <w:t>does</w:t>
      </w:r>
      <w:r>
        <w:t xml:space="preserve"> </w:t>
      </w:r>
      <w:r w:rsidRPr="00F138B6">
        <w:t>not</w:t>
      </w:r>
      <w:r>
        <w:t xml:space="preserve"> </w:t>
      </w:r>
      <w:r w:rsidRPr="00F138B6">
        <w:t>include</w:t>
      </w:r>
      <w:r>
        <w:t xml:space="preserve"> </w:t>
      </w:r>
      <w:r w:rsidRPr="00F138B6">
        <w:t>the</w:t>
      </w:r>
      <w:r>
        <w:t xml:space="preserve"> </w:t>
      </w:r>
      <w:r w:rsidRPr="00F138B6">
        <w:t>“or</w:t>
      </w:r>
      <w:r>
        <w:t xml:space="preserve"> </w:t>
      </w:r>
      <w:r w:rsidRPr="00F138B6">
        <w:t>otherwise</w:t>
      </w:r>
      <w:r>
        <w:t xml:space="preserve"> </w:t>
      </w:r>
      <w:r w:rsidRPr="00F138B6">
        <w:t>according</w:t>
      </w:r>
      <w:r>
        <w:t xml:space="preserve"> </w:t>
      </w:r>
      <w:r w:rsidRPr="00F138B6">
        <w:t>to</w:t>
      </w:r>
      <w:r>
        <w:t xml:space="preserve"> </w:t>
      </w:r>
      <w:r w:rsidRPr="00F138B6">
        <w:t>the</w:t>
      </w:r>
      <w:r>
        <w:t xml:space="preserve"> </w:t>
      </w:r>
      <w:r w:rsidRPr="00F138B6">
        <w:t>circumstances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case”</w:t>
      </w:r>
      <w:r>
        <w:t xml:space="preserve"> </w:t>
      </w:r>
      <w:r w:rsidRPr="00F138B6">
        <w:t>language);</w:t>
      </w:r>
      <w:r>
        <w:t xml:space="preserve"> </w:t>
      </w:r>
      <w:r w:rsidRPr="00F138B6">
        <w:rPr>
          <w:smallCaps/>
        </w:rPr>
        <w:t>Idaho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§48-514</w:t>
      </w:r>
      <w:r>
        <w:t xml:space="preserve"> </w:t>
      </w:r>
      <w:r w:rsidRPr="00F138B6">
        <w:t>(1997);</w:t>
      </w:r>
      <w:r>
        <w:t xml:space="preserve"> </w:t>
      </w:r>
      <w:r w:rsidRPr="00F138B6">
        <w:t>765</w:t>
      </w:r>
      <w:r>
        <w:t xml:space="preserve"> </w:t>
      </w:r>
      <w:r w:rsidRPr="00F138B6">
        <w:rPr>
          <w:smallCaps/>
        </w:rPr>
        <w:t>Ill.</w:t>
      </w:r>
      <w:r>
        <w:rPr>
          <w:smallCaps/>
        </w:rPr>
        <w:t xml:space="preserve"> </w:t>
      </w:r>
      <w:r w:rsidRPr="00F138B6">
        <w:rPr>
          <w:smallCaps/>
        </w:rPr>
        <w:t>Comp.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§1036/70</w:t>
      </w:r>
      <w:r>
        <w:t xml:space="preserve"> </w:t>
      </w:r>
      <w:r w:rsidRPr="00F138B6">
        <w:t>(West</w:t>
      </w:r>
      <w:r>
        <w:t xml:space="preserve"> </w:t>
      </w:r>
      <w:r w:rsidRPr="00F138B6">
        <w:t>2001);</w:t>
      </w:r>
      <w:r>
        <w:t xml:space="preserve"> </w:t>
      </w:r>
      <w:r w:rsidRPr="00F138B6">
        <w:rPr>
          <w:smallCaps/>
        </w:rPr>
        <w:t>Iowa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§548.114</w:t>
      </w:r>
      <w:r>
        <w:t xml:space="preserve"> </w:t>
      </w:r>
      <w:r w:rsidRPr="00F138B6">
        <w:t>(West</w:t>
      </w:r>
      <w:r>
        <w:t xml:space="preserve"> </w:t>
      </w:r>
      <w:r w:rsidRPr="00F138B6">
        <w:t>1997);</w:t>
      </w:r>
      <w:r>
        <w:t xml:space="preserve"> </w:t>
      </w:r>
      <w:r w:rsidRPr="00F138B6">
        <w:rPr>
          <w:smallCaps/>
        </w:rPr>
        <w:t>Kan.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§81-215(a)</w:t>
      </w:r>
      <w:r>
        <w:t xml:space="preserve"> </w:t>
      </w:r>
      <w:r w:rsidRPr="00F138B6">
        <w:t>(Supp.</w:t>
      </w:r>
      <w:r>
        <w:t xml:space="preserve"> </w:t>
      </w:r>
      <w:r w:rsidRPr="00F138B6">
        <w:t>2006);</w:t>
      </w:r>
      <w:r>
        <w:t xml:space="preserve"> </w:t>
      </w:r>
      <w:r w:rsidRPr="00F138B6">
        <w:rPr>
          <w:smallCaps/>
        </w:rPr>
        <w:t>Minn.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§333.29(1)</w:t>
      </w:r>
      <w:r>
        <w:t xml:space="preserve"> </w:t>
      </w:r>
      <w:r w:rsidRPr="00F138B6">
        <w:t>(West</w:t>
      </w:r>
      <w:r>
        <w:t xml:space="preserve"> </w:t>
      </w:r>
      <w:r w:rsidRPr="00F138B6">
        <w:t>2004);</w:t>
      </w:r>
      <w:r>
        <w:t xml:space="preserve"> </w:t>
      </w:r>
      <w:r w:rsidRPr="00F138B6">
        <w:rPr>
          <w:smallCaps/>
        </w:rPr>
        <w:t>Miss.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§75-25-27(a)</w:t>
      </w:r>
      <w:r>
        <w:t xml:space="preserve"> </w:t>
      </w:r>
      <w:r w:rsidRPr="00F138B6">
        <w:t>(2009);</w:t>
      </w:r>
      <w:r>
        <w:t xml:space="preserve"> </w:t>
      </w:r>
      <w:r w:rsidRPr="00F138B6">
        <w:rPr>
          <w:smallCaps/>
        </w:rPr>
        <w:t>Mont.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§30-13-335</w:t>
      </w:r>
      <w:r>
        <w:t xml:space="preserve"> </w:t>
      </w:r>
      <w:r w:rsidRPr="00F138B6">
        <w:t>(2007);</w:t>
      </w:r>
      <w:r>
        <w:t xml:space="preserve"> </w:t>
      </w:r>
      <w:r w:rsidRPr="00F138B6">
        <w:rPr>
          <w:smallCaps/>
        </w:rPr>
        <w:t>N.J.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§56:4-2</w:t>
      </w:r>
      <w:r>
        <w:t xml:space="preserve"> </w:t>
      </w:r>
      <w:r w:rsidRPr="00F138B6">
        <w:t>(West</w:t>
      </w:r>
      <w:r>
        <w:t xml:space="preserve"> </w:t>
      </w:r>
      <w:r w:rsidRPr="00F138B6">
        <w:t>2001);</w:t>
      </w:r>
      <w:r>
        <w:t xml:space="preserve"> </w:t>
      </w:r>
      <w:r w:rsidRPr="00F138B6">
        <w:rPr>
          <w:smallCaps/>
        </w:rPr>
        <w:t>N.M.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§57-3B-16</w:t>
      </w:r>
      <w:r>
        <w:t xml:space="preserve"> </w:t>
      </w:r>
      <w:r w:rsidRPr="00F138B6">
        <w:t>(West</w:t>
      </w:r>
      <w:r>
        <w:t xml:space="preserve"> </w:t>
      </w:r>
      <w:r w:rsidRPr="00F138B6">
        <w:t>2003);</w:t>
      </w:r>
      <w:r>
        <w:t xml:space="preserve"> </w:t>
      </w:r>
      <w:r w:rsidRPr="00F138B6">
        <w:t>54</w:t>
      </w:r>
      <w:r>
        <w:t xml:space="preserve"> </w:t>
      </w:r>
      <w:r w:rsidRPr="00F138B6">
        <w:rPr>
          <w:smallCaps/>
        </w:rPr>
        <w:t>Pa.</w:t>
      </w:r>
      <w:r>
        <w:rPr>
          <w:smallCaps/>
        </w:rPr>
        <w:t xml:space="preserve"> </w:t>
      </w:r>
      <w:r w:rsidRPr="00F138B6">
        <w:rPr>
          <w:smallCaps/>
        </w:rPr>
        <w:t>Cons.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§1125</w:t>
      </w:r>
      <w:r>
        <w:t xml:space="preserve"> </w:t>
      </w:r>
      <w:r w:rsidRPr="00F138B6">
        <w:t>(West</w:t>
      </w:r>
      <w:r>
        <w:t xml:space="preserve"> </w:t>
      </w:r>
      <w:r w:rsidRPr="00F138B6">
        <w:t>2004);</w:t>
      </w:r>
      <w:r>
        <w:t xml:space="preserve"> </w:t>
      </w:r>
      <w:r w:rsidRPr="00F138B6">
        <w:rPr>
          <w:smallCaps/>
        </w:rPr>
        <w:t>S.C.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§39-15-1170(a)</w:t>
      </w:r>
      <w:r>
        <w:t xml:space="preserve"> </w:t>
      </w:r>
      <w:r w:rsidRPr="00F138B6">
        <w:t>(West</w:t>
      </w:r>
      <w:r>
        <w:t xml:space="preserve"> </w:t>
      </w:r>
      <w:r w:rsidRPr="00F138B6">
        <w:t>Supp.</w:t>
      </w:r>
      <w:r>
        <w:t xml:space="preserve"> </w:t>
      </w:r>
      <w:r w:rsidRPr="00F138B6">
        <w:t>2002);</w:t>
      </w:r>
      <w:r>
        <w:t xml:space="preserve"> </w:t>
      </w:r>
      <w:r w:rsidRPr="00F138B6">
        <w:rPr>
          <w:smallCaps/>
        </w:rPr>
        <w:t>Tenn.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§47-25-514(a)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2001);</w:t>
      </w:r>
      <w:r>
        <w:t xml:space="preserve"> </w:t>
      </w:r>
      <w:r w:rsidRPr="00F138B6">
        <w:rPr>
          <w:smallCaps/>
        </w:rPr>
        <w:t>Tex.</w:t>
      </w:r>
      <w:r>
        <w:rPr>
          <w:smallCaps/>
        </w:rPr>
        <w:t xml:space="preserve"> </w:t>
      </w:r>
      <w:r w:rsidRPr="00F138B6">
        <w:rPr>
          <w:smallCaps/>
        </w:rPr>
        <w:t>Bus.</w:t>
      </w:r>
      <w:r>
        <w:rPr>
          <w:smallCaps/>
        </w:rPr>
        <w:t xml:space="preserve"> </w:t>
      </w:r>
      <w:r w:rsidRPr="00F138B6">
        <w:rPr>
          <w:smallCaps/>
        </w:rPr>
        <w:t>&amp;</w:t>
      </w:r>
      <w:r>
        <w:rPr>
          <w:smallCaps/>
        </w:rPr>
        <w:t xml:space="preserve"> </w:t>
      </w:r>
      <w:r w:rsidRPr="00F138B6">
        <w:rPr>
          <w:smallCaps/>
        </w:rPr>
        <w:t>Com.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§16.104(c)</w:t>
      </w:r>
      <w:r>
        <w:t xml:space="preserve"> </w:t>
      </w:r>
      <w:r w:rsidRPr="00F138B6">
        <w:t>(2011);</w:t>
      </w:r>
      <w:r>
        <w:t xml:space="preserve"> </w:t>
      </w:r>
      <w:r w:rsidRPr="00F138B6">
        <w:rPr>
          <w:smallCaps/>
        </w:rPr>
        <w:t>Utah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§70-3a-404</w:t>
      </w:r>
      <w:r>
        <w:t xml:space="preserve"> </w:t>
      </w:r>
      <w:r w:rsidRPr="00F138B6">
        <w:t>(West</w:t>
      </w:r>
      <w:r>
        <w:t xml:space="preserve"> </w:t>
      </w:r>
      <w:r w:rsidRPr="00F138B6">
        <w:t>2004);</w:t>
      </w:r>
      <w:r>
        <w:t xml:space="preserve"> </w:t>
      </w:r>
      <w:r w:rsidRPr="00F138B6">
        <w:rPr>
          <w:smallCaps/>
        </w:rPr>
        <w:t>W.</w:t>
      </w:r>
      <w:r>
        <w:rPr>
          <w:smallCaps/>
        </w:rPr>
        <w:t xml:space="preserve"> </w:t>
      </w:r>
      <w:r w:rsidRPr="00F138B6">
        <w:rPr>
          <w:smallCaps/>
        </w:rPr>
        <w:t>Va.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§47-2-214(a)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2006);</w:t>
      </w:r>
      <w:r>
        <w:t xml:space="preserve"> </w:t>
      </w:r>
      <w:r w:rsidRPr="00F138B6">
        <w:rPr>
          <w:smallCaps/>
        </w:rPr>
        <w:t>Wyo.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§40-1-112(a)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2001).</w:t>
      </w:r>
      <w:r>
        <w:t xml:space="preserve"> </w:t>
      </w:r>
      <w:r w:rsidRPr="00F138B6">
        <w:t>The</w:t>
      </w:r>
      <w:r>
        <w:t xml:space="preserve"> </w:t>
      </w:r>
      <w:r w:rsidRPr="00F138B6">
        <w:t>original</w:t>
      </w:r>
      <w:r>
        <w:t xml:space="preserve"> </w:t>
      </w:r>
      <w:r w:rsidRPr="00F138B6">
        <w:t>Washington</w:t>
      </w:r>
      <w:r>
        <w:t xml:space="preserve"> </w:t>
      </w:r>
      <w:r w:rsidRPr="00F138B6">
        <w:t>statute,</w:t>
      </w:r>
      <w:r>
        <w:t xml:space="preserve"> </w:t>
      </w:r>
      <w:r w:rsidRPr="00F138B6">
        <w:t>which</w:t>
      </w:r>
      <w:r>
        <w:t xml:space="preserve"> </w:t>
      </w:r>
      <w:r w:rsidRPr="00F138B6">
        <w:t>was</w:t>
      </w:r>
      <w:r>
        <w:t xml:space="preserve"> </w:t>
      </w:r>
      <w:r w:rsidRPr="00F138B6">
        <w:t>enacted</w:t>
      </w:r>
      <w:r>
        <w:t xml:space="preserve"> </w:t>
      </w:r>
      <w:r w:rsidRPr="00F138B6">
        <w:t>in</w:t>
      </w:r>
      <w:r>
        <w:t xml:space="preserve"> </w:t>
      </w:r>
      <w:r w:rsidRPr="00F138B6">
        <w:t>1989</w:t>
      </w:r>
      <w:r>
        <w:t xml:space="preserve"> </w:t>
      </w:r>
      <w:r w:rsidRPr="00F138B6">
        <w:t>and</w:t>
      </w:r>
      <w:r>
        <w:t xml:space="preserve"> </w:t>
      </w:r>
      <w:r w:rsidRPr="00F138B6">
        <w:t>was</w:t>
      </w:r>
      <w:r>
        <w:t xml:space="preserve"> </w:t>
      </w:r>
      <w:r w:rsidRPr="00F138B6">
        <w:t>patterned</w:t>
      </w:r>
      <w:r>
        <w:t xml:space="preserve"> </w:t>
      </w:r>
      <w:r w:rsidRPr="00F138B6">
        <w:t>after</w:t>
      </w:r>
      <w:r>
        <w:t xml:space="preserve"> </w:t>
      </w:r>
      <w:r w:rsidRPr="00F138B6">
        <w:t>the</w:t>
      </w:r>
      <w:r>
        <w:t xml:space="preserve"> </w:t>
      </w:r>
      <w:r w:rsidRPr="00F138B6">
        <w:t>1988</w:t>
      </w:r>
      <w:r>
        <w:t xml:space="preserve"> </w:t>
      </w:r>
      <w:r w:rsidRPr="00F138B6">
        <w:t>federal</w:t>
      </w:r>
      <w:r>
        <w:t xml:space="preserve"> </w:t>
      </w:r>
      <w:r w:rsidRPr="00F138B6">
        <w:t>dilution</w:t>
      </w:r>
      <w:r>
        <w:t xml:space="preserve"> </w:t>
      </w:r>
      <w:r w:rsidRPr="00F138B6">
        <w:t>bill,</w:t>
      </w:r>
      <w:r>
        <w:t xml:space="preserve"> </w:t>
      </w:r>
      <w:r w:rsidRPr="00F138B6">
        <w:t>did</w:t>
      </w:r>
      <w:r>
        <w:t xml:space="preserve"> </w:t>
      </w:r>
      <w:r w:rsidRPr="00F138B6">
        <w:t>not</w:t>
      </w:r>
      <w:r>
        <w:t xml:space="preserve"> </w:t>
      </w:r>
      <w:r w:rsidRPr="00F138B6">
        <w:t>provide</w:t>
      </w:r>
      <w:r>
        <w:t xml:space="preserve"> </w:t>
      </w:r>
      <w:r w:rsidRPr="00F138B6">
        <w:t>for</w:t>
      </w:r>
      <w:r>
        <w:t xml:space="preserve"> </w:t>
      </w:r>
      <w:r w:rsidRPr="00F138B6">
        <w:t>enhanced</w:t>
      </w:r>
      <w:r>
        <w:t xml:space="preserve"> </w:t>
      </w:r>
      <w:r w:rsidRPr="00F138B6">
        <w:t>damages.</w:t>
      </w:r>
      <w:r>
        <w:t xml:space="preserve"> </w:t>
      </w:r>
      <w:r w:rsidRPr="00F138B6">
        <w:rPr>
          <w:smallCaps/>
        </w:rPr>
        <w:t>Wash.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§19.77.50</w:t>
      </w:r>
      <w:r>
        <w:t xml:space="preserve"> </w:t>
      </w:r>
      <w:r w:rsidRPr="00F138B6">
        <w:t>(West</w:t>
      </w:r>
      <w:r>
        <w:t xml:space="preserve"> </w:t>
      </w:r>
      <w:r w:rsidRPr="00F138B6">
        <w:t>1999).</w:t>
      </w:r>
      <w:r>
        <w:t xml:space="preserve"> </w:t>
      </w:r>
      <w:r w:rsidRPr="00F138B6">
        <w:t>However,</w:t>
      </w:r>
      <w:r>
        <w:t xml:space="preserve"> </w:t>
      </w:r>
      <w:r w:rsidRPr="00F138B6">
        <w:t>effective</w:t>
      </w:r>
      <w:r>
        <w:t xml:space="preserve"> </w:t>
      </w:r>
      <w:r w:rsidRPr="00F138B6">
        <w:t>July</w:t>
      </w:r>
      <w:r>
        <w:t xml:space="preserve"> </w:t>
      </w:r>
      <w:r w:rsidRPr="00F138B6">
        <w:t>27,</w:t>
      </w:r>
      <w:r>
        <w:t xml:space="preserve"> </w:t>
      </w:r>
      <w:r w:rsidRPr="00F138B6">
        <w:t>2003,</w:t>
      </w:r>
      <w:r>
        <w:t xml:space="preserve"> </w:t>
      </w:r>
      <w:r w:rsidRPr="00F138B6">
        <w:t>Washington</w:t>
      </w:r>
      <w:r>
        <w:t xml:space="preserve"> </w:t>
      </w:r>
      <w:r w:rsidRPr="00F138B6">
        <w:t>amended</w:t>
      </w:r>
      <w:r>
        <w:t xml:space="preserve"> </w:t>
      </w:r>
      <w:r w:rsidRPr="00F138B6">
        <w:t>this</w:t>
      </w:r>
      <w:r>
        <w:t xml:space="preserve"> </w:t>
      </w:r>
      <w:r w:rsidRPr="00F138B6">
        <w:t>section</w:t>
      </w:r>
      <w:r>
        <w:t xml:space="preserve"> </w:t>
      </w:r>
      <w:r w:rsidRPr="00F138B6">
        <w:t>(</w:t>
      </w:r>
      <w:proofErr w:type="gramStart"/>
      <w:r w:rsidRPr="00F138B6">
        <w:t>and</w:t>
      </w:r>
      <w:r>
        <w:t xml:space="preserve"> </w:t>
      </w:r>
      <w:r w:rsidRPr="00F138B6">
        <w:t>also</w:t>
      </w:r>
      <w:proofErr w:type="gramEnd"/>
      <w:r>
        <w:t xml:space="preserve"> </w:t>
      </w:r>
      <w:r w:rsidRPr="00F138B6">
        <w:t>its</w:t>
      </w:r>
      <w:r>
        <w:t xml:space="preserve"> </w:t>
      </w:r>
      <w:r w:rsidRPr="00F138B6">
        <w:t>dilution</w:t>
      </w:r>
      <w:r>
        <w:t xml:space="preserve"> </w:t>
      </w:r>
      <w:r w:rsidRPr="00F138B6">
        <w:t>statute)</w:t>
      </w:r>
      <w:r>
        <w:t xml:space="preserve"> </w:t>
      </w:r>
      <w:r w:rsidRPr="00F138B6">
        <w:t>to</w:t>
      </w:r>
      <w:r>
        <w:t xml:space="preserve"> </w:t>
      </w:r>
      <w:r w:rsidRPr="00F138B6">
        <w:t>conform</w:t>
      </w:r>
      <w:r>
        <w:t xml:space="preserve"> </w:t>
      </w:r>
      <w:r w:rsidRPr="00F138B6">
        <w:t>to</w:t>
      </w:r>
      <w:r>
        <w:t xml:space="preserve"> </w:t>
      </w:r>
      <w:r w:rsidRPr="00F138B6">
        <w:t>the</w:t>
      </w:r>
      <w:r>
        <w:t xml:space="preserve"> </w:t>
      </w:r>
      <w:r w:rsidRPr="00F138B6">
        <w:t>1996</w:t>
      </w:r>
      <w:r>
        <w:t xml:space="preserve"> </w:t>
      </w:r>
      <w:r w:rsidRPr="00F138B6">
        <w:t>Model</w:t>
      </w:r>
      <w:r>
        <w:t xml:space="preserve"> </w:t>
      </w:r>
      <w:r w:rsidRPr="00F138B6">
        <w:t>Bill.</w:t>
      </w:r>
      <w:r>
        <w:t xml:space="preserve"> </w:t>
      </w:r>
      <w:r w:rsidRPr="00F138B6">
        <w:t>Nevada’s</w:t>
      </w:r>
      <w:r>
        <w:t xml:space="preserve"> </w:t>
      </w:r>
      <w:r w:rsidRPr="00F138B6">
        <w:t>trademark</w:t>
      </w:r>
      <w:r>
        <w:t xml:space="preserve"> </w:t>
      </w:r>
      <w:r w:rsidRPr="00F138B6">
        <w:t>remedies</w:t>
      </w:r>
      <w:r>
        <w:t xml:space="preserve"> </w:t>
      </w:r>
      <w:r w:rsidRPr="00F138B6">
        <w:t>section</w:t>
      </w:r>
      <w:r>
        <w:t xml:space="preserve"> </w:t>
      </w:r>
      <w:r w:rsidRPr="00F138B6">
        <w:t>also</w:t>
      </w:r>
      <w:r>
        <w:t xml:space="preserve"> </w:t>
      </w:r>
      <w:r w:rsidRPr="00F138B6">
        <w:t>does</w:t>
      </w:r>
      <w:r>
        <w:t xml:space="preserve"> </w:t>
      </w:r>
      <w:r w:rsidRPr="00F138B6">
        <w:t>not</w:t>
      </w:r>
      <w:r>
        <w:t xml:space="preserve"> </w:t>
      </w:r>
      <w:r w:rsidRPr="00F138B6">
        <w:t>provide</w:t>
      </w:r>
      <w:r>
        <w:t xml:space="preserve"> </w:t>
      </w:r>
      <w:r w:rsidRPr="00F138B6">
        <w:t>for</w:t>
      </w:r>
      <w:r>
        <w:t xml:space="preserve"> </w:t>
      </w:r>
      <w:r w:rsidRPr="00F138B6">
        <w:t>enhanced</w:t>
      </w:r>
      <w:r>
        <w:t xml:space="preserve"> </w:t>
      </w:r>
      <w:r w:rsidRPr="00F138B6">
        <w:t>damages.</w:t>
      </w:r>
      <w:r>
        <w:t xml:space="preserve"> </w:t>
      </w:r>
      <w:r w:rsidRPr="00F138B6">
        <w:rPr>
          <w:smallCaps/>
        </w:rPr>
        <w:t>Nev.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§600.430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2004).</w:t>
      </w:r>
      <w:r>
        <w:t xml:space="preserve"> </w:t>
      </w:r>
      <w:r w:rsidRPr="00F138B6">
        <w:t>The</w:t>
      </w:r>
      <w:r>
        <w:t xml:space="preserve"> </w:t>
      </w:r>
      <w:r w:rsidRPr="00F138B6">
        <w:t>current</w:t>
      </w:r>
      <w:r>
        <w:t xml:space="preserve"> </w:t>
      </w:r>
      <w:r w:rsidRPr="00F138B6">
        <w:t>Florida</w:t>
      </w:r>
      <w:r>
        <w:t xml:space="preserve"> </w:t>
      </w:r>
      <w:r w:rsidRPr="00F138B6">
        <w:t>statute</w:t>
      </w:r>
      <w:r>
        <w:t xml:space="preserve"> </w:t>
      </w:r>
      <w:r w:rsidRPr="00F138B6">
        <w:t>includes</w:t>
      </w:r>
      <w:r>
        <w:t xml:space="preserve"> </w:t>
      </w:r>
      <w:r w:rsidRPr="00F138B6">
        <w:t>the</w:t>
      </w:r>
      <w:r>
        <w:t xml:space="preserve"> </w:t>
      </w:r>
      <w:r w:rsidRPr="00F138B6">
        <w:t>Lanham</w:t>
      </w:r>
      <w:r>
        <w:t xml:space="preserve"> </w:t>
      </w:r>
      <w:r w:rsidRPr="00F138B6">
        <w:t>Act</w:t>
      </w:r>
      <w:r>
        <w:t xml:space="preserve"> </w:t>
      </w:r>
      <w:r w:rsidRPr="00F138B6">
        <w:t>limitation</w:t>
      </w:r>
      <w:r>
        <w:t xml:space="preserve"> </w:t>
      </w:r>
      <w:r w:rsidRPr="00F138B6">
        <w:t>that</w:t>
      </w:r>
      <w:r>
        <w:t xml:space="preserve"> </w:t>
      </w:r>
      <w:r w:rsidRPr="00F138B6">
        <w:t>enhanced</w:t>
      </w:r>
      <w:r>
        <w:t xml:space="preserve"> </w:t>
      </w:r>
      <w:r w:rsidRPr="00F138B6">
        <w:t>damages</w:t>
      </w:r>
      <w:r>
        <w:t xml:space="preserve"> </w:t>
      </w:r>
      <w:r w:rsidRPr="00F138B6">
        <w:t>should</w:t>
      </w:r>
      <w:r>
        <w:t xml:space="preserve"> </w:t>
      </w:r>
      <w:r w:rsidRPr="00F138B6">
        <w:t>be</w:t>
      </w:r>
      <w:r>
        <w:t xml:space="preserve"> </w:t>
      </w:r>
      <w:r w:rsidRPr="00F138B6">
        <w:t>compensation,</w:t>
      </w:r>
      <w:r>
        <w:t xml:space="preserve"> </w:t>
      </w:r>
      <w:r w:rsidRPr="00F138B6">
        <w:t>not</w:t>
      </w:r>
      <w:r>
        <w:t xml:space="preserve"> </w:t>
      </w:r>
      <w:r w:rsidRPr="00F138B6">
        <w:t>a</w:t>
      </w:r>
      <w:r>
        <w:t xml:space="preserve"> </w:t>
      </w:r>
      <w:r w:rsidRPr="00F138B6">
        <w:t>penalty.</w:t>
      </w:r>
      <w:r>
        <w:t xml:space="preserve"> </w:t>
      </w:r>
      <w:r w:rsidRPr="00F138B6">
        <w:rPr>
          <w:smallCaps/>
        </w:rPr>
        <w:t>Fla.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§495.141</w:t>
      </w:r>
      <w:r>
        <w:t xml:space="preserve"> </w:t>
      </w:r>
      <w:r w:rsidRPr="00F138B6">
        <w:t>(West</w:t>
      </w:r>
      <w:r>
        <w:t xml:space="preserve"> </w:t>
      </w:r>
      <w:r w:rsidRPr="00F138B6">
        <w:t>2010).</w:t>
      </w:r>
      <w:r>
        <w:t xml:space="preserve"> </w:t>
      </w:r>
      <w:r w:rsidRPr="00F138B6">
        <w:t>The</w:t>
      </w:r>
      <w:r>
        <w:t xml:space="preserve"> </w:t>
      </w:r>
      <w:r w:rsidRPr="00F138B6">
        <w:t>2007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provision</w:t>
      </w:r>
      <w:r>
        <w:t xml:space="preserve"> </w:t>
      </w:r>
      <w:r w:rsidRPr="00F138B6">
        <w:t>is</w:t>
      </w:r>
      <w:r>
        <w:t xml:space="preserve"> </w:t>
      </w:r>
      <w:r w:rsidRPr="00F138B6">
        <w:t>similar.</w:t>
      </w:r>
      <w:r>
        <w:t xml:space="preserve"> </w:t>
      </w:r>
      <w:r w:rsidRPr="00F138B6">
        <w:t>It</w:t>
      </w:r>
      <w:r>
        <w:t xml:space="preserve"> </w:t>
      </w:r>
      <w:r w:rsidRPr="00F138B6">
        <w:t>allows</w:t>
      </w:r>
      <w:r>
        <w:t xml:space="preserve"> </w:t>
      </w:r>
      <w:r w:rsidRPr="00F138B6">
        <w:t>an</w:t>
      </w:r>
      <w:r>
        <w:t xml:space="preserve"> </w:t>
      </w:r>
      <w:r w:rsidRPr="00F138B6">
        <w:t>award</w:t>
      </w:r>
      <w:r>
        <w:t xml:space="preserve"> </w:t>
      </w:r>
      <w:r w:rsidRPr="00F138B6">
        <w:t>of</w:t>
      </w:r>
      <w:r>
        <w:t xml:space="preserve"> </w:t>
      </w:r>
      <w:r w:rsidRPr="00F138B6">
        <w:t>trebled</w:t>
      </w:r>
      <w:r>
        <w:t xml:space="preserve"> </w:t>
      </w:r>
      <w:r w:rsidRPr="00F138B6">
        <w:t>damages</w:t>
      </w:r>
      <w:r>
        <w:t xml:space="preserve"> </w:t>
      </w:r>
      <w:r w:rsidRPr="00F138B6">
        <w:t>and/or</w:t>
      </w:r>
      <w:r>
        <w:t xml:space="preserve"> </w:t>
      </w:r>
      <w:r w:rsidRPr="00F138B6">
        <w:t>attorneys’</w:t>
      </w:r>
      <w:r>
        <w:t xml:space="preserve"> </w:t>
      </w:r>
      <w:r w:rsidRPr="00F138B6">
        <w:t>fees</w:t>
      </w:r>
      <w:r>
        <w:t xml:space="preserve"> </w:t>
      </w:r>
      <w:r w:rsidRPr="00F138B6">
        <w:t>“where</w:t>
      </w:r>
      <w:r>
        <w:t xml:space="preserve"> </w:t>
      </w:r>
      <w:r w:rsidRPr="00F138B6">
        <w:t>the</w:t>
      </w:r>
      <w:r>
        <w:t xml:space="preserve"> </w:t>
      </w:r>
      <w:r w:rsidRPr="00F138B6">
        <w:t>court</w:t>
      </w:r>
      <w:r>
        <w:t xml:space="preserve"> </w:t>
      </w:r>
      <w:r w:rsidRPr="00F138B6">
        <w:t>finds</w:t>
      </w:r>
      <w:r>
        <w:t xml:space="preserve"> </w:t>
      </w:r>
      <w:r w:rsidRPr="00F138B6">
        <w:t>the</w:t>
      </w:r>
      <w:r>
        <w:t xml:space="preserve"> </w:t>
      </w:r>
      <w:r w:rsidRPr="00F138B6">
        <w:t>other</w:t>
      </w:r>
      <w:r>
        <w:t xml:space="preserve"> </w:t>
      </w:r>
      <w:r w:rsidRPr="00F138B6">
        <w:t>party</w:t>
      </w:r>
      <w:r>
        <w:t xml:space="preserve"> </w:t>
      </w:r>
      <w:r w:rsidRPr="00F138B6">
        <w:t>committed</w:t>
      </w:r>
      <w:r>
        <w:t xml:space="preserve"> </w:t>
      </w:r>
      <w:r w:rsidRPr="00F138B6">
        <w:t>such</w:t>
      </w:r>
      <w:r>
        <w:t xml:space="preserve"> </w:t>
      </w:r>
      <w:r w:rsidRPr="00F138B6">
        <w:t>wrongful</w:t>
      </w:r>
      <w:r>
        <w:t xml:space="preserve"> </w:t>
      </w:r>
      <w:r w:rsidRPr="00F138B6">
        <w:t>acts</w:t>
      </w:r>
      <w:r>
        <w:t xml:space="preserve"> </w:t>
      </w:r>
      <w:r w:rsidRPr="00F138B6">
        <w:t>with</w:t>
      </w:r>
      <w:r>
        <w:t xml:space="preserve"> </w:t>
      </w:r>
      <w:r w:rsidRPr="00F138B6">
        <w:t>knowledge</w:t>
      </w:r>
      <w:r>
        <w:t xml:space="preserve"> </w:t>
      </w:r>
      <w:r w:rsidRPr="00F138B6">
        <w:t>or</w:t>
      </w:r>
      <w:r>
        <w:t xml:space="preserve"> </w:t>
      </w:r>
      <w:r w:rsidRPr="00F138B6">
        <w:t>in</w:t>
      </w:r>
      <w:r>
        <w:t xml:space="preserve"> </w:t>
      </w:r>
      <w:r w:rsidRPr="00F138B6">
        <w:t>bad</w:t>
      </w:r>
      <w:r>
        <w:t xml:space="preserve"> </w:t>
      </w:r>
      <w:r w:rsidRPr="00F138B6">
        <w:t>faith</w:t>
      </w:r>
      <w:r>
        <w:t xml:space="preserve"> </w:t>
      </w:r>
      <w:r w:rsidRPr="00F138B6">
        <w:t>or</w:t>
      </w:r>
      <w:r>
        <w:t xml:space="preserve"> </w:t>
      </w:r>
      <w:r w:rsidRPr="00F138B6">
        <w:t>otherwise</w:t>
      </w:r>
      <w:r>
        <w:t xml:space="preserve"> </w:t>
      </w:r>
      <w:r w:rsidRPr="00F138B6">
        <w:t>as</w:t>
      </w:r>
      <w:r>
        <w:t xml:space="preserve"> </w:t>
      </w:r>
      <w:r w:rsidRPr="00F138B6">
        <w:t>according</w:t>
      </w:r>
      <w:r>
        <w:t xml:space="preserve"> </w:t>
      </w:r>
      <w:r w:rsidRPr="00F138B6">
        <w:t>to</w:t>
      </w:r>
      <w:r>
        <w:t xml:space="preserve"> </w:t>
      </w:r>
      <w:r w:rsidRPr="00F138B6">
        <w:t>the</w:t>
      </w:r>
      <w:r>
        <w:t xml:space="preserve"> </w:t>
      </w:r>
      <w:r w:rsidRPr="00F138B6">
        <w:t>circumstances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case.”</w:t>
      </w:r>
      <w:r>
        <w:t xml:space="preserve"> </w:t>
      </w:r>
      <w:r w:rsidRPr="00F138B6">
        <w:t>2007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§14.</w:t>
      </w:r>
      <w:r>
        <w:t xml:space="preserve"> </w:t>
      </w:r>
      <w:r w:rsidRPr="00F138B6">
        <w:t>The</w:t>
      </w:r>
      <w:r>
        <w:t xml:space="preserve"> </w:t>
      </w:r>
      <w:r w:rsidRPr="00F138B6">
        <w:t>Mississippi</w:t>
      </w:r>
      <w:r>
        <w:t xml:space="preserve"> </w:t>
      </w:r>
      <w:r w:rsidRPr="00F138B6">
        <w:t>provision,</w:t>
      </w:r>
      <w:r>
        <w:t xml:space="preserve"> </w:t>
      </w:r>
      <w:r w:rsidRPr="00F138B6">
        <w:t>cited</w:t>
      </w:r>
      <w:r>
        <w:t xml:space="preserve"> </w:t>
      </w:r>
      <w:r w:rsidRPr="00F138B6">
        <w:t>above,</w:t>
      </w:r>
      <w:r>
        <w:t xml:space="preserve"> </w:t>
      </w:r>
      <w:r w:rsidRPr="00F138B6">
        <w:t>was</w:t>
      </w:r>
      <w:r>
        <w:t xml:space="preserve"> </w:t>
      </w:r>
      <w:r w:rsidRPr="00F138B6">
        <w:t>unchanged</w:t>
      </w:r>
      <w:r>
        <w:t xml:space="preserve"> </w:t>
      </w:r>
      <w:r w:rsidRPr="00F138B6">
        <w:t>(except</w:t>
      </w:r>
      <w:r>
        <w:t xml:space="preserve"> </w:t>
      </w:r>
      <w:r w:rsidRPr="00F138B6">
        <w:t>for</w:t>
      </w:r>
      <w:r>
        <w:t xml:space="preserve"> </w:t>
      </w:r>
      <w:r w:rsidRPr="00F138B6">
        <w:t>a</w:t>
      </w:r>
      <w:r>
        <w:t xml:space="preserve"> </w:t>
      </w:r>
      <w:r w:rsidRPr="00F138B6">
        <w:t>slight</w:t>
      </w:r>
      <w:r>
        <w:t xml:space="preserve"> </w:t>
      </w:r>
      <w:r w:rsidRPr="00F138B6">
        <w:t>renumbering)</w:t>
      </w:r>
      <w:r>
        <w:t xml:space="preserve"> </w:t>
      </w:r>
      <w:r w:rsidRPr="00F138B6">
        <w:t>by</w:t>
      </w:r>
      <w:r>
        <w:t xml:space="preserve"> </w:t>
      </w:r>
      <w:r w:rsidRPr="00F138B6">
        <w:t>the</w:t>
      </w:r>
      <w:r>
        <w:t xml:space="preserve"> </w:t>
      </w:r>
      <w:r w:rsidRPr="00F138B6">
        <w:t>adoption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2007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in</w:t>
      </w:r>
      <w:r>
        <w:t xml:space="preserve"> </w:t>
      </w:r>
      <w:r w:rsidRPr="00F138B6">
        <w:t>2009.</w:t>
      </w:r>
      <w:r>
        <w:t xml:space="preserve"> </w:t>
      </w:r>
      <w:r w:rsidRPr="00F138B6">
        <w:t>Also</w:t>
      </w:r>
      <w:r>
        <w:t xml:space="preserve"> </w:t>
      </w:r>
      <w:r w:rsidRPr="00F138B6">
        <w:t>in</w:t>
      </w:r>
      <w:r>
        <w:t xml:space="preserve"> </w:t>
      </w:r>
      <w:r w:rsidRPr="00F138B6">
        <w:t>2009,</w:t>
      </w:r>
      <w:r>
        <w:t xml:space="preserve"> </w:t>
      </w:r>
      <w:r w:rsidRPr="00F138B6">
        <w:t>Oregon,</w:t>
      </w:r>
      <w:r>
        <w:t xml:space="preserve"> </w:t>
      </w:r>
      <w:r w:rsidRPr="00F138B6">
        <w:t>which</w:t>
      </w:r>
      <w:r>
        <w:t xml:space="preserve"> </w:t>
      </w:r>
      <w:r w:rsidRPr="00F138B6">
        <w:t>already</w:t>
      </w:r>
      <w:r>
        <w:t xml:space="preserve"> </w:t>
      </w:r>
      <w:r w:rsidRPr="00F138B6">
        <w:t>had</w:t>
      </w:r>
      <w:r>
        <w:t xml:space="preserve"> </w:t>
      </w:r>
      <w:r w:rsidRPr="00F138B6">
        <w:t>a</w:t>
      </w:r>
      <w:r>
        <w:t xml:space="preserve"> </w:t>
      </w:r>
      <w:r w:rsidRPr="00F138B6">
        <w:t>statutory</w:t>
      </w:r>
      <w:r>
        <w:t xml:space="preserve"> </w:t>
      </w:r>
      <w:r w:rsidRPr="00F138B6">
        <w:t>provision</w:t>
      </w:r>
      <w:r>
        <w:t xml:space="preserve"> </w:t>
      </w:r>
      <w:r w:rsidRPr="00F138B6">
        <w:t>allowing</w:t>
      </w:r>
      <w:r>
        <w:t xml:space="preserve"> </w:t>
      </w:r>
      <w:r w:rsidRPr="00F138B6">
        <w:t>enhanced</w:t>
      </w:r>
      <w:r>
        <w:t xml:space="preserve"> </w:t>
      </w:r>
      <w:r w:rsidRPr="00F138B6">
        <w:t>damages,</w:t>
      </w:r>
      <w:r>
        <w:t xml:space="preserve"> </w:t>
      </w:r>
      <w:r w:rsidRPr="00F138B6">
        <w:t>adopted</w:t>
      </w:r>
      <w:r>
        <w:t xml:space="preserve"> </w:t>
      </w:r>
      <w:r w:rsidRPr="00F138B6">
        <w:t>the</w:t>
      </w:r>
      <w:r>
        <w:t xml:space="preserve"> </w:t>
      </w:r>
      <w:r w:rsidRPr="00F138B6">
        <w:t>2007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(with</w:t>
      </w:r>
      <w:r>
        <w:t xml:space="preserve"> </w:t>
      </w:r>
      <w:r w:rsidRPr="00F138B6">
        <w:t>some</w:t>
      </w:r>
      <w:r>
        <w:t xml:space="preserve"> </w:t>
      </w:r>
      <w:r w:rsidRPr="00F138B6">
        <w:t>alterations</w:t>
      </w:r>
      <w:r>
        <w:t xml:space="preserve"> </w:t>
      </w:r>
      <w:r w:rsidRPr="00F138B6">
        <w:t>in</w:t>
      </w:r>
      <w:r>
        <w:t xml:space="preserve"> </w:t>
      </w:r>
      <w:r w:rsidRPr="00F138B6">
        <w:t>wording).</w:t>
      </w:r>
      <w:r>
        <w:t xml:space="preserve"> </w:t>
      </w:r>
      <w:r w:rsidRPr="00F138B6">
        <w:rPr>
          <w:smallCaps/>
        </w:rPr>
        <w:t>Or.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t>§647.105(2)</w:t>
      </w:r>
      <w:r>
        <w:t xml:space="preserve"> </w:t>
      </w:r>
      <w:r w:rsidRPr="00F138B6">
        <w:t>(2011).</w:t>
      </w:r>
      <w:r>
        <w:t xml:space="preserve"> </w:t>
      </w:r>
      <w:r w:rsidRPr="00F138B6">
        <w:t>California’s</w:t>
      </w:r>
      <w:r>
        <w:t xml:space="preserve"> </w:t>
      </w:r>
      <w:r w:rsidRPr="00F138B6">
        <w:t>dilution</w:t>
      </w:r>
      <w:r>
        <w:t xml:space="preserve"> </w:t>
      </w:r>
      <w:r w:rsidRPr="00F138B6">
        <w:t>provision</w:t>
      </w:r>
      <w:r>
        <w:t xml:space="preserve"> </w:t>
      </w:r>
      <w:r w:rsidRPr="00F138B6">
        <w:t>permits</w:t>
      </w:r>
      <w:r>
        <w:t xml:space="preserve"> </w:t>
      </w:r>
      <w:r w:rsidRPr="00F138B6">
        <w:t>remedies</w:t>
      </w:r>
      <w:r>
        <w:t xml:space="preserve"> </w:t>
      </w:r>
      <w:r w:rsidRPr="00F138B6">
        <w:t>other</w:t>
      </w:r>
      <w:r>
        <w:t xml:space="preserve"> </w:t>
      </w:r>
      <w:r w:rsidRPr="00F138B6">
        <w:t>than</w:t>
      </w:r>
      <w:r>
        <w:t xml:space="preserve"> </w:t>
      </w:r>
      <w:r w:rsidRPr="00F138B6">
        <w:t>an</w:t>
      </w:r>
      <w:r>
        <w:t xml:space="preserve"> </w:t>
      </w:r>
      <w:proofErr w:type="gramStart"/>
      <w:r w:rsidRPr="00F138B6">
        <w:t>injunction,</w:t>
      </w:r>
      <w:r>
        <w:t xml:space="preserve"> </w:t>
      </w:r>
      <w:r w:rsidRPr="00F138B6">
        <w:t>but</w:t>
      </w:r>
      <w:proofErr w:type="gramEnd"/>
      <w:r>
        <w:t xml:space="preserve"> </w:t>
      </w:r>
      <w:r w:rsidRPr="00F138B6">
        <w:t>refers</w:t>
      </w:r>
      <w:r>
        <w:t xml:space="preserve"> </w:t>
      </w:r>
      <w:r w:rsidRPr="00F138B6">
        <w:t>to</w:t>
      </w:r>
      <w:r>
        <w:t xml:space="preserve"> </w:t>
      </w:r>
      <w:r w:rsidRPr="00F138B6">
        <w:t>a</w:t>
      </w:r>
      <w:r>
        <w:t xml:space="preserve"> </w:t>
      </w:r>
      <w:r w:rsidRPr="00F138B6">
        <w:t>provision</w:t>
      </w:r>
      <w:r>
        <w:t xml:space="preserve"> </w:t>
      </w:r>
      <w:r w:rsidRPr="00F138B6">
        <w:t>that</w:t>
      </w:r>
      <w:r>
        <w:t xml:space="preserve"> </w:t>
      </w:r>
      <w:r w:rsidRPr="00F138B6">
        <w:t>applies</w:t>
      </w:r>
      <w:r>
        <w:t xml:space="preserve"> </w:t>
      </w:r>
      <w:r w:rsidRPr="00F138B6">
        <w:t>to</w:t>
      </w:r>
      <w:r>
        <w:t xml:space="preserve"> </w:t>
      </w:r>
      <w:r w:rsidRPr="00F138B6">
        <w:t>remedies</w:t>
      </w:r>
      <w:r>
        <w:t xml:space="preserve"> </w:t>
      </w:r>
      <w:r w:rsidRPr="00F138B6">
        <w:t>for</w:t>
      </w:r>
      <w:r>
        <w:t xml:space="preserve"> </w:t>
      </w:r>
      <w:r w:rsidRPr="00F138B6">
        <w:t>use</w:t>
      </w:r>
      <w:r>
        <w:t xml:space="preserve"> </w:t>
      </w:r>
      <w:r w:rsidRPr="00F138B6">
        <w:t>of</w:t>
      </w:r>
      <w:r>
        <w:t xml:space="preserve"> </w:t>
      </w:r>
      <w:r w:rsidRPr="00F138B6">
        <w:t>a</w:t>
      </w:r>
      <w:r>
        <w:t xml:space="preserve"> </w:t>
      </w:r>
      <w:r w:rsidRPr="00F138B6">
        <w:t>counterfeit</w:t>
      </w:r>
      <w:r>
        <w:t xml:space="preserve"> </w:t>
      </w:r>
      <w:r w:rsidRPr="00F138B6">
        <w:t>mark.</w:t>
      </w:r>
      <w:r>
        <w:t xml:space="preserve"> </w:t>
      </w:r>
      <w:r w:rsidRPr="00F138B6">
        <w:rPr>
          <w:smallCaps/>
        </w:rPr>
        <w:t>Cal.</w:t>
      </w:r>
      <w:r>
        <w:rPr>
          <w:smallCaps/>
        </w:rPr>
        <w:t xml:space="preserve"> </w:t>
      </w:r>
      <w:r w:rsidRPr="00F138B6">
        <w:rPr>
          <w:smallCaps/>
        </w:rPr>
        <w:t>Bus.</w:t>
      </w:r>
      <w:r>
        <w:rPr>
          <w:smallCaps/>
        </w:rPr>
        <w:t xml:space="preserve"> </w:t>
      </w:r>
      <w:r w:rsidRPr="00F138B6">
        <w:rPr>
          <w:smallCaps/>
        </w:rPr>
        <w:t>&amp;</w:t>
      </w:r>
      <w:r>
        <w:rPr>
          <w:smallCaps/>
        </w:rPr>
        <w:t xml:space="preserve"> </w:t>
      </w:r>
      <w:r w:rsidRPr="00F138B6">
        <w:rPr>
          <w:smallCaps/>
        </w:rPr>
        <w:t>Prof.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t xml:space="preserve"> </w:t>
      </w:r>
      <w:r w:rsidRPr="00F138B6">
        <w:t>§§14247,</w:t>
      </w:r>
      <w:r>
        <w:t xml:space="preserve"> </w:t>
      </w:r>
      <w:r w:rsidRPr="00F138B6">
        <w:t>14250</w:t>
      </w:r>
      <w:r>
        <w:t xml:space="preserve"> </w:t>
      </w:r>
      <w:r w:rsidRPr="00F138B6">
        <w:t>(West</w:t>
      </w:r>
      <w:r>
        <w:t xml:space="preserve"> </w:t>
      </w:r>
      <w:r w:rsidRPr="00F138B6">
        <w:t>2008).</w:t>
      </w:r>
      <w:r>
        <w:t xml:space="preserve"> </w:t>
      </w:r>
      <w:r w:rsidRPr="00F138B6">
        <w:t>One</w:t>
      </w:r>
      <w:r>
        <w:t xml:space="preserve"> </w:t>
      </w:r>
      <w:r w:rsidRPr="00F138B6">
        <w:t>provision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remedies</w:t>
      </w:r>
      <w:r>
        <w:t xml:space="preserve"> </w:t>
      </w:r>
      <w:r w:rsidRPr="00F138B6">
        <w:t>section</w:t>
      </w:r>
      <w:r>
        <w:t xml:space="preserve"> </w:t>
      </w:r>
      <w:r w:rsidRPr="00F138B6">
        <w:t>specifically</w:t>
      </w:r>
      <w:r>
        <w:t xml:space="preserve"> </w:t>
      </w:r>
      <w:r w:rsidRPr="00F138B6">
        <w:t>allows</w:t>
      </w:r>
      <w:r>
        <w:t xml:space="preserve"> </w:t>
      </w:r>
      <w:r w:rsidRPr="00F138B6">
        <w:t>a</w:t>
      </w:r>
      <w:r>
        <w:t xml:space="preserve"> </w:t>
      </w:r>
      <w:r w:rsidRPr="00F138B6">
        <w:t>court</w:t>
      </w:r>
      <w:r>
        <w:t xml:space="preserve"> </w:t>
      </w:r>
      <w:r w:rsidRPr="00F138B6">
        <w:t>to</w:t>
      </w:r>
      <w:r>
        <w:t xml:space="preserve"> </w:t>
      </w:r>
      <w:r w:rsidRPr="00F138B6">
        <w:t>treble</w:t>
      </w:r>
      <w:r>
        <w:t xml:space="preserve"> </w:t>
      </w:r>
      <w:r w:rsidRPr="00F138B6">
        <w:t>damages.</w:t>
      </w:r>
      <w:r>
        <w:t xml:space="preserve"> </w:t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§14250(a).</w:t>
      </w:r>
      <w:r>
        <w:t xml:space="preserve"> </w:t>
      </w:r>
      <w:r w:rsidRPr="00F138B6">
        <w:t>Indeed,</w:t>
      </w:r>
      <w:r>
        <w:t xml:space="preserve"> </w:t>
      </w:r>
      <w:r w:rsidRPr="00F138B6">
        <w:t>in</w:t>
      </w:r>
      <w:r>
        <w:t xml:space="preserve"> </w:t>
      </w:r>
      <w:r w:rsidRPr="00F138B6">
        <w:t>cases</w:t>
      </w:r>
      <w:r>
        <w:t xml:space="preserve"> </w:t>
      </w:r>
      <w:r w:rsidRPr="00F138B6">
        <w:t>involving</w:t>
      </w:r>
      <w:r>
        <w:t xml:space="preserve"> </w:t>
      </w:r>
      <w:r w:rsidRPr="00F138B6">
        <w:t>counterfeits,</w:t>
      </w:r>
      <w:r>
        <w:t xml:space="preserve"> </w:t>
      </w:r>
      <w:r w:rsidRPr="00F138B6">
        <w:t>the</w:t>
      </w:r>
      <w:r>
        <w:t xml:space="preserve"> </w:t>
      </w:r>
      <w:r w:rsidRPr="00F138B6">
        <w:t>court</w:t>
      </w:r>
      <w:r>
        <w:t xml:space="preserve"> </w:t>
      </w:r>
      <w:r w:rsidRPr="00F138B6">
        <w:t>“shall”</w:t>
      </w:r>
      <w:r>
        <w:t xml:space="preserve"> </w:t>
      </w:r>
      <w:r w:rsidRPr="00F138B6">
        <w:t>award</w:t>
      </w:r>
      <w:r>
        <w:t xml:space="preserve"> </w:t>
      </w:r>
      <w:r w:rsidRPr="00F138B6">
        <w:t>up</w:t>
      </w:r>
      <w:r>
        <w:t xml:space="preserve"> </w:t>
      </w:r>
      <w:r w:rsidRPr="00F138B6">
        <w:t>to</w:t>
      </w:r>
      <w:r>
        <w:t xml:space="preserve"> </w:t>
      </w:r>
      <w:r w:rsidRPr="00F138B6">
        <w:t>three</w:t>
      </w:r>
      <w:r>
        <w:t xml:space="preserve"> </w:t>
      </w:r>
      <w:r w:rsidRPr="00F138B6">
        <w:t>times</w:t>
      </w:r>
      <w:r>
        <w:t xml:space="preserve"> </w:t>
      </w:r>
      <w:r w:rsidRPr="00F138B6">
        <w:t>the</w:t>
      </w:r>
      <w:r>
        <w:t xml:space="preserve"> </w:t>
      </w:r>
      <w:r w:rsidRPr="00F138B6">
        <w:t>profits</w:t>
      </w:r>
      <w:r>
        <w:t xml:space="preserve"> </w:t>
      </w:r>
      <w:r w:rsidRPr="00F138B6">
        <w:t>or</w:t>
      </w:r>
      <w:r>
        <w:t xml:space="preserve"> </w:t>
      </w:r>
      <w:r w:rsidRPr="00F138B6">
        <w:t>damages.</w:t>
      </w:r>
      <w:r>
        <w:t xml:space="preserve"> </w:t>
      </w:r>
      <w:r w:rsidRPr="00F138B6">
        <w:t>While</w:t>
      </w:r>
      <w:r>
        <w:t xml:space="preserve"> </w:t>
      </w:r>
      <w:r w:rsidRPr="00F138B6">
        <w:t>such</w:t>
      </w:r>
      <w:r>
        <w:t xml:space="preserve"> </w:t>
      </w:r>
      <w:r w:rsidRPr="00F138B6">
        <w:t>a</w:t>
      </w:r>
      <w:r>
        <w:t xml:space="preserve"> </w:t>
      </w:r>
      <w:r w:rsidRPr="00F138B6">
        <w:t>provision</w:t>
      </w:r>
      <w:r>
        <w:t xml:space="preserve"> </w:t>
      </w:r>
      <w:r w:rsidRPr="00F138B6">
        <w:t>may</w:t>
      </w:r>
      <w:r>
        <w:t xml:space="preserve"> </w:t>
      </w:r>
      <w:r w:rsidRPr="00F138B6">
        <w:t>make</w:t>
      </w:r>
      <w:r>
        <w:t xml:space="preserve"> </w:t>
      </w:r>
      <w:r w:rsidRPr="00F138B6">
        <w:t>sense</w:t>
      </w:r>
      <w:r>
        <w:t xml:space="preserve"> </w:t>
      </w:r>
      <w:r w:rsidRPr="00F138B6">
        <w:t>in</w:t>
      </w:r>
      <w:r>
        <w:t xml:space="preserve"> </w:t>
      </w:r>
      <w:r w:rsidRPr="00F138B6">
        <w:t>the</w:t>
      </w:r>
      <w:r>
        <w:t xml:space="preserve"> </w:t>
      </w:r>
      <w:r w:rsidRPr="00F138B6">
        <w:t>context</w:t>
      </w:r>
      <w:r>
        <w:t xml:space="preserve"> </w:t>
      </w:r>
      <w:r w:rsidRPr="00F138B6">
        <w:t>of</w:t>
      </w:r>
      <w:r>
        <w:t xml:space="preserve"> </w:t>
      </w:r>
      <w:r w:rsidRPr="00F138B6">
        <w:t>counterfeits,</w:t>
      </w:r>
      <w:r>
        <w:t xml:space="preserve"> </w:t>
      </w:r>
      <w:r w:rsidRPr="00F138B6">
        <w:t>it</w:t>
      </w:r>
      <w:r>
        <w:t xml:space="preserve"> </w:t>
      </w:r>
      <w:r w:rsidRPr="00F138B6">
        <w:t>may</w:t>
      </w:r>
      <w:r>
        <w:t xml:space="preserve"> </w:t>
      </w:r>
      <w:r w:rsidRPr="00F138B6">
        <w:t>not</w:t>
      </w:r>
      <w:r>
        <w:t xml:space="preserve"> </w:t>
      </w:r>
      <w:r w:rsidRPr="00F138B6">
        <w:t>quite</w:t>
      </w:r>
      <w:r>
        <w:t xml:space="preserve"> </w:t>
      </w:r>
      <w:r w:rsidRPr="00F138B6">
        <w:t>square</w:t>
      </w:r>
      <w:r>
        <w:t xml:space="preserve"> </w:t>
      </w:r>
      <w:r w:rsidRPr="00F138B6">
        <w:t>with</w:t>
      </w:r>
      <w:r>
        <w:t xml:space="preserve"> </w:t>
      </w:r>
      <w:r w:rsidRPr="00F138B6">
        <w:t>the</w:t>
      </w:r>
      <w:r>
        <w:t xml:space="preserve"> </w:t>
      </w:r>
      <w:r w:rsidRPr="00F138B6">
        <w:t>dilution</w:t>
      </w:r>
      <w:r>
        <w:t xml:space="preserve"> </w:t>
      </w:r>
      <w:r w:rsidRPr="00F138B6">
        <w:t>provision.</w:t>
      </w:r>
      <w:r>
        <w:t xml:space="preserve"> </w:t>
      </w:r>
      <w:r w:rsidRPr="00F138B6">
        <w:t>However,</w:t>
      </w:r>
      <w:r>
        <w:t xml:space="preserve"> </w:t>
      </w:r>
      <w:r w:rsidRPr="00F138B6">
        <w:t>the</w:t>
      </w:r>
      <w:r>
        <w:t xml:space="preserve"> </w:t>
      </w:r>
      <w:r w:rsidRPr="00F138B6">
        <w:t>dilution</w:t>
      </w:r>
      <w:r>
        <w:t xml:space="preserve"> </w:t>
      </w:r>
      <w:r w:rsidRPr="00F138B6">
        <w:t>provision</w:t>
      </w:r>
      <w:r>
        <w:t xml:space="preserve"> </w:t>
      </w:r>
      <w:r w:rsidRPr="00F138B6">
        <w:t>makes</w:t>
      </w:r>
      <w:r>
        <w:t xml:space="preserve"> </w:t>
      </w:r>
      <w:r w:rsidRPr="00F138B6">
        <w:t>any</w:t>
      </w:r>
      <w:r>
        <w:t xml:space="preserve"> </w:t>
      </w:r>
      <w:r w:rsidRPr="00F138B6">
        <w:t>other</w:t>
      </w:r>
      <w:r>
        <w:t xml:space="preserve"> </w:t>
      </w:r>
      <w:r w:rsidRPr="00F138B6">
        <w:t>remedies</w:t>
      </w:r>
      <w:r>
        <w:t xml:space="preserve"> </w:t>
      </w:r>
      <w:r w:rsidRPr="00F138B6">
        <w:t>“subject</w:t>
      </w:r>
      <w:r>
        <w:t xml:space="preserve"> </w:t>
      </w:r>
      <w:r w:rsidRPr="00F138B6">
        <w:t>to</w:t>
      </w:r>
      <w:r>
        <w:t xml:space="preserve"> </w:t>
      </w:r>
      <w:r w:rsidRPr="00F138B6">
        <w:t>the</w:t>
      </w:r>
      <w:r>
        <w:t xml:space="preserve"> </w:t>
      </w:r>
      <w:r w:rsidRPr="00F138B6">
        <w:t>principles</w:t>
      </w:r>
      <w:r>
        <w:t xml:space="preserve"> </w:t>
      </w:r>
      <w:r w:rsidRPr="00F138B6">
        <w:t>of</w:t>
      </w:r>
      <w:r>
        <w:t xml:space="preserve"> </w:t>
      </w:r>
      <w:r w:rsidRPr="00F138B6">
        <w:t>equity.”</w:t>
      </w:r>
      <w:r>
        <w:t xml:space="preserve"> </w:t>
      </w:r>
      <w:r w:rsidRPr="00F138B6">
        <w:rPr>
          <w:i/>
        </w:rPr>
        <w:t>Id</w:t>
      </w:r>
      <w:r w:rsidRPr="00F138B6">
        <w:t>.</w:t>
      </w:r>
      <w:r>
        <w:t xml:space="preserve"> </w:t>
      </w:r>
      <w:r w:rsidRPr="00F138B6">
        <w:t>§14247(b).</w:t>
      </w:r>
      <w:r>
        <w:t xml:space="preserve"> </w:t>
      </w:r>
      <w:r w:rsidRPr="00F138B6">
        <w:t>Alabama’s</w:t>
      </w:r>
      <w:r>
        <w:t xml:space="preserve"> </w:t>
      </w:r>
      <w:r w:rsidRPr="00F138B6">
        <w:t>statute</w:t>
      </w:r>
      <w:r>
        <w:t xml:space="preserve"> </w:t>
      </w:r>
      <w:r w:rsidRPr="00F138B6">
        <w:t>includes</w:t>
      </w:r>
      <w:r>
        <w:t xml:space="preserve"> </w:t>
      </w:r>
      <w:r w:rsidRPr="00F138B6">
        <w:t>the</w:t>
      </w:r>
      <w:r>
        <w:t xml:space="preserve"> </w:t>
      </w:r>
      <w:r w:rsidRPr="00F138B6">
        <w:t>“shall</w:t>
      </w:r>
      <w:r>
        <w:t xml:space="preserve"> </w:t>
      </w:r>
      <w:r w:rsidRPr="00F138B6">
        <w:t>constitute</w:t>
      </w:r>
      <w:r>
        <w:t xml:space="preserve"> </w:t>
      </w:r>
      <w:r w:rsidRPr="00F138B6">
        <w:t>compensation</w:t>
      </w:r>
      <w:r>
        <w:t xml:space="preserve"> </w:t>
      </w:r>
      <w:r w:rsidRPr="00F138B6">
        <w:t>and</w:t>
      </w:r>
      <w:r>
        <w:t xml:space="preserve"> </w:t>
      </w:r>
      <w:r w:rsidRPr="00F138B6">
        <w:t>not</w:t>
      </w:r>
      <w:r>
        <w:t xml:space="preserve"> </w:t>
      </w:r>
      <w:r w:rsidRPr="00F138B6">
        <w:t>a</w:t>
      </w:r>
      <w:r>
        <w:t xml:space="preserve"> </w:t>
      </w:r>
      <w:r w:rsidRPr="00F138B6">
        <w:t>penalty”</w:t>
      </w:r>
      <w:r>
        <w:t xml:space="preserve"> </w:t>
      </w:r>
      <w:r w:rsidRPr="00F138B6">
        <w:t>language</w:t>
      </w:r>
      <w:r>
        <w:t xml:space="preserve"> </w:t>
      </w:r>
      <w:r w:rsidRPr="00F138B6">
        <w:t>that</w:t>
      </w:r>
      <w:r>
        <w:t xml:space="preserve"> </w:t>
      </w:r>
      <w:r w:rsidRPr="00F138B6">
        <w:t>is</w:t>
      </w:r>
      <w:r>
        <w:t xml:space="preserve"> </w:t>
      </w:r>
      <w:r w:rsidRPr="00F138B6">
        <w:t>contained</w:t>
      </w:r>
      <w:r>
        <w:t xml:space="preserve"> </w:t>
      </w:r>
      <w:r w:rsidRPr="00F138B6">
        <w:t>in</w:t>
      </w:r>
      <w:r>
        <w:t xml:space="preserve"> </w:t>
      </w:r>
      <w:r w:rsidRPr="00F138B6">
        <w:t>§35(a)</w:t>
      </w:r>
      <w:r>
        <w:t xml:space="preserve"> </w:t>
      </w:r>
      <w:r w:rsidRPr="00F138B6">
        <w:t>of</w:t>
      </w:r>
      <w:r>
        <w:t xml:space="preserve"> </w:t>
      </w:r>
      <w:r w:rsidRPr="00F138B6">
        <w:t>the</w:t>
      </w:r>
      <w:r>
        <w:t xml:space="preserve"> </w:t>
      </w:r>
      <w:r w:rsidRPr="00F138B6">
        <w:t>Lanham</w:t>
      </w:r>
      <w:r>
        <w:t xml:space="preserve"> </w:t>
      </w:r>
      <w:r w:rsidRPr="00F138B6">
        <w:t>Act.</w:t>
      </w:r>
      <w:r>
        <w:t xml:space="preserve"> </w:t>
      </w:r>
      <w:r w:rsidRPr="00F138B6">
        <w:rPr>
          <w:smallCaps/>
        </w:rPr>
        <w:t>Ala.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t xml:space="preserve"> </w:t>
      </w:r>
      <w:r w:rsidRPr="00F138B6">
        <w:t>§8-12-18(b)</w:t>
      </w:r>
      <w:r>
        <w:t xml:space="preserve"> </w:t>
      </w:r>
      <w:r w:rsidRPr="00F138B6">
        <w:t>(2010).</w:t>
      </w:r>
    </w:p>
  </w:footnote>
  <w:footnote w:id="65">
    <w:p w14:paraId="1914C12B" w14:textId="4B15EDBE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smallCaps/>
        </w:rPr>
        <w:t>Alaska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t>§45.50.180(b)</w:t>
      </w:r>
      <w:r>
        <w:t xml:space="preserve"> </w:t>
      </w:r>
      <w:r w:rsidRPr="00F138B6">
        <w:t>(Lexis</w:t>
      </w:r>
      <w:r>
        <w:t xml:space="preserve"> </w:t>
      </w:r>
      <w:r w:rsidRPr="00F138B6">
        <w:t>Publ’g</w:t>
      </w:r>
      <w:r>
        <w:t xml:space="preserve"> </w:t>
      </w:r>
      <w:r w:rsidRPr="00F138B6">
        <w:t>2000)</w:t>
      </w:r>
      <w:r>
        <w:t xml:space="preserve"> </w:t>
      </w:r>
      <w:r w:rsidRPr="00F138B6">
        <w:t>(emphasis</w:t>
      </w:r>
      <w:r>
        <w:t xml:space="preserve"> </w:t>
      </w:r>
      <w:r w:rsidRPr="00F138B6">
        <w:t>added).</w:t>
      </w:r>
    </w:p>
  </w:footnote>
  <w:footnote w:id="66">
    <w:p w14:paraId="41F10CBA" w14:textId="3CD98C95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Lanham</w:t>
      </w:r>
      <w:r>
        <w:t xml:space="preserve"> </w:t>
      </w:r>
      <w:r w:rsidRPr="00F138B6">
        <w:t>Act</w:t>
      </w:r>
      <w:r>
        <w:t xml:space="preserve"> </w:t>
      </w:r>
      <w:r w:rsidRPr="00F138B6">
        <w:t>§36,</w:t>
      </w:r>
      <w:r>
        <w:t xml:space="preserve"> </w:t>
      </w:r>
      <w:r w:rsidRPr="00F138B6">
        <w:t>15</w:t>
      </w:r>
      <w:r>
        <w:t xml:space="preserve"> </w:t>
      </w:r>
      <w:r w:rsidRPr="00F138B6">
        <w:t>U.S.C.</w:t>
      </w:r>
      <w:r>
        <w:t xml:space="preserve"> </w:t>
      </w:r>
      <w:r w:rsidRPr="00F138B6">
        <w:t>§1118.</w:t>
      </w:r>
    </w:p>
  </w:footnote>
  <w:footnote w:id="67">
    <w:p w14:paraId="655B40AF" w14:textId="46CD64F6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E</w:t>
      </w:r>
      <w:r w:rsidRPr="00F138B6">
        <w:t>.</w:t>
      </w:r>
      <w:r w:rsidRPr="00F138B6">
        <w:rPr>
          <w:i/>
        </w:rPr>
        <w:t>g</w:t>
      </w:r>
      <w:r w:rsidRPr="00F138B6">
        <w:t>.,</w:t>
      </w:r>
      <w:r>
        <w:t xml:space="preserve"> </w:t>
      </w:r>
      <w:r w:rsidRPr="00F138B6">
        <w:t>2007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§14;</w:t>
      </w:r>
      <w:r>
        <w:t xml:space="preserve"> </w:t>
      </w:r>
      <w:r w:rsidRPr="00F138B6">
        <w:rPr>
          <w:smallCaps/>
        </w:rPr>
        <w:t>Conn.</w:t>
      </w:r>
      <w:r>
        <w:rPr>
          <w:smallCaps/>
        </w:rPr>
        <w:t xml:space="preserve"> </w:t>
      </w:r>
      <w:r w:rsidRPr="00F138B6">
        <w:rPr>
          <w:smallCaps/>
        </w:rPr>
        <w:t>Gen.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§35-11i(b)</w:t>
      </w:r>
      <w:r>
        <w:t xml:space="preserve"> </w:t>
      </w:r>
      <w:r w:rsidRPr="00F138B6">
        <w:t>(West</w:t>
      </w:r>
      <w:r>
        <w:t xml:space="preserve"> </w:t>
      </w:r>
      <w:r w:rsidRPr="00F138B6">
        <w:t>2005);</w:t>
      </w:r>
      <w:r>
        <w:t xml:space="preserve"> </w:t>
      </w:r>
      <w:r w:rsidRPr="00F138B6">
        <w:rPr>
          <w:smallCaps/>
        </w:rPr>
        <w:t>Neb.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rPr>
          <w:smallCaps/>
        </w:rPr>
        <w:t>Stat</w:t>
      </w:r>
      <w:r w:rsidRPr="00F138B6">
        <w:t>.</w:t>
      </w:r>
      <w:r>
        <w:t xml:space="preserve"> </w:t>
      </w:r>
      <w:r w:rsidRPr="00F138B6">
        <w:t>§87-141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2007).</w:t>
      </w:r>
    </w:p>
  </w:footnote>
  <w:footnote w:id="68">
    <w:p w14:paraId="162ED2BC" w14:textId="587FE247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Cottonwood</w:t>
      </w:r>
      <w:r>
        <w:t xml:space="preserve"> </w:t>
      </w:r>
      <w:r w:rsidRPr="00F138B6">
        <w:t>Fin.</w:t>
      </w:r>
      <w:r>
        <w:t xml:space="preserve"> </w:t>
      </w:r>
      <w:r w:rsidRPr="00F138B6">
        <w:t>Ltd.</w:t>
      </w:r>
      <w:r>
        <w:t xml:space="preserve"> </w:t>
      </w:r>
      <w:r w:rsidRPr="00F138B6">
        <w:t>v.</w:t>
      </w:r>
      <w:r>
        <w:t xml:space="preserve"> </w:t>
      </w:r>
      <w:r w:rsidRPr="00F138B6">
        <w:t>The</w:t>
      </w:r>
      <w:r>
        <w:t xml:space="preserve"> </w:t>
      </w:r>
      <w:r w:rsidRPr="00F138B6">
        <w:t>Cash</w:t>
      </w:r>
      <w:r>
        <w:t xml:space="preserve"> </w:t>
      </w:r>
      <w:r w:rsidRPr="00F138B6">
        <w:t>Store</w:t>
      </w:r>
      <w:r>
        <w:t xml:space="preserve"> </w:t>
      </w:r>
      <w:r w:rsidRPr="00F138B6">
        <w:t>Fin.</w:t>
      </w:r>
      <w:r>
        <w:t xml:space="preserve"> </w:t>
      </w:r>
      <w:r w:rsidRPr="00F138B6">
        <w:t>Servs.,</w:t>
      </w:r>
      <w:r>
        <w:t xml:space="preserve"> </w:t>
      </w:r>
      <w:r w:rsidRPr="00F138B6">
        <w:t>Inc,</w:t>
      </w:r>
      <w:r>
        <w:t xml:space="preserve"> </w:t>
      </w:r>
      <w:r w:rsidRPr="00F138B6">
        <w:t>778</w:t>
      </w:r>
      <w:r>
        <w:t xml:space="preserve"> </w:t>
      </w:r>
      <w:r w:rsidRPr="00F138B6">
        <w:t>F.</w:t>
      </w:r>
      <w:r>
        <w:t xml:space="preserve"> </w:t>
      </w:r>
      <w:r w:rsidRPr="00F138B6">
        <w:t>Supp.</w:t>
      </w:r>
      <w:r>
        <w:t xml:space="preserve"> </w:t>
      </w:r>
      <w:r w:rsidRPr="00F138B6">
        <w:t>2d</w:t>
      </w:r>
      <w:r>
        <w:t xml:space="preserve"> </w:t>
      </w:r>
      <w:r w:rsidRPr="00F138B6">
        <w:t>726,</w:t>
      </w:r>
      <w:r>
        <w:t xml:space="preserve"> </w:t>
      </w:r>
      <w:r w:rsidRPr="00F138B6">
        <w:t>761</w:t>
      </w:r>
      <w:r>
        <w:t xml:space="preserve"> </w:t>
      </w:r>
      <w:r w:rsidRPr="00F138B6">
        <w:t>(N.D.</w:t>
      </w:r>
      <w:r>
        <w:t xml:space="preserve"> </w:t>
      </w:r>
      <w:r w:rsidRPr="00F138B6">
        <w:t>Tex.</w:t>
      </w:r>
      <w:r>
        <w:t xml:space="preserve"> </w:t>
      </w:r>
      <w:r w:rsidRPr="00F138B6">
        <w:t>2011).</w:t>
      </w:r>
    </w:p>
  </w:footnote>
  <w:footnote w:id="69">
    <w:p w14:paraId="451B8F1F" w14:textId="1E5B9943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The</w:t>
      </w:r>
      <w:r>
        <w:t xml:space="preserve"> </w:t>
      </w:r>
      <w:r w:rsidRPr="00F138B6">
        <w:t>availability</w:t>
      </w:r>
      <w:r>
        <w:t xml:space="preserve"> </w:t>
      </w:r>
      <w:r w:rsidRPr="00F138B6">
        <w:t>of</w:t>
      </w:r>
      <w:r>
        <w:t xml:space="preserve"> </w:t>
      </w:r>
      <w:r w:rsidRPr="00F138B6">
        <w:t>attorneys’</w:t>
      </w:r>
      <w:r>
        <w:t xml:space="preserve"> </w:t>
      </w:r>
      <w:r w:rsidRPr="00F138B6">
        <w:t>fees</w:t>
      </w:r>
      <w:r>
        <w:t xml:space="preserve"> </w:t>
      </w:r>
      <w:r w:rsidRPr="00F138B6">
        <w:t>in</w:t>
      </w:r>
      <w:r>
        <w:t xml:space="preserve"> </w:t>
      </w:r>
      <w:r w:rsidRPr="00F138B6">
        <w:t>dilution</w:t>
      </w:r>
      <w:r>
        <w:t xml:space="preserve"> </w:t>
      </w:r>
      <w:r w:rsidRPr="00F138B6">
        <w:t>cases</w:t>
      </w:r>
      <w:r>
        <w:t xml:space="preserve"> </w:t>
      </w:r>
      <w:r w:rsidRPr="00F138B6">
        <w:t>brought</w:t>
      </w:r>
      <w:r>
        <w:t xml:space="preserve"> </w:t>
      </w:r>
      <w:r w:rsidRPr="00F138B6">
        <w:t>under</w:t>
      </w:r>
      <w:r>
        <w:t xml:space="preserve"> </w:t>
      </w:r>
      <w:r w:rsidRPr="00F138B6">
        <w:t>the</w:t>
      </w:r>
      <w:r>
        <w:t xml:space="preserve"> </w:t>
      </w:r>
      <w:r w:rsidRPr="00F138B6">
        <w:t>Lanham</w:t>
      </w:r>
      <w:r>
        <w:t xml:space="preserve"> </w:t>
      </w:r>
      <w:r w:rsidRPr="00F138B6">
        <w:t>Act</w:t>
      </w:r>
      <w:r>
        <w:t xml:space="preserve"> </w:t>
      </w:r>
      <w:r w:rsidRPr="00F138B6">
        <w:t>is</w:t>
      </w:r>
      <w:r>
        <w:t xml:space="preserve"> </w:t>
      </w:r>
      <w:r w:rsidRPr="00F138B6">
        <w:t>discussed</w:t>
      </w:r>
      <w:r>
        <w:t xml:space="preserve"> </w:t>
      </w:r>
      <w:r w:rsidRPr="00F138B6">
        <w:t>in</w:t>
      </w:r>
      <w:r>
        <w:t xml:space="preserve"> </w:t>
      </w:r>
      <w:r w:rsidRPr="00F138B6">
        <w:t>Chapter</w:t>
      </w:r>
      <w:r>
        <w:t xml:space="preserve"> </w:t>
      </w:r>
      <w:r w:rsidRPr="00F138B6">
        <w:t>11,</w:t>
      </w:r>
      <w:r>
        <w:t xml:space="preserve"> </w:t>
      </w:r>
      <w:r w:rsidRPr="00F138B6">
        <w:t>§IV.A.</w:t>
      </w:r>
    </w:p>
  </w:footnote>
  <w:footnote w:id="70">
    <w:p w14:paraId="6BF8519A" w14:textId="5620ABEA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See,</w:t>
      </w:r>
      <w:r>
        <w:rPr>
          <w:i/>
        </w:rPr>
        <w:t xml:space="preserve"> </w:t>
      </w:r>
      <w:r w:rsidRPr="00F138B6">
        <w:rPr>
          <w:i/>
        </w:rPr>
        <w:t>e</w:t>
      </w:r>
      <w:r w:rsidRPr="00F138B6">
        <w:t>.</w:t>
      </w:r>
      <w:r w:rsidRPr="00F138B6">
        <w:rPr>
          <w:i/>
        </w:rPr>
        <w:t>g</w:t>
      </w:r>
      <w:r w:rsidRPr="00F138B6">
        <w:t>.,</w:t>
      </w:r>
      <w:r>
        <w:t xml:space="preserve"> </w:t>
      </w:r>
      <w:r w:rsidRPr="00F138B6">
        <w:t>Mattel,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Jcom,</w:t>
      </w:r>
      <w:r>
        <w:t xml:space="preserve"> </w:t>
      </w:r>
      <w:r w:rsidRPr="00F138B6">
        <w:t>Inc.,</w:t>
      </w:r>
      <w:r>
        <w:t xml:space="preserve"> </w:t>
      </w:r>
      <w:r w:rsidRPr="00F138B6">
        <w:t>48</w:t>
      </w:r>
      <w:r>
        <w:t xml:space="preserve"> </w:t>
      </w:r>
      <w:r w:rsidRPr="00F138B6">
        <w:t>USPQ2d</w:t>
      </w:r>
      <w:r>
        <w:t xml:space="preserve"> </w:t>
      </w:r>
      <w:r w:rsidRPr="00F138B6">
        <w:t>1467,</w:t>
      </w:r>
      <w:r>
        <w:t xml:space="preserve"> </w:t>
      </w:r>
      <w:r w:rsidRPr="00F138B6">
        <w:t>1470</w:t>
      </w:r>
      <w:r>
        <w:t xml:space="preserve"> </w:t>
      </w:r>
      <w:r w:rsidRPr="00F138B6">
        <w:t>(S.D.N.Y.</w:t>
      </w:r>
      <w:r>
        <w:t xml:space="preserve"> </w:t>
      </w:r>
      <w:r w:rsidRPr="00F138B6">
        <w:t>1998)</w:t>
      </w:r>
      <w:r>
        <w:t xml:space="preserve"> </w:t>
      </w:r>
      <w:r w:rsidRPr="00F138B6">
        <w:t>(awarding</w:t>
      </w:r>
      <w:r>
        <w:t xml:space="preserve"> </w:t>
      </w:r>
      <w:r w:rsidRPr="00F138B6">
        <w:t>attorneys’</w:t>
      </w:r>
      <w:r>
        <w:t xml:space="preserve"> </w:t>
      </w:r>
      <w:r w:rsidRPr="00F138B6">
        <w:t>fees</w:t>
      </w:r>
      <w:r>
        <w:t xml:space="preserve"> </w:t>
      </w:r>
      <w:r w:rsidRPr="00F138B6">
        <w:t>where</w:t>
      </w:r>
      <w:r>
        <w:t xml:space="preserve"> </w:t>
      </w:r>
      <w:r w:rsidRPr="00F138B6">
        <w:t>defendant</w:t>
      </w:r>
      <w:r>
        <w:t xml:space="preserve"> </w:t>
      </w:r>
      <w:r w:rsidRPr="00F138B6">
        <w:t>created</w:t>
      </w:r>
      <w:r>
        <w:t xml:space="preserve"> </w:t>
      </w:r>
      <w:r w:rsidRPr="00F138B6">
        <w:t>a</w:t>
      </w:r>
      <w:r>
        <w:t xml:space="preserve"> </w:t>
      </w:r>
      <w:r w:rsidRPr="00F138B6">
        <w:t>pornographic</w:t>
      </w:r>
      <w:r>
        <w:t xml:space="preserve"> </w:t>
      </w:r>
      <w:r w:rsidRPr="00F138B6">
        <w:t>Web</w:t>
      </w:r>
      <w:r>
        <w:t xml:space="preserve"> </w:t>
      </w:r>
      <w:r w:rsidRPr="00F138B6">
        <w:t>site</w:t>
      </w:r>
      <w:r>
        <w:t xml:space="preserve"> </w:t>
      </w:r>
      <w:r w:rsidRPr="00F138B6">
        <w:t>called</w:t>
      </w:r>
      <w:r>
        <w:t xml:space="preserve"> </w:t>
      </w:r>
      <w:r w:rsidRPr="00F138B6">
        <w:t>Barbie’s</w:t>
      </w:r>
      <w:r>
        <w:t xml:space="preserve"> </w:t>
      </w:r>
      <w:r w:rsidRPr="00F138B6">
        <w:t>Playhouse).</w:t>
      </w:r>
      <w:r>
        <w:t xml:space="preserve"> </w:t>
      </w:r>
      <w:r w:rsidRPr="00F138B6">
        <w:t>For</w:t>
      </w:r>
      <w:r>
        <w:t xml:space="preserve"> </w:t>
      </w:r>
      <w:r w:rsidRPr="00F138B6">
        <w:t>further</w:t>
      </w:r>
      <w:r>
        <w:t xml:space="preserve"> </w:t>
      </w:r>
      <w:r w:rsidRPr="00F138B6">
        <w:t>discussion</w:t>
      </w:r>
      <w:r>
        <w:t xml:space="preserve"> </w:t>
      </w:r>
      <w:r w:rsidRPr="00F138B6">
        <w:t>of</w:t>
      </w:r>
      <w:r>
        <w:t xml:space="preserve"> </w:t>
      </w:r>
      <w:r w:rsidRPr="00F138B6">
        <w:t>this</w:t>
      </w:r>
      <w:r>
        <w:t xml:space="preserve"> </w:t>
      </w:r>
      <w:r w:rsidRPr="00F138B6">
        <w:t>issue</w:t>
      </w:r>
      <w:r>
        <w:t xml:space="preserve"> </w:t>
      </w:r>
      <w:r w:rsidRPr="00F138B6">
        <w:t>under</w:t>
      </w:r>
      <w:r>
        <w:t xml:space="preserve"> </w:t>
      </w:r>
      <w:r w:rsidRPr="00F138B6">
        <w:t>the</w:t>
      </w:r>
      <w:r>
        <w:t xml:space="preserve"> </w:t>
      </w:r>
      <w:r w:rsidRPr="00F138B6">
        <w:t>FTDA</w:t>
      </w:r>
      <w:r>
        <w:t xml:space="preserve"> </w:t>
      </w:r>
      <w:r w:rsidRPr="00F138B6">
        <w:t>and</w:t>
      </w:r>
      <w:r>
        <w:t xml:space="preserve"> </w:t>
      </w:r>
      <w:r w:rsidRPr="00F138B6">
        <w:t>TDRA,</w:t>
      </w:r>
      <w:r>
        <w:t xml:space="preserve"> </w:t>
      </w:r>
      <w:r w:rsidRPr="00F138B6">
        <w:t>see</w:t>
      </w:r>
      <w:r>
        <w:t xml:space="preserve"> </w:t>
      </w:r>
      <w:r w:rsidRPr="00F138B6">
        <w:t>Chapter</w:t>
      </w:r>
      <w:r>
        <w:t xml:space="preserve"> </w:t>
      </w:r>
      <w:r w:rsidRPr="00F138B6">
        <w:t>11,</w:t>
      </w:r>
      <w:r>
        <w:t xml:space="preserve"> </w:t>
      </w:r>
      <w:r w:rsidRPr="00F138B6">
        <w:t>§IV.</w:t>
      </w:r>
    </w:p>
  </w:footnote>
  <w:footnote w:id="71">
    <w:p w14:paraId="0C7E342B" w14:textId="7AF0DAB5" w:rsidR="00F138B6" w:rsidRPr="00DB753C" w:rsidRDefault="00F138B6" w:rsidP="00F138B6">
      <w:pPr>
        <w:pStyle w:val="FootnoteText"/>
        <w:rPr>
          <w:lang w:val="sv-SE"/>
        </w:rPr>
      </w:pPr>
      <w:r w:rsidRPr="00F138B6">
        <w:rPr>
          <w:vertAlign w:val="superscript"/>
        </w:rPr>
        <w:footnoteRef/>
      </w:r>
      <w:r w:rsidRPr="00F138B6">
        <w:t>The</w:t>
      </w:r>
      <w:r>
        <w:t xml:space="preserve"> </w:t>
      </w:r>
      <w:r w:rsidRPr="00F138B6">
        <w:t>Alaska</w:t>
      </w:r>
      <w:r>
        <w:t xml:space="preserve"> </w:t>
      </w:r>
      <w:r w:rsidRPr="00F138B6">
        <w:t>and</w:t>
      </w:r>
      <w:r>
        <w:t xml:space="preserve"> </w:t>
      </w:r>
      <w:r w:rsidRPr="00F138B6">
        <w:t>Nevada</w:t>
      </w:r>
      <w:r>
        <w:t xml:space="preserve"> </w:t>
      </w:r>
      <w:r w:rsidRPr="00F138B6">
        <w:t>statutes</w:t>
      </w:r>
      <w:r>
        <w:t xml:space="preserve"> </w:t>
      </w:r>
      <w:r w:rsidRPr="00F138B6">
        <w:t>have</w:t>
      </w:r>
      <w:r>
        <w:t xml:space="preserve"> </w:t>
      </w:r>
      <w:r w:rsidRPr="00F138B6">
        <w:t>no</w:t>
      </w:r>
      <w:r>
        <w:t xml:space="preserve"> </w:t>
      </w:r>
      <w:r w:rsidRPr="00F138B6">
        <w:t>provision</w:t>
      </w:r>
      <w:r>
        <w:t xml:space="preserve"> </w:t>
      </w:r>
      <w:r w:rsidRPr="00F138B6">
        <w:t>for</w:t>
      </w:r>
      <w:r>
        <w:t xml:space="preserve"> </w:t>
      </w:r>
      <w:r w:rsidRPr="00F138B6">
        <w:t>attorneys’</w:t>
      </w:r>
      <w:r>
        <w:t xml:space="preserve"> </w:t>
      </w:r>
      <w:r w:rsidRPr="00F138B6">
        <w:t>fees.</w:t>
      </w:r>
      <w:r>
        <w:t xml:space="preserve"> </w:t>
      </w:r>
      <w:r w:rsidRPr="00F138B6">
        <w:rPr>
          <w:smallCaps/>
        </w:rPr>
        <w:t>Alaska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t>§45.50.180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2006);</w:t>
      </w:r>
      <w:r>
        <w:t xml:space="preserve"> </w:t>
      </w:r>
      <w:r w:rsidRPr="00F138B6">
        <w:rPr>
          <w:smallCaps/>
        </w:rPr>
        <w:t>Nev.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rPr>
          <w:smallCaps/>
        </w:rPr>
        <w:t>Stat.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§600.430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2004).</w:t>
      </w:r>
    </w:p>
  </w:footnote>
  <w:footnote w:id="72">
    <w:p w14:paraId="27E35A37" w14:textId="54D53707" w:rsidR="00F138B6" w:rsidRPr="00DB753C" w:rsidRDefault="00F138B6" w:rsidP="00F138B6">
      <w:pPr>
        <w:pStyle w:val="FootnoteText"/>
        <w:rPr>
          <w:lang w:val="sv-SE"/>
        </w:rPr>
      </w:pPr>
      <w:r w:rsidRPr="00F138B6">
        <w:rPr>
          <w:vertAlign w:val="superscript"/>
        </w:rPr>
        <w:footnoteRef/>
      </w:r>
      <w:r w:rsidRPr="00F138B6">
        <w:t>2007</w:t>
      </w:r>
      <w:r>
        <w:t xml:space="preserve"> </w:t>
      </w:r>
      <w:r w:rsidRPr="00F138B6">
        <w:t>Model</w:t>
      </w:r>
      <w:r>
        <w:t xml:space="preserve"> </w:t>
      </w:r>
      <w:r w:rsidRPr="00F138B6">
        <w:t>Bill</w:t>
      </w:r>
      <w:r>
        <w:t xml:space="preserve"> </w:t>
      </w:r>
      <w:r w:rsidRPr="00F138B6">
        <w:t>§14(a).</w:t>
      </w:r>
    </w:p>
  </w:footnote>
  <w:footnote w:id="73">
    <w:p w14:paraId="7FED8F71" w14:textId="7A0440D1" w:rsidR="00F138B6" w:rsidRPr="00903803" w:rsidRDefault="00F138B6" w:rsidP="001763C1">
      <w:pPr>
        <w:pStyle w:val="FootnoteText"/>
      </w:pPr>
      <w:r w:rsidRPr="00F138B6">
        <w:rPr>
          <w:vertAlign w:val="superscript"/>
        </w:rPr>
        <w:footnoteRef/>
      </w:r>
      <w:r w:rsidRPr="00F138B6">
        <w:t>Indiana</w:t>
      </w:r>
      <w:r>
        <w:t xml:space="preserve"> </w:t>
      </w:r>
      <w:r w:rsidRPr="00F138B6">
        <w:t>is</w:t>
      </w:r>
      <w:r>
        <w:t xml:space="preserve"> </w:t>
      </w:r>
      <w:r w:rsidRPr="00F138B6">
        <w:t>the</w:t>
      </w:r>
      <w:r>
        <w:t xml:space="preserve"> </w:t>
      </w:r>
      <w:r w:rsidRPr="00F138B6">
        <w:t>major</w:t>
      </w:r>
      <w:r>
        <w:t xml:space="preserve"> </w:t>
      </w:r>
      <w:r w:rsidRPr="00F138B6">
        <w:t>exception:</w:t>
      </w:r>
      <w:r>
        <w:t xml:space="preserve"> </w:t>
      </w:r>
      <w:r w:rsidRPr="00F138B6">
        <w:t>the</w:t>
      </w:r>
      <w:r>
        <w:t xml:space="preserve"> </w:t>
      </w:r>
      <w:r w:rsidRPr="00F138B6">
        <w:t>“exceptional</w:t>
      </w:r>
      <w:r>
        <w:t xml:space="preserve"> </w:t>
      </w:r>
      <w:r w:rsidRPr="00F138B6">
        <w:t>case”</w:t>
      </w:r>
      <w:r>
        <w:t xml:space="preserve"> </w:t>
      </w:r>
      <w:r w:rsidRPr="00F138B6">
        <w:t>limitation</w:t>
      </w:r>
      <w:r>
        <w:t xml:space="preserve"> </w:t>
      </w:r>
      <w:r w:rsidRPr="00F138B6">
        <w:t>is</w:t>
      </w:r>
      <w:r>
        <w:t xml:space="preserve"> </w:t>
      </w:r>
      <w:r w:rsidRPr="00F138B6">
        <w:t>built</w:t>
      </w:r>
      <w:r>
        <w:t xml:space="preserve"> </w:t>
      </w:r>
      <w:r w:rsidRPr="00F138B6">
        <w:t>into</w:t>
      </w:r>
      <w:r>
        <w:t xml:space="preserve"> </w:t>
      </w:r>
      <w:r w:rsidRPr="00F138B6">
        <w:t>its</w:t>
      </w:r>
      <w:r>
        <w:t xml:space="preserve"> </w:t>
      </w:r>
      <w:r w:rsidRPr="00F138B6">
        <w:t>dilution</w:t>
      </w:r>
      <w:r>
        <w:t xml:space="preserve"> </w:t>
      </w:r>
      <w:r w:rsidRPr="00F138B6">
        <w:t>section.</w:t>
      </w:r>
      <w:r>
        <w:t xml:space="preserve"> </w:t>
      </w:r>
      <w:r w:rsidRPr="00F138B6">
        <w:rPr>
          <w:smallCaps/>
        </w:rPr>
        <w:t>Ind.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§24-2-1-13.5(d)</w:t>
      </w:r>
      <w:r>
        <w:t xml:space="preserve"> </w:t>
      </w:r>
      <w:r w:rsidRPr="00F138B6">
        <w:t>(LexisNexis</w:t>
      </w:r>
      <w:r>
        <w:t xml:space="preserve"> </w:t>
      </w:r>
      <w:r w:rsidRPr="00F138B6">
        <w:t>2006).</w:t>
      </w:r>
      <w:r>
        <w:t xml:space="preserve"> </w:t>
      </w:r>
      <w:r w:rsidRPr="00F138B6">
        <w:t>Washington</w:t>
      </w:r>
      <w:r>
        <w:t xml:space="preserve"> </w:t>
      </w:r>
      <w:r w:rsidRPr="00F138B6">
        <w:t>state</w:t>
      </w:r>
      <w:r>
        <w:t xml:space="preserve"> </w:t>
      </w:r>
      <w:r w:rsidRPr="00F138B6">
        <w:t>had</w:t>
      </w:r>
      <w:r>
        <w:t xml:space="preserve"> </w:t>
      </w:r>
      <w:r w:rsidRPr="00F138B6">
        <w:t>been</w:t>
      </w:r>
      <w:r>
        <w:t xml:space="preserve"> </w:t>
      </w:r>
      <w:r w:rsidRPr="00F138B6">
        <w:t>an</w:t>
      </w:r>
      <w:r>
        <w:t xml:space="preserve"> </w:t>
      </w:r>
      <w:r w:rsidRPr="00F138B6">
        <w:t>exception,</w:t>
      </w:r>
      <w:r>
        <w:t xml:space="preserve"> </w:t>
      </w:r>
      <w:r w:rsidRPr="00F138B6">
        <w:t>with</w:t>
      </w:r>
      <w:r>
        <w:t xml:space="preserve"> </w:t>
      </w:r>
      <w:r w:rsidRPr="00F138B6">
        <w:t>a</w:t>
      </w:r>
      <w:r>
        <w:t xml:space="preserve"> </w:t>
      </w:r>
      <w:r w:rsidRPr="00F138B6">
        <w:t>statute</w:t>
      </w:r>
      <w:r>
        <w:t xml:space="preserve"> </w:t>
      </w:r>
      <w:r w:rsidRPr="00F138B6">
        <w:t>that</w:t>
      </w:r>
      <w:r>
        <w:t xml:space="preserve"> </w:t>
      </w:r>
      <w:r w:rsidRPr="00F138B6">
        <w:t>required</w:t>
      </w:r>
      <w:r>
        <w:t xml:space="preserve"> </w:t>
      </w:r>
      <w:r w:rsidRPr="00F138B6">
        <w:t>an</w:t>
      </w:r>
      <w:r>
        <w:t xml:space="preserve"> </w:t>
      </w:r>
      <w:r w:rsidRPr="00F138B6">
        <w:t>“exceptional</w:t>
      </w:r>
      <w:r>
        <w:t xml:space="preserve"> </w:t>
      </w:r>
      <w:r w:rsidRPr="00F138B6">
        <w:t>case.”</w:t>
      </w:r>
      <w:r>
        <w:t xml:space="preserve"> </w:t>
      </w:r>
      <w:r w:rsidRPr="00F138B6">
        <w:rPr>
          <w:smallCaps/>
        </w:rPr>
        <w:t>Wash.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Ann.</w:t>
      </w:r>
      <w:r>
        <w:rPr>
          <w:smallCaps/>
        </w:rPr>
        <w:t xml:space="preserve"> </w:t>
      </w:r>
      <w:r w:rsidRPr="00F138B6">
        <w:t>§19.77.50</w:t>
      </w:r>
      <w:r>
        <w:t xml:space="preserve"> </w:t>
      </w:r>
      <w:r w:rsidRPr="00F138B6">
        <w:t>(West</w:t>
      </w:r>
      <w:r>
        <w:t xml:space="preserve"> </w:t>
      </w:r>
      <w:r w:rsidRPr="00F138B6">
        <w:t>1999).</w:t>
      </w:r>
      <w:r>
        <w:t xml:space="preserve"> </w:t>
      </w:r>
      <w:r w:rsidRPr="00F138B6">
        <w:t>However,</w:t>
      </w:r>
      <w:r>
        <w:t xml:space="preserve"> </w:t>
      </w:r>
      <w:r w:rsidRPr="00F138B6">
        <w:t>in</w:t>
      </w:r>
      <w:r>
        <w:t xml:space="preserve"> </w:t>
      </w:r>
      <w:r w:rsidRPr="00F138B6">
        <w:t>2003,</w:t>
      </w:r>
      <w:r>
        <w:t xml:space="preserve"> </w:t>
      </w:r>
      <w:r w:rsidRPr="00F138B6">
        <w:t>Washington</w:t>
      </w:r>
      <w:r>
        <w:t xml:space="preserve"> </w:t>
      </w:r>
      <w:r w:rsidRPr="00F138B6">
        <w:t>amended</w:t>
      </w:r>
      <w:r>
        <w:t xml:space="preserve"> </w:t>
      </w:r>
      <w:r w:rsidRPr="00F138B6">
        <w:t>its</w:t>
      </w:r>
      <w:r>
        <w:t xml:space="preserve"> </w:t>
      </w:r>
      <w:r w:rsidRPr="00F138B6">
        <w:t>statute</w:t>
      </w:r>
      <w:r>
        <w:t xml:space="preserve"> </w:t>
      </w:r>
      <w:r w:rsidRPr="00F138B6">
        <w:t>to</w:t>
      </w:r>
      <w:r>
        <w:t xml:space="preserve"> </w:t>
      </w:r>
      <w:r w:rsidRPr="00F138B6">
        <w:t>conform</w:t>
      </w:r>
      <w:r>
        <w:t xml:space="preserve"> </w:t>
      </w:r>
      <w:r w:rsidRPr="00F138B6">
        <w:t>to</w:t>
      </w:r>
      <w:r>
        <w:t xml:space="preserve"> </w:t>
      </w:r>
      <w:r w:rsidRPr="00F138B6">
        <w:t>the</w:t>
      </w:r>
      <w:r>
        <w:t xml:space="preserve"> </w:t>
      </w:r>
      <w:r w:rsidRPr="00F138B6">
        <w:t>1996</w:t>
      </w:r>
      <w:r>
        <w:t xml:space="preserve"> </w:t>
      </w:r>
      <w:r w:rsidRPr="00F138B6">
        <w:t>Model</w:t>
      </w:r>
      <w:r>
        <w:t xml:space="preserve"> </w:t>
      </w:r>
      <w:r w:rsidRPr="00F138B6">
        <w:t>Bill;</w:t>
      </w:r>
      <w:r>
        <w:t xml:space="preserve"> </w:t>
      </w:r>
      <w:r w:rsidRPr="00F138B6">
        <w:t>this</w:t>
      </w:r>
      <w:r>
        <w:t xml:space="preserve"> </w:t>
      </w:r>
      <w:r w:rsidRPr="00F138B6">
        <w:t>section</w:t>
      </w:r>
      <w:r>
        <w:t xml:space="preserve"> </w:t>
      </w:r>
      <w:r w:rsidRPr="00F138B6">
        <w:t>of</w:t>
      </w:r>
      <w:r>
        <w:t xml:space="preserve"> </w:t>
      </w:r>
      <w:r w:rsidRPr="00F138B6">
        <w:t>its</w:t>
      </w:r>
      <w:r>
        <w:t xml:space="preserve"> </w:t>
      </w:r>
      <w:r w:rsidRPr="00F138B6">
        <w:t>statute</w:t>
      </w:r>
      <w:r>
        <w:t xml:space="preserve"> </w:t>
      </w:r>
      <w:r w:rsidRPr="00F138B6">
        <w:t>no</w:t>
      </w:r>
      <w:r>
        <w:t xml:space="preserve"> </w:t>
      </w:r>
      <w:r w:rsidRPr="00F138B6">
        <w:t>longer</w:t>
      </w:r>
      <w:r>
        <w:t xml:space="preserve"> </w:t>
      </w:r>
      <w:r w:rsidRPr="00F138B6">
        <w:t>requires</w:t>
      </w:r>
      <w:r>
        <w:t xml:space="preserve"> </w:t>
      </w:r>
      <w:r w:rsidRPr="00F138B6">
        <w:t>an</w:t>
      </w:r>
      <w:r>
        <w:t xml:space="preserve"> </w:t>
      </w:r>
      <w:r w:rsidRPr="00F138B6">
        <w:t>exceptional</w:t>
      </w:r>
      <w:r>
        <w:t xml:space="preserve"> </w:t>
      </w:r>
      <w:r w:rsidRPr="00F138B6">
        <w:t>case.</w:t>
      </w:r>
      <w:r>
        <w:t xml:space="preserve"> </w:t>
      </w:r>
      <w:r w:rsidRPr="00F138B6">
        <w:rPr>
          <w:smallCaps/>
        </w:rPr>
        <w:t>Wash.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rPr>
          <w:smallCaps/>
        </w:rPr>
        <w:t>Code</w:t>
      </w:r>
      <w:r>
        <w:rPr>
          <w:smallCaps/>
        </w:rPr>
        <w:t xml:space="preserve"> </w:t>
      </w:r>
      <w:r w:rsidRPr="00F138B6">
        <w:rPr>
          <w:smallCaps/>
        </w:rPr>
        <w:t>Ann</w:t>
      </w:r>
      <w:r w:rsidRPr="00F138B6">
        <w:t>.</w:t>
      </w:r>
      <w:r>
        <w:t xml:space="preserve"> </w:t>
      </w:r>
      <w:r w:rsidRPr="00F138B6">
        <w:t>§19.77.50</w:t>
      </w:r>
      <w:r>
        <w:t xml:space="preserve"> </w:t>
      </w:r>
      <w:r w:rsidRPr="00F138B6">
        <w:t>(West</w:t>
      </w:r>
      <w:r>
        <w:t xml:space="preserve"> </w:t>
      </w:r>
      <w:r w:rsidRPr="00F138B6">
        <w:t>Supp.</w:t>
      </w:r>
      <w:r>
        <w:t xml:space="preserve"> </w:t>
      </w:r>
      <w:r w:rsidRPr="00F138B6">
        <w:t>2012).</w:t>
      </w:r>
    </w:p>
  </w:footnote>
  <w:footnote w:id="74">
    <w:p w14:paraId="16C31427" w14:textId="4ADF953C" w:rsidR="00F138B6" w:rsidRPr="00F138B6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The</w:t>
      </w:r>
      <w:r>
        <w:t xml:space="preserve"> </w:t>
      </w:r>
      <w:r w:rsidRPr="00F138B6">
        <w:t>Alabama</w:t>
      </w:r>
      <w:r>
        <w:t xml:space="preserve"> </w:t>
      </w:r>
      <w:r w:rsidRPr="00F138B6">
        <w:t>statute,</w:t>
      </w:r>
      <w:r>
        <w:t xml:space="preserve"> </w:t>
      </w:r>
      <w:r w:rsidRPr="00F138B6">
        <w:t>otherwise</w:t>
      </w:r>
      <w:r>
        <w:t xml:space="preserve"> </w:t>
      </w:r>
      <w:r w:rsidRPr="00F138B6">
        <w:t>patterned</w:t>
      </w:r>
      <w:r>
        <w:t xml:space="preserve"> </w:t>
      </w:r>
      <w:r w:rsidRPr="00F138B6">
        <w:t>after</w:t>
      </w:r>
      <w:r>
        <w:t xml:space="preserve"> </w:t>
      </w:r>
      <w:r w:rsidRPr="00F138B6">
        <w:t>the</w:t>
      </w:r>
      <w:r>
        <w:t xml:space="preserve"> </w:t>
      </w:r>
      <w:r w:rsidRPr="00F138B6">
        <w:t>2007</w:t>
      </w:r>
      <w:r>
        <w:t xml:space="preserve"> </w:t>
      </w:r>
      <w:r w:rsidRPr="00F138B6">
        <w:t>Model</w:t>
      </w:r>
      <w:r>
        <w:t xml:space="preserve"> </w:t>
      </w:r>
      <w:r w:rsidRPr="00F138B6">
        <w:t>Bill,</w:t>
      </w:r>
      <w:r>
        <w:t xml:space="preserve"> </w:t>
      </w:r>
      <w:r w:rsidRPr="00F138B6">
        <w:t>contains</w:t>
      </w:r>
      <w:r>
        <w:t xml:space="preserve"> </w:t>
      </w:r>
      <w:r w:rsidRPr="00F138B6">
        <w:t>the</w:t>
      </w:r>
      <w:r>
        <w:t xml:space="preserve"> </w:t>
      </w:r>
      <w:r w:rsidRPr="00F138B6">
        <w:t>following</w:t>
      </w:r>
      <w:r>
        <w:t xml:space="preserve"> </w:t>
      </w:r>
      <w:r w:rsidRPr="00F138B6">
        <w:t>attorneys’</w:t>
      </w:r>
      <w:r>
        <w:t xml:space="preserve"> </w:t>
      </w:r>
      <w:r w:rsidRPr="00F138B6">
        <w:t>fees</w:t>
      </w:r>
      <w:r>
        <w:t xml:space="preserve"> </w:t>
      </w:r>
      <w:r w:rsidRPr="00F138B6">
        <w:t>provision:</w:t>
      </w:r>
    </w:p>
    <w:p w14:paraId="54E8CC59" w14:textId="37EB2630" w:rsidR="00F138B6" w:rsidRPr="00F138B6" w:rsidRDefault="00F138B6" w:rsidP="00F138B6">
      <w:pPr>
        <w:pStyle w:val="BQuotelong"/>
      </w:pPr>
      <w:r w:rsidRPr="00F138B6">
        <w:t>The</w:t>
      </w:r>
      <w:r>
        <w:t xml:space="preserve"> </w:t>
      </w:r>
      <w:r w:rsidRPr="00F138B6">
        <w:t>court,</w:t>
      </w:r>
      <w:r>
        <w:t xml:space="preserve"> </w:t>
      </w:r>
      <w:r w:rsidRPr="00F138B6">
        <w:t>in</w:t>
      </w:r>
      <w:r>
        <w:t xml:space="preserve"> </w:t>
      </w:r>
      <w:r w:rsidRPr="00F138B6">
        <w:t>its</w:t>
      </w:r>
      <w:r>
        <w:t xml:space="preserve"> </w:t>
      </w:r>
      <w:r w:rsidRPr="00F138B6">
        <w:t>discretion,</w:t>
      </w:r>
      <w:r>
        <w:t xml:space="preserve"> </w:t>
      </w:r>
      <w:r w:rsidRPr="00F138B6">
        <w:t>may</w:t>
      </w:r>
      <w:r>
        <w:t xml:space="preserve"> </w:t>
      </w:r>
      <w:r w:rsidRPr="00F138B6">
        <w:t>award</w:t>
      </w:r>
      <w:r>
        <w:t xml:space="preserve"> </w:t>
      </w:r>
      <w:r w:rsidRPr="00F138B6">
        <w:t>reasonable</w:t>
      </w:r>
      <w:r>
        <w:t xml:space="preserve"> </w:t>
      </w:r>
      <w:r w:rsidRPr="00F138B6">
        <w:t>attorney</w:t>
      </w:r>
      <w:r>
        <w:t xml:space="preserve"> </w:t>
      </w:r>
      <w:r w:rsidRPr="00F138B6">
        <w:t>fees</w:t>
      </w:r>
      <w:r>
        <w:t xml:space="preserve"> </w:t>
      </w:r>
      <w:r w:rsidRPr="00F138B6">
        <w:t>as</w:t>
      </w:r>
      <w:r>
        <w:t xml:space="preserve"> </w:t>
      </w:r>
      <w:r w:rsidRPr="00F138B6">
        <w:t>follows:</w:t>
      </w:r>
    </w:p>
    <w:p w14:paraId="01F4444F" w14:textId="49FCED05" w:rsidR="00F138B6" w:rsidRPr="00F138B6" w:rsidRDefault="00F138B6" w:rsidP="00F138B6">
      <w:pPr>
        <w:pStyle w:val="BQuotelong"/>
      </w:pPr>
      <w:r w:rsidRPr="00F138B6">
        <w:t>(1)</w:t>
      </w:r>
      <w:r>
        <w:t xml:space="preserve"> </w:t>
      </w:r>
      <w:r w:rsidRPr="00F138B6">
        <w:t>To</w:t>
      </w:r>
      <w:r>
        <w:t xml:space="preserve"> </w:t>
      </w:r>
      <w:r w:rsidRPr="00F138B6">
        <w:t>a</w:t>
      </w:r>
      <w:r>
        <w:t xml:space="preserve"> </w:t>
      </w:r>
      <w:r w:rsidRPr="00F138B6">
        <w:t>prevailing</w:t>
      </w:r>
      <w:r>
        <w:t xml:space="preserve"> </w:t>
      </w:r>
      <w:r w:rsidRPr="00F138B6">
        <w:t>owner</w:t>
      </w:r>
      <w:r>
        <w:t xml:space="preserve"> </w:t>
      </w:r>
      <w:r w:rsidRPr="00F138B6">
        <w:t>in</w:t>
      </w:r>
      <w:r>
        <w:t xml:space="preserve"> </w:t>
      </w:r>
      <w:r w:rsidRPr="00F138B6">
        <w:t>such</w:t>
      </w:r>
      <w:r>
        <w:t xml:space="preserve"> </w:t>
      </w:r>
      <w:r w:rsidRPr="00F138B6">
        <w:t>cases</w:t>
      </w:r>
      <w:r>
        <w:t xml:space="preserve"> </w:t>
      </w:r>
      <w:r w:rsidRPr="00F138B6">
        <w:t>when</w:t>
      </w:r>
      <w:r>
        <w:t xml:space="preserve"> </w:t>
      </w:r>
      <w:r w:rsidRPr="00F138B6">
        <w:t>the</w:t>
      </w:r>
      <w:r>
        <w:t xml:space="preserve"> </w:t>
      </w:r>
      <w:r w:rsidRPr="00F138B6">
        <w:t>court</w:t>
      </w:r>
      <w:r>
        <w:t xml:space="preserve"> </w:t>
      </w:r>
      <w:r w:rsidRPr="00F138B6">
        <w:t>finds</w:t>
      </w:r>
      <w:r>
        <w:t xml:space="preserve"> </w:t>
      </w:r>
      <w:r w:rsidRPr="00F138B6">
        <w:t>the</w:t>
      </w:r>
      <w:r>
        <w:t xml:space="preserve"> </w:t>
      </w:r>
      <w:r w:rsidRPr="00F138B6">
        <w:t>defendant</w:t>
      </w:r>
      <w:r>
        <w:t xml:space="preserve"> </w:t>
      </w:r>
      <w:r w:rsidRPr="00F138B6">
        <w:t>willfully</w:t>
      </w:r>
      <w:r>
        <w:t xml:space="preserve"> </w:t>
      </w:r>
      <w:r w:rsidRPr="00F138B6">
        <w:t>intended</w:t>
      </w:r>
      <w:r>
        <w:t xml:space="preserve"> </w:t>
      </w:r>
      <w:r w:rsidRPr="00F138B6">
        <w:t>infringement</w:t>
      </w:r>
      <w:r>
        <w:t xml:space="preserve"> </w:t>
      </w:r>
      <w:r w:rsidRPr="00F138B6">
        <w:t>or</w:t>
      </w:r>
      <w:r>
        <w:t xml:space="preserve"> </w:t>
      </w:r>
      <w:r w:rsidRPr="00F138B6">
        <w:t>dilution.</w:t>
      </w:r>
    </w:p>
    <w:p w14:paraId="12ED333D" w14:textId="3CB89332" w:rsidR="00F138B6" w:rsidRPr="00F138B6" w:rsidRDefault="00F138B6" w:rsidP="00F138B6">
      <w:pPr>
        <w:pStyle w:val="BQuotelong"/>
      </w:pPr>
      <w:r w:rsidRPr="00F138B6">
        <w:t>(2)</w:t>
      </w:r>
      <w:r>
        <w:t xml:space="preserve"> </w:t>
      </w:r>
      <w:r w:rsidRPr="00F138B6">
        <w:t>To</w:t>
      </w:r>
      <w:r>
        <w:t xml:space="preserve"> </w:t>
      </w:r>
      <w:r w:rsidRPr="00F138B6">
        <w:t>a</w:t>
      </w:r>
      <w:r>
        <w:t xml:space="preserve"> </w:t>
      </w:r>
      <w:r w:rsidRPr="00F138B6">
        <w:t>prevailing</w:t>
      </w:r>
      <w:r>
        <w:t xml:space="preserve"> </w:t>
      </w:r>
      <w:r w:rsidRPr="00F138B6">
        <w:t>defendant</w:t>
      </w:r>
      <w:r>
        <w:t xml:space="preserve"> </w:t>
      </w:r>
      <w:r w:rsidRPr="00F138B6">
        <w:t>in</w:t>
      </w:r>
      <w:r>
        <w:t xml:space="preserve"> </w:t>
      </w:r>
      <w:r w:rsidRPr="00F138B6">
        <w:t>such</w:t>
      </w:r>
      <w:r>
        <w:t xml:space="preserve"> </w:t>
      </w:r>
      <w:r w:rsidRPr="00F138B6">
        <w:t>cases</w:t>
      </w:r>
      <w:r>
        <w:t xml:space="preserve"> </w:t>
      </w:r>
      <w:r w:rsidRPr="00F138B6">
        <w:t>as</w:t>
      </w:r>
      <w:r>
        <w:t xml:space="preserve"> </w:t>
      </w:r>
      <w:r w:rsidRPr="00F138B6">
        <w:t>the</w:t>
      </w:r>
      <w:r>
        <w:t xml:space="preserve"> </w:t>
      </w:r>
      <w:r w:rsidRPr="00F138B6">
        <w:t>Alabama</w:t>
      </w:r>
      <w:r>
        <w:t xml:space="preserve"> </w:t>
      </w:r>
      <w:r w:rsidRPr="00F138B6">
        <w:t>Litigation</w:t>
      </w:r>
      <w:r>
        <w:t xml:space="preserve"> </w:t>
      </w:r>
      <w:r w:rsidRPr="00F138B6">
        <w:t>Accountability</w:t>
      </w:r>
      <w:r>
        <w:t xml:space="preserve"> </w:t>
      </w:r>
      <w:r w:rsidRPr="00F138B6">
        <w:t>Act</w:t>
      </w:r>
      <w:r>
        <w:t xml:space="preserve"> </w:t>
      </w:r>
      <w:r w:rsidRPr="00F138B6">
        <w:t>provides.</w:t>
      </w:r>
    </w:p>
    <w:p w14:paraId="30D368E8" w14:textId="2199F693" w:rsidR="00F138B6" w:rsidRPr="00903803" w:rsidRDefault="00F138B6" w:rsidP="00F138B6">
      <w:pPr>
        <w:pStyle w:val="FootnoteText"/>
      </w:pPr>
      <w:r w:rsidRPr="00F138B6">
        <w:rPr>
          <w:smallCaps/>
        </w:rPr>
        <w:t>Ala.</w:t>
      </w:r>
      <w:r>
        <w:rPr>
          <w:smallCaps/>
        </w:rPr>
        <w:t xml:space="preserve"> </w:t>
      </w:r>
      <w:r w:rsidRPr="00F138B6">
        <w:rPr>
          <w:smallCaps/>
        </w:rPr>
        <w:t>Stat</w:t>
      </w:r>
      <w:r w:rsidRPr="00F138B6">
        <w:t>.</w:t>
      </w:r>
      <w:r>
        <w:t xml:space="preserve"> </w:t>
      </w:r>
      <w:r w:rsidRPr="00F138B6">
        <w:t>§8-12-18(c)</w:t>
      </w:r>
      <w:r>
        <w:t xml:space="preserve"> </w:t>
      </w:r>
      <w:r w:rsidRPr="00F138B6">
        <w:t>(2010).</w:t>
      </w:r>
    </w:p>
  </w:footnote>
  <w:footnote w:id="75">
    <w:p w14:paraId="6CC7C7C0" w14:textId="2F8D8DFB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t>Oregon’s</w:t>
      </w:r>
      <w:r>
        <w:t xml:space="preserve"> </w:t>
      </w:r>
      <w:r w:rsidRPr="00F138B6">
        <w:t>statute,</w:t>
      </w:r>
      <w:r>
        <w:t xml:space="preserve"> </w:t>
      </w:r>
      <w:r w:rsidRPr="00F138B6">
        <w:t>enacted</w:t>
      </w:r>
      <w:r>
        <w:t xml:space="preserve"> </w:t>
      </w:r>
      <w:r w:rsidRPr="00F138B6">
        <w:t>in</w:t>
      </w:r>
      <w:r>
        <w:t xml:space="preserve"> </w:t>
      </w:r>
      <w:r w:rsidRPr="00F138B6">
        <w:t>2009,</w:t>
      </w:r>
      <w:r>
        <w:t xml:space="preserve"> </w:t>
      </w:r>
      <w:r w:rsidRPr="00F138B6">
        <w:t>contains</w:t>
      </w:r>
      <w:r>
        <w:t xml:space="preserve"> </w:t>
      </w:r>
      <w:r w:rsidRPr="00F138B6">
        <w:t>a</w:t>
      </w:r>
      <w:r>
        <w:t xml:space="preserve"> </w:t>
      </w:r>
      <w:r w:rsidRPr="00F138B6">
        <w:t>separate</w:t>
      </w:r>
      <w:r>
        <w:t xml:space="preserve"> </w:t>
      </w:r>
      <w:r w:rsidRPr="00F138B6">
        <w:t>provision</w:t>
      </w:r>
      <w:r>
        <w:t xml:space="preserve"> </w:t>
      </w:r>
      <w:r w:rsidRPr="00F138B6">
        <w:t>relating</w:t>
      </w:r>
      <w:r>
        <w:t xml:space="preserve"> </w:t>
      </w:r>
      <w:r w:rsidRPr="00F138B6">
        <w:t>to</w:t>
      </w:r>
      <w:r>
        <w:t xml:space="preserve"> </w:t>
      </w:r>
      <w:r w:rsidRPr="00F138B6">
        <w:t>an</w:t>
      </w:r>
      <w:r>
        <w:t xml:space="preserve"> </w:t>
      </w:r>
      <w:r w:rsidRPr="00F138B6">
        <w:t>award</w:t>
      </w:r>
      <w:r>
        <w:t xml:space="preserve"> </w:t>
      </w:r>
      <w:r w:rsidRPr="00F138B6">
        <w:t>of</w:t>
      </w:r>
      <w:r>
        <w:t xml:space="preserve"> </w:t>
      </w:r>
      <w:r w:rsidRPr="00F138B6">
        <w:t>attorneys’</w:t>
      </w:r>
      <w:r>
        <w:t xml:space="preserve"> </w:t>
      </w:r>
      <w:r w:rsidRPr="00F138B6">
        <w:t>fees</w:t>
      </w:r>
      <w:r>
        <w:t xml:space="preserve"> </w:t>
      </w:r>
      <w:r w:rsidRPr="00F138B6">
        <w:t>to</w:t>
      </w:r>
      <w:r>
        <w:t xml:space="preserve"> </w:t>
      </w:r>
      <w:r w:rsidRPr="00F138B6">
        <w:t>the</w:t>
      </w:r>
      <w:r>
        <w:t xml:space="preserve"> </w:t>
      </w:r>
      <w:r w:rsidRPr="00F138B6">
        <w:t>defendant:</w:t>
      </w:r>
      <w:r>
        <w:t xml:space="preserve"> </w:t>
      </w:r>
      <w:r w:rsidRPr="00F138B6">
        <w:t>“If</w:t>
      </w:r>
      <w:r>
        <w:t xml:space="preserve"> </w:t>
      </w:r>
      <w:r w:rsidRPr="00F138B6">
        <w:t>the</w:t>
      </w:r>
      <w:r>
        <w:t xml:space="preserve"> </w:t>
      </w:r>
      <w:r w:rsidRPr="00F138B6">
        <w:t>court</w:t>
      </w:r>
      <w:r>
        <w:t xml:space="preserve"> </w:t>
      </w:r>
      <w:r w:rsidRPr="00F138B6">
        <w:t>finds</w:t>
      </w:r>
      <w:r>
        <w:t xml:space="preserve"> </w:t>
      </w:r>
      <w:r w:rsidRPr="00F138B6">
        <w:t>that</w:t>
      </w:r>
      <w:r>
        <w:t xml:space="preserve"> </w:t>
      </w:r>
      <w:r w:rsidRPr="00F138B6">
        <w:t>the</w:t>
      </w:r>
      <w:r>
        <w:t xml:space="preserve"> </w:t>
      </w:r>
      <w:r w:rsidRPr="00F138B6">
        <w:t>plaintiff</w:t>
      </w:r>
      <w:r>
        <w:t xml:space="preserve"> </w:t>
      </w:r>
      <w:r w:rsidRPr="00F138B6">
        <w:t>acted</w:t>
      </w:r>
      <w:r>
        <w:t xml:space="preserve"> </w:t>
      </w:r>
      <w:r w:rsidRPr="00F138B6">
        <w:t>in</w:t>
      </w:r>
      <w:r>
        <w:t xml:space="preserve"> </w:t>
      </w:r>
      <w:r w:rsidRPr="00F138B6">
        <w:t>bad</w:t>
      </w:r>
      <w:r>
        <w:t xml:space="preserve"> </w:t>
      </w:r>
      <w:r w:rsidRPr="00F138B6">
        <w:t>faith,</w:t>
      </w:r>
      <w:r>
        <w:t xml:space="preserve"> </w:t>
      </w:r>
      <w:r w:rsidRPr="00F138B6">
        <w:t>vexatiously,</w:t>
      </w:r>
      <w:r>
        <w:t xml:space="preserve"> </w:t>
      </w:r>
      <w:r w:rsidRPr="00F138B6">
        <w:t>or</w:t>
      </w:r>
      <w:r>
        <w:t xml:space="preserve"> </w:t>
      </w:r>
      <w:r w:rsidRPr="00F138B6">
        <w:t>for</w:t>
      </w:r>
      <w:r>
        <w:t xml:space="preserve"> </w:t>
      </w:r>
      <w:r w:rsidRPr="00F138B6">
        <w:t>oppressive</w:t>
      </w:r>
      <w:r>
        <w:t xml:space="preserve"> </w:t>
      </w:r>
      <w:r w:rsidRPr="00F138B6">
        <w:t>reasons,</w:t>
      </w:r>
      <w:r>
        <w:t xml:space="preserve"> </w:t>
      </w:r>
      <w:r w:rsidRPr="00F138B6">
        <w:t>the</w:t>
      </w:r>
      <w:r>
        <w:t xml:space="preserve"> </w:t>
      </w:r>
      <w:r w:rsidRPr="00F138B6">
        <w:t>court</w:t>
      </w:r>
      <w:r>
        <w:t xml:space="preserve"> </w:t>
      </w:r>
      <w:r w:rsidRPr="00F138B6">
        <w:t>in</w:t>
      </w:r>
      <w:r>
        <w:t xml:space="preserve"> </w:t>
      </w:r>
      <w:r w:rsidRPr="00F138B6">
        <w:t>the</w:t>
      </w:r>
      <w:r>
        <w:t xml:space="preserve"> </w:t>
      </w:r>
      <w:r w:rsidRPr="00F138B6">
        <w:t>court’s</w:t>
      </w:r>
      <w:r>
        <w:t xml:space="preserve"> </w:t>
      </w:r>
      <w:r w:rsidRPr="00F138B6">
        <w:t>discretion</w:t>
      </w:r>
      <w:r>
        <w:t xml:space="preserve"> </w:t>
      </w:r>
      <w:r w:rsidRPr="00F138B6">
        <w:t>may</w:t>
      </w:r>
      <w:r>
        <w:t xml:space="preserve"> </w:t>
      </w:r>
      <w:r w:rsidRPr="00F138B6">
        <w:t>award</w:t>
      </w:r>
      <w:r>
        <w:t xml:space="preserve"> </w:t>
      </w:r>
      <w:r w:rsidRPr="00F138B6">
        <w:t>reasonable</w:t>
      </w:r>
      <w:r>
        <w:t xml:space="preserve"> </w:t>
      </w:r>
      <w:r w:rsidRPr="00F138B6">
        <w:t>attorney</w:t>
      </w:r>
      <w:r>
        <w:t xml:space="preserve"> </w:t>
      </w:r>
      <w:r w:rsidRPr="00F138B6">
        <w:t>fees</w:t>
      </w:r>
      <w:r>
        <w:t xml:space="preserve"> </w:t>
      </w:r>
      <w:r w:rsidRPr="00F138B6">
        <w:t>to</w:t>
      </w:r>
      <w:r>
        <w:t xml:space="preserve"> </w:t>
      </w:r>
      <w:r w:rsidRPr="00F138B6">
        <w:t>the</w:t>
      </w:r>
      <w:r>
        <w:t xml:space="preserve"> </w:t>
      </w:r>
      <w:r w:rsidRPr="00F138B6">
        <w:t>defendant.”</w:t>
      </w:r>
      <w:r>
        <w:rPr>
          <w:b/>
        </w:rPr>
        <w:t xml:space="preserve"> </w:t>
      </w:r>
      <w:r w:rsidRPr="00F138B6">
        <w:rPr>
          <w:smallCaps/>
        </w:rPr>
        <w:t>Or.</w:t>
      </w:r>
      <w:r>
        <w:rPr>
          <w:smallCaps/>
        </w:rPr>
        <w:t xml:space="preserve"> </w:t>
      </w:r>
      <w:r w:rsidRPr="00F138B6">
        <w:rPr>
          <w:smallCaps/>
        </w:rPr>
        <w:t>Rev.</w:t>
      </w:r>
      <w:r>
        <w:rPr>
          <w:smallCaps/>
        </w:rPr>
        <w:t xml:space="preserve"> </w:t>
      </w:r>
      <w:r w:rsidRPr="00F138B6">
        <w:rPr>
          <w:smallCaps/>
        </w:rPr>
        <w:t>Stat</w:t>
      </w:r>
      <w:r w:rsidRPr="00F138B6">
        <w:t>.</w:t>
      </w:r>
      <w:r>
        <w:t xml:space="preserve"> </w:t>
      </w:r>
      <w:r w:rsidRPr="00F138B6">
        <w:t>§647.105(2)</w:t>
      </w:r>
      <w:r>
        <w:t xml:space="preserve"> </w:t>
      </w:r>
      <w:r w:rsidRPr="00F138B6">
        <w:t>(2011).</w:t>
      </w:r>
      <w:r>
        <w:t xml:space="preserve"> </w:t>
      </w:r>
      <w:r w:rsidRPr="00F138B6">
        <w:t>This</w:t>
      </w:r>
      <w:r>
        <w:t xml:space="preserve"> </w:t>
      </w:r>
      <w:r w:rsidRPr="00F138B6">
        <w:t>is,</w:t>
      </w:r>
      <w:r>
        <w:t xml:space="preserve"> </w:t>
      </w:r>
      <w:r w:rsidRPr="00F138B6">
        <w:t>in</w:t>
      </w:r>
      <w:r>
        <w:t xml:space="preserve"> </w:t>
      </w:r>
      <w:r w:rsidRPr="00F138B6">
        <w:t>essence,</w:t>
      </w:r>
      <w:r>
        <w:t xml:space="preserve"> </w:t>
      </w:r>
      <w:r w:rsidRPr="00F138B6">
        <w:t>an</w:t>
      </w:r>
      <w:r>
        <w:t xml:space="preserve"> </w:t>
      </w:r>
      <w:r w:rsidRPr="00F138B6">
        <w:t>exceptional</w:t>
      </w:r>
      <w:r>
        <w:t xml:space="preserve"> </w:t>
      </w:r>
      <w:r w:rsidRPr="00F138B6">
        <w:t>case</w:t>
      </w:r>
      <w:r>
        <w:t xml:space="preserve"> </w:t>
      </w:r>
      <w:r w:rsidRPr="00F138B6">
        <w:t>requirement.</w:t>
      </w:r>
      <w:r>
        <w:t xml:space="preserve"> </w:t>
      </w:r>
      <w:r w:rsidRPr="00F138B6">
        <w:t>The</w:t>
      </w:r>
      <w:r>
        <w:t xml:space="preserve"> </w:t>
      </w:r>
      <w:r w:rsidRPr="00F138B6">
        <w:t>Alabama</w:t>
      </w:r>
      <w:r>
        <w:t xml:space="preserve"> </w:t>
      </w:r>
      <w:r w:rsidRPr="00F138B6">
        <w:t>statute</w:t>
      </w:r>
      <w:r>
        <w:t xml:space="preserve"> </w:t>
      </w:r>
      <w:r w:rsidRPr="00F138B6">
        <w:t>also</w:t>
      </w:r>
      <w:r>
        <w:t xml:space="preserve"> </w:t>
      </w:r>
      <w:r w:rsidRPr="00F138B6">
        <w:t>expressly</w:t>
      </w:r>
      <w:r>
        <w:t xml:space="preserve"> </w:t>
      </w:r>
      <w:r w:rsidRPr="00F138B6">
        <w:t>allows</w:t>
      </w:r>
      <w:r>
        <w:t xml:space="preserve"> </w:t>
      </w:r>
      <w:r w:rsidRPr="00F138B6">
        <w:t>attorneys’</w:t>
      </w:r>
      <w:r>
        <w:t xml:space="preserve"> </w:t>
      </w:r>
      <w:r w:rsidRPr="00F138B6">
        <w:t>fees</w:t>
      </w:r>
      <w:r>
        <w:t xml:space="preserve"> </w:t>
      </w:r>
      <w:r w:rsidRPr="00F138B6">
        <w:t>for</w:t>
      </w:r>
      <w:r>
        <w:t xml:space="preserve"> </w:t>
      </w:r>
      <w:r w:rsidRPr="00F138B6">
        <w:t>defendants</w:t>
      </w:r>
      <w:r>
        <w:t xml:space="preserve"> </w:t>
      </w:r>
      <w:r w:rsidRPr="00F138B6">
        <w:t>in</w:t>
      </w:r>
      <w:r>
        <w:t xml:space="preserve"> </w:t>
      </w:r>
      <w:r w:rsidRPr="00F138B6">
        <w:t>certain</w:t>
      </w:r>
      <w:r>
        <w:t xml:space="preserve"> </w:t>
      </w:r>
      <w:r w:rsidRPr="00F138B6">
        <w:t>cases.</w:t>
      </w:r>
      <w:r>
        <w:t xml:space="preserve"> </w:t>
      </w:r>
      <w:r w:rsidRPr="00F138B6">
        <w:rPr>
          <w:smallCaps/>
        </w:rPr>
        <w:t>Ala.</w:t>
      </w:r>
      <w:r>
        <w:rPr>
          <w:smallCaps/>
        </w:rPr>
        <w:t xml:space="preserve"> </w:t>
      </w:r>
      <w:r w:rsidRPr="00F138B6">
        <w:rPr>
          <w:smallCaps/>
        </w:rPr>
        <w:t>Stat</w:t>
      </w:r>
      <w:r w:rsidRPr="00F138B6">
        <w:t>.</w:t>
      </w:r>
      <w:r>
        <w:t xml:space="preserve"> </w:t>
      </w:r>
      <w:r w:rsidRPr="00F138B6">
        <w:t>§8-12-18(c)(2)</w:t>
      </w:r>
      <w:r>
        <w:t xml:space="preserve"> </w:t>
      </w:r>
      <w:r w:rsidRPr="00F138B6">
        <w:t>(2010)</w:t>
      </w:r>
      <w:r>
        <w:t xml:space="preserve"> </w:t>
      </w:r>
      <w:r w:rsidRPr="00F138B6">
        <w:t>(quoted</w:t>
      </w:r>
      <w:r>
        <w:t xml:space="preserve"> </w:t>
      </w:r>
      <w:r w:rsidRPr="00F138B6">
        <w:t>in</w:t>
      </w:r>
      <w:r>
        <w:t xml:space="preserve"> </w:t>
      </w:r>
      <w:r w:rsidRPr="00F138B6">
        <w:t>this</w:t>
      </w:r>
      <w:r>
        <w:t xml:space="preserve"> </w:t>
      </w:r>
      <w:r w:rsidRPr="00F138B6">
        <w:t>section,</w:t>
      </w:r>
      <w:r>
        <w:t xml:space="preserve"> </w:t>
      </w:r>
      <w:r w:rsidRPr="00F138B6">
        <w:t>above).</w:t>
      </w:r>
    </w:p>
  </w:footnote>
  <w:footnote w:id="76">
    <w:p w14:paraId="217C668A" w14:textId="09BE209B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E</w:t>
      </w:r>
      <w:r w:rsidRPr="00F138B6">
        <w:t>.</w:t>
      </w:r>
      <w:r w:rsidRPr="00F138B6">
        <w:rPr>
          <w:i/>
        </w:rPr>
        <w:t>g</w:t>
      </w:r>
      <w:r w:rsidRPr="00F138B6">
        <w:t>.,</w:t>
      </w:r>
      <w:r>
        <w:t xml:space="preserve"> </w:t>
      </w:r>
      <w:r w:rsidRPr="00F138B6">
        <w:t>Hester</w:t>
      </w:r>
      <w:r>
        <w:t xml:space="preserve"> </w:t>
      </w:r>
      <w:r w:rsidRPr="00F138B6">
        <w:t>Indus.,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Tyson</w:t>
      </w:r>
      <w:r>
        <w:t xml:space="preserve"> </w:t>
      </w:r>
      <w:r w:rsidRPr="00F138B6">
        <w:t>Foods,</w:t>
      </w:r>
      <w:r>
        <w:t xml:space="preserve"> </w:t>
      </w:r>
      <w:r w:rsidRPr="00F138B6">
        <w:t>Inc.,</w:t>
      </w:r>
      <w:r>
        <w:t xml:space="preserve"> </w:t>
      </w:r>
      <w:r w:rsidRPr="00F138B6">
        <w:t>1995</w:t>
      </w:r>
      <w:r>
        <w:t xml:space="preserve"> </w:t>
      </w:r>
      <w:r w:rsidRPr="00F138B6">
        <w:t>WL</w:t>
      </w:r>
      <w:r>
        <w:t xml:space="preserve"> </w:t>
      </w:r>
      <w:r w:rsidRPr="00F138B6">
        <w:t>113939,</w:t>
      </w:r>
      <w:r>
        <w:t xml:space="preserve"> </w:t>
      </w:r>
      <w:r w:rsidRPr="00F138B6">
        <w:t>at</w:t>
      </w:r>
      <w:r>
        <w:t xml:space="preserve"> </w:t>
      </w:r>
      <w:r w:rsidRPr="00F138B6">
        <w:t>*7</w:t>
      </w:r>
      <w:r>
        <w:t xml:space="preserve"> </w:t>
      </w:r>
      <w:r w:rsidRPr="00F138B6">
        <w:t>(S.D.N.Y.</w:t>
      </w:r>
      <w:r>
        <w:t xml:space="preserve"> </w:t>
      </w:r>
      <w:r w:rsidRPr="00F138B6">
        <w:t>1995)</w:t>
      </w:r>
      <w:r>
        <w:t xml:space="preserve"> </w:t>
      </w:r>
      <w:r w:rsidRPr="00F138B6">
        <w:t>(attorneys’</w:t>
      </w:r>
      <w:r>
        <w:t xml:space="preserve"> </w:t>
      </w:r>
      <w:r w:rsidRPr="00F138B6">
        <w:t>fees</w:t>
      </w:r>
      <w:r>
        <w:t xml:space="preserve"> </w:t>
      </w:r>
      <w:r w:rsidRPr="00F138B6">
        <w:t>not</w:t>
      </w:r>
      <w:r>
        <w:t xml:space="preserve"> </w:t>
      </w:r>
      <w:r w:rsidRPr="00F138B6">
        <w:t>available</w:t>
      </w:r>
      <w:r>
        <w:t xml:space="preserve"> </w:t>
      </w:r>
      <w:r w:rsidRPr="00F138B6">
        <w:t>under</w:t>
      </w:r>
      <w:r>
        <w:t xml:space="preserve"> </w:t>
      </w:r>
      <w:r w:rsidRPr="00F138B6">
        <w:t>New</w:t>
      </w:r>
      <w:r>
        <w:t xml:space="preserve"> </w:t>
      </w:r>
      <w:r w:rsidRPr="00F138B6">
        <w:t>York</w:t>
      </w:r>
      <w:r>
        <w:t xml:space="preserve"> </w:t>
      </w:r>
      <w:r w:rsidRPr="00F138B6">
        <w:t>law).</w:t>
      </w:r>
    </w:p>
  </w:footnote>
  <w:footnote w:id="77">
    <w:p w14:paraId="3EDF4371" w14:textId="190D7D3F" w:rsidR="00F138B6" w:rsidRPr="00903803" w:rsidRDefault="00F138B6" w:rsidP="00F138B6">
      <w:pPr>
        <w:pStyle w:val="FootnoteText"/>
      </w:pPr>
      <w:r w:rsidRPr="00F138B6">
        <w:rPr>
          <w:vertAlign w:val="superscript"/>
        </w:rPr>
        <w:footnoteRef/>
      </w:r>
      <w:r w:rsidRPr="00F138B6">
        <w:rPr>
          <w:i/>
        </w:rPr>
        <w:t>E</w:t>
      </w:r>
      <w:r w:rsidRPr="00F138B6">
        <w:t>.</w:t>
      </w:r>
      <w:r w:rsidRPr="00F138B6">
        <w:rPr>
          <w:i/>
        </w:rPr>
        <w:t>g</w:t>
      </w:r>
      <w:r w:rsidRPr="00F138B6">
        <w:t>.,</w:t>
      </w:r>
      <w:r>
        <w:t xml:space="preserve"> </w:t>
      </w:r>
      <w:r w:rsidRPr="00F138B6">
        <w:t>The</w:t>
      </w:r>
      <w:r>
        <w:t xml:space="preserve"> </w:t>
      </w:r>
      <w:r w:rsidRPr="00F138B6">
        <w:t>Humane</w:t>
      </w:r>
      <w:r>
        <w:t xml:space="preserve"> </w:t>
      </w:r>
      <w:r w:rsidRPr="00F138B6">
        <w:t>Soc’y</w:t>
      </w:r>
      <w:r>
        <w:t xml:space="preserve"> </w:t>
      </w:r>
      <w:r w:rsidRPr="00F138B6">
        <w:t>of</w:t>
      </w:r>
      <w:r>
        <w:t xml:space="preserve"> </w:t>
      </w:r>
      <w:r w:rsidRPr="00F138B6">
        <w:t>Broward</w:t>
      </w:r>
      <w:r>
        <w:t xml:space="preserve"> </w:t>
      </w:r>
      <w:r w:rsidRPr="00F138B6">
        <w:t>Cnty.,</w:t>
      </w:r>
      <w:r>
        <w:t xml:space="preserve"> </w:t>
      </w:r>
      <w:r w:rsidRPr="00F138B6">
        <w:t>Inc.</w:t>
      </w:r>
      <w:r>
        <w:t xml:space="preserve"> </w:t>
      </w:r>
      <w:r w:rsidRPr="00F138B6">
        <w:t>v.</w:t>
      </w:r>
      <w:r>
        <w:t xml:space="preserve"> </w:t>
      </w:r>
      <w:r w:rsidRPr="00F138B6">
        <w:t>Florida</w:t>
      </w:r>
      <w:r>
        <w:t xml:space="preserve"> </w:t>
      </w:r>
      <w:r w:rsidRPr="00F138B6">
        <w:t>Humane</w:t>
      </w:r>
      <w:r>
        <w:t xml:space="preserve"> </w:t>
      </w:r>
      <w:r w:rsidRPr="00F138B6">
        <w:t>Soc’y,</w:t>
      </w:r>
      <w:r>
        <w:t xml:space="preserve"> </w:t>
      </w:r>
      <w:r w:rsidRPr="00F138B6">
        <w:t>951</w:t>
      </w:r>
      <w:r>
        <w:t xml:space="preserve"> </w:t>
      </w:r>
      <w:r w:rsidRPr="00F138B6">
        <w:t>So.2d</w:t>
      </w:r>
      <w:r>
        <w:t xml:space="preserve"> </w:t>
      </w:r>
      <w:r w:rsidRPr="00F138B6">
        <w:t>966</w:t>
      </w:r>
      <w:r>
        <w:t xml:space="preserve"> </w:t>
      </w:r>
      <w:r w:rsidRPr="00F138B6">
        <w:t>(Fla.</w:t>
      </w:r>
      <w:r>
        <w:t xml:space="preserve"> </w:t>
      </w:r>
      <w:r w:rsidRPr="00F138B6">
        <w:t>Dist.</w:t>
      </w:r>
      <w:r>
        <w:t xml:space="preserve"> </w:t>
      </w:r>
      <w:r w:rsidRPr="00F138B6">
        <w:t>Ct.</w:t>
      </w:r>
      <w:r>
        <w:t xml:space="preserve"> </w:t>
      </w:r>
      <w:r w:rsidRPr="00F138B6">
        <w:t>App.</w:t>
      </w:r>
      <w:r>
        <w:t xml:space="preserve"> </w:t>
      </w:r>
      <w:r w:rsidRPr="00F138B6">
        <w:t>2007)</w:t>
      </w:r>
      <w:r>
        <w:t xml:space="preserve"> </w:t>
      </w:r>
      <w:r w:rsidRPr="00F138B6">
        <w:t>(granting</w:t>
      </w:r>
      <w:r>
        <w:t xml:space="preserve"> </w:t>
      </w:r>
      <w:r w:rsidRPr="00F138B6">
        <w:t>attorneys’</w:t>
      </w:r>
      <w:r>
        <w:t xml:space="preserve"> </w:t>
      </w:r>
      <w:r w:rsidRPr="00F138B6">
        <w:t>fees</w:t>
      </w:r>
      <w:r>
        <w:t xml:space="preserve"> </w:t>
      </w:r>
      <w:r w:rsidRPr="00F138B6">
        <w:t>to</w:t>
      </w:r>
      <w:r>
        <w:t xml:space="preserve"> </w:t>
      </w:r>
      <w:r w:rsidRPr="00F138B6">
        <w:t>defendant</w:t>
      </w:r>
      <w:r>
        <w:t xml:space="preserve"> </w:t>
      </w:r>
      <w:r w:rsidRPr="00F138B6">
        <w:t>under</w:t>
      </w:r>
      <w:r>
        <w:t xml:space="preserve"> </w:t>
      </w:r>
      <w:r w:rsidRPr="00F138B6">
        <w:t>the</w:t>
      </w:r>
      <w:r>
        <w:t xml:space="preserve"> </w:t>
      </w:r>
      <w:r w:rsidRPr="00F138B6">
        <w:t>Florida</w:t>
      </w:r>
      <w:r>
        <w:t xml:space="preserve"> </w:t>
      </w:r>
      <w:r w:rsidRPr="00F138B6">
        <w:t>Deceptive</w:t>
      </w:r>
      <w:r>
        <w:t xml:space="preserve"> </w:t>
      </w:r>
      <w:r w:rsidRPr="00F138B6">
        <w:t>and</w:t>
      </w:r>
      <w:r>
        <w:t xml:space="preserve"> </w:t>
      </w:r>
      <w:r w:rsidRPr="00F138B6">
        <w:t>Unfair</w:t>
      </w:r>
      <w:r>
        <w:t xml:space="preserve"> </w:t>
      </w:r>
      <w:r w:rsidRPr="00F138B6">
        <w:t>Trade</w:t>
      </w:r>
      <w:r>
        <w:t xml:space="preserve"> </w:t>
      </w:r>
      <w:r w:rsidRPr="00F138B6">
        <w:t>Practices</w:t>
      </w:r>
      <w:r>
        <w:t xml:space="preserve"> </w:t>
      </w:r>
      <w:r w:rsidRPr="00F138B6">
        <w:t>Act).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EAFE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1C09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52246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1AC8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3E42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E46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EAE4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CCCD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5E7297F"/>
    <w:multiLevelType w:val="hybridMultilevel"/>
    <w:tmpl w:val="9A6A6AC0"/>
    <w:lvl w:ilvl="0" w:tplc="C436D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7F552C"/>
    <w:multiLevelType w:val="hybridMultilevel"/>
    <w:tmpl w:val="C1D23F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E0332E7"/>
    <w:multiLevelType w:val="multilevel"/>
    <w:tmpl w:val="ECB205D2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B4318"/>
    <w:multiLevelType w:val="hybridMultilevel"/>
    <w:tmpl w:val="4092B1FE"/>
    <w:lvl w:ilvl="0" w:tplc="F27071EC">
      <w:start w:val="1"/>
      <w:numFmt w:val="bullet"/>
      <w:lvlRestart w:val="0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E0AB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266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610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C36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8F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8E2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EA1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A6B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A754E"/>
    <w:multiLevelType w:val="hybridMultilevel"/>
    <w:tmpl w:val="AE5ECF46"/>
    <w:name w:val="ParaNum A2"/>
    <w:lvl w:ilvl="0" w:tplc="634AA17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83B22"/>
    <w:multiLevelType w:val="hybridMultilevel"/>
    <w:tmpl w:val="F7BC72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63A5DD6"/>
    <w:multiLevelType w:val="hybridMultilevel"/>
    <w:tmpl w:val="3C609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8E5417"/>
    <w:multiLevelType w:val="hybridMultilevel"/>
    <w:tmpl w:val="6B18D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B6E7E78"/>
    <w:multiLevelType w:val="hybridMultilevel"/>
    <w:tmpl w:val="4484D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014E60"/>
    <w:multiLevelType w:val="hybridMultilevel"/>
    <w:tmpl w:val="CD606C50"/>
    <w:lvl w:ilvl="0" w:tplc="37C291C4">
      <w:start w:val="1"/>
      <w:numFmt w:val="bullet"/>
      <w:pStyle w:val="EndTex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9F42C0E"/>
    <w:multiLevelType w:val="hybridMultilevel"/>
    <w:tmpl w:val="56E025FA"/>
    <w:lvl w:ilvl="0" w:tplc="850A762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A2DBA"/>
    <w:multiLevelType w:val="hybridMultilevel"/>
    <w:tmpl w:val="0480ED8C"/>
    <w:lvl w:ilvl="0" w:tplc="EEF0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37A3C"/>
    <w:multiLevelType w:val="hybridMultilevel"/>
    <w:tmpl w:val="FD80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05D0E85"/>
    <w:multiLevelType w:val="multilevel"/>
    <w:tmpl w:val="A35EDB14"/>
    <w:name w:val="ParaNum A"/>
    <w:lvl w:ilvl="0">
      <w:start w:val="1"/>
      <w:numFmt w:val="upperRoman"/>
      <w:lvlRestart w:val="0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aps w:val="0"/>
        <w:smallCaps w:val="0"/>
        <w:color w:val="auto"/>
        <w:sz w:val="24"/>
        <w:u w:val="none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4"/>
        <w:u w:val="none"/>
      </w:rPr>
    </w:lvl>
    <w:lvl w:ilvl="3">
      <w:start w:val="1"/>
      <w:numFmt w:val="decimal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mallCaps w:val="0"/>
        <w:color w:val="auto"/>
      </w:rPr>
    </w:lvl>
    <w:lvl w:ilvl="4">
      <w:start w:val="1"/>
      <w:numFmt w:val="lowerLetter"/>
      <w:lvlText w:val="%5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aps w:val="0"/>
        <w:smallCaps w:val="0"/>
        <w:color w:val="auto"/>
      </w:rPr>
    </w:lvl>
    <w:lvl w:ilvl="5">
      <w:start w:val="1"/>
      <w:numFmt w:val="lowerRoman"/>
      <w:lvlText w:val="%6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caps w:val="0"/>
        <w:smallCaps w:val="0"/>
        <w:color w:val="auto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mallCaps w:val="0"/>
        <w:color w:val="auto"/>
      </w:rPr>
    </w:lvl>
    <w:lvl w:ilvl="7">
      <w:start w:val="1"/>
      <w:numFmt w:val="lowerLetter"/>
      <w:lvlText w:val="%8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aps w:val="0"/>
        <w:smallCaps w:val="0"/>
        <w:color w:val="auto"/>
      </w:rPr>
    </w:lvl>
    <w:lvl w:ilvl="8">
      <w:start w:val="1"/>
      <w:numFmt w:val="lowerRoman"/>
      <w:lvlText w:val="%9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caps w:val="0"/>
        <w:smallCaps w:val="0"/>
        <w:color w:val="auto"/>
      </w:rPr>
    </w:lvl>
  </w:abstractNum>
  <w:abstractNum w:abstractNumId="22" w15:restartNumberingAfterBreak="0">
    <w:nsid w:val="30A318D4"/>
    <w:multiLevelType w:val="hybridMultilevel"/>
    <w:tmpl w:val="AF62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0C36DA5"/>
    <w:multiLevelType w:val="hybridMultilevel"/>
    <w:tmpl w:val="16809EF6"/>
    <w:lvl w:ilvl="0" w:tplc="34E8F2EE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ED3E96"/>
    <w:multiLevelType w:val="hybridMultilevel"/>
    <w:tmpl w:val="6E6A3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45087F"/>
    <w:multiLevelType w:val="hybridMultilevel"/>
    <w:tmpl w:val="6D9EB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AF78EB"/>
    <w:multiLevelType w:val="hybridMultilevel"/>
    <w:tmpl w:val="3028FADC"/>
    <w:lvl w:ilvl="0" w:tplc="60D6858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7" w15:restartNumberingAfterBreak="0">
    <w:nsid w:val="4B9972DF"/>
    <w:multiLevelType w:val="hybridMultilevel"/>
    <w:tmpl w:val="30D6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23F04"/>
    <w:multiLevelType w:val="hybridMultilevel"/>
    <w:tmpl w:val="BB0E8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EC37C3"/>
    <w:multiLevelType w:val="hybridMultilevel"/>
    <w:tmpl w:val="D1F41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B268E7"/>
    <w:multiLevelType w:val="hybridMultilevel"/>
    <w:tmpl w:val="FCBA22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952D6"/>
    <w:multiLevelType w:val="hybridMultilevel"/>
    <w:tmpl w:val="096CCDF2"/>
    <w:lvl w:ilvl="0" w:tplc="D10AF0C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2" w15:restartNumberingAfterBreak="0">
    <w:nsid w:val="5B1D25C9"/>
    <w:multiLevelType w:val="hybridMultilevel"/>
    <w:tmpl w:val="8A42AAB2"/>
    <w:lvl w:ilvl="0" w:tplc="754A25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E3DB3"/>
    <w:multiLevelType w:val="hybridMultilevel"/>
    <w:tmpl w:val="9BDA5F32"/>
    <w:lvl w:ilvl="0" w:tplc="EEF0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E01C2"/>
    <w:multiLevelType w:val="hybridMultilevel"/>
    <w:tmpl w:val="89C0FC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755AB5"/>
    <w:multiLevelType w:val="hybridMultilevel"/>
    <w:tmpl w:val="41CA4C9A"/>
    <w:lvl w:ilvl="0" w:tplc="04090001">
      <w:start w:val="1"/>
      <w:numFmt w:val="bullet"/>
      <w:lvlRestart w:val="0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E550E"/>
    <w:multiLevelType w:val="hybridMultilevel"/>
    <w:tmpl w:val="A3544BAA"/>
    <w:lvl w:ilvl="0" w:tplc="20B29504">
      <w:start w:val="1"/>
      <w:numFmt w:val="decimal"/>
      <w:pStyle w:val="BListitemnum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3A2B20"/>
    <w:multiLevelType w:val="hybridMultilevel"/>
    <w:tmpl w:val="65E6B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A4FEE"/>
    <w:multiLevelType w:val="hybridMultilevel"/>
    <w:tmpl w:val="510A5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7C1466"/>
    <w:multiLevelType w:val="hybridMultilevel"/>
    <w:tmpl w:val="94562A0C"/>
    <w:lvl w:ilvl="0" w:tplc="EEF0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F00AB"/>
    <w:multiLevelType w:val="hybridMultilevel"/>
    <w:tmpl w:val="56FE9ECC"/>
    <w:lvl w:ilvl="0" w:tplc="A26488DE">
      <w:start w:val="1"/>
      <w:numFmt w:val="bullet"/>
      <w:pStyle w:val="BListitem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0BA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816798">
    <w:abstractNumId w:val="36"/>
  </w:num>
  <w:num w:numId="2" w16cid:durableId="1796212711">
    <w:abstractNumId w:val="40"/>
  </w:num>
  <w:num w:numId="3" w16cid:durableId="560215516">
    <w:abstractNumId w:val="10"/>
  </w:num>
  <w:num w:numId="4" w16cid:durableId="127167174">
    <w:abstractNumId w:val="15"/>
  </w:num>
  <w:num w:numId="5" w16cid:durableId="530146565">
    <w:abstractNumId w:val="16"/>
  </w:num>
  <w:num w:numId="6" w16cid:durableId="1308701023">
    <w:abstractNumId w:val="14"/>
  </w:num>
  <w:num w:numId="7" w16cid:durableId="1164586576">
    <w:abstractNumId w:val="24"/>
  </w:num>
  <w:num w:numId="8" w16cid:durableId="390078248">
    <w:abstractNumId w:val="38"/>
  </w:num>
  <w:num w:numId="9" w16cid:durableId="1709836850">
    <w:abstractNumId w:val="30"/>
  </w:num>
  <w:num w:numId="10" w16cid:durableId="1514031139">
    <w:abstractNumId w:val="8"/>
  </w:num>
  <w:num w:numId="11" w16cid:durableId="439372092">
    <w:abstractNumId w:val="17"/>
  </w:num>
  <w:num w:numId="12" w16cid:durableId="1176964315">
    <w:abstractNumId w:val="11"/>
  </w:num>
  <w:num w:numId="13" w16cid:durableId="57481982">
    <w:abstractNumId w:val="35"/>
  </w:num>
  <w:num w:numId="14" w16cid:durableId="616182069">
    <w:abstractNumId w:val="33"/>
  </w:num>
  <w:num w:numId="15" w16cid:durableId="1331370395">
    <w:abstractNumId w:val="32"/>
  </w:num>
  <w:num w:numId="16" w16cid:durableId="2048220565">
    <w:abstractNumId w:val="18"/>
  </w:num>
  <w:num w:numId="17" w16cid:durableId="1376926949">
    <w:abstractNumId w:val="39"/>
  </w:num>
  <w:num w:numId="18" w16cid:durableId="353920111">
    <w:abstractNumId w:val="19"/>
  </w:num>
  <w:num w:numId="19" w16cid:durableId="1125343429">
    <w:abstractNumId w:val="27"/>
  </w:num>
  <w:num w:numId="20" w16cid:durableId="72313112">
    <w:abstractNumId w:val="21"/>
  </w:num>
  <w:num w:numId="21" w16cid:durableId="1413089690">
    <w:abstractNumId w:val="23"/>
  </w:num>
  <w:num w:numId="22" w16cid:durableId="1946451628">
    <w:abstractNumId w:val="28"/>
  </w:num>
  <w:num w:numId="23" w16cid:durableId="1714229662">
    <w:abstractNumId w:val="29"/>
  </w:num>
  <w:num w:numId="24" w16cid:durableId="1864049548">
    <w:abstractNumId w:val="40"/>
  </w:num>
  <w:num w:numId="25" w16cid:durableId="1312754695">
    <w:abstractNumId w:val="40"/>
  </w:num>
  <w:num w:numId="26" w16cid:durableId="1166363704">
    <w:abstractNumId w:val="20"/>
  </w:num>
  <w:num w:numId="27" w16cid:durableId="789670048">
    <w:abstractNumId w:val="26"/>
  </w:num>
  <w:num w:numId="28" w16cid:durableId="971784460">
    <w:abstractNumId w:val="31"/>
  </w:num>
  <w:num w:numId="29" w16cid:durableId="1803688727">
    <w:abstractNumId w:val="13"/>
  </w:num>
  <w:num w:numId="30" w16cid:durableId="154415689">
    <w:abstractNumId w:val="34"/>
  </w:num>
  <w:num w:numId="31" w16cid:durableId="109083732">
    <w:abstractNumId w:val="9"/>
  </w:num>
  <w:num w:numId="32" w16cid:durableId="1136098287">
    <w:abstractNumId w:val="25"/>
  </w:num>
  <w:num w:numId="33" w16cid:durableId="329909884">
    <w:abstractNumId w:val="22"/>
  </w:num>
  <w:num w:numId="34" w16cid:durableId="1326783886">
    <w:abstractNumId w:val="37"/>
  </w:num>
  <w:num w:numId="35" w16cid:durableId="1557355429">
    <w:abstractNumId w:val="6"/>
  </w:num>
  <w:num w:numId="36" w16cid:durableId="765922959">
    <w:abstractNumId w:val="5"/>
  </w:num>
  <w:num w:numId="37" w16cid:durableId="2071725111">
    <w:abstractNumId w:val="4"/>
  </w:num>
  <w:num w:numId="38" w16cid:durableId="474840607">
    <w:abstractNumId w:val="7"/>
  </w:num>
  <w:num w:numId="39" w16cid:durableId="288167526">
    <w:abstractNumId w:val="3"/>
  </w:num>
  <w:num w:numId="40" w16cid:durableId="1097289998">
    <w:abstractNumId w:val="2"/>
  </w:num>
  <w:num w:numId="41" w16cid:durableId="566844896">
    <w:abstractNumId w:val="1"/>
  </w:num>
  <w:num w:numId="42" w16cid:durableId="165074928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80"/>
  <w:removePersonalInformation/>
  <w:removeDateAndTime/>
  <w:proofState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85"/>
    <w:rsid w:val="00000446"/>
    <w:rsid w:val="0000050A"/>
    <w:rsid w:val="000006F9"/>
    <w:rsid w:val="00000756"/>
    <w:rsid w:val="00000CB6"/>
    <w:rsid w:val="00000FE0"/>
    <w:rsid w:val="00001941"/>
    <w:rsid w:val="00001C06"/>
    <w:rsid w:val="000023AE"/>
    <w:rsid w:val="00002F39"/>
    <w:rsid w:val="0000318E"/>
    <w:rsid w:val="0000402F"/>
    <w:rsid w:val="00004110"/>
    <w:rsid w:val="000041F3"/>
    <w:rsid w:val="0000433E"/>
    <w:rsid w:val="0000483B"/>
    <w:rsid w:val="00004FCA"/>
    <w:rsid w:val="000059C3"/>
    <w:rsid w:val="00005F5A"/>
    <w:rsid w:val="00006207"/>
    <w:rsid w:val="000063A3"/>
    <w:rsid w:val="00006D31"/>
    <w:rsid w:val="00006D3C"/>
    <w:rsid w:val="00007206"/>
    <w:rsid w:val="000074FB"/>
    <w:rsid w:val="00007CF6"/>
    <w:rsid w:val="00010B25"/>
    <w:rsid w:val="00010D6B"/>
    <w:rsid w:val="000110A9"/>
    <w:rsid w:val="0001179E"/>
    <w:rsid w:val="0001230A"/>
    <w:rsid w:val="00012925"/>
    <w:rsid w:val="00012A5B"/>
    <w:rsid w:val="000131ED"/>
    <w:rsid w:val="0001492B"/>
    <w:rsid w:val="00014CB2"/>
    <w:rsid w:val="00015949"/>
    <w:rsid w:val="00015AA3"/>
    <w:rsid w:val="00015CB9"/>
    <w:rsid w:val="00016466"/>
    <w:rsid w:val="000167C7"/>
    <w:rsid w:val="00016E51"/>
    <w:rsid w:val="000203B5"/>
    <w:rsid w:val="00020568"/>
    <w:rsid w:val="00020FF7"/>
    <w:rsid w:val="00021067"/>
    <w:rsid w:val="0002130F"/>
    <w:rsid w:val="00021907"/>
    <w:rsid w:val="00021B97"/>
    <w:rsid w:val="00022120"/>
    <w:rsid w:val="00022422"/>
    <w:rsid w:val="00022ABB"/>
    <w:rsid w:val="000233AF"/>
    <w:rsid w:val="00025439"/>
    <w:rsid w:val="0002618E"/>
    <w:rsid w:val="0002716D"/>
    <w:rsid w:val="0002776F"/>
    <w:rsid w:val="0002787F"/>
    <w:rsid w:val="0003034E"/>
    <w:rsid w:val="000305E3"/>
    <w:rsid w:val="0003159C"/>
    <w:rsid w:val="000316FA"/>
    <w:rsid w:val="00031779"/>
    <w:rsid w:val="00031B8A"/>
    <w:rsid w:val="00031FC5"/>
    <w:rsid w:val="00032000"/>
    <w:rsid w:val="0003217F"/>
    <w:rsid w:val="00033F16"/>
    <w:rsid w:val="00034295"/>
    <w:rsid w:val="00034683"/>
    <w:rsid w:val="00034FDE"/>
    <w:rsid w:val="000356A4"/>
    <w:rsid w:val="00036D08"/>
    <w:rsid w:val="000375BB"/>
    <w:rsid w:val="000402C3"/>
    <w:rsid w:val="00040468"/>
    <w:rsid w:val="00040D9E"/>
    <w:rsid w:val="00041150"/>
    <w:rsid w:val="00041C2E"/>
    <w:rsid w:val="00041F05"/>
    <w:rsid w:val="00044690"/>
    <w:rsid w:val="00044C8D"/>
    <w:rsid w:val="00045200"/>
    <w:rsid w:val="0004717C"/>
    <w:rsid w:val="000478DB"/>
    <w:rsid w:val="00047B10"/>
    <w:rsid w:val="00050ACB"/>
    <w:rsid w:val="00052406"/>
    <w:rsid w:val="000524DB"/>
    <w:rsid w:val="000529E5"/>
    <w:rsid w:val="00052D03"/>
    <w:rsid w:val="00052E1F"/>
    <w:rsid w:val="000531F8"/>
    <w:rsid w:val="00053B65"/>
    <w:rsid w:val="000569C3"/>
    <w:rsid w:val="00056C9E"/>
    <w:rsid w:val="00056EE0"/>
    <w:rsid w:val="00060655"/>
    <w:rsid w:val="00060C6E"/>
    <w:rsid w:val="00060CEB"/>
    <w:rsid w:val="00061205"/>
    <w:rsid w:val="000615ED"/>
    <w:rsid w:val="00061A5C"/>
    <w:rsid w:val="00064030"/>
    <w:rsid w:val="00064463"/>
    <w:rsid w:val="00065095"/>
    <w:rsid w:val="000661A6"/>
    <w:rsid w:val="000678D8"/>
    <w:rsid w:val="00067A51"/>
    <w:rsid w:val="00067B9C"/>
    <w:rsid w:val="0007159C"/>
    <w:rsid w:val="00072E47"/>
    <w:rsid w:val="00073C1D"/>
    <w:rsid w:val="00073CC7"/>
    <w:rsid w:val="00074A62"/>
    <w:rsid w:val="00074B5D"/>
    <w:rsid w:val="00074C79"/>
    <w:rsid w:val="00075284"/>
    <w:rsid w:val="00075463"/>
    <w:rsid w:val="00075C32"/>
    <w:rsid w:val="00075F96"/>
    <w:rsid w:val="000762F0"/>
    <w:rsid w:val="00076824"/>
    <w:rsid w:val="00076CDA"/>
    <w:rsid w:val="0007754A"/>
    <w:rsid w:val="00080010"/>
    <w:rsid w:val="0008005D"/>
    <w:rsid w:val="00080331"/>
    <w:rsid w:val="000815C3"/>
    <w:rsid w:val="000816C4"/>
    <w:rsid w:val="000818F1"/>
    <w:rsid w:val="00081DF4"/>
    <w:rsid w:val="00081FE2"/>
    <w:rsid w:val="00082326"/>
    <w:rsid w:val="000826CD"/>
    <w:rsid w:val="00083897"/>
    <w:rsid w:val="00083EA3"/>
    <w:rsid w:val="0008400E"/>
    <w:rsid w:val="00084417"/>
    <w:rsid w:val="000849E0"/>
    <w:rsid w:val="000852E8"/>
    <w:rsid w:val="00085ABC"/>
    <w:rsid w:val="0008600E"/>
    <w:rsid w:val="0008659E"/>
    <w:rsid w:val="00086CE5"/>
    <w:rsid w:val="00086EF6"/>
    <w:rsid w:val="000872D6"/>
    <w:rsid w:val="000902BA"/>
    <w:rsid w:val="00090583"/>
    <w:rsid w:val="00090601"/>
    <w:rsid w:val="000909AD"/>
    <w:rsid w:val="00090B35"/>
    <w:rsid w:val="00090C49"/>
    <w:rsid w:val="0009141F"/>
    <w:rsid w:val="00091917"/>
    <w:rsid w:val="00091A13"/>
    <w:rsid w:val="00093ECA"/>
    <w:rsid w:val="0009404F"/>
    <w:rsid w:val="000946D9"/>
    <w:rsid w:val="00094700"/>
    <w:rsid w:val="0009668C"/>
    <w:rsid w:val="00096CD0"/>
    <w:rsid w:val="00096DA5"/>
    <w:rsid w:val="00096EBA"/>
    <w:rsid w:val="00097135"/>
    <w:rsid w:val="00097793"/>
    <w:rsid w:val="000A08CD"/>
    <w:rsid w:val="000A095A"/>
    <w:rsid w:val="000A0D54"/>
    <w:rsid w:val="000A187E"/>
    <w:rsid w:val="000A1CDA"/>
    <w:rsid w:val="000A26AF"/>
    <w:rsid w:val="000A2B2C"/>
    <w:rsid w:val="000A2BA8"/>
    <w:rsid w:val="000A3459"/>
    <w:rsid w:val="000A34C9"/>
    <w:rsid w:val="000A3A02"/>
    <w:rsid w:val="000A43A5"/>
    <w:rsid w:val="000A4908"/>
    <w:rsid w:val="000A522A"/>
    <w:rsid w:val="000A555B"/>
    <w:rsid w:val="000A58AD"/>
    <w:rsid w:val="000A59F7"/>
    <w:rsid w:val="000A6526"/>
    <w:rsid w:val="000A6C92"/>
    <w:rsid w:val="000A7B9F"/>
    <w:rsid w:val="000B07DC"/>
    <w:rsid w:val="000B0B0A"/>
    <w:rsid w:val="000B11CE"/>
    <w:rsid w:val="000B1239"/>
    <w:rsid w:val="000B16D7"/>
    <w:rsid w:val="000B1DF4"/>
    <w:rsid w:val="000B22AA"/>
    <w:rsid w:val="000B42CA"/>
    <w:rsid w:val="000B5BD7"/>
    <w:rsid w:val="000C0184"/>
    <w:rsid w:val="000C0560"/>
    <w:rsid w:val="000C06BD"/>
    <w:rsid w:val="000C0F6C"/>
    <w:rsid w:val="000C1009"/>
    <w:rsid w:val="000C1A19"/>
    <w:rsid w:val="000C377E"/>
    <w:rsid w:val="000C451B"/>
    <w:rsid w:val="000C49AB"/>
    <w:rsid w:val="000C4B4B"/>
    <w:rsid w:val="000C5FFD"/>
    <w:rsid w:val="000C6CB9"/>
    <w:rsid w:val="000C7595"/>
    <w:rsid w:val="000C7FF6"/>
    <w:rsid w:val="000D080E"/>
    <w:rsid w:val="000D1A75"/>
    <w:rsid w:val="000D2662"/>
    <w:rsid w:val="000D2D89"/>
    <w:rsid w:val="000D3544"/>
    <w:rsid w:val="000D3846"/>
    <w:rsid w:val="000D3AE2"/>
    <w:rsid w:val="000D3CA7"/>
    <w:rsid w:val="000D5162"/>
    <w:rsid w:val="000D6B77"/>
    <w:rsid w:val="000D7536"/>
    <w:rsid w:val="000D75EC"/>
    <w:rsid w:val="000D7623"/>
    <w:rsid w:val="000D762E"/>
    <w:rsid w:val="000D788F"/>
    <w:rsid w:val="000E0357"/>
    <w:rsid w:val="000E13C5"/>
    <w:rsid w:val="000E17F0"/>
    <w:rsid w:val="000E1CF7"/>
    <w:rsid w:val="000E2157"/>
    <w:rsid w:val="000E2E02"/>
    <w:rsid w:val="000E5547"/>
    <w:rsid w:val="000E597E"/>
    <w:rsid w:val="000F000A"/>
    <w:rsid w:val="000F0137"/>
    <w:rsid w:val="000F07AB"/>
    <w:rsid w:val="000F11B5"/>
    <w:rsid w:val="000F1FD1"/>
    <w:rsid w:val="000F250C"/>
    <w:rsid w:val="000F279F"/>
    <w:rsid w:val="000F2AB4"/>
    <w:rsid w:val="000F39AF"/>
    <w:rsid w:val="000F475A"/>
    <w:rsid w:val="000F5239"/>
    <w:rsid w:val="000F71BB"/>
    <w:rsid w:val="000F72B7"/>
    <w:rsid w:val="000F766C"/>
    <w:rsid w:val="000F76BD"/>
    <w:rsid w:val="001002C5"/>
    <w:rsid w:val="0010045A"/>
    <w:rsid w:val="00100482"/>
    <w:rsid w:val="001008BB"/>
    <w:rsid w:val="00100D3B"/>
    <w:rsid w:val="00100E1B"/>
    <w:rsid w:val="00100E82"/>
    <w:rsid w:val="00101193"/>
    <w:rsid w:val="00101365"/>
    <w:rsid w:val="001014A3"/>
    <w:rsid w:val="001017E4"/>
    <w:rsid w:val="00102139"/>
    <w:rsid w:val="001021A5"/>
    <w:rsid w:val="00103331"/>
    <w:rsid w:val="001033DF"/>
    <w:rsid w:val="00103557"/>
    <w:rsid w:val="001036A3"/>
    <w:rsid w:val="00104F3D"/>
    <w:rsid w:val="0010513E"/>
    <w:rsid w:val="00105A85"/>
    <w:rsid w:val="00105D9A"/>
    <w:rsid w:val="00105EAB"/>
    <w:rsid w:val="00106B8F"/>
    <w:rsid w:val="00106E4E"/>
    <w:rsid w:val="00107875"/>
    <w:rsid w:val="00111494"/>
    <w:rsid w:val="00112492"/>
    <w:rsid w:val="0011267B"/>
    <w:rsid w:val="00112D64"/>
    <w:rsid w:val="001141CD"/>
    <w:rsid w:val="0011420C"/>
    <w:rsid w:val="00114403"/>
    <w:rsid w:val="00114779"/>
    <w:rsid w:val="00114C97"/>
    <w:rsid w:val="00114C9D"/>
    <w:rsid w:val="001155D1"/>
    <w:rsid w:val="00116695"/>
    <w:rsid w:val="0011708D"/>
    <w:rsid w:val="001176E8"/>
    <w:rsid w:val="00117C76"/>
    <w:rsid w:val="00117EA1"/>
    <w:rsid w:val="00120194"/>
    <w:rsid w:val="00120D41"/>
    <w:rsid w:val="00121942"/>
    <w:rsid w:val="001223A1"/>
    <w:rsid w:val="001223F8"/>
    <w:rsid w:val="001230EC"/>
    <w:rsid w:val="0012314C"/>
    <w:rsid w:val="0012322A"/>
    <w:rsid w:val="00123475"/>
    <w:rsid w:val="001236F1"/>
    <w:rsid w:val="001241EF"/>
    <w:rsid w:val="00124436"/>
    <w:rsid w:val="001253AE"/>
    <w:rsid w:val="00125460"/>
    <w:rsid w:val="00126138"/>
    <w:rsid w:val="00126764"/>
    <w:rsid w:val="00127426"/>
    <w:rsid w:val="0012791E"/>
    <w:rsid w:val="00127AA3"/>
    <w:rsid w:val="00130152"/>
    <w:rsid w:val="00130425"/>
    <w:rsid w:val="001304EE"/>
    <w:rsid w:val="00130582"/>
    <w:rsid w:val="00130A38"/>
    <w:rsid w:val="00130D1A"/>
    <w:rsid w:val="00130F17"/>
    <w:rsid w:val="00130F7D"/>
    <w:rsid w:val="001311D9"/>
    <w:rsid w:val="00131612"/>
    <w:rsid w:val="00131BAE"/>
    <w:rsid w:val="001321E2"/>
    <w:rsid w:val="001327AD"/>
    <w:rsid w:val="00132ADA"/>
    <w:rsid w:val="001331A2"/>
    <w:rsid w:val="0013357A"/>
    <w:rsid w:val="00134E05"/>
    <w:rsid w:val="00137C66"/>
    <w:rsid w:val="001402D7"/>
    <w:rsid w:val="00140EC4"/>
    <w:rsid w:val="00142A0F"/>
    <w:rsid w:val="0014387C"/>
    <w:rsid w:val="001438D6"/>
    <w:rsid w:val="00144152"/>
    <w:rsid w:val="001441B9"/>
    <w:rsid w:val="001442BE"/>
    <w:rsid w:val="00144851"/>
    <w:rsid w:val="00144AB7"/>
    <w:rsid w:val="00144B17"/>
    <w:rsid w:val="00145BC6"/>
    <w:rsid w:val="0014647D"/>
    <w:rsid w:val="001476C0"/>
    <w:rsid w:val="001478F2"/>
    <w:rsid w:val="00147DAE"/>
    <w:rsid w:val="00150325"/>
    <w:rsid w:val="0015042B"/>
    <w:rsid w:val="001505F7"/>
    <w:rsid w:val="00150614"/>
    <w:rsid w:val="00150730"/>
    <w:rsid w:val="00152300"/>
    <w:rsid w:val="0015247F"/>
    <w:rsid w:val="00153379"/>
    <w:rsid w:val="00153834"/>
    <w:rsid w:val="0015420F"/>
    <w:rsid w:val="001546D1"/>
    <w:rsid w:val="0015501B"/>
    <w:rsid w:val="00155DBC"/>
    <w:rsid w:val="00155EB1"/>
    <w:rsid w:val="00156511"/>
    <w:rsid w:val="001565F7"/>
    <w:rsid w:val="0015697D"/>
    <w:rsid w:val="00156AB1"/>
    <w:rsid w:val="00156FDC"/>
    <w:rsid w:val="00160055"/>
    <w:rsid w:val="00162260"/>
    <w:rsid w:val="00162714"/>
    <w:rsid w:val="00163542"/>
    <w:rsid w:val="0016397D"/>
    <w:rsid w:val="00163AAE"/>
    <w:rsid w:val="00164466"/>
    <w:rsid w:val="001645E9"/>
    <w:rsid w:val="00164622"/>
    <w:rsid w:val="00164F88"/>
    <w:rsid w:val="001670DD"/>
    <w:rsid w:val="001671A5"/>
    <w:rsid w:val="0016750B"/>
    <w:rsid w:val="00167862"/>
    <w:rsid w:val="00167C8C"/>
    <w:rsid w:val="00167C92"/>
    <w:rsid w:val="0017017E"/>
    <w:rsid w:val="00170A05"/>
    <w:rsid w:val="00173F8A"/>
    <w:rsid w:val="001740EB"/>
    <w:rsid w:val="0017583F"/>
    <w:rsid w:val="001763C1"/>
    <w:rsid w:val="001776DE"/>
    <w:rsid w:val="00177975"/>
    <w:rsid w:val="00177F9E"/>
    <w:rsid w:val="00180654"/>
    <w:rsid w:val="001809F2"/>
    <w:rsid w:val="00181472"/>
    <w:rsid w:val="00181FEA"/>
    <w:rsid w:val="00182FBF"/>
    <w:rsid w:val="00182FCD"/>
    <w:rsid w:val="00184500"/>
    <w:rsid w:val="00184749"/>
    <w:rsid w:val="00184C89"/>
    <w:rsid w:val="00184D41"/>
    <w:rsid w:val="001853D7"/>
    <w:rsid w:val="0018611C"/>
    <w:rsid w:val="001862DC"/>
    <w:rsid w:val="00186653"/>
    <w:rsid w:val="001873BD"/>
    <w:rsid w:val="0019116F"/>
    <w:rsid w:val="001923AD"/>
    <w:rsid w:val="00192482"/>
    <w:rsid w:val="00192777"/>
    <w:rsid w:val="001927C6"/>
    <w:rsid w:val="001930A8"/>
    <w:rsid w:val="00193850"/>
    <w:rsid w:val="0019426C"/>
    <w:rsid w:val="00194A9F"/>
    <w:rsid w:val="00194DAE"/>
    <w:rsid w:val="00195923"/>
    <w:rsid w:val="001A17DE"/>
    <w:rsid w:val="001A277D"/>
    <w:rsid w:val="001A3005"/>
    <w:rsid w:val="001A3539"/>
    <w:rsid w:val="001A3622"/>
    <w:rsid w:val="001A3AA0"/>
    <w:rsid w:val="001A5C52"/>
    <w:rsid w:val="001A6040"/>
    <w:rsid w:val="001A666C"/>
    <w:rsid w:val="001A6778"/>
    <w:rsid w:val="001A69D5"/>
    <w:rsid w:val="001A72B4"/>
    <w:rsid w:val="001A76EA"/>
    <w:rsid w:val="001B0130"/>
    <w:rsid w:val="001B0F29"/>
    <w:rsid w:val="001B1847"/>
    <w:rsid w:val="001B4B38"/>
    <w:rsid w:val="001B723E"/>
    <w:rsid w:val="001C17C3"/>
    <w:rsid w:val="001C1D63"/>
    <w:rsid w:val="001C245C"/>
    <w:rsid w:val="001C260F"/>
    <w:rsid w:val="001C2C2E"/>
    <w:rsid w:val="001C4AE7"/>
    <w:rsid w:val="001C5460"/>
    <w:rsid w:val="001C563F"/>
    <w:rsid w:val="001C63AC"/>
    <w:rsid w:val="001C6A4D"/>
    <w:rsid w:val="001C6D4E"/>
    <w:rsid w:val="001C72A7"/>
    <w:rsid w:val="001C7B74"/>
    <w:rsid w:val="001C7E31"/>
    <w:rsid w:val="001D0A93"/>
    <w:rsid w:val="001D1253"/>
    <w:rsid w:val="001D1827"/>
    <w:rsid w:val="001D2650"/>
    <w:rsid w:val="001D3C37"/>
    <w:rsid w:val="001D3DDF"/>
    <w:rsid w:val="001D475E"/>
    <w:rsid w:val="001D54F9"/>
    <w:rsid w:val="001D5A71"/>
    <w:rsid w:val="001D5B32"/>
    <w:rsid w:val="001D5FBE"/>
    <w:rsid w:val="001D6EAB"/>
    <w:rsid w:val="001D743A"/>
    <w:rsid w:val="001D744D"/>
    <w:rsid w:val="001D7B86"/>
    <w:rsid w:val="001E0677"/>
    <w:rsid w:val="001E0922"/>
    <w:rsid w:val="001E3505"/>
    <w:rsid w:val="001E3D18"/>
    <w:rsid w:val="001E4CF5"/>
    <w:rsid w:val="001E5FF4"/>
    <w:rsid w:val="001E6154"/>
    <w:rsid w:val="001E6322"/>
    <w:rsid w:val="001E685D"/>
    <w:rsid w:val="001E74FF"/>
    <w:rsid w:val="001F0682"/>
    <w:rsid w:val="001F0DF1"/>
    <w:rsid w:val="001F16BC"/>
    <w:rsid w:val="001F3848"/>
    <w:rsid w:val="001F3E09"/>
    <w:rsid w:val="001F438F"/>
    <w:rsid w:val="001F4D92"/>
    <w:rsid w:val="001F5423"/>
    <w:rsid w:val="001F5619"/>
    <w:rsid w:val="001F56D3"/>
    <w:rsid w:val="001F71BD"/>
    <w:rsid w:val="001F7DAF"/>
    <w:rsid w:val="002003C9"/>
    <w:rsid w:val="002027C7"/>
    <w:rsid w:val="002028B9"/>
    <w:rsid w:val="00202C31"/>
    <w:rsid w:val="00203269"/>
    <w:rsid w:val="00204388"/>
    <w:rsid w:val="00204D09"/>
    <w:rsid w:val="00206109"/>
    <w:rsid w:val="002063EF"/>
    <w:rsid w:val="00206964"/>
    <w:rsid w:val="0021000D"/>
    <w:rsid w:val="0021003F"/>
    <w:rsid w:val="002113BA"/>
    <w:rsid w:val="0021197D"/>
    <w:rsid w:val="002119CE"/>
    <w:rsid w:val="00211FC4"/>
    <w:rsid w:val="002131CA"/>
    <w:rsid w:val="002146A8"/>
    <w:rsid w:val="00214D1E"/>
    <w:rsid w:val="00215565"/>
    <w:rsid w:val="00215BC6"/>
    <w:rsid w:val="00215F56"/>
    <w:rsid w:val="002160C4"/>
    <w:rsid w:val="002160E9"/>
    <w:rsid w:val="002163A7"/>
    <w:rsid w:val="00216459"/>
    <w:rsid w:val="002165D1"/>
    <w:rsid w:val="00217386"/>
    <w:rsid w:val="00220C88"/>
    <w:rsid w:val="00220CA8"/>
    <w:rsid w:val="00220D69"/>
    <w:rsid w:val="00220DF5"/>
    <w:rsid w:val="00220E6F"/>
    <w:rsid w:val="00223427"/>
    <w:rsid w:val="00223928"/>
    <w:rsid w:val="00223C05"/>
    <w:rsid w:val="00224494"/>
    <w:rsid w:val="00225465"/>
    <w:rsid w:val="00225631"/>
    <w:rsid w:val="002256A2"/>
    <w:rsid w:val="00226024"/>
    <w:rsid w:val="0022676B"/>
    <w:rsid w:val="00226A8F"/>
    <w:rsid w:val="00227F18"/>
    <w:rsid w:val="00231290"/>
    <w:rsid w:val="00232390"/>
    <w:rsid w:val="00232480"/>
    <w:rsid w:val="00232633"/>
    <w:rsid w:val="0023268B"/>
    <w:rsid w:val="002339E7"/>
    <w:rsid w:val="00233FB9"/>
    <w:rsid w:val="00234635"/>
    <w:rsid w:val="00234FB9"/>
    <w:rsid w:val="00236037"/>
    <w:rsid w:val="002360BA"/>
    <w:rsid w:val="00236284"/>
    <w:rsid w:val="0023723B"/>
    <w:rsid w:val="0024011E"/>
    <w:rsid w:val="002418C9"/>
    <w:rsid w:val="00242B4D"/>
    <w:rsid w:val="00242F24"/>
    <w:rsid w:val="002451DA"/>
    <w:rsid w:val="002452CD"/>
    <w:rsid w:val="002453B2"/>
    <w:rsid w:val="00245F67"/>
    <w:rsid w:val="00246153"/>
    <w:rsid w:val="00246239"/>
    <w:rsid w:val="00250C97"/>
    <w:rsid w:val="00250CF8"/>
    <w:rsid w:val="00250EA7"/>
    <w:rsid w:val="00251135"/>
    <w:rsid w:val="00251228"/>
    <w:rsid w:val="002529A6"/>
    <w:rsid w:val="0025346E"/>
    <w:rsid w:val="002535FF"/>
    <w:rsid w:val="00253DA1"/>
    <w:rsid w:val="002542EF"/>
    <w:rsid w:val="00254A2F"/>
    <w:rsid w:val="00255319"/>
    <w:rsid w:val="00255403"/>
    <w:rsid w:val="002571F3"/>
    <w:rsid w:val="0026049E"/>
    <w:rsid w:val="002604B9"/>
    <w:rsid w:val="00260900"/>
    <w:rsid w:val="00261085"/>
    <w:rsid w:val="00261533"/>
    <w:rsid w:val="0026169B"/>
    <w:rsid w:val="002628AA"/>
    <w:rsid w:val="00262DCA"/>
    <w:rsid w:val="0026310F"/>
    <w:rsid w:val="0026510A"/>
    <w:rsid w:val="00266340"/>
    <w:rsid w:val="00266CD7"/>
    <w:rsid w:val="00270CC2"/>
    <w:rsid w:val="00271060"/>
    <w:rsid w:val="00271366"/>
    <w:rsid w:val="00271475"/>
    <w:rsid w:val="002715B6"/>
    <w:rsid w:val="002721EA"/>
    <w:rsid w:val="00272D5C"/>
    <w:rsid w:val="00272E13"/>
    <w:rsid w:val="0027364C"/>
    <w:rsid w:val="002754BE"/>
    <w:rsid w:val="00275770"/>
    <w:rsid w:val="00275930"/>
    <w:rsid w:val="0027671C"/>
    <w:rsid w:val="00280211"/>
    <w:rsid w:val="002803FF"/>
    <w:rsid w:val="0028048D"/>
    <w:rsid w:val="00280CE9"/>
    <w:rsid w:val="0028117A"/>
    <w:rsid w:val="00282AD3"/>
    <w:rsid w:val="00282D69"/>
    <w:rsid w:val="0028346D"/>
    <w:rsid w:val="00283805"/>
    <w:rsid w:val="00284045"/>
    <w:rsid w:val="00285B0E"/>
    <w:rsid w:val="00285F24"/>
    <w:rsid w:val="002862B5"/>
    <w:rsid w:val="0028690D"/>
    <w:rsid w:val="00286BCB"/>
    <w:rsid w:val="00291376"/>
    <w:rsid w:val="002914B7"/>
    <w:rsid w:val="0029182F"/>
    <w:rsid w:val="0029188B"/>
    <w:rsid w:val="00291C5E"/>
    <w:rsid w:val="00291CAB"/>
    <w:rsid w:val="0029202B"/>
    <w:rsid w:val="0029221E"/>
    <w:rsid w:val="00292899"/>
    <w:rsid w:val="00292D66"/>
    <w:rsid w:val="0029300F"/>
    <w:rsid w:val="00293686"/>
    <w:rsid w:val="00293D8B"/>
    <w:rsid w:val="00293ED9"/>
    <w:rsid w:val="002947C7"/>
    <w:rsid w:val="00295C49"/>
    <w:rsid w:val="00296485"/>
    <w:rsid w:val="00297343"/>
    <w:rsid w:val="00297AF4"/>
    <w:rsid w:val="002A0D49"/>
    <w:rsid w:val="002A1269"/>
    <w:rsid w:val="002A2C94"/>
    <w:rsid w:val="002A3A8F"/>
    <w:rsid w:val="002A3BD4"/>
    <w:rsid w:val="002A3DC8"/>
    <w:rsid w:val="002A40AB"/>
    <w:rsid w:val="002A4509"/>
    <w:rsid w:val="002A45E3"/>
    <w:rsid w:val="002A476A"/>
    <w:rsid w:val="002A47A4"/>
    <w:rsid w:val="002A47E9"/>
    <w:rsid w:val="002A5682"/>
    <w:rsid w:val="002A7A94"/>
    <w:rsid w:val="002A7C21"/>
    <w:rsid w:val="002A7DDC"/>
    <w:rsid w:val="002B0E28"/>
    <w:rsid w:val="002B12D8"/>
    <w:rsid w:val="002B1890"/>
    <w:rsid w:val="002B29A0"/>
    <w:rsid w:val="002B29F4"/>
    <w:rsid w:val="002B2E28"/>
    <w:rsid w:val="002B31D1"/>
    <w:rsid w:val="002B3469"/>
    <w:rsid w:val="002B3A86"/>
    <w:rsid w:val="002B3D4B"/>
    <w:rsid w:val="002B3E57"/>
    <w:rsid w:val="002B58C7"/>
    <w:rsid w:val="002B59C0"/>
    <w:rsid w:val="002B627A"/>
    <w:rsid w:val="002B63F8"/>
    <w:rsid w:val="002B7560"/>
    <w:rsid w:val="002C11B1"/>
    <w:rsid w:val="002C131D"/>
    <w:rsid w:val="002C18FB"/>
    <w:rsid w:val="002C260A"/>
    <w:rsid w:val="002C2DE3"/>
    <w:rsid w:val="002C31DA"/>
    <w:rsid w:val="002C47A2"/>
    <w:rsid w:val="002C4E29"/>
    <w:rsid w:val="002C5652"/>
    <w:rsid w:val="002C6278"/>
    <w:rsid w:val="002C7443"/>
    <w:rsid w:val="002D07ED"/>
    <w:rsid w:val="002D0D90"/>
    <w:rsid w:val="002D1510"/>
    <w:rsid w:val="002D2949"/>
    <w:rsid w:val="002D3710"/>
    <w:rsid w:val="002D4465"/>
    <w:rsid w:val="002D44F7"/>
    <w:rsid w:val="002D5129"/>
    <w:rsid w:val="002D5685"/>
    <w:rsid w:val="002D66E2"/>
    <w:rsid w:val="002D72FC"/>
    <w:rsid w:val="002D7391"/>
    <w:rsid w:val="002D7D5E"/>
    <w:rsid w:val="002E0BB0"/>
    <w:rsid w:val="002E0F2A"/>
    <w:rsid w:val="002E1CF2"/>
    <w:rsid w:val="002E20AB"/>
    <w:rsid w:val="002E2E43"/>
    <w:rsid w:val="002E2E67"/>
    <w:rsid w:val="002E3021"/>
    <w:rsid w:val="002E3492"/>
    <w:rsid w:val="002E3560"/>
    <w:rsid w:val="002E40C4"/>
    <w:rsid w:val="002E55DE"/>
    <w:rsid w:val="002E5D48"/>
    <w:rsid w:val="002E6A27"/>
    <w:rsid w:val="002E6BF0"/>
    <w:rsid w:val="002F03F4"/>
    <w:rsid w:val="002F150F"/>
    <w:rsid w:val="002F168A"/>
    <w:rsid w:val="002F1C72"/>
    <w:rsid w:val="002F32A4"/>
    <w:rsid w:val="002F34C1"/>
    <w:rsid w:val="002F45CB"/>
    <w:rsid w:val="002F4BF9"/>
    <w:rsid w:val="002F4DB6"/>
    <w:rsid w:val="002F519E"/>
    <w:rsid w:val="002F557B"/>
    <w:rsid w:val="002F5A79"/>
    <w:rsid w:val="002F61EC"/>
    <w:rsid w:val="002F6810"/>
    <w:rsid w:val="002F68F8"/>
    <w:rsid w:val="002F76A3"/>
    <w:rsid w:val="0030049D"/>
    <w:rsid w:val="003004D6"/>
    <w:rsid w:val="003017DC"/>
    <w:rsid w:val="00301A3D"/>
    <w:rsid w:val="00301C45"/>
    <w:rsid w:val="003021BC"/>
    <w:rsid w:val="00303B91"/>
    <w:rsid w:val="00303F76"/>
    <w:rsid w:val="00304AC6"/>
    <w:rsid w:val="00304B63"/>
    <w:rsid w:val="00304D22"/>
    <w:rsid w:val="003056E7"/>
    <w:rsid w:val="003066D3"/>
    <w:rsid w:val="00306EBD"/>
    <w:rsid w:val="0030719D"/>
    <w:rsid w:val="00307BCD"/>
    <w:rsid w:val="003100F1"/>
    <w:rsid w:val="003103B8"/>
    <w:rsid w:val="0031042A"/>
    <w:rsid w:val="00310A47"/>
    <w:rsid w:val="00310B11"/>
    <w:rsid w:val="00311088"/>
    <w:rsid w:val="00311482"/>
    <w:rsid w:val="003114A4"/>
    <w:rsid w:val="003114D6"/>
    <w:rsid w:val="003114E5"/>
    <w:rsid w:val="003118BE"/>
    <w:rsid w:val="00311E70"/>
    <w:rsid w:val="003126BC"/>
    <w:rsid w:val="003126D4"/>
    <w:rsid w:val="00312D69"/>
    <w:rsid w:val="0031381F"/>
    <w:rsid w:val="003138C2"/>
    <w:rsid w:val="00313916"/>
    <w:rsid w:val="00314A02"/>
    <w:rsid w:val="00315139"/>
    <w:rsid w:val="00315849"/>
    <w:rsid w:val="00315B62"/>
    <w:rsid w:val="00316721"/>
    <w:rsid w:val="00316B5C"/>
    <w:rsid w:val="00316F01"/>
    <w:rsid w:val="00320203"/>
    <w:rsid w:val="00320729"/>
    <w:rsid w:val="0032098C"/>
    <w:rsid w:val="003214EC"/>
    <w:rsid w:val="00321C16"/>
    <w:rsid w:val="00321DFD"/>
    <w:rsid w:val="0032363E"/>
    <w:rsid w:val="00323962"/>
    <w:rsid w:val="0032477B"/>
    <w:rsid w:val="00324DA6"/>
    <w:rsid w:val="00324DC6"/>
    <w:rsid w:val="0032587B"/>
    <w:rsid w:val="00325B39"/>
    <w:rsid w:val="00326356"/>
    <w:rsid w:val="003265A7"/>
    <w:rsid w:val="00327290"/>
    <w:rsid w:val="00327629"/>
    <w:rsid w:val="00327DA8"/>
    <w:rsid w:val="003301FB"/>
    <w:rsid w:val="00332ADE"/>
    <w:rsid w:val="00332D9F"/>
    <w:rsid w:val="003341FE"/>
    <w:rsid w:val="003353B8"/>
    <w:rsid w:val="003374EE"/>
    <w:rsid w:val="00340C30"/>
    <w:rsid w:val="003413B8"/>
    <w:rsid w:val="00341480"/>
    <w:rsid w:val="0034175B"/>
    <w:rsid w:val="003422BC"/>
    <w:rsid w:val="00342866"/>
    <w:rsid w:val="00342AEC"/>
    <w:rsid w:val="00342E8A"/>
    <w:rsid w:val="003434E0"/>
    <w:rsid w:val="00343EE7"/>
    <w:rsid w:val="00344557"/>
    <w:rsid w:val="003453C8"/>
    <w:rsid w:val="00346469"/>
    <w:rsid w:val="0035023C"/>
    <w:rsid w:val="0035031C"/>
    <w:rsid w:val="00350DBF"/>
    <w:rsid w:val="00350FDC"/>
    <w:rsid w:val="0035235F"/>
    <w:rsid w:val="00352BB1"/>
    <w:rsid w:val="00352CBF"/>
    <w:rsid w:val="00354775"/>
    <w:rsid w:val="0035492C"/>
    <w:rsid w:val="00355C45"/>
    <w:rsid w:val="003562AE"/>
    <w:rsid w:val="003574C9"/>
    <w:rsid w:val="00360B25"/>
    <w:rsid w:val="003610B7"/>
    <w:rsid w:val="0036394D"/>
    <w:rsid w:val="0036420C"/>
    <w:rsid w:val="00365937"/>
    <w:rsid w:val="00365D23"/>
    <w:rsid w:val="00366069"/>
    <w:rsid w:val="003663BF"/>
    <w:rsid w:val="0036661C"/>
    <w:rsid w:val="00366F11"/>
    <w:rsid w:val="00367717"/>
    <w:rsid w:val="00367E12"/>
    <w:rsid w:val="003700EB"/>
    <w:rsid w:val="00370441"/>
    <w:rsid w:val="00371B83"/>
    <w:rsid w:val="0037269C"/>
    <w:rsid w:val="00372AAF"/>
    <w:rsid w:val="00373016"/>
    <w:rsid w:val="0037476A"/>
    <w:rsid w:val="003754AC"/>
    <w:rsid w:val="003755CC"/>
    <w:rsid w:val="003758F5"/>
    <w:rsid w:val="003763D6"/>
    <w:rsid w:val="003769F1"/>
    <w:rsid w:val="003772DE"/>
    <w:rsid w:val="003824B2"/>
    <w:rsid w:val="00383660"/>
    <w:rsid w:val="00383D86"/>
    <w:rsid w:val="00384AF2"/>
    <w:rsid w:val="00384E50"/>
    <w:rsid w:val="00385740"/>
    <w:rsid w:val="00385AFC"/>
    <w:rsid w:val="00386D50"/>
    <w:rsid w:val="00386EDA"/>
    <w:rsid w:val="00386FB7"/>
    <w:rsid w:val="003872DB"/>
    <w:rsid w:val="00387D2C"/>
    <w:rsid w:val="00390A1B"/>
    <w:rsid w:val="00391411"/>
    <w:rsid w:val="00391C59"/>
    <w:rsid w:val="00392DD7"/>
    <w:rsid w:val="0039306D"/>
    <w:rsid w:val="003930D7"/>
    <w:rsid w:val="00393A92"/>
    <w:rsid w:val="003948B1"/>
    <w:rsid w:val="0039498A"/>
    <w:rsid w:val="0039507D"/>
    <w:rsid w:val="00395E98"/>
    <w:rsid w:val="00396E7C"/>
    <w:rsid w:val="003976BA"/>
    <w:rsid w:val="003A11A2"/>
    <w:rsid w:val="003A14EB"/>
    <w:rsid w:val="003A1ED7"/>
    <w:rsid w:val="003A207F"/>
    <w:rsid w:val="003A24C9"/>
    <w:rsid w:val="003A26D8"/>
    <w:rsid w:val="003A2F0F"/>
    <w:rsid w:val="003A2FF1"/>
    <w:rsid w:val="003A3018"/>
    <w:rsid w:val="003A3B8C"/>
    <w:rsid w:val="003A4F5D"/>
    <w:rsid w:val="003A6216"/>
    <w:rsid w:val="003A6998"/>
    <w:rsid w:val="003A7361"/>
    <w:rsid w:val="003A74F8"/>
    <w:rsid w:val="003A7E3E"/>
    <w:rsid w:val="003B05BF"/>
    <w:rsid w:val="003B082F"/>
    <w:rsid w:val="003B089E"/>
    <w:rsid w:val="003B1CBA"/>
    <w:rsid w:val="003B1D83"/>
    <w:rsid w:val="003B2DDC"/>
    <w:rsid w:val="003B3140"/>
    <w:rsid w:val="003B4759"/>
    <w:rsid w:val="003B541C"/>
    <w:rsid w:val="003B7261"/>
    <w:rsid w:val="003B7511"/>
    <w:rsid w:val="003B7AAF"/>
    <w:rsid w:val="003B7E54"/>
    <w:rsid w:val="003B7EE1"/>
    <w:rsid w:val="003C1A7D"/>
    <w:rsid w:val="003C2006"/>
    <w:rsid w:val="003C23D7"/>
    <w:rsid w:val="003C23DC"/>
    <w:rsid w:val="003C2622"/>
    <w:rsid w:val="003C2A91"/>
    <w:rsid w:val="003C2E32"/>
    <w:rsid w:val="003C3568"/>
    <w:rsid w:val="003C4D4F"/>
    <w:rsid w:val="003C4EE1"/>
    <w:rsid w:val="003C514C"/>
    <w:rsid w:val="003C6410"/>
    <w:rsid w:val="003D0740"/>
    <w:rsid w:val="003D0B7B"/>
    <w:rsid w:val="003D0B99"/>
    <w:rsid w:val="003D0C45"/>
    <w:rsid w:val="003D1516"/>
    <w:rsid w:val="003D1999"/>
    <w:rsid w:val="003D2E2E"/>
    <w:rsid w:val="003D3376"/>
    <w:rsid w:val="003D3734"/>
    <w:rsid w:val="003D39A9"/>
    <w:rsid w:val="003D4746"/>
    <w:rsid w:val="003D5BF1"/>
    <w:rsid w:val="003D5F30"/>
    <w:rsid w:val="003D6F71"/>
    <w:rsid w:val="003D71BA"/>
    <w:rsid w:val="003D76AD"/>
    <w:rsid w:val="003E0154"/>
    <w:rsid w:val="003E050B"/>
    <w:rsid w:val="003E116B"/>
    <w:rsid w:val="003E13BE"/>
    <w:rsid w:val="003E1E6F"/>
    <w:rsid w:val="003E25F3"/>
    <w:rsid w:val="003E2980"/>
    <w:rsid w:val="003E2EA3"/>
    <w:rsid w:val="003E3BC9"/>
    <w:rsid w:val="003E3C4F"/>
    <w:rsid w:val="003E3F32"/>
    <w:rsid w:val="003E5457"/>
    <w:rsid w:val="003E6780"/>
    <w:rsid w:val="003E6A82"/>
    <w:rsid w:val="003E7F79"/>
    <w:rsid w:val="003F0493"/>
    <w:rsid w:val="003F07C4"/>
    <w:rsid w:val="003F0A61"/>
    <w:rsid w:val="003F1A3E"/>
    <w:rsid w:val="003F2CAA"/>
    <w:rsid w:val="003F416E"/>
    <w:rsid w:val="003F4BDF"/>
    <w:rsid w:val="003F5EA5"/>
    <w:rsid w:val="003F68AA"/>
    <w:rsid w:val="003F71DC"/>
    <w:rsid w:val="003F7342"/>
    <w:rsid w:val="004006DB"/>
    <w:rsid w:val="00400BAE"/>
    <w:rsid w:val="004026CD"/>
    <w:rsid w:val="00402F54"/>
    <w:rsid w:val="004039F2"/>
    <w:rsid w:val="00405189"/>
    <w:rsid w:val="0040539C"/>
    <w:rsid w:val="00405439"/>
    <w:rsid w:val="00405DC1"/>
    <w:rsid w:val="004062BD"/>
    <w:rsid w:val="004068E6"/>
    <w:rsid w:val="0040762C"/>
    <w:rsid w:val="004078A3"/>
    <w:rsid w:val="00407E5E"/>
    <w:rsid w:val="0041094F"/>
    <w:rsid w:val="00410F7E"/>
    <w:rsid w:val="00411022"/>
    <w:rsid w:val="00411B16"/>
    <w:rsid w:val="00412338"/>
    <w:rsid w:val="004128E2"/>
    <w:rsid w:val="00412970"/>
    <w:rsid w:val="00412D97"/>
    <w:rsid w:val="004140F0"/>
    <w:rsid w:val="00414112"/>
    <w:rsid w:val="00414E15"/>
    <w:rsid w:val="00415073"/>
    <w:rsid w:val="004163F5"/>
    <w:rsid w:val="00417D57"/>
    <w:rsid w:val="00420150"/>
    <w:rsid w:val="00420226"/>
    <w:rsid w:val="0042060C"/>
    <w:rsid w:val="004213B5"/>
    <w:rsid w:val="00421975"/>
    <w:rsid w:val="004235DF"/>
    <w:rsid w:val="00423A79"/>
    <w:rsid w:val="004241D4"/>
    <w:rsid w:val="00425329"/>
    <w:rsid w:val="00426548"/>
    <w:rsid w:val="004270C4"/>
    <w:rsid w:val="00427563"/>
    <w:rsid w:val="004276EF"/>
    <w:rsid w:val="004277B9"/>
    <w:rsid w:val="004307AA"/>
    <w:rsid w:val="00430B3C"/>
    <w:rsid w:val="00430D0E"/>
    <w:rsid w:val="00431B2B"/>
    <w:rsid w:val="00432CF4"/>
    <w:rsid w:val="00433797"/>
    <w:rsid w:val="00433EBE"/>
    <w:rsid w:val="004340A0"/>
    <w:rsid w:val="00434276"/>
    <w:rsid w:val="00434940"/>
    <w:rsid w:val="00435093"/>
    <w:rsid w:val="00435256"/>
    <w:rsid w:val="00435383"/>
    <w:rsid w:val="004358F0"/>
    <w:rsid w:val="00437656"/>
    <w:rsid w:val="00441105"/>
    <w:rsid w:val="00441208"/>
    <w:rsid w:val="00441331"/>
    <w:rsid w:val="00441938"/>
    <w:rsid w:val="00441C6E"/>
    <w:rsid w:val="00441EA0"/>
    <w:rsid w:val="00441EDE"/>
    <w:rsid w:val="004425B8"/>
    <w:rsid w:val="00442DB2"/>
    <w:rsid w:val="00443244"/>
    <w:rsid w:val="004441FB"/>
    <w:rsid w:val="00444C9C"/>
    <w:rsid w:val="004451B8"/>
    <w:rsid w:val="0044546F"/>
    <w:rsid w:val="00445936"/>
    <w:rsid w:val="004476FF"/>
    <w:rsid w:val="00447CCA"/>
    <w:rsid w:val="00450DE2"/>
    <w:rsid w:val="0045100D"/>
    <w:rsid w:val="00452142"/>
    <w:rsid w:val="004526AE"/>
    <w:rsid w:val="00452731"/>
    <w:rsid w:val="00452778"/>
    <w:rsid w:val="00452A10"/>
    <w:rsid w:val="00453754"/>
    <w:rsid w:val="00454126"/>
    <w:rsid w:val="00454F90"/>
    <w:rsid w:val="0045520D"/>
    <w:rsid w:val="00455BA7"/>
    <w:rsid w:val="004562A7"/>
    <w:rsid w:val="004562FA"/>
    <w:rsid w:val="004571B2"/>
    <w:rsid w:val="004574C2"/>
    <w:rsid w:val="00457F7F"/>
    <w:rsid w:val="004602D8"/>
    <w:rsid w:val="00460850"/>
    <w:rsid w:val="004611E4"/>
    <w:rsid w:val="00462203"/>
    <w:rsid w:val="00462BC2"/>
    <w:rsid w:val="0046341F"/>
    <w:rsid w:val="00463F8B"/>
    <w:rsid w:val="00464038"/>
    <w:rsid w:val="004640BC"/>
    <w:rsid w:val="00464345"/>
    <w:rsid w:val="00464AFE"/>
    <w:rsid w:val="0046534A"/>
    <w:rsid w:val="004663FC"/>
    <w:rsid w:val="00467493"/>
    <w:rsid w:val="00467A1F"/>
    <w:rsid w:val="00470CED"/>
    <w:rsid w:val="00471238"/>
    <w:rsid w:val="004718B8"/>
    <w:rsid w:val="00471AEB"/>
    <w:rsid w:val="00472420"/>
    <w:rsid w:val="00475A77"/>
    <w:rsid w:val="00476823"/>
    <w:rsid w:val="00480B03"/>
    <w:rsid w:val="00480F67"/>
    <w:rsid w:val="004814E2"/>
    <w:rsid w:val="00481AAC"/>
    <w:rsid w:val="00482375"/>
    <w:rsid w:val="004825EF"/>
    <w:rsid w:val="004829B2"/>
    <w:rsid w:val="00482D99"/>
    <w:rsid w:val="004834EB"/>
    <w:rsid w:val="004836AE"/>
    <w:rsid w:val="004841B4"/>
    <w:rsid w:val="004846C2"/>
    <w:rsid w:val="004849FF"/>
    <w:rsid w:val="00484C7C"/>
    <w:rsid w:val="004857FC"/>
    <w:rsid w:val="004859E8"/>
    <w:rsid w:val="00487E58"/>
    <w:rsid w:val="0049024C"/>
    <w:rsid w:val="00490C7A"/>
    <w:rsid w:val="00490F7C"/>
    <w:rsid w:val="00491072"/>
    <w:rsid w:val="0049165C"/>
    <w:rsid w:val="00492169"/>
    <w:rsid w:val="00492192"/>
    <w:rsid w:val="00493533"/>
    <w:rsid w:val="00494245"/>
    <w:rsid w:val="0049480B"/>
    <w:rsid w:val="00494D54"/>
    <w:rsid w:val="00495134"/>
    <w:rsid w:val="00495311"/>
    <w:rsid w:val="004955F9"/>
    <w:rsid w:val="004958F0"/>
    <w:rsid w:val="00495A3E"/>
    <w:rsid w:val="00496918"/>
    <w:rsid w:val="00497CBC"/>
    <w:rsid w:val="004A12DB"/>
    <w:rsid w:val="004A19FF"/>
    <w:rsid w:val="004A1C3C"/>
    <w:rsid w:val="004A1DCD"/>
    <w:rsid w:val="004A2B15"/>
    <w:rsid w:val="004A3025"/>
    <w:rsid w:val="004A3EFC"/>
    <w:rsid w:val="004A4021"/>
    <w:rsid w:val="004A493A"/>
    <w:rsid w:val="004A5808"/>
    <w:rsid w:val="004A59FB"/>
    <w:rsid w:val="004A5A64"/>
    <w:rsid w:val="004A5BCE"/>
    <w:rsid w:val="004A7A96"/>
    <w:rsid w:val="004A7B75"/>
    <w:rsid w:val="004B073F"/>
    <w:rsid w:val="004B27FD"/>
    <w:rsid w:val="004B3696"/>
    <w:rsid w:val="004B3894"/>
    <w:rsid w:val="004B3AF1"/>
    <w:rsid w:val="004B3C12"/>
    <w:rsid w:val="004B3F9B"/>
    <w:rsid w:val="004B45D1"/>
    <w:rsid w:val="004B4769"/>
    <w:rsid w:val="004B4BE0"/>
    <w:rsid w:val="004B5248"/>
    <w:rsid w:val="004B627E"/>
    <w:rsid w:val="004B78F5"/>
    <w:rsid w:val="004B7938"/>
    <w:rsid w:val="004B7AF1"/>
    <w:rsid w:val="004B7CE8"/>
    <w:rsid w:val="004C0059"/>
    <w:rsid w:val="004C0DEE"/>
    <w:rsid w:val="004C10D7"/>
    <w:rsid w:val="004C159E"/>
    <w:rsid w:val="004C1EC7"/>
    <w:rsid w:val="004C20A0"/>
    <w:rsid w:val="004C2EE1"/>
    <w:rsid w:val="004C3351"/>
    <w:rsid w:val="004C47E0"/>
    <w:rsid w:val="004C607F"/>
    <w:rsid w:val="004C611E"/>
    <w:rsid w:val="004C68D9"/>
    <w:rsid w:val="004C6CCD"/>
    <w:rsid w:val="004C7DA9"/>
    <w:rsid w:val="004D066D"/>
    <w:rsid w:val="004D112E"/>
    <w:rsid w:val="004D2640"/>
    <w:rsid w:val="004D3C2D"/>
    <w:rsid w:val="004D47B9"/>
    <w:rsid w:val="004D48A2"/>
    <w:rsid w:val="004D4E77"/>
    <w:rsid w:val="004D5DC0"/>
    <w:rsid w:val="004D607D"/>
    <w:rsid w:val="004D62A6"/>
    <w:rsid w:val="004D6955"/>
    <w:rsid w:val="004D7076"/>
    <w:rsid w:val="004D7757"/>
    <w:rsid w:val="004E04A5"/>
    <w:rsid w:val="004E0B3C"/>
    <w:rsid w:val="004E266E"/>
    <w:rsid w:val="004E26BC"/>
    <w:rsid w:val="004E2A3B"/>
    <w:rsid w:val="004E2E17"/>
    <w:rsid w:val="004E330B"/>
    <w:rsid w:val="004E3B8D"/>
    <w:rsid w:val="004E4411"/>
    <w:rsid w:val="004E4EB2"/>
    <w:rsid w:val="004E5BEF"/>
    <w:rsid w:val="004E67F5"/>
    <w:rsid w:val="004E68CF"/>
    <w:rsid w:val="004F004D"/>
    <w:rsid w:val="004F0C57"/>
    <w:rsid w:val="004F1204"/>
    <w:rsid w:val="004F367B"/>
    <w:rsid w:val="004F4059"/>
    <w:rsid w:val="004F4336"/>
    <w:rsid w:val="004F638E"/>
    <w:rsid w:val="004F6A1E"/>
    <w:rsid w:val="004F6BF4"/>
    <w:rsid w:val="004F6E00"/>
    <w:rsid w:val="00500A2E"/>
    <w:rsid w:val="0050157E"/>
    <w:rsid w:val="00502054"/>
    <w:rsid w:val="00502641"/>
    <w:rsid w:val="00502933"/>
    <w:rsid w:val="00502D9F"/>
    <w:rsid w:val="00504C08"/>
    <w:rsid w:val="00505E32"/>
    <w:rsid w:val="00506B71"/>
    <w:rsid w:val="00507603"/>
    <w:rsid w:val="00510D71"/>
    <w:rsid w:val="0051104D"/>
    <w:rsid w:val="0051154F"/>
    <w:rsid w:val="00511741"/>
    <w:rsid w:val="00511D16"/>
    <w:rsid w:val="00511EAB"/>
    <w:rsid w:val="005126B3"/>
    <w:rsid w:val="00512B8D"/>
    <w:rsid w:val="00513DD3"/>
    <w:rsid w:val="00515070"/>
    <w:rsid w:val="00515BFA"/>
    <w:rsid w:val="00515FBA"/>
    <w:rsid w:val="005166D2"/>
    <w:rsid w:val="00517040"/>
    <w:rsid w:val="00517197"/>
    <w:rsid w:val="005204C7"/>
    <w:rsid w:val="00521ED4"/>
    <w:rsid w:val="0052259A"/>
    <w:rsid w:val="0052357D"/>
    <w:rsid w:val="00523D4C"/>
    <w:rsid w:val="0052471B"/>
    <w:rsid w:val="005256E3"/>
    <w:rsid w:val="00525847"/>
    <w:rsid w:val="0052593E"/>
    <w:rsid w:val="00526600"/>
    <w:rsid w:val="00526A83"/>
    <w:rsid w:val="00526E3A"/>
    <w:rsid w:val="0052788A"/>
    <w:rsid w:val="00527A19"/>
    <w:rsid w:val="00530628"/>
    <w:rsid w:val="005308EF"/>
    <w:rsid w:val="00530AFF"/>
    <w:rsid w:val="00532C1A"/>
    <w:rsid w:val="00533011"/>
    <w:rsid w:val="005338BE"/>
    <w:rsid w:val="00533A89"/>
    <w:rsid w:val="005345E9"/>
    <w:rsid w:val="00534BE8"/>
    <w:rsid w:val="0053517E"/>
    <w:rsid w:val="00535D16"/>
    <w:rsid w:val="00535D29"/>
    <w:rsid w:val="0053665B"/>
    <w:rsid w:val="00536BD6"/>
    <w:rsid w:val="00536C9E"/>
    <w:rsid w:val="00537F03"/>
    <w:rsid w:val="0054016D"/>
    <w:rsid w:val="00540311"/>
    <w:rsid w:val="00540C39"/>
    <w:rsid w:val="0054182B"/>
    <w:rsid w:val="00541A76"/>
    <w:rsid w:val="00541C84"/>
    <w:rsid w:val="00542944"/>
    <w:rsid w:val="00542BBE"/>
    <w:rsid w:val="00542FE4"/>
    <w:rsid w:val="005434B7"/>
    <w:rsid w:val="00543BFF"/>
    <w:rsid w:val="0054501B"/>
    <w:rsid w:val="0054527B"/>
    <w:rsid w:val="00545452"/>
    <w:rsid w:val="00546B3E"/>
    <w:rsid w:val="00547609"/>
    <w:rsid w:val="005507EC"/>
    <w:rsid w:val="005519AB"/>
    <w:rsid w:val="0055299F"/>
    <w:rsid w:val="00552ACE"/>
    <w:rsid w:val="0055331D"/>
    <w:rsid w:val="00553B55"/>
    <w:rsid w:val="005541CE"/>
    <w:rsid w:val="00554B79"/>
    <w:rsid w:val="00554D81"/>
    <w:rsid w:val="00554E5F"/>
    <w:rsid w:val="005555D7"/>
    <w:rsid w:val="00555954"/>
    <w:rsid w:val="00555F46"/>
    <w:rsid w:val="005562FD"/>
    <w:rsid w:val="00556944"/>
    <w:rsid w:val="00556ED1"/>
    <w:rsid w:val="0055710C"/>
    <w:rsid w:val="0055736B"/>
    <w:rsid w:val="005604B4"/>
    <w:rsid w:val="0056075A"/>
    <w:rsid w:val="0056075C"/>
    <w:rsid w:val="0056078F"/>
    <w:rsid w:val="005607A5"/>
    <w:rsid w:val="00560E41"/>
    <w:rsid w:val="00560E4A"/>
    <w:rsid w:val="0056152A"/>
    <w:rsid w:val="00561DA9"/>
    <w:rsid w:val="0056201E"/>
    <w:rsid w:val="00562B09"/>
    <w:rsid w:val="005632DA"/>
    <w:rsid w:val="0056394D"/>
    <w:rsid w:val="00563FD0"/>
    <w:rsid w:val="0056548B"/>
    <w:rsid w:val="005654DD"/>
    <w:rsid w:val="005659A1"/>
    <w:rsid w:val="00565B29"/>
    <w:rsid w:val="00566B48"/>
    <w:rsid w:val="0056766F"/>
    <w:rsid w:val="00567BDC"/>
    <w:rsid w:val="0057041D"/>
    <w:rsid w:val="005705F9"/>
    <w:rsid w:val="00572592"/>
    <w:rsid w:val="00573BB8"/>
    <w:rsid w:val="00573FB3"/>
    <w:rsid w:val="005741CF"/>
    <w:rsid w:val="00574C57"/>
    <w:rsid w:val="005752BB"/>
    <w:rsid w:val="005754E6"/>
    <w:rsid w:val="0057588C"/>
    <w:rsid w:val="005759EF"/>
    <w:rsid w:val="005764AE"/>
    <w:rsid w:val="00576AFD"/>
    <w:rsid w:val="005779CE"/>
    <w:rsid w:val="00580E57"/>
    <w:rsid w:val="00581BC7"/>
    <w:rsid w:val="00581EF1"/>
    <w:rsid w:val="00582F5B"/>
    <w:rsid w:val="005835BF"/>
    <w:rsid w:val="0058503A"/>
    <w:rsid w:val="005855C6"/>
    <w:rsid w:val="005862AB"/>
    <w:rsid w:val="00586597"/>
    <w:rsid w:val="005865F5"/>
    <w:rsid w:val="00586D75"/>
    <w:rsid w:val="005872A8"/>
    <w:rsid w:val="00587740"/>
    <w:rsid w:val="0058797D"/>
    <w:rsid w:val="005879F0"/>
    <w:rsid w:val="00587F80"/>
    <w:rsid w:val="0059016B"/>
    <w:rsid w:val="005904D2"/>
    <w:rsid w:val="00590CEA"/>
    <w:rsid w:val="005916E0"/>
    <w:rsid w:val="00591FD9"/>
    <w:rsid w:val="005921B3"/>
    <w:rsid w:val="0059225C"/>
    <w:rsid w:val="00592606"/>
    <w:rsid w:val="00593C9E"/>
    <w:rsid w:val="00595CF9"/>
    <w:rsid w:val="0059736D"/>
    <w:rsid w:val="005978C0"/>
    <w:rsid w:val="005978E9"/>
    <w:rsid w:val="005A0174"/>
    <w:rsid w:val="005A042A"/>
    <w:rsid w:val="005A0A4B"/>
    <w:rsid w:val="005A0A4D"/>
    <w:rsid w:val="005A0DDD"/>
    <w:rsid w:val="005A0E33"/>
    <w:rsid w:val="005A1F4F"/>
    <w:rsid w:val="005A26F7"/>
    <w:rsid w:val="005A28AE"/>
    <w:rsid w:val="005A2BE6"/>
    <w:rsid w:val="005A2CF9"/>
    <w:rsid w:val="005A2FD3"/>
    <w:rsid w:val="005A32EA"/>
    <w:rsid w:val="005A3738"/>
    <w:rsid w:val="005A3B5E"/>
    <w:rsid w:val="005A3D5A"/>
    <w:rsid w:val="005A440A"/>
    <w:rsid w:val="005A5814"/>
    <w:rsid w:val="005A636D"/>
    <w:rsid w:val="005A6563"/>
    <w:rsid w:val="005A780F"/>
    <w:rsid w:val="005B0992"/>
    <w:rsid w:val="005B0BD9"/>
    <w:rsid w:val="005B1206"/>
    <w:rsid w:val="005B17F6"/>
    <w:rsid w:val="005B2B24"/>
    <w:rsid w:val="005B2EEF"/>
    <w:rsid w:val="005B4E96"/>
    <w:rsid w:val="005B6980"/>
    <w:rsid w:val="005B7A19"/>
    <w:rsid w:val="005B7E67"/>
    <w:rsid w:val="005C0250"/>
    <w:rsid w:val="005C14A4"/>
    <w:rsid w:val="005C154E"/>
    <w:rsid w:val="005C1A8A"/>
    <w:rsid w:val="005C20E0"/>
    <w:rsid w:val="005C297E"/>
    <w:rsid w:val="005C365E"/>
    <w:rsid w:val="005C36E3"/>
    <w:rsid w:val="005C3DC2"/>
    <w:rsid w:val="005C4676"/>
    <w:rsid w:val="005C52CD"/>
    <w:rsid w:val="005C701D"/>
    <w:rsid w:val="005D1B27"/>
    <w:rsid w:val="005D2122"/>
    <w:rsid w:val="005D2D33"/>
    <w:rsid w:val="005D3BD6"/>
    <w:rsid w:val="005D3E5B"/>
    <w:rsid w:val="005D4879"/>
    <w:rsid w:val="005D50CC"/>
    <w:rsid w:val="005D52C0"/>
    <w:rsid w:val="005D5622"/>
    <w:rsid w:val="005D5FB7"/>
    <w:rsid w:val="005D6C5A"/>
    <w:rsid w:val="005D7828"/>
    <w:rsid w:val="005D783A"/>
    <w:rsid w:val="005D78ED"/>
    <w:rsid w:val="005E2154"/>
    <w:rsid w:val="005E2BF9"/>
    <w:rsid w:val="005E315E"/>
    <w:rsid w:val="005E3E85"/>
    <w:rsid w:val="005E5246"/>
    <w:rsid w:val="005E6420"/>
    <w:rsid w:val="005E6661"/>
    <w:rsid w:val="005E67A5"/>
    <w:rsid w:val="005E6CB7"/>
    <w:rsid w:val="005E6E53"/>
    <w:rsid w:val="005E72E4"/>
    <w:rsid w:val="005E7B06"/>
    <w:rsid w:val="005F0B51"/>
    <w:rsid w:val="005F21BD"/>
    <w:rsid w:val="005F23E8"/>
    <w:rsid w:val="005F256A"/>
    <w:rsid w:val="005F29BD"/>
    <w:rsid w:val="005F3CC9"/>
    <w:rsid w:val="005F4407"/>
    <w:rsid w:val="005F4AF8"/>
    <w:rsid w:val="005F4EC0"/>
    <w:rsid w:val="005F5BFC"/>
    <w:rsid w:val="005F6138"/>
    <w:rsid w:val="005F6981"/>
    <w:rsid w:val="005F6AE6"/>
    <w:rsid w:val="00601EE7"/>
    <w:rsid w:val="00602234"/>
    <w:rsid w:val="00602371"/>
    <w:rsid w:val="0060307E"/>
    <w:rsid w:val="00604314"/>
    <w:rsid w:val="00604365"/>
    <w:rsid w:val="00604BFA"/>
    <w:rsid w:val="00604D74"/>
    <w:rsid w:val="0060505B"/>
    <w:rsid w:val="006053C8"/>
    <w:rsid w:val="006055EC"/>
    <w:rsid w:val="0060594F"/>
    <w:rsid w:val="0060597E"/>
    <w:rsid w:val="006071DA"/>
    <w:rsid w:val="0060761F"/>
    <w:rsid w:val="0061035F"/>
    <w:rsid w:val="00610F5B"/>
    <w:rsid w:val="00611439"/>
    <w:rsid w:val="00611EED"/>
    <w:rsid w:val="00612112"/>
    <w:rsid w:val="00612DF6"/>
    <w:rsid w:val="00613615"/>
    <w:rsid w:val="00613A29"/>
    <w:rsid w:val="00615161"/>
    <w:rsid w:val="00617A25"/>
    <w:rsid w:val="00617D7C"/>
    <w:rsid w:val="00617EB1"/>
    <w:rsid w:val="0062019C"/>
    <w:rsid w:val="00620364"/>
    <w:rsid w:val="0062059C"/>
    <w:rsid w:val="006208D1"/>
    <w:rsid w:val="00620A56"/>
    <w:rsid w:val="006212F3"/>
    <w:rsid w:val="006218FD"/>
    <w:rsid w:val="00622B7E"/>
    <w:rsid w:val="006231BC"/>
    <w:rsid w:val="00623611"/>
    <w:rsid w:val="006239A9"/>
    <w:rsid w:val="00623B59"/>
    <w:rsid w:val="00623B9D"/>
    <w:rsid w:val="00624A09"/>
    <w:rsid w:val="00624C52"/>
    <w:rsid w:val="006251A0"/>
    <w:rsid w:val="0062729A"/>
    <w:rsid w:val="00627EEE"/>
    <w:rsid w:val="00627FC2"/>
    <w:rsid w:val="00630797"/>
    <w:rsid w:val="00630884"/>
    <w:rsid w:val="00630EF7"/>
    <w:rsid w:val="00631144"/>
    <w:rsid w:val="00631283"/>
    <w:rsid w:val="006314B5"/>
    <w:rsid w:val="006327B1"/>
    <w:rsid w:val="006328F5"/>
    <w:rsid w:val="006345D9"/>
    <w:rsid w:val="00634C9A"/>
    <w:rsid w:val="006350B9"/>
    <w:rsid w:val="0063577B"/>
    <w:rsid w:val="00635B33"/>
    <w:rsid w:val="00635F90"/>
    <w:rsid w:val="006367EB"/>
    <w:rsid w:val="00636A70"/>
    <w:rsid w:val="006371CE"/>
    <w:rsid w:val="00637A9A"/>
    <w:rsid w:val="006400E4"/>
    <w:rsid w:val="0064155C"/>
    <w:rsid w:val="00641573"/>
    <w:rsid w:val="00641B2D"/>
    <w:rsid w:val="00642BFE"/>
    <w:rsid w:val="006432C1"/>
    <w:rsid w:val="006436B9"/>
    <w:rsid w:val="00643F72"/>
    <w:rsid w:val="00644E40"/>
    <w:rsid w:val="00647E5E"/>
    <w:rsid w:val="006511FC"/>
    <w:rsid w:val="00651253"/>
    <w:rsid w:val="00651507"/>
    <w:rsid w:val="00651AD7"/>
    <w:rsid w:val="0065254E"/>
    <w:rsid w:val="00653425"/>
    <w:rsid w:val="0065347D"/>
    <w:rsid w:val="00653AD6"/>
    <w:rsid w:val="00654070"/>
    <w:rsid w:val="00654B4B"/>
    <w:rsid w:val="00654C93"/>
    <w:rsid w:val="00654F49"/>
    <w:rsid w:val="00656113"/>
    <w:rsid w:val="00656816"/>
    <w:rsid w:val="00656B46"/>
    <w:rsid w:val="00656F7E"/>
    <w:rsid w:val="0065759C"/>
    <w:rsid w:val="006575F3"/>
    <w:rsid w:val="00657760"/>
    <w:rsid w:val="00657CDF"/>
    <w:rsid w:val="0066165A"/>
    <w:rsid w:val="00661862"/>
    <w:rsid w:val="00662A5B"/>
    <w:rsid w:val="00662DC6"/>
    <w:rsid w:val="006638BF"/>
    <w:rsid w:val="00665167"/>
    <w:rsid w:val="00667773"/>
    <w:rsid w:val="00667CC6"/>
    <w:rsid w:val="00667DF4"/>
    <w:rsid w:val="00667E3A"/>
    <w:rsid w:val="0067059C"/>
    <w:rsid w:val="0067434B"/>
    <w:rsid w:val="00674D18"/>
    <w:rsid w:val="006759C6"/>
    <w:rsid w:val="00676F13"/>
    <w:rsid w:val="00677248"/>
    <w:rsid w:val="00677A85"/>
    <w:rsid w:val="00677C16"/>
    <w:rsid w:val="00677DD0"/>
    <w:rsid w:val="00677FCD"/>
    <w:rsid w:val="0068253F"/>
    <w:rsid w:val="0068273A"/>
    <w:rsid w:val="00682BC0"/>
    <w:rsid w:val="00683D8D"/>
    <w:rsid w:val="00683DED"/>
    <w:rsid w:val="0068439A"/>
    <w:rsid w:val="0068448E"/>
    <w:rsid w:val="00684957"/>
    <w:rsid w:val="006856FF"/>
    <w:rsid w:val="00685FC3"/>
    <w:rsid w:val="00685FD6"/>
    <w:rsid w:val="006865F1"/>
    <w:rsid w:val="00686E02"/>
    <w:rsid w:val="006906E5"/>
    <w:rsid w:val="00690F4B"/>
    <w:rsid w:val="00691039"/>
    <w:rsid w:val="006911E3"/>
    <w:rsid w:val="006913CA"/>
    <w:rsid w:val="00691690"/>
    <w:rsid w:val="00691879"/>
    <w:rsid w:val="0069236E"/>
    <w:rsid w:val="00692D1D"/>
    <w:rsid w:val="006934D1"/>
    <w:rsid w:val="006936A9"/>
    <w:rsid w:val="006937A7"/>
    <w:rsid w:val="00693D96"/>
    <w:rsid w:val="00694584"/>
    <w:rsid w:val="006948F7"/>
    <w:rsid w:val="006957B4"/>
    <w:rsid w:val="00695E3F"/>
    <w:rsid w:val="00696B9A"/>
    <w:rsid w:val="006972C5"/>
    <w:rsid w:val="00697411"/>
    <w:rsid w:val="00697621"/>
    <w:rsid w:val="006977F2"/>
    <w:rsid w:val="00697C76"/>
    <w:rsid w:val="00697E2F"/>
    <w:rsid w:val="006A002A"/>
    <w:rsid w:val="006A049E"/>
    <w:rsid w:val="006A0C6C"/>
    <w:rsid w:val="006A0D0C"/>
    <w:rsid w:val="006A195E"/>
    <w:rsid w:val="006A1BB7"/>
    <w:rsid w:val="006A2FDD"/>
    <w:rsid w:val="006A3337"/>
    <w:rsid w:val="006A3968"/>
    <w:rsid w:val="006A3AAD"/>
    <w:rsid w:val="006A3BDE"/>
    <w:rsid w:val="006A3C26"/>
    <w:rsid w:val="006A4F35"/>
    <w:rsid w:val="006A5239"/>
    <w:rsid w:val="006A532A"/>
    <w:rsid w:val="006A5C05"/>
    <w:rsid w:val="006A65D8"/>
    <w:rsid w:val="006A662F"/>
    <w:rsid w:val="006A70CE"/>
    <w:rsid w:val="006A717D"/>
    <w:rsid w:val="006A7E25"/>
    <w:rsid w:val="006B0604"/>
    <w:rsid w:val="006B06B0"/>
    <w:rsid w:val="006B0BDD"/>
    <w:rsid w:val="006B2779"/>
    <w:rsid w:val="006B27AB"/>
    <w:rsid w:val="006B2F73"/>
    <w:rsid w:val="006B47CA"/>
    <w:rsid w:val="006B4AFC"/>
    <w:rsid w:val="006B513F"/>
    <w:rsid w:val="006B54D8"/>
    <w:rsid w:val="006B5836"/>
    <w:rsid w:val="006B5E75"/>
    <w:rsid w:val="006B7A0F"/>
    <w:rsid w:val="006B7EC4"/>
    <w:rsid w:val="006C0320"/>
    <w:rsid w:val="006C0B67"/>
    <w:rsid w:val="006C147E"/>
    <w:rsid w:val="006C1D6B"/>
    <w:rsid w:val="006C1D92"/>
    <w:rsid w:val="006C2139"/>
    <w:rsid w:val="006C2E0A"/>
    <w:rsid w:val="006C35CC"/>
    <w:rsid w:val="006C3A8E"/>
    <w:rsid w:val="006C4A4D"/>
    <w:rsid w:val="006C5209"/>
    <w:rsid w:val="006C6CA7"/>
    <w:rsid w:val="006D043F"/>
    <w:rsid w:val="006D0994"/>
    <w:rsid w:val="006D1B31"/>
    <w:rsid w:val="006D1E0A"/>
    <w:rsid w:val="006D35DF"/>
    <w:rsid w:val="006D3EA9"/>
    <w:rsid w:val="006D4108"/>
    <w:rsid w:val="006D410C"/>
    <w:rsid w:val="006D44FB"/>
    <w:rsid w:val="006D476A"/>
    <w:rsid w:val="006D72DA"/>
    <w:rsid w:val="006D776C"/>
    <w:rsid w:val="006E02D6"/>
    <w:rsid w:val="006E3146"/>
    <w:rsid w:val="006E32E6"/>
    <w:rsid w:val="006E3335"/>
    <w:rsid w:val="006E370B"/>
    <w:rsid w:val="006E3993"/>
    <w:rsid w:val="006E3D73"/>
    <w:rsid w:val="006E4C7C"/>
    <w:rsid w:val="006E52A2"/>
    <w:rsid w:val="006E6B2C"/>
    <w:rsid w:val="006E78FB"/>
    <w:rsid w:val="006F00A3"/>
    <w:rsid w:val="006F1BD3"/>
    <w:rsid w:val="006F1D39"/>
    <w:rsid w:val="006F21AE"/>
    <w:rsid w:val="006F2276"/>
    <w:rsid w:val="006F25CD"/>
    <w:rsid w:val="006F26C2"/>
    <w:rsid w:val="006F34C3"/>
    <w:rsid w:val="006F3A8A"/>
    <w:rsid w:val="006F3C89"/>
    <w:rsid w:val="006F4CF9"/>
    <w:rsid w:val="006F6117"/>
    <w:rsid w:val="006F686B"/>
    <w:rsid w:val="006F7ECF"/>
    <w:rsid w:val="007006AA"/>
    <w:rsid w:val="007008D6"/>
    <w:rsid w:val="00701C76"/>
    <w:rsid w:val="00702882"/>
    <w:rsid w:val="00703228"/>
    <w:rsid w:val="007034EC"/>
    <w:rsid w:val="007034F3"/>
    <w:rsid w:val="007046A2"/>
    <w:rsid w:val="0070475B"/>
    <w:rsid w:val="00704B0D"/>
    <w:rsid w:val="00705041"/>
    <w:rsid w:val="0070626C"/>
    <w:rsid w:val="0070701A"/>
    <w:rsid w:val="00707903"/>
    <w:rsid w:val="0070795E"/>
    <w:rsid w:val="00707C25"/>
    <w:rsid w:val="00707CDC"/>
    <w:rsid w:val="0071028E"/>
    <w:rsid w:val="007102D0"/>
    <w:rsid w:val="00710632"/>
    <w:rsid w:val="0071248A"/>
    <w:rsid w:val="007126A8"/>
    <w:rsid w:val="00712A3A"/>
    <w:rsid w:val="00712DFA"/>
    <w:rsid w:val="0071466A"/>
    <w:rsid w:val="007146DE"/>
    <w:rsid w:val="00714CB6"/>
    <w:rsid w:val="00715393"/>
    <w:rsid w:val="00715724"/>
    <w:rsid w:val="00715C0C"/>
    <w:rsid w:val="00716186"/>
    <w:rsid w:val="0071677C"/>
    <w:rsid w:val="00716DEB"/>
    <w:rsid w:val="00717A76"/>
    <w:rsid w:val="00717B35"/>
    <w:rsid w:val="0072065F"/>
    <w:rsid w:val="0072086D"/>
    <w:rsid w:val="00720ABF"/>
    <w:rsid w:val="00722AD4"/>
    <w:rsid w:val="00722CE9"/>
    <w:rsid w:val="00723836"/>
    <w:rsid w:val="00723D74"/>
    <w:rsid w:val="00724007"/>
    <w:rsid w:val="0072412A"/>
    <w:rsid w:val="007243E9"/>
    <w:rsid w:val="00724705"/>
    <w:rsid w:val="00724B53"/>
    <w:rsid w:val="00725554"/>
    <w:rsid w:val="00725DEB"/>
    <w:rsid w:val="0072601D"/>
    <w:rsid w:val="00727C1B"/>
    <w:rsid w:val="007302C3"/>
    <w:rsid w:val="00730F20"/>
    <w:rsid w:val="007313A5"/>
    <w:rsid w:val="007314B3"/>
    <w:rsid w:val="00731D67"/>
    <w:rsid w:val="00732196"/>
    <w:rsid w:val="00733ACC"/>
    <w:rsid w:val="00734CC8"/>
    <w:rsid w:val="00735903"/>
    <w:rsid w:val="00735D94"/>
    <w:rsid w:val="007368D2"/>
    <w:rsid w:val="00736ACB"/>
    <w:rsid w:val="00736B02"/>
    <w:rsid w:val="00740489"/>
    <w:rsid w:val="0074179F"/>
    <w:rsid w:val="00741B4B"/>
    <w:rsid w:val="00741E0A"/>
    <w:rsid w:val="00742274"/>
    <w:rsid w:val="00742CEE"/>
    <w:rsid w:val="007444DC"/>
    <w:rsid w:val="00744C4C"/>
    <w:rsid w:val="00745215"/>
    <w:rsid w:val="00745F23"/>
    <w:rsid w:val="007463B1"/>
    <w:rsid w:val="00746715"/>
    <w:rsid w:val="007473CE"/>
    <w:rsid w:val="00747506"/>
    <w:rsid w:val="00747CFC"/>
    <w:rsid w:val="00750BB8"/>
    <w:rsid w:val="0075123B"/>
    <w:rsid w:val="00751984"/>
    <w:rsid w:val="0075291D"/>
    <w:rsid w:val="00752DEF"/>
    <w:rsid w:val="007535D1"/>
    <w:rsid w:val="007540BE"/>
    <w:rsid w:val="007542A9"/>
    <w:rsid w:val="0075513D"/>
    <w:rsid w:val="00756480"/>
    <w:rsid w:val="00756B7B"/>
    <w:rsid w:val="0075752D"/>
    <w:rsid w:val="00757EB7"/>
    <w:rsid w:val="00760141"/>
    <w:rsid w:val="007607E3"/>
    <w:rsid w:val="00760DCB"/>
    <w:rsid w:val="00761FD5"/>
    <w:rsid w:val="007627FA"/>
    <w:rsid w:val="007646B1"/>
    <w:rsid w:val="00764AD0"/>
    <w:rsid w:val="00765374"/>
    <w:rsid w:val="00767048"/>
    <w:rsid w:val="00770AC0"/>
    <w:rsid w:val="007711EA"/>
    <w:rsid w:val="00772255"/>
    <w:rsid w:val="00772475"/>
    <w:rsid w:val="007724E0"/>
    <w:rsid w:val="00772A65"/>
    <w:rsid w:val="00773640"/>
    <w:rsid w:val="007736F4"/>
    <w:rsid w:val="00773AAF"/>
    <w:rsid w:val="0077411D"/>
    <w:rsid w:val="0077467F"/>
    <w:rsid w:val="0077485E"/>
    <w:rsid w:val="0077495D"/>
    <w:rsid w:val="007752E9"/>
    <w:rsid w:val="00775AFA"/>
    <w:rsid w:val="00775D3F"/>
    <w:rsid w:val="00776D35"/>
    <w:rsid w:val="00776DEF"/>
    <w:rsid w:val="007772AD"/>
    <w:rsid w:val="00777B7A"/>
    <w:rsid w:val="0078050F"/>
    <w:rsid w:val="00780854"/>
    <w:rsid w:val="00782024"/>
    <w:rsid w:val="0078217A"/>
    <w:rsid w:val="007826C6"/>
    <w:rsid w:val="0078281F"/>
    <w:rsid w:val="00782D95"/>
    <w:rsid w:val="00783F04"/>
    <w:rsid w:val="007841A8"/>
    <w:rsid w:val="00784DE9"/>
    <w:rsid w:val="00785962"/>
    <w:rsid w:val="007864CE"/>
    <w:rsid w:val="00786935"/>
    <w:rsid w:val="00786D3A"/>
    <w:rsid w:val="00787762"/>
    <w:rsid w:val="007879BE"/>
    <w:rsid w:val="00787EE5"/>
    <w:rsid w:val="00790109"/>
    <w:rsid w:val="007908F4"/>
    <w:rsid w:val="00791800"/>
    <w:rsid w:val="00791808"/>
    <w:rsid w:val="007920BB"/>
    <w:rsid w:val="007926F4"/>
    <w:rsid w:val="007927F6"/>
    <w:rsid w:val="00792B4C"/>
    <w:rsid w:val="00793A9A"/>
    <w:rsid w:val="007940E8"/>
    <w:rsid w:val="0079438B"/>
    <w:rsid w:val="00796E47"/>
    <w:rsid w:val="00796FD4"/>
    <w:rsid w:val="007978B1"/>
    <w:rsid w:val="007A0E43"/>
    <w:rsid w:val="007A0EC6"/>
    <w:rsid w:val="007A1D13"/>
    <w:rsid w:val="007A2200"/>
    <w:rsid w:val="007A2FF7"/>
    <w:rsid w:val="007A2FFD"/>
    <w:rsid w:val="007A3C08"/>
    <w:rsid w:val="007A414D"/>
    <w:rsid w:val="007A459B"/>
    <w:rsid w:val="007A4F6D"/>
    <w:rsid w:val="007A5BE5"/>
    <w:rsid w:val="007A5DA0"/>
    <w:rsid w:val="007A6306"/>
    <w:rsid w:val="007B09A8"/>
    <w:rsid w:val="007B0BB6"/>
    <w:rsid w:val="007B1F63"/>
    <w:rsid w:val="007B211C"/>
    <w:rsid w:val="007B2486"/>
    <w:rsid w:val="007B2656"/>
    <w:rsid w:val="007B2C45"/>
    <w:rsid w:val="007B45EC"/>
    <w:rsid w:val="007B5A70"/>
    <w:rsid w:val="007B68CE"/>
    <w:rsid w:val="007B6BE0"/>
    <w:rsid w:val="007B727B"/>
    <w:rsid w:val="007C1016"/>
    <w:rsid w:val="007C122B"/>
    <w:rsid w:val="007C25B0"/>
    <w:rsid w:val="007C31EC"/>
    <w:rsid w:val="007C331A"/>
    <w:rsid w:val="007C3B62"/>
    <w:rsid w:val="007C44B9"/>
    <w:rsid w:val="007C4B44"/>
    <w:rsid w:val="007C4DDA"/>
    <w:rsid w:val="007C5646"/>
    <w:rsid w:val="007C57CC"/>
    <w:rsid w:val="007C6E40"/>
    <w:rsid w:val="007C72E3"/>
    <w:rsid w:val="007C7862"/>
    <w:rsid w:val="007C7B86"/>
    <w:rsid w:val="007C7C8C"/>
    <w:rsid w:val="007D00F8"/>
    <w:rsid w:val="007D022D"/>
    <w:rsid w:val="007D0885"/>
    <w:rsid w:val="007D25B6"/>
    <w:rsid w:val="007D375D"/>
    <w:rsid w:val="007D3E82"/>
    <w:rsid w:val="007D4C7D"/>
    <w:rsid w:val="007D626E"/>
    <w:rsid w:val="007D6813"/>
    <w:rsid w:val="007D6C5B"/>
    <w:rsid w:val="007D759D"/>
    <w:rsid w:val="007E0F96"/>
    <w:rsid w:val="007E1B48"/>
    <w:rsid w:val="007E29E2"/>
    <w:rsid w:val="007E4640"/>
    <w:rsid w:val="007E4CD6"/>
    <w:rsid w:val="007E53CB"/>
    <w:rsid w:val="007E5A3F"/>
    <w:rsid w:val="007E5B0B"/>
    <w:rsid w:val="007E5BBD"/>
    <w:rsid w:val="007E6443"/>
    <w:rsid w:val="007E67F1"/>
    <w:rsid w:val="007F0C7E"/>
    <w:rsid w:val="007F0FB8"/>
    <w:rsid w:val="007F2BC3"/>
    <w:rsid w:val="007F2F9F"/>
    <w:rsid w:val="007F4734"/>
    <w:rsid w:val="007F4743"/>
    <w:rsid w:val="007F4FFC"/>
    <w:rsid w:val="007F598A"/>
    <w:rsid w:val="007F5AED"/>
    <w:rsid w:val="007F5EEF"/>
    <w:rsid w:val="007F61A6"/>
    <w:rsid w:val="007F6B6F"/>
    <w:rsid w:val="007F6CA4"/>
    <w:rsid w:val="007F7418"/>
    <w:rsid w:val="007F7449"/>
    <w:rsid w:val="007F78A4"/>
    <w:rsid w:val="007F7A14"/>
    <w:rsid w:val="007F7FF2"/>
    <w:rsid w:val="00800518"/>
    <w:rsid w:val="00800686"/>
    <w:rsid w:val="00800DE7"/>
    <w:rsid w:val="00801D09"/>
    <w:rsid w:val="008020D1"/>
    <w:rsid w:val="00802752"/>
    <w:rsid w:val="00803512"/>
    <w:rsid w:val="00803F79"/>
    <w:rsid w:val="0080461B"/>
    <w:rsid w:val="0080471F"/>
    <w:rsid w:val="00804ADA"/>
    <w:rsid w:val="008051F9"/>
    <w:rsid w:val="0080549E"/>
    <w:rsid w:val="008062EB"/>
    <w:rsid w:val="0080688F"/>
    <w:rsid w:val="00807053"/>
    <w:rsid w:val="0080736A"/>
    <w:rsid w:val="00807D86"/>
    <w:rsid w:val="00810A86"/>
    <w:rsid w:val="00811ED7"/>
    <w:rsid w:val="008125A4"/>
    <w:rsid w:val="0081281C"/>
    <w:rsid w:val="008138C5"/>
    <w:rsid w:val="0081397C"/>
    <w:rsid w:val="00813B19"/>
    <w:rsid w:val="008140A5"/>
    <w:rsid w:val="008140D1"/>
    <w:rsid w:val="0081466C"/>
    <w:rsid w:val="00814F39"/>
    <w:rsid w:val="0081519C"/>
    <w:rsid w:val="008153BF"/>
    <w:rsid w:val="008165F6"/>
    <w:rsid w:val="00816D16"/>
    <w:rsid w:val="008177E4"/>
    <w:rsid w:val="00817847"/>
    <w:rsid w:val="008201DE"/>
    <w:rsid w:val="008209F4"/>
    <w:rsid w:val="00820A0A"/>
    <w:rsid w:val="00820C2F"/>
    <w:rsid w:val="00820D8D"/>
    <w:rsid w:val="008210BE"/>
    <w:rsid w:val="008219CE"/>
    <w:rsid w:val="00821B1E"/>
    <w:rsid w:val="00821D65"/>
    <w:rsid w:val="008228BD"/>
    <w:rsid w:val="00823622"/>
    <w:rsid w:val="00823709"/>
    <w:rsid w:val="00824F9E"/>
    <w:rsid w:val="0082522E"/>
    <w:rsid w:val="00825BB9"/>
    <w:rsid w:val="00826560"/>
    <w:rsid w:val="0082658C"/>
    <w:rsid w:val="008267CF"/>
    <w:rsid w:val="00826856"/>
    <w:rsid w:val="00826AE1"/>
    <w:rsid w:val="00827D08"/>
    <w:rsid w:val="00827E45"/>
    <w:rsid w:val="0083048C"/>
    <w:rsid w:val="008307E2"/>
    <w:rsid w:val="0083097C"/>
    <w:rsid w:val="00830B0A"/>
    <w:rsid w:val="00831AF9"/>
    <w:rsid w:val="00831EE4"/>
    <w:rsid w:val="008329B2"/>
    <w:rsid w:val="00832E25"/>
    <w:rsid w:val="00832E51"/>
    <w:rsid w:val="00833027"/>
    <w:rsid w:val="00833265"/>
    <w:rsid w:val="00833CE0"/>
    <w:rsid w:val="00833E5E"/>
    <w:rsid w:val="00833F55"/>
    <w:rsid w:val="00833F72"/>
    <w:rsid w:val="008341AD"/>
    <w:rsid w:val="0083435C"/>
    <w:rsid w:val="00836749"/>
    <w:rsid w:val="0083685B"/>
    <w:rsid w:val="00837456"/>
    <w:rsid w:val="008400AF"/>
    <w:rsid w:val="00840E6E"/>
    <w:rsid w:val="0084198D"/>
    <w:rsid w:val="00841F8B"/>
    <w:rsid w:val="00842B23"/>
    <w:rsid w:val="00842D09"/>
    <w:rsid w:val="00843299"/>
    <w:rsid w:val="008445E0"/>
    <w:rsid w:val="00844B60"/>
    <w:rsid w:val="00844DD7"/>
    <w:rsid w:val="00845B75"/>
    <w:rsid w:val="00846099"/>
    <w:rsid w:val="008474A4"/>
    <w:rsid w:val="008475CA"/>
    <w:rsid w:val="0085118B"/>
    <w:rsid w:val="0085191F"/>
    <w:rsid w:val="0085367D"/>
    <w:rsid w:val="00853E6D"/>
    <w:rsid w:val="008540F6"/>
    <w:rsid w:val="008550D9"/>
    <w:rsid w:val="00855570"/>
    <w:rsid w:val="008558F3"/>
    <w:rsid w:val="00856191"/>
    <w:rsid w:val="00856E5E"/>
    <w:rsid w:val="00856E60"/>
    <w:rsid w:val="008575B1"/>
    <w:rsid w:val="00857D31"/>
    <w:rsid w:val="008600C1"/>
    <w:rsid w:val="008610B5"/>
    <w:rsid w:val="008615FA"/>
    <w:rsid w:val="00861B77"/>
    <w:rsid w:val="00861C5E"/>
    <w:rsid w:val="00861F55"/>
    <w:rsid w:val="00862194"/>
    <w:rsid w:val="00862D36"/>
    <w:rsid w:val="008648A6"/>
    <w:rsid w:val="008658CF"/>
    <w:rsid w:val="00866913"/>
    <w:rsid w:val="008669D0"/>
    <w:rsid w:val="00867D8B"/>
    <w:rsid w:val="0087042C"/>
    <w:rsid w:val="00870467"/>
    <w:rsid w:val="00870534"/>
    <w:rsid w:val="008706CD"/>
    <w:rsid w:val="0087096C"/>
    <w:rsid w:val="00870EFE"/>
    <w:rsid w:val="00870FA6"/>
    <w:rsid w:val="008717E4"/>
    <w:rsid w:val="00871E9F"/>
    <w:rsid w:val="0087251B"/>
    <w:rsid w:val="00873D9B"/>
    <w:rsid w:val="00874056"/>
    <w:rsid w:val="0087478C"/>
    <w:rsid w:val="00874D81"/>
    <w:rsid w:val="008752DD"/>
    <w:rsid w:val="008768D0"/>
    <w:rsid w:val="00876A50"/>
    <w:rsid w:val="00876C29"/>
    <w:rsid w:val="00876D42"/>
    <w:rsid w:val="00876D63"/>
    <w:rsid w:val="00877265"/>
    <w:rsid w:val="00877A5B"/>
    <w:rsid w:val="00881721"/>
    <w:rsid w:val="00881D19"/>
    <w:rsid w:val="008823F2"/>
    <w:rsid w:val="008825E3"/>
    <w:rsid w:val="00882A33"/>
    <w:rsid w:val="008832BA"/>
    <w:rsid w:val="00883FD9"/>
    <w:rsid w:val="00885089"/>
    <w:rsid w:val="0088533B"/>
    <w:rsid w:val="00886CD3"/>
    <w:rsid w:val="00887D55"/>
    <w:rsid w:val="00890361"/>
    <w:rsid w:val="008909FC"/>
    <w:rsid w:val="00890AA3"/>
    <w:rsid w:val="00890C7A"/>
    <w:rsid w:val="00891CB6"/>
    <w:rsid w:val="0089273B"/>
    <w:rsid w:val="0089292C"/>
    <w:rsid w:val="00892CB5"/>
    <w:rsid w:val="00893BCB"/>
    <w:rsid w:val="00894249"/>
    <w:rsid w:val="00895923"/>
    <w:rsid w:val="008974B3"/>
    <w:rsid w:val="008977DF"/>
    <w:rsid w:val="00897AD3"/>
    <w:rsid w:val="008A0698"/>
    <w:rsid w:val="008A1BA3"/>
    <w:rsid w:val="008A1C96"/>
    <w:rsid w:val="008A2194"/>
    <w:rsid w:val="008A30C1"/>
    <w:rsid w:val="008A36CA"/>
    <w:rsid w:val="008A3A1D"/>
    <w:rsid w:val="008A3BFF"/>
    <w:rsid w:val="008A5640"/>
    <w:rsid w:val="008A56CC"/>
    <w:rsid w:val="008A5B0E"/>
    <w:rsid w:val="008A5E79"/>
    <w:rsid w:val="008A5F3B"/>
    <w:rsid w:val="008A6795"/>
    <w:rsid w:val="008A6DA3"/>
    <w:rsid w:val="008A6E21"/>
    <w:rsid w:val="008A6E76"/>
    <w:rsid w:val="008A7320"/>
    <w:rsid w:val="008A77F7"/>
    <w:rsid w:val="008A7D1E"/>
    <w:rsid w:val="008B10AB"/>
    <w:rsid w:val="008B2B4B"/>
    <w:rsid w:val="008B2C16"/>
    <w:rsid w:val="008B2F7F"/>
    <w:rsid w:val="008B34B8"/>
    <w:rsid w:val="008B3F49"/>
    <w:rsid w:val="008B40B6"/>
    <w:rsid w:val="008B4D40"/>
    <w:rsid w:val="008B53B8"/>
    <w:rsid w:val="008B5BD1"/>
    <w:rsid w:val="008B5CBE"/>
    <w:rsid w:val="008B6724"/>
    <w:rsid w:val="008B68E6"/>
    <w:rsid w:val="008B68FE"/>
    <w:rsid w:val="008B7191"/>
    <w:rsid w:val="008C09C8"/>
    <w:rsid w:val="008C0DD6"/>
    <w:rsid w:val="008C0F2C"/>
    <w:rsid w:val="008C15FF"/>
    <w:rsid w:val="008C302C"/>
    <w:rsid w:val="008C3EBF"/>
    <w:rsid w:val="008C7EE0"/>
    <w:rsid w:val="008D11A7"/>
    <w:rsid w:val="008D155D"/>
    <w:rsid w:val="008D26DB"/>
    <w:rsid w:val="008D3093"/>
    <w:rsid w:val="008D30A7"/>
    <w:rsid w:val="008D3AAE"/>
    <w:rsid w:val="008D3ED4"/>
    <w:rsid w:val="008D3FAD"/>
    <w:rsid w:val="008D4357"/>
    <w:rsid w:val="008D6212"/>
    <w:rsid w:val="008D65D4"/>
    <w:rsid w:val="008D6636"/>
    <w:rsid w:val="008D6A75"/>
    <w:rsid w:val="008E03E2"/>
    <w:rsid w:val="008E0748"/>
    <w:rsid w:val="008E0ED9"/>
    <w:rsid w:val="008E1284"/>
    <w:rsid w:val="008E2896"/>
    <w:rsid w:val="008E3BBE"/>
    <w:rsid w:val="008E4579"/>
    <w:rsid w:val="008E4B88"/>
    <w:rsid w:val="008E53D7"/>
    <w:rsid w:val="008E5B12"/>
    <w:rsid w:val="008E68A4"/>
    <w:rsid w:val="008E704E"/>
    <w:rsid w:val="008E70A2"/>
    <w:rsid w:val="008E72CB"/>
    <w:rsid w:val="008E735B"/>
    <w:rsid w:val="008E76D3"/>
    <w:rsid w:val="008E79CC"/>
    <w:rsid w:val="008F05DC"/>
    <w:rsid w:val="008F14B1"/>
    <w:rsid w:val="008F1EAC"/>
    <w:rsid w:val="008F245A"/>
    <w:rsid w:val="008F34AA"/>
    <w:rsid w:val="008F3CFB"/>
    <w:rsid w:val="008F447F"/>
    <w:rsid w:val="008F51CA"/>
    <w:rsid w:val="008F5725"/>
    <w:rsid w:val="008F63C4"/>
    <w:rsid w:val="008F658D"/>
    <w:rsid w:val="008F73BD"/>
    <w:rsid w:val="008F7C06"/>
    <w:rsid w:val="00900A87"/>
    <w:rsid w:val="009013CC"/>
    <w:rsid w:val="0090141E"/>
    <w:rsid w:val="009015D1"/>
    <w:rsid w:val="00901855"/>
    <w:rsid w:val="0090401E"/>
    <w:rsid w:val="00904A48"/>
    <w:rsid w:val="00906B25"/>
    <w:rsid w:val="009075F4"/>
    <w:rsid w:val="009079E2"/>
    <w:rsid w:val="0091018C"/>
    <w:rsid w:val="00911313"/>
    <w:rsid w:val="00911D9C"/>
    <w:rsid w:val="00913856"/>
    <w:rsid w:val="009140E4"/>
    <w:rsid w:val="00914435"/>
    <w:rsid w:val="00914BD3"/>
    <w:rsid w:val="00916328"/>
    <w:rsid w:val="00917550"/>
    <w:rsid w:val="009175E5"/>
    <w:rsid w:val="009177A4"/>
    <w:rsid w:val="00917817"/>
    <w:rsid w:val="009205F1"/>
    <w:rsid w:val="00920638"/>
    <w:rsid w:val="00920B4F"/>
    <w:rsid w:val="009210D2"/>
    <w:rsid w:val="009215E5"/>
    <w:rsid w:val="00922763"/>
    <w:rsid w:val="009230E7"/>
    <w:rsid w:val="00924771"/>
    <w:rsid w:val="00924810"/>
    <w:rsid w:val="00924FC9"/>
    <w:rsid w:val="00925275"/>
    <w:rsid w:val="00925A66"/>
    <w:rsid w:val="0092646F"/>
    <w:rsid w:val="00926F05"/>
    <w:rsid w:val="00930382"/>
    <w:rsid w:val="00930C54"/>
    <w:rsid w:val="00931DBA"/>
    <w:rsid w:val="0093246C"/>
    <w:rsid w:val="00932CE2"/>
    <w:rsid w:val="009337A4"/>
    <w:rsid w:val="00933DD6"/>
    <w:rsid w:val="009340CD"/>
    <w:rsid w:val="00934A01"/>
    <w:rsid w:val="00934FBC"/>
    <w:rsid w:val="00935594"/>
    <w:rsid w:val="00935B6E"/>
    <w:rsid w:val="009362EE"/>
    <w:rsid w:val="00936F02"/>
    <w:rsid w:val="00937CBF"/>
    <w:rsid w:val="00940217"/>
    <w:rsid w:val="00940335"/>
    <w:rsid w:val="0094050F"/>
    <w:rsid w:val="00940860"/>
    <w:rsid w:val="0094144E"/>
    <w:rsid w:val="00942A6B"/>
    <w:rsid w:val="00942B12"/>
    <w:rsid w:val="00943A41"/>
    <w:rsid w:val="0094408E"/>
    <w:rsid w:val="00944CEF"/>
    <w:rsid w:val="00944D63"/>
    <w:rsid w:val="0094633F"/>
    <w:rsid w:val="00946A60"/>
    <w:rsid w:val="009470EA"/>
    <w:rsid w:val="00947EA6"/>
    <w:rsid w:val="009506A9"/>
    <w:rsid w:val="00950B8D"/>
    <w:rsid w:val="009518AD"/>
    <w:rsid w:val="0095242A"/>
    <w:rsid w:val="0095261A"/>
    <w:rsid w:val="009544F9"/>
    <w:rsid w:val="00955912"/>
    <w:rsid w:val="00956179"/>
    <w:rsid w:val="009568FD"/>
    <w:rsid w:val="00956A6C"/>
    <w:rsid w:val="0095758D"/>
    <w:rsid w:val="009576DA"/>
    <w:rsid w:val="00960552"/>
    <w:rsid w:val="009609A7"/>
    <w:rsid w:val="00960FBA"/>
    <w:rsid w:val="009613E4"/>
    <w:rsid w:val="00961E52"/>
    <w:rsid w:val="00962149"/>
    <w:rsid w:val="00962360"/>
    <w:rsid w:val="009639C8"/>
    <w:rsid w:val="009643FA"/>
    <w:rsid w:val="0096520B"/>
    <w:rsid w:val="0096564D"/>
    <w:rsid w:val="0096565C"/>
    <w:rsid w:val="00965C8F"/>
    <w:rsid w:val="00966029"/>
    <w:rsid w:val="00966ED8"/>
    <w:rsid w:val="0096751D"/>
    <w:rsid w:val="0097068F"/>
    <w:rsid w:val="00972E6B"/>
    <w:rsid w:val="0097411B"/>
    <w:rsid w:val="0097425E"/>
    <w:rsid w:val="009745D6"/>
    <w:rsid w:val="00974E8C"/>
    <w:rsid w:val="009752FE"/>
    <w:rsid w:val="009759B9"/>
    <w:rsid w:val="00975EC9"/>
    <w:rsid w:val="00976106"/>
    <w:rsid w:val="0097736E"/>
    <w:rsid w:val="00977B07"/>
    <w:rsid w:val="00977D66"/>
    <w:rsid w:val="00977E71"/>
    <w:rsid w:val="0098029D"/>
    <w:rsid w:val="00981A6B"/>
    <w:rsid w:val="009820BC"/>
    <w:rsid w:val="009829F2"/>
    <w:rsid w:val="00982D3C"/>
    <w:rsid w:val="00983560"/>
    <w:rsid w:val="009839A8"/>
    <w:rsid w:val="00983B86"/>
    <w:rsid w:val="0098414E"/>
    <w:rsid w:val="009847DB"/>
    <w:rsid w:val="00984E33"/>
    <w:rsid w:val="00986456"/>
    <w:rsid w:val="00986F8E"/>
    <w:rsid w:val="00987765"/>
    <w:rsid w:val="009878DD"/>
    <w:rsid w:val="00987BF5"/>
    <w:rsid w:val="00987CB2"/>
    <w:rsid w:val="00987E55"/>
    <w:rsid w:val="0099003B"/>
    <w:rsid w:val="00990A98"/>
    <w:rsid w:val="009914EA"/>
    <w:rsid w:val="0099253A"/>
    <w:rsid w:val="00993022"/>
    <w:rsid w:val="009941FB"/>
    <w:rsid w:val="00994780"/>
    <w:rsid w:val="00994948"/>
    <w:rsid w:val="0099677E"/>
    <w:rsid w:val="00996D21"/>
    <w:rsid w:val="00997BDC"/>
    <w:rsid w:val="009A044A"/>
    <w:rsid w:val="009A0662"/>
    <w:rsid w:val="009A1AB3"/>
    <w:rsid w:val="009A2F31"/>
    <w:rsid w:val="009A3354"/>
    <w:rsid w:val="009A356C"/>
    <w:rsid w:val="009A39A4"/>
    <w:rsid w:val="009A3F64"/>
    <w:rsid w:val="009A51FF"/>
    <w:rsid w:val="009A59B4"/>
    <w:rsid w:val="009A60F3"/>
    <w:rsid w:val="009A791A"/>
    <w:rsid w:val="009B0302"/>
    <w:rsid w:val="009B05F8"/>
    <w:rsid w:val="009B1143"/>
    <w:rsid w:val="009B16A8"/>
    <w:rsid w:val="009B1C7F"/>
    <w:rsid w:val="009B1F8F"/>
    <w:rsid w:val="009B2402"/>
    <w:rsid w:val="009B2B3D"/>
    <w:rsid w:val="009B2E23"/>
    <w:rsid w:val="009B3398"/>
    <w:rsid w:val="009B3B23"/>
    <w:rsid w:val="009B3BD8"/>
    <w:rsid w:val="009B3EA8"/>
    <w:rsid w:val="009B5DFB"/>
    <w:rsid w:val="009B6AD5"/>
    <w:rsid w:val="009B7301"/>
    <w:rsid w:val="009B7852"/>
    <w:rsid w:val="009C08C3"/>
    <w:rsid w:val="009C106C"/>
    <w:rsid w:val="009C177C"/>
    <w:rsid w:val="009C199E"/>
    <w:rsid w:val="009C44D2"/>
    <w:rsid w:val="009C48D5"/>
    <w:rsid w:val="009C593E"/>
    <w:rsid w:val="009C6D66"/>
    <w:rsid w:val="009C6EC8"/>
    <w:rsid w:val="009C6EF7"/>
    <w:rsid w:val="009C780B"/>
    <w:rsid w:val="009C7EC0"/>
    <w:rsid w:val="009D0560"/>
    <w:rsid w:val="009D0D80"/>
    <w:rsid w:val="009D104B"/>
    <w:rsid w:val="009D1DCD"/>
    <w:rsid w:val="009D24EF"/>
    <w:rsid w:val="009D2B87"/>
    <w:rsid w:val="009D30D6"/>
    <w:rsid w:val="009D35FC"/>
    <w:rsid w:val="009D3F7F"/>
    <w:rsid w:val="009D4760"/>
    <w:rsid w:val="009D4A76"/>
    <w:rsid w:val="009D64AD"/>
    <w:rsid w:val="009D6589"/>
    <w:rsid w:val="009D6711"/>
    <w:rsid w:val="009D7B85"/>
    <w:rsid w:val="009E0441"/>
    <w:rsid w:val="009E1181"/>
    <w:rsid w:val="009E1A93"/>
    <w:rsid w:val="009E1EFB"/>
    <w:rsid w:val="009E1F6B"/>
    <w:rsid w:val="009E26E8"/>
    <w:rsid w:val="009E2784"/>
    <w:rsid w:val="009E2C85"/>
    <w:rsid w:val="009E5589"/>
    <w:rsid w:val="009E6B15"/>
    <w:rsid w:val="009E6E7C"/>
    <w:rsid w:val="009E7453"/>
    <w:rsid w:val="009E78A0"/>
    <w:rsid w:val="009E7EAC"/>
    <w:rsid w:val="009F0237"/>
    <w:rsid w:val="009F051C"/>
    <w:rsid w:val="009F0554"/>
    <w:rsid w:val="009F0B73"/>
    <w:rsid w:val="009F0CDB"/>
    <w:rsid w:val="009F29E1"/>
    <w:rsid w:val="009F2A0C"/>
    <w:rsid w:val="009F2EEB"/>
    <w:rsid w:val="009F2F76"/>
    <w:rsid w:val="009F30CF"/>
    <w:rsid w:val="009F482D"/>
    <w:rsid w:val="009F530D"/>
    <w:rsid w:val="009F5F24"/>
    <w:rsid w:val="009F5FCB"/>
    <w:rsid w:val="009F64FA"/>
    <w:rsid w:val="009F67A3"/>
    <w:rsid w:val="009F6CFD"/>
    <w:rsid w:val="009F7125"/>
    <w:rsid w:val="009F76E3"/>
    <w:rsid w:val="00A006FC"/>
    <w:rsid w:val="00A01F9D"/>
    <w:rsid w:val="00A031D5"/>
    <w:rsid w:val="00A0341F"/>
    <w:rsid w:val="00A0347B"/>
    <w:rsid w:val="00A03B58"/>
    <w:rsid w:val="00A03D60"/>
    <w:rsid w:val="00A0409E"/>
    <w:rsid w:val="00A05027"/>
    <w:rsid w:val="00A05E62"/>
    <w:rsid w:val="00A0665B"/>
    <w:rsid w:val="00A06BF9"/>
    <w:rsid w:val="00A07811"/>
    <w:rsid w:val="00A078A7"/>
    <w:rsid w:val="00A07E59"/>
    <w:rsid w:val="00A10037"/>
    <w:rsid w:val="00A10410"/>
    <w:rsid w:val="00A10A10"/>
    <w:rsid w:val="00A12577"/>
    <w:rsid w:val="00A1339A"/>
    <w:rsid w:val="00A13477"/>
    <w:rsid w:val="00A1431C"/>
    <w:rsid w:val="00A146D5"/>
    <w:rsid w:val="00A14DCC"/>
    <w:rsid w:val="00A15E1F"/>
    <w:rsid w:val="00A163C5"/>
    <w:rsid w:val="00A16545"/>
    <w:rsid w:val="00A1681B"/>
    <w:rsid w:val="00A17206"/>
    <w:rsid w:val="00A17BDD"/>
    <w:rsid w:val="00A20E4D"/>
    <w:rsid w:val="00A21599"/>
    <w:rsid w:val="00A22CEA"/>
    <w:rsid w:val="00A23046"/>
    <w:rsid w:val="00A239EC"/>
    <w:rsid w:val="00A23DC7"/>
    <w:rsid w:val="00A24A0F"/>
    <w:rsid w:val="00A24C5E"/>
    <w:rsid w:val="00A25924"/>
    <w:rsid w:val="00A25BD2"/>
    <w:rsid w:val="00A2728C"/>
    <w:rsid w:val="00A27A42"/>
    <w:rsid w:val="00A27D5E"/>
    <w:rsid w:val="00A306FB"/>
    <w:rsid w:val="00A30C8E"/>
    <w:rsid w:val="00A31BA0"/>
    <w:rsid w:val="00A31BD4"/>
    <w:rsid w:val="00A32AB3"/>
    <w:rsid w:val="00A32CE4"/>
    <w:rsid w:val="00A340A2"/>
    <w:rsid w:val="00A346A3"/>
    <w:rsid w:val="00A34B62"/>
    <w:rsid w:val="00A34F6D"/>
    <w:rsid w:val="00A362F1"/>
    <w:rsid w:val="00A36312"/>
    <w:rsid w:val="00A36F94"/>
    <w:rsid w:val="00A408F3"/>
    <w:rsid w:val="00A40C60"/>
    <w:rsid w:val="00A40DB0"/>
    <w:rsid w:val="00A4220F"/>
    <w:rsid w:val="00A43F6F"/>
    <w:rsid w:val="00A4521F"/>
    <w:rsid w:val="00A45820"/>
    <w:rsid w:val="00A46C5B"/>
    <w:rsid w:val="00A47305"/>
    <w:rsid w:val="00A504FF"/>
    <w:rsid w:val="00A50836"/>
    <w:rsid w:val="00A50C44"/>
    <w:rsid w:val="00A50C8F"/>
    <w:rsid w:val="00A5136C"/>
    <w:rsid w:val="00A52978"/>
    <w:rsid w:val="00A5374B"/>
    <w:rsid w:val="00A53959"/>
    <w:rsid w:val="00A53E80"/>
    <w:rsid w:val="00A54270"/>
    <w:rsid w:val="00A54FED"/>
    <w:rsid w:val="00A55337"/>
    <w:rsid w:val="00A561D8"/>
    <w:rsid w:val="00A561EC"/>
    <w:rsid w:val="00A5678E"/>
    <w:rsid w:val="00A579B7"/>
    <w:rsid w:val="00A57DB0"/>
    <w:rsid w:val="00A60A31"/>
    <w:rsid w:val="00A61059"/>
    <w:rsid w:val="00A610A4"/>
    <w:rsid w:val="00A613E8"/>
    <w:rsid w:val="00A61649"/>
    <w:rsid w:val="00A61FAA"/>
    <w:rsid w:val="00A6289F"/>
    <w:rsid w:val="00A63261"/>
    <w:rsid w:val="00A6363B"/>
    <w:rsid w:val="00A642DD"/>
    <w:rsid w:val="00A645CA"/>
    <w:rsid w:val="00A64E7C"/>
    <w:rsid w:val="00A65FF8"/>
    <w:rsid w:val="00A6637C"/>
    <w:rsid w:val="00A66CEC"/>
    <w:rsid w:val="00A66EF1"/>
    <w:rsid w:val="00A718E0"/>
    <w:rsid w:val="00A724AE"/>
    <w:rsid w:val="00A72BA2"/>
    <w:rsid w:val="00A73233"/>
    <w:rsid w:val="00A7414C"/>
    <w:rsid w:val="00A74314"/>
    <w:rsid w:val="00A744D4"/>
    <w:rsid w:val="00A7533E"/>
    <w:rsid w:val="00A75354"/>
    <w:rsid w:val="00A76A3D"/>
    <w:rsid w:val="00A76C2F"/>
    <w:rsid w:val="00A77298"/>
    <w:rsid w:val="00A819E3"/>
    <w:rsid w:val="00A81B1B"/>
    <w:rsid w:val="00A81E7F"/>
    <w:rsid w:val="00A81E91"/>
    <w:rsid w:val="00A821B6"/>
    <w:rsid w:val="00A82624"/>
    <w:rsid w:val="00A829A2"/>
    <w:rsid w:val="00A82C69"/>
    <w:rsid w:val="00A832C5"/>
    <w:rsid w:val="00A83378"/>
    <w:rsid w:val="00A839E4"/>
    <w:rsid w:val="00A8402E"/>
    <w:rsid w:val="00A8484B"/>
    <w:rsid w:val="00A84A50"/>
    <w:rsid w:val="00A863B3"/>
    <w:rsid w:val="00A86FE0"/>
    <w:rsid w:val="00A870B4"/>
    <w:rsid w:val="00A8795B"/>
    <w:rsid w:val="00A903B3"/>
    <w:rsid w:val="00A905A0"/>
    <w:rsid w:val="00A9165C"/>
    <w:rsid w:val="00A93035"/>
    <w:rsid w:val="00A93123"/>
    <w:rsid w:val="00A93A19"/>
    <w:rsid w:val="00A95385"/>
    <w:rsid w:val="00A9572C"/>
    <w:rsid w:val="00A96D86"/>
    <w:rsid w:val="00A970A2"/>
    <w:rsid w:val="00A9786B"/>
    <w:rsid w:val="00A97CD7"/>
    <w:rsid w:val="00AA05C1"/>
    <w:rsid w:val="00AA0A49"/>
    <w:rsid w:val="00AA1D3E"/>
    <w:rsid w:val="00AA2B0C"/>
    <w:rsid w:val="00AA2E0E"/>
    <w:rsid w:val="00AA31E5"/>
    <w:rsid w:val="00AA3550"/>
    <w:rsid w:val="00AA396A"/>
    <w:rsid w:val="00AA3FE3"/>
    <w:rsid w:val="00AA46F3"/>
    <w:rsid w:val="00AA53B1"/>
    <w:rsid w:val="00AA6BD9"/>
    <w:rsid w:val="00AB0161"/>
    <w:rsid w:val="00AB1691"/>
    <w:rsid w:val="00AB1A6C"/>
    <w:rsid w:val="00AB1A8A"/>
    <w:rsid w:val="00AB27BE"/>
    <w:rsid w:val="00AB27E6"/>
    <w:rsid w:val="00AB2D59"/>
    <w:rsid w:val="00AB3C9F"/>
    <w:rsid w:val="00AB3D30"/>
    <w:rsid w:val="00AB42C2"/>
    <w:rsid w:val="00AB4336"/>
    <w:rsid w:val="00AB47C6"/>
    <w:rsid w:val="00AB606E"/>
    <w:rsid w:val="00AB611B"/>
    <w:rsid w:val="00AB6199"/>
    <w:rsid w:val="00AC16C0"/>
    <w:rsid w:val="00AC3361"/>
    <w:rsid w:val="00AC373D"/>
    <w:rsid w:val="00AC38DA"/>
    <w:rsid w:val="00AC3A62"/>
    <w:rsid w:val="00AC3AAB"/>
    <w:rsid w:val="00AC3E4D"/>
    <w:rsid w:val="00AC45B2"/>
    <w:rsid w:val="00AC5ECB"/>
    <w:rsid w:val="00AC606C"/>
    <w:rsid w:val="00AC68ED"/>
    <w:rsid w:val="00AC6C30"/>
    <w:rsid w:val="00AC76E5"/>
    <w:rsid w:val="00AD0045"/>
    <w:rsid w:val="00AD004B"/>
    <w:rsid w:val="00AD02A6"/>
    <w:rsid w:val="00AD1524"/>
    <w:rsid w:val="00AD1F6C"/>
    <w:rsid w:val="00AD1FFC"/>
    <w:rsid w:val="00AD211E"/>
    <w:rsid w:val="00AD2A9B"/>
    <w:rsid w:val="00AD3A17"/>
    <w:rsid w:val="00AD3C98"/>
    <w:rsid w:val="00AD3D9F"/>
    <w:rsid w:val="00AD5432"/>
    <w:rsid w:val="00AD6325"/>
    <w:rsid w:val="00AD6D38"/>
    <w:rsid w:val="00AE024C"/>
    <w:rsid w:val="00AE033E"/>
    <w:rsid w:val="00AE0AD9"/>
    <w:rsid w:val="00AE0E42"/>
    <w:rsid w:val="00AE0FF4"/>
    <w:rsid w:val="00AE1535"/>
    <w:rsid w:val="00AE273D"/>
    <w:rsid w:val="00AE285D"/>
    <w:rsid w:val="00AE2D66"/>
    <w:rsid w:val="00AE5909"/>
    <w:rsid w:val="00AE5AD7"/>
    <w:rsid w:val="00AE61A4"/>
    <w:rsid w:val="00AE772F"/>
    <w:rsid w:val="00AE7945"/>
    <w:rsid w:val="00AE79C6"/>
    <w:rsid w:val="00AF00E0"/>
    <w:rsid w:val="00AF02F1"/>
    <w:rsid w:val="00AF0364"/>
    <w:rsid w:val="00AF0B19"/>
    <w:rsid w:val="00AF10EF"/>
    <w:rsid w:val="00AF1100"/>
    <w:rsid w:val="00AF1652"/>
    <w:rsid w:val="00AF2086"/>
    <w:rsid w:val="00AF20D4"/>
    <w:rsid w:val="00AF25FA"/>
    <w:rsid w:val="00AF3809"/>
    <w:rsid w:val="00AF3C0E"/>
    <w:rsid w:val="00AF3F48"/>
    <w:rsid w:val="00AF400D"/>
    <w:rsid w:val="00AF41B1"/>
    <w:rsid w:val="00AF42AF"/>
    <w:rsid w:val="00AF4336"/>
    <w:rsid w:val="00AF44C2"/>
    <w:rsid w:val="00AF5051"/>
    <w:rsid w:val="00AF51D9"/>
    <w:rsid w:val="00AF5B75"/>
    <w:rsid w:val="00AF6932"/>
    <w:rsid w:val="00AF6C63"/>
    <w:rsid w:val="00AF6EE0"/>
    <w:rsid w:val="00AF7039"/>
    <w:rsid w:val="00AF70A8"/>
    <w:rsid w:val="00AF7D82"/>
    <w:rsid w:val="00B0022E"/>
    <w:rsid w:val="00B01224"/>
    <w:rsid w:val="00B01748"/>
    <w:rsid w:val="00B0262A"/>
    <w:rsid w:val="00B02821"/>
    <w:rsid w:val="00B02B86"/>
    <w:rsid w:val="00B02CBF"/>
    <w:rsid w:val="00B031E5"/>
    <w:rsid w:val="00B03413"/>
    <w:rsid w:val="00B03C30"/>
    <w:rsid w:val="00B0482A"/>
    <w:rsid w:val="00B04FEE"/>
    <w:rsid w:val="00B05C1F"/>
    <w:rsid w:val="00B0697B"/>
    <w:rsid w:val="00B0748F"/>
    <w:rsid w:val="00B07657"/>
    <w:rsid w:val="00B10659"/>
    <w:rsid w:val="00B10E4C"/>
    <w:rsid w:val="00B113BA"/>
    <w:rsid w:val="00B11D17"/>
    <w:rsid w:val="00B12264"/>
    <w:rsid w:val="00B1268D"/>
    <w:rsid w:val="00B12F3A"/>
    <w:rsid w:val="00B13233"/>
    <w:rsid w:val="00B134A3"/>
    <w:rsid w:val="00B13AA3"/>
    <w:rsid w:val="00B13FD5"/>
    <w:rsid w:val="00B147AD"/>
    <w:rsid w:val="00B14EB0"/>
    <w:rsid w:val="00B15070"/>
    <w:rsid w:val="00B15303"/>
    <w:rsid w:val="00B1562E"/>
    <w:rsid w:val="00B1652E"/>
    <w:rsid w:val="00B1696E"/>
    <w:rsid w:val="00B16C66"/>
    <w:rsid w:val="00B1704E"/>
    <w:rsid w:val="00B17ABC"/>
    <w:rsid w:val="00B211A0"/>
    <w:rsid w:val="00B222E4"/>
    <w:rsid w:val="00B23377"/>
    <w:rsid w:val="00B2338A"/>
    <w:rsid w:val="00B2478A"/>
    <w:rsid w:val="00B248CD"/>
    <w:rsid w:val="00B253CD"/>
    <w:rsid w:val="00B256F0"/>
    <w:rsid w:val="00B25CAA"/>
    <w:rsid w:val="00B25CD5"/>
    <w:rsid w:val="00B26740"/>
    <w:rsid w:val="00B278AF"/>
    <w:rsid w:val="00B27E68"/>
    <w:rsid w:val="00B30152"/>
    <w:rsid w:val="00B30F28"/>
    <w:rsid w:val="00B3126C"/>
    <w:rsid w:val="00B31D58"/>
    <w:rsid w:val="00B323B3"/>
    <w:rsid w:val="00B32731"/>
    <w:rsid w:val="00B32A1B"/>
    <w:rsid w:val="00B32F8E"/>
    <w:rsid w:val="00B3349E"/>
    <w:rsid w:val="00B341A5"/>
    <w:rsid w:val="00B34809"/>
    <w:rsid w:val="00B34B07"/>
    <w:rsid w:val="00B35786"/>
    <w:rsid w:val="00B35906"/>
    <w:rsid w:val="00B378B2"/>
    <w:rsid w:val="00B37D87"/>
    <w:rsid w:val="00B40D82"/>
    <w:rsid w:val="00B41089"/>
    <w:rsid w:val="00B41101"/>
    <w:rsid w:val="00B41336"/>
    <w:rsid w:val="00B41A3B"/>
    <w:rsid w:val="00B426C2"/>
    <w:rsid w:val="00B428C6"/>
    <w:rsid w:val="00B42DC9"/>
    <w:rsid w:val="00B43A93"/>
    <w:rsid w:val="00B453FB"/>
    <w:rsid w:val="00B455E9"/>
    <w:rsid w:val="00B45977"/>
    <w:rsid w:val="00B45C07"/>
    <w:rsid w:val="00B46A6A"/>
    <w:rsid w:val="00B47219"/>
    <w:rsid w:val="00B50166"/>
    <w:rsid w:val="00B50626"/>
    <w:rsid w:val="00B5065A"/>
    <w:rsid w:val="00B50D2A"/>
    <w:rsid w:val="00B517BC"/>
    <w:rsid w:val="00B51DDC"/>
    <w:rsid w:val="00B5286C"/>
    <w:rsid w:val="00B532C2"/>
    <w:rsid w:val="00B53878"/>
    <w:rsid w:val="00B54A54"/>
    <w:rsid w:val="00B54B98"/>
    <w:rsid w:val="00B55894"/>
    <w:rsid w:val="00B559D3"/>
    <w:rsid w:val="00B56290"/>
    <w:rsid w:val="00B56B1E"/>
    <w:rsid w:val="00B57AFF"/>
    <w:rsid w:val="00B57D38"/>
    <w:rsid w:val="00B57FB6"/>
    <w:rsid w:val="00B620F5"/>
    <w:rsid w:val="00B6413D"/>
    <w:rsid w:val="00B6496E"/>
    <w:rsid w:val="00B64C88"/>
    <w:rsid w:val="00B64D03"/>
    <w:rsid w:val="00B64D2F"/>
    <w:rsid w:val="00B6519F"/>
    <w:rsid w:val="00B6763E"/>
    <w:rsid w:val="00B70640"/>
    <w:rsid w:val="00B70E6A"/>
    <w:rsid w:val="00B713A7"/>
    <w:rsid w:val="00B71D22"/>
    <w:rsid w:val="00B72729"/>
    <w:rsid w:val="00B72ABA"/>
    <w:rsid w:val="00B72CDE"/>
    <w:rsid w:val="00B736C6"/>
    <w:rsid w:val="00B73A45"/>
    <w:rsid w:val="00B74982"/>
    <w:rsid w:val="00B74AAD"/>
    <w:rsid w:val="00B75463"/>
    <w:rsid w:val="00B755F9"/>
    <w:rsid w:val="00B767E9"/>
    <w:rsid w:val="00B76AF2"/>
    <w:rsid w:val="00B77562"/>
    <w:rsid w:val="00B776A9"/>
    <w:rsid w:val="00B77C92"/>
    <w:rsid w:val="00B77DA0"/>
    <w:rsid w:val="00B804E5"/>
    <w:rsid w:val="00B80689"/>
    <w:rsid w:val="00B82085"/>
    <w:rsid w:val="00B82CCD"/>
    <w:rsid w:val="00B82EBB"/>
    <w:rsid w:val="00B82F29"/>
    <w:rsid w:val="00B83093"/>
    <w:rsid w:val="00B830BB"/>
    <w:rsid w:val="00B833BD"/>
    <w:rsid w:val="00B83F75"/>
    <w:rsid w:val="00B846B4"/>
    <w:rsid w:val="00B84B7D"/>
    <w:rsid w:val="00B859FC"/>
    <w:rsid w:val="00B860F7"/>
    <w:rsid w:val="00B8654C"/>
    <w:rsid w:val="00B86634"/>
    <w:rsid w:val="00B90464"/>
    <w:rsid w:val="00B90A60"/>
    <w:rsid w:val="00B90B32"/>
    <w:rsid w:val="00B90B37"/>
    <w:rsid w:val="00B91E01"/>
    <w:rsid w:val="00B9215E"/>
    <w:rsid w:val="00B923E1"/>
    <w:rsid w:val="00B93065"/>
    <w:rsid w:val="00B93AF1"/>
    <w:rsid w:val="00B93BCE"/>
    <w:rsid w:val="00B93DDE"/>
    <w:rsid w:val="00B9429C"/>
    <w:rsid w:val="00B94A54"/>
    <w:rsid w:val="00B94C8D"/>
    <w:rsid w:val="00B95590"/>
    <w:rsid w:val="00B9587E"/>
    <w:rsid w:val="00B962F4"/>
    <w:rsid w:val="00B97B02"/>
    <w:rsid w:val="00B97B15"/>
    <w:rsid w:val="00BA012B"/>
    <w:rsid w:val="00BA0446"/>
    <w:rsid w:val="00BA052E"/>
    <w:rsid w:val="00BA1AA3"/>
    <w:rsid w:val="00BA227A"/>
    <w:rsid w:val="00BA252B"/>
    <w:rsid w:val="00BA25F0"/>
    <w:rsid w:val="00BA3A17"/>
    <w:rsid w:val="00BA3C59"/>
    <w:rsid w:val="00BA481B"/>
    <w:rsid w:val="00BA4FE1"/>
    <w:rsid w:val="00BA50C7"/>
    <w:rsid w:val="00BA5ECE"/>
    <w:rsid w:val="00BA61E6"/>
    <w:rsid w:val="00BA624D"/>
    <w:rsid w:val="00BA6BB1"/>
    <w:rsid w:val="00BA77FC"/>
    <w:rsid w:val="00BB0385"/>
    <w:rsid w:val="00BB0DDC"/>
    <w:rsid w:val="00BB10B5"/>
    <w:rsid w:val="00BB26EE"/>
    <w:rsid w:val="00BB274B"/>
    <w:rsid w:val="00BB3937"/>
    <w:rsid w:val="00BB4BCE"/>
    <w:rsid w:val="00BB50C3"/>
    <w:rsid w:val="00BB50E6"/>
    <w:rsid w:val="00BB58AB"/>
    <w:rsid w:val="00BB5BEA"/>
    <w:rsid w:val="00BB6464"/>
    <w:rsid w:val="00BB6D44"/>
    <w:rsid w:val="00BB7023"/>
    <w:rsid w:val="00BC117A"/>
    <w:rsid w:val="00BC305E"/>
    <w:rsid w:val="00BC3905"/>
    <w:rsid w:val="00BC3C31"/>
    <w:rsid w:val="00BC3D5E"/>
    <w:rsid w:val="00BC4994"/>
    <w:rsid w:val="00BC4B79"/>
    <w:rsid w:val="00BC576C"/>
    <w:rsid w:val="00BC5C5A"/>
    <w:rsid w:val="00BC61D7"/>
    <w:rsid w:val="00BD0730"/>
    <w:rsid w:val="00BD0D98"/>
    <w:rsid w:val="00BD1132"/>
    <w:rsid w:val="00BD11C5"/>
    <w:rsid w:val="00BD201A"/>
    <w:rsid w:val="00BD2C78"/>
    <w:rsid w:val="00BD3242"/>
    <w:rsid w:val="00BD3E5F"/>
    <w:rsid w:val="00BD41DE"/>
    <w:rsid w:val="00BD4252"/>
    <w:rsid w:val="00BD51CC"/>
    <w:rsid w:val="00BD6626"/>
    <w:rsid w:val="00BD74CB"/>
    <w:rsid w:val="00BD75FC"/>
    <w:rsid w:val="00BD7F89"/>
    <w:rsid w:val="00BE010D"/>
    <w:rsid w:val="00BE0497"/>
    <w:rsid w:val="00BE111B"/>
    <w:rsid w:val="00BE1714"/>
    <w:rsid w:val="00BE17ED"/>
    <w:rsid w:val="00BE1A2B"/>
    <w:rsid w:val="00BE1D84"/>
    <w:rsid w:val="00BE28B9"/>
    <w:rsid w:val="00BE3C5B"/>
    <w:rsid w:val="00BE453B"/>
    <w:rsid w:val="00BE5146"/>
    <w:rsid w:val="00BE5948"/>
    <w:rsid w:val="00BE5E48"/>
    <w:rsid w:val="00BE64BF"/>
    <w:rsid w:val="00BE6868"/>
    <w:rsid w:val="00BE7689"/>
    <w:rsid w:val="00BF0005"/>
    <w:rsid w:val="00BF0E9A"/>
    <w:rsid w:val="00BF0F6B"/>
    <w:rsid w:val="00BF1784"/>
    <w:rsid w:val="00BF1ACA"/>
    <w:rsid w:val="00BF2316"/>
    <w:rsid w:val="00BF2C77"/>
    <w:rsid w:val="00BF2E01"/>
    <w:rsid w:val="00BF32F6"/>
    <w:rsid w:val="00BF3C7B"/>
    <w:rsid w:val="00BF4127"/>
    <w:rsid w:val="00BF4234"/>
    <w:rsid w:val="00BF523A"/>
    <w:rsid w:val="00BF583D"/>
    <w:rsid w:val="00BF58E3"/>
    <w:rsid w:val="00BF595D"/>
    <w:rsid w:val="00BF59E1"/>
    <w:rsid w:val="00BF5BAE"/>
    <w:rsid w:val="00BF6698"/>
    <w:rsid w:val="00BF74AE"/>
    <w:rsid w:val="00BF7A43"/>
    <w:rsid w:val="00C005C9"/>
    <w:rsid w:val="00C0124B"/>
    <w:rsid w:val="00C017E8"/>
    <w:rsid w:val="00C024B9"/>
    <w:rsid w:val="00C02A97"/>
    <w:rsid w:val="00C05741"/>
    <w:rsid w:val="00C062BC"/>
    <w:rsid w:val="00C06527"/>
    <w:rsid w:val="00C07067"/>
    <w:rsid w:val="00C10853"/>
    <w:rsid w:val="00C10BFD"/>
    <w:rsid w:val="00C10E6F"/>
    <w:rsid w:val="00C10F26"/>
    <w:rsid w:val="00C12650"/>
    <w:rsid w:val="00C126BE"/>
    <w:rsid w:val="00C13123"/>
    <w:rsid w:val="00C13645"/>
    <w:rsid w:val="00C13C18"/>
    <w:rsid w:val="00C13C90"/>
    <w:rsid w:val="00C14BF7"/>
    <w:rsid w:val="00C15595"/>
    <w:rsid w:val="00C15A62"/>
    <w:rsid w:val="00C1708A"/>
    <w:rsid w:val="00C17906"/>
    <w:rsid w:val="00C17A98"/>
    <w:rsid w:val="00C21920"/>
    <w:rsid w:val="00C23B4A"/>
    <w:rsid w:val="00C23CEF"/>
    <w:rsid w:val="00C244AD"/>
    <w:rsid w:val="00C26D08"/>
    <w:rsid w:val="00C27827"/>
    <w:rsid w:val="00C27D1E"/>
    <w:rsid w:val="00C304E6"/>
    <w:rsid w:val="00C308E4"/>
    <w:rsid w:val="00C30A5F"/>
    <w:rsid w:val="00C31F20"/>
    <w:rsid w:val="00C329F5"/>
    <w:rsid w:val="00C331C4"/>
    <w:rsid w:val="00C3360C"/>
    <w:rsid w:val="00C344AD"/>
    <w:rsid w:val="00C34844"/>
    <w:rsid w:val="00C348D1"/>
    <w:rsid w:val="00C34911"/>
    <w:rsid w:val="00C35300"/>
    <w:rsid w:val="00C357D6"/>
    <w:rsid w:val="00C35B89"/>
    <w:rsid w:val="00C35CD1"/>
    <w:rsid w:val="00C363D5"/>
    <w:rsid w:val="00C36EC8"/>
    <w:rsid w:val="00C4035D"/>
    <w:rsid w:val="00C40A6A"/>
    <w:rsid w:val="00C40BC8"/>
    <w:rsid w:val="00C41142"/>
    <w:rsid w:val="00C41425"/>
    <w:rsid w:val="00C4264F"/>
    <w:rsid w:val="00C427E4"/>
    <w:rsid w:val="00C42ECC"/>
    <w:rsid w:val="00C44BF1"/>
    <w:rsid w:val="00C44C6B"/>
    <w:rsid w:val="00C44FE0"/>
    <w:rsid w:val="00C45258"/>
    <w:rsid w:val="00C45393"/>
    <w:rsid w:val="00C4584A"/>
    <w:rsid w:val="00C458DA"/>
    <w:rsid w:val="00C45E4C"/>
    <w:rsid w:val="00C471B0"/>
    <w:rsid w:val="00C478D2"/>
    <w:rsid w:val="00C47F7D"/>
    <w:rsid w:val="00C50D0C"/>
    <w:rsid w:val="00C50DBF"/>
    <w:rsid w:val="00C5125D"/>
    <w:rsid w:val="00C5145A"/>
    <w:rsid w:val="00C5164D"/>
    <w:rsid w:val="00C518F1"/>
    <w:rsid w:val="00C5221D"/>
    <w:rsid w:val="00C523AF"/>
    <w:rsid w:val="00C539E5"/>
    <w:rsid w:val="00C53C07"/>
    <w:rsid w:val="00C53DA8"/>
    <w:rsid w:val="00C53E99"/>
    <w:rsid w:val="00C5454F"/>
    <w:rsid w:val="00C556AE"/>
    <w:rsid w:val="00C55D3B"/>
    <w:rsid w:val="00C566A3"/>
    <w:rsid w:val="00C57D66"/>
    <w:rsid w:val="00C61025"/>
    <w:rsid w:val="00C63C1E"/>
    <w:rsid w:val="00C649C9"/>
    <w:rsid w:val="00C64C4A"/>
    <w:rsid w:val="00C6503C"/>
    <w:rsid w:val="00C65350"/>
    <w:rsid w:val="00C66377"/>
    <w:rsid w:val="00C66451"/>
    <w:rsid w:val="00C665B5"/>
    <w:rsid w:val="00C674B2"/>
    <w:rsid w:val="00C70628"/>
    <w:rsid w:val="00C7065E"/>
    <w:rsid w:val="00C70838"/>
    <w:rsid w:val="00C7155E"/>
    <w:rsid w:val="00C7335A"/>
    <w:rsid w:val="00C74664"/>
    <w:rsid w:val="00C7468D"/>
    <w:rsid w:val="00C75D22"/>
    <w:rsid w:val="00C75DE4"/>
    <w:rsid w:val="00C75EAF"/>
    <w:rsid w:val="00C75EB3"/>
    <w:rsid w:val="00C767A1"/>
    <w:rsid w:val="00C76C07"/>
    <w:rsid w:val="00C76EED"/>
    <w:rsid w:val="00C7737F"/>
    <w:rsid w:val="00C815F5"/>
    <w:rsid w:val="00C81BD6"/>
    <w:rsid w:val="00C823E3"/>
    <w:rsid w:val="00C824F4"/>
    <w:rsid w:val="00C8323B"/>
    <w:rsid w:val="00C836EF"/>
    <w:rsid w:val="00C8379F"/>
    <w:rsid w:val="00C83BE2"/>
    <w:rsid w:val="00C83D37"/>
    <w:rsid w:val="00C84230"/>
    <w:rsid w:val="00C84636"/>
    <w:rsid w:val="00C84CB4"/>
    <w:rsid w:val="00C85327"/>
    <w:rsid w:val="00C858B0"/>
    <w:rsid w:val="00C86510"/>
    <w:rsid w:val="00C8686A"/>
    <w:rsid w:val="00C8740C"/>
    <w:rsid w:val="00C87AA0"/>
    <w:rsid w:val="00C87E70"/>
    <w:rsid w:val="00C91F80"/>
    <w:rsid w:val="00C924AA"/>
    <w:rsid w:val="00C92A38"/>
    <w:rsid w:val="00C93C80"/>
    <w:rsid w:val="00C94B20"/>
    <w:rsid w:val="00C9517B"/>
    <w:rsid w:val="00C95316"/>
    <w:rsid w:val="00C9746A"/>
    <w:rsid w:val="00C97812"/>
    <w:rsid w:val="00CA0029"/>
    <w:rsid w:val="00CA01B2"/>
    <w:rsid w:val="00CA07FE"/>
    <w:rsid w:val="00CA0CDD"/>
    <w:rsid w:val="00CA100D"/>
    <w:rsid w:val="00CA1539"/>
    <w:rsid w:val="00CA1C2C"/>
    <w:rsid w:val="00CA4072"/>
    <w:rsid w:val="00CA4627"/>
    <w:rsid w:val="00CA48D9"/>
    <w:rsid w:val="00CA5335"/>
    <w:rsid w:val="00CA705B"/>
    <w:rsid w:val="00CA7146"/>
    <w:rsid w:val="00CB0130"/>
    <w:rsid w:val="00CB09F8"/>
    <w:rsid w:val="00CB1F6B"/>
    <w:rsid w:val="00CB2116"/>
    <w:rsid w:val="00CB219A"/>
    <w:rsid w:val="00CB2A14"/>
    <w:rsid w:val="00CB2A54"/>
    <w:rsid w:val="00CB357E"/>
    <w:rsid w:val="00CB3999"/>
    <w:rsid w:val="00CB3FED"/>
    <w:rsid w:val="00CB46A8"/>
    <w:rsid w:val="00CB5167"/>
    <w:rsid w:val="00CB5AD0"/>
    <w:rsid w:val="00CB5B73"/>
    <w:rsid w:val="00CB5D12"/>
    <w:rsid w:val="00CB6127"/>
    <w:rsid w:val="00CB71CC"/>
    <w:rsid w:val="00CB7337"/>
    <w:rsid w:val="00CB79CA"/>
    <w:rsid w:val="00CB7ECC"/>
    <w:rsid w:val="00CC2348"/>
    <w:rsid w:val="00CC271D"/>
    <w:rsid w:val="00CC2D72"/>
    <w:rsid w:val="00CC3B31"/>
    <w:rsid w:val="00CC44AB"/>
    <w:rsid w:val="00CC4D8F"/>
    <w:rsid w:val="00CC5BE2"/>
    <w:rsid w:val="00CC753A"/>
    <w:rsid w:val="00CC7965"/>
    <w:rsid w:val="00CD00D3"/>
    <w:rsid w:val="00CD087D"/>
    <w:rsid w:val="00CD0E50"/>
    <w:rsid w:val="00CD29BB"/>
    <w:rsid w:val="00CD3096"/>
    <w:rsid w:val="00CD35BC"/>
    <w:rsid w:val="00CD4026"/>
    <w:rsid w:val="00CD4052"/>
    <w:rsid w:val="00CD40FF"/>
    <w:rsid w:val="00CD463E"/>
    <w:rsid w:val="00CD4BEC"/>
    <w:rsid w:val="00CD4D60"/>
    <w:rsid w:val="00CD680B"/>
    <w:rsid w:val="00CD68D5"/>
    <w:rsid w:val="00CD7C26"/>
    <w:rsid w:val="00CE049C"/>
    <w:rsid w:val="00CE071E"/>
    <w:rsid w:val="00CE1A26"/>
    <w:rsid w:val="00CE30F3"/>
    <w:rsid w:val="00CE35E7"/>
    <w:rsid w:val="00CE38FD"/>
    <w:rsid w:val="00CE3F6C"/>
    <w:rsid w:val="00CE5FFF"/>
    <w:rsid w:val="00CE68D0"/>
    <w:rsid w:val="00CE6959"/>
    <w:rsid w:val="00CE7074"/>
    <w:rsid w:val="00CE70CE"/>
    <w:rsid w:val="00CE7551"/>
    <w:rsid w:val="00CE75DB"/>
    <w:rsid w:val="00CE791B"/>
    <w:rsid w:val="00CF07A1"/>
    <w:rsid w:val="00CF0E30"/>
    <w:rsid w:val="00CF44D5"/>
    <w:rsid w:val="00CF4B5B"/>
    <w:rsid w:val="00CF5069"/>
    <w:rsid w:val="00CF539E"/>
    <w:rsid w:val="00CF54F3"/>
    <w:rsid w:val="00CF6B94"/>
    <w:rsid w:val="00CF6D5C"/>
    <w:rsid w:val="00CF7445"/>
    <w:rsid w:val="00CF76AC"/>
    <w:rsid w:val="00CF79EB"/>
    <w:rsid w:val="00D00B72"/>
    <w:rsid w:val="00D00BE7"/>
    <w:rsid w:val="00D013E2"/>
    <w:rsid w:val="00D0216B"/>
    <w:rsid w:val="00D023D0"/>
    <w:rsid w:val="00D024FE"/>
    <w:rsid w:val="00D03942"/>
    <w:rsid w:val="00D03B88"/>
    <w:rsid w:val="00D0471A"/>
    <w:rsid w:val="00D04E3A"/>
    <w:rsid w:val="00D05EA4"/>
    <w:rsid w:val="00D06CC1"/>
    <w:rsid w:val="00D07157"/>
    <w:rsid w:val="00D07575"/>
    <w:rsid w:val="00D11542"/>
    <w:rsid w:val="00D115F3"/>
    <w:rsid w:val="00D11F3B"/>
    <w:rsid w:val="00D121C1"/>
    <w:rsid w:val="00D12F3B"/>
    <w:rsid w:val="00D13E68"/>
    <w:rsid w:val="00D154CD"/>
    <w:rsid w:val="00D1609A"/>
    <w:rsid w:val="00D173D6"/>
    <w:rsid w:val="00D17E44"/>
    <w:rsid w:val="00D20097"/>
    <w:rsid w:val="00D21371"/>
    <w:rsid w:val="00D22D7C"/>
    <w:rsid w:val="00D2356A"/>
    <w:rsid w:val="00D23815"/>
    <w:rsid w:val="00D241D7"/>
    <w:rsid w:val="00D241E6"/>
    <w:rsid w:val="00D24E27"/>
    <w:rsid w:val="00D2583D"/>
    <w:rsid w:val="00D25915"/>
    <w:rsid w:val="00D312F7"/>
    <w:rsid w:val="00D334C4"/>
    <w:rsid w:val="00D335A5"/>
    <w:rsid w:val="00D353AE"/>
    <w:rsid w:val="00D35710"/>
    <w:rsid w:val="00D357C5"/>
    <w:rsid w:val="00D3662F"/>
    <w:rsid w:val="00D367B3"/>
    <w:rsid w:val="00D369A5"/>
    <w:rsid w:val="00D36CDA"/>
    <w:rsid w:val="00D3763E"/>
    <w:rsid w:val="00D37F01"/>
    <w:rsid w:val="00D4085B"/>
    <w:rsid w:val="00D40A21"/>
    <w:rsid w:val="00D4159C"/>
    <w:rsid w:val="00D41670"/>
    <w:rsid w:val="00D41C19"/>
    <w:rsid w:val="00D4223F"/>
    <w:rsid w:val="00D422AA"/>
    <w:rsid w:val="00D427F6"/>
    <w:rsid w:val="00D4296F"/>
    <w:rsid w:val="00D42BAD"/>
    <w:rsid w:val="00D43097"/>
    <w:rsid w:val="00D43770"/>
    <w:rsid w:val="00D43B2D"/>
    <w:rsid w:val="00D43EA8"/>
    <w:rsid w:val="00D44386"/>
    <w:rsid w:val="00D44664"/>
    <w:rsid w:val="00D452E9"/>
    <w:rsid w:val="00D45A88"/>
    <w:rsid w:val="00D46D02"/>
    <w:rsid w:val="00D51186"/>
    <w:rsid w:val="00D51AF7"/>
    <w:rsid w:val="00D51BBF"/>
    <w:rsid w:val="00D52026"/>
    <w:rsid w:val="00D52114"/>
    <w:rsid w:val="00D5257D"/>
    <w:rsid w:val="00D532D3"/>
    <w:rsid w:val="00D54FF4"/>
    <w:rsid w:val="00D55474"/>
    <w:rsid w:val="00D563C8"/>
    <w:rsid w:val="00D5647A"/>
    <w:rsid w:val="00D56F5B"/>
    <w:rsid w:val="00D57484"/>
    <w:rsid w:val="00D5775C"/>
    <w:rsid w:val="00D577C6"/>
    <w:rsid w:val="00D61438"/>
    <w:rsid w:val="00D625AE"/>
    <w:rsid w:val="00D63086"/>
    <w:rsid w:val="00D64BB5"/>
    <w:rsid w:val="00D64E2F"/>
    <w:rsid w:val="00D6529B"/>
    <w:rsid w:val="00D6545E"/>
    <w:rsid w:val="00D658FF"/>
    <w:rsid w:val="00D669BD"/>
    <w:rsid w:val="00D66A25"/>
    <w:rsid w:val="00D66DE5"/>
    <w:rsid w:val="00D70EAD"/>
    <w:rsid w:val="00D7154A"/>
    <w:rsid w:val="00D72254"/>
    <w:rsid w:val="00D73B8F"/>
    <w:rsid w:val="00D74C11"/>
    <w:rsid w:val="00D75A46"/>
    <w:rsid w:val="00D768AF"/>
    <w:rsid w:val="00D76B7F"/>
    <w:rsid w:val="00D77E5E"/>
    <w:rsid w:val="00D80320"/>
    <w:rsid w:val="00D8163D"/>
    <w:rsid w:val="00D83644"/>
    <w:rsid w:val="00D83B99"/>
    <w:rsid w:val="00D84E87"/>
    <w:rsid w:val="00D84EFD"/>
    <w:rsid w:val="00D85D10"/>
    <w:rsid w:val="00D862C5"/>
    <w:rsid w:val="00D862EF"/>
    <w:rsid w:val="00D86667"/>
    <w:rsid w:val="00D868A0"/>
    <w:rsid w:val="00D87209"/>
    <w:rsid w:val="00D874FA"/>
    <w:rsid w:val="00D87548"/>
    <w:rsid w:val="00D875BD"/>
    <w:rsid w:val="00D87695"/>
    <w:rsid w:val="00D87E7B"/>
    <w:rsid w:val="00D90221"/>
    <w:rsid w:val="00D90879"/>
    <w:rsid w:val="00D90E81"/>
    <w:rsid w:val="00D91180"/>
    <w:rsid w:val="00D91368"/>
    <w:rsid w:val="00D91A81"/>
    <w:rsid w:val="00D91E7A"/>
    <w:rsid w:val="00D920DF"/>
    <w:rsid w:val="00D9480D"/>
    <w:rsid w:val="00D9488B"/>
    <w:rsid w:val="00D9522B"/>
    <w:rsid w:val="00D9526D"/>
    <w:rsid w:val="00D954CA"/>
    <w:rsid w:val="00D95C93"/>
    <w:rsid w:val="00D963A6"/>
    <w:rsid w:val="00D9682F"/>
    <w:rsid w:val="00D96EAC"/>
    <w:rsid w:val="00D972AD"/>
    <w:rsid w:val="00DA0AA2"/>
    <w:rsid w:val="00DA0C46"/>
    <w:rsid w:val="00DA1D71"/>
    <w:rsid w:val="00DA2818"/>
    <w:rsid w:val="00DA2B70"/>
    <w:rsid w:val="00DA3757"/>
    <w:rsid w:val="00DA37EF"/>
    <w:rsid w:val="00DA46AE"/>
    <w:rsid w:val="00DA4D04"/>
    <w:rsid w:val="00DA4D4B"/>
    <w:rsid w:val="00DA7364"/>
    <w:rsid w:val="00DA7C75"/>
    <w:rsid w:val="00DA7D3D"/>
    <w:rsid w:val="00DB05FB"/>
    <w:rsid w:val="00DB08C0"/>
    <w:rsid w:val="00DB17B3"/>
    <w:rsid w:val="00DB2CEC"/>
    <w:rsid w:val="00DB30A4"/>
    <w:rsid w:val="00DB3E9C"/>
    <w:rsid w:val="00DB6B4A"/>
    <w:rsid w:val="00DB738D"/>
    <w:rsid w:val="00DB76D4"/>
    <w:rsid w:val="00DC050C"/>
    <w:rsid w:val="00DC1C6C"/>
    <w:rsid w:val="00DC1E07"/>
    <w:rsid w:val="00DC2CEF"/>
    <w:rsid w:val="00DC2FAB"/>
    <w:rsid w:val="00DC4703"/>
    <w:rsid w:val="00DC4990"/>
    <w:rsid w:val="00DC4F90"/>
    <w:rsid w:val="00DC5D4F"/>
    <w:rsid w:val="00DC5FBA"/>
    <w:rsid w:val="00DC6CCB"/>
    <w:rsid w:val="00DC6E3B"/>
    <w:rsid w:val="00DC7A60"/>
    <w:rsid w:val="00DD1ABE"/>
    <w:rsid w:val="00DD1ADD"/>
    <w:rsid w:val="00DD1F1F"/>
    <w:rsid w:val="00DD1F29"/>
    <w:rsid w:val="00DD203A"/>
    <w:rsid w:val="00DD2E63"/>
    <w:rsid w:val="00DD3174"/>
    <w:rsid w:val="00DD340B"/>
    <w:rsid w:val="00DD39A4"/>
    <w:rsid w:val="00DD4846"/>
    <w:rsid w:val="00DD50D8"/>
    <w:rsid w:val="00DD51CD"/>
    <w:rsid w:val="00DD5BB7"/>
    <w:rsid w:val="00DD65D1"/>
    <w:rsid w:val="00DD704B"/>
    <w:rsid w:val="00DD743C"/>
    <w:rsid w:val="00DD76D3"/>
    <w:rsid w:val="00DD7796"/>
    <w:rsid w:val="00DD785F"/>
    <w:rsid w:val="00DD79C8"/>
    <w:rsid w:val="00DD7F76"/>
    <w:rsid w:val="00DE0079"/>
    <w:rsid w:val="00DE00EF"/>
    <w:rsid w:val="00DE08DE"/>
    <w:rsid w:val="00DE1076"/>
    <w:rsid w:val="00DE16ED"/>
    <w:rsid w:val="00DE2380"/>
    <w:rsid w:val="00DE2FC0"/>
    <w:rsid w:val="00DE3911"/>
    <w:rsid w:val="00DE4CF5"/>
    <w:rsid w:val="00DE5692"/>
    <w:rsid w:val="00DF0505"/>
    <w:rsid w:val="00DF0906"/>
    <w:rsid w:val="00DF1926"/>
    <w:rsid w:val="00DF1DBD"/>
    <w:rsid w:val="00DF259B"/>
    <w:rsid w:val="00DF2AF0"/>
    <w:rsid w:val="00DF2E11"/>
    <w:rsid w:val="00DF3641"/>
    <w:rsid w:val="00DF4DF1"/>
    <w:rsid w:val="00DF530F"/>
    <w:rsid w:val="00DF5447"/>
    <w:rsid w:val="00DF579C"/>
    <w:rsid w:val="00DF6068"/>
    <w:rsid w:val="00DF64AA"/>
    <w:rsid w:val="00DF6B17"/>
    <w:rsid w:val="00DF6B34"/>
    <w:rsid w:val="00E0079D"/>
    <w:rsid w:val="00E00C4E"/>
    <w:rsid w:val="00E00D44"/>
    <w:rsid w:val="00E012C9"/>
    <w:rsid w:val="00E02034"/>
    <w:rsid w:val="00E03A39"/>
    <w:rsid w:val="00E03AEA"/>
    <w:rsid w:val="00E03E1F"/>
    <w:rsid w:val="00E03ED0"/>
    <w:rsid w:val="00E04FE9"/>
    <w:rsid w:val="00E05232"/>
    <w:rsid w:val="00E0613E"/>
    <w:rsid w:val="00E0672D"/>
    <w:rsid w:val="00E1140D"/>
    <w:rsid w:val="00E11696"/>
    <w:rsid w:val="00E116A3"/>
    <w:rsid w:val="00E120F9"/>
    <w:rsid w:val="00E12850"/>
    <w:rsid w:val="00E12952"/>
    <w:rsid w:val="00E12ECA"/>
    <w:rsid w:val="00E12FAA"/>
    <w:rsid w:val="00E13371"/>
    <w:rsid w:val="00E13606"/>
    <w:rsid w:val="00E140AF"/>
    <w:rsid w:val="00E14318"/>
    <w:rsid w:val="00E14605"/>
    <w:rsid w:val="00E1497A"/>
    <w:rsid w:val="00E14CD8"/>
    <w:rsid w:val="00E1569F"/>
    <w:rsid w:val="00E15D63"/>
    <w:rsid w:val="00E15F4E"/>
    <w:rsid w:val="00E16016"/>
    <w:rsid w:val="00E167BE"/>
    <w:rsid w:val="00E16D94"/>
    <w:rsid w:val="00E17088"/>
    <w:rsid w:val="00E216E3"/>
    <w:rsid w:val="00E21822"/>
    <w:rsid w:val="00E21A27"/>
    <w:rsid w:val="00E241A7"/>
    <w:rsid w:val="00E244A3"/>
    <w:rsid w:val="00E254BB"/>
    <w:rsid w:val="00E25F85"/>
    <w:rsid w:val="00E26576"/>
    <w:rsid w:val="00E26738"/>
    <w:rsid w:val="00E26929"/>
    <w:rsid w:val="00E27CC5"/>
    <w:rsid w:val="00E27E70"/>
    <w:rsid w:val="00E3098D"/>
    <w:rsid w:val="00E30C13"/>
    <w:rsid w:val="00E30DE5"/>
    <w:rsid w:val="00E3147C"/>
    <w:rsid w:val="00E31BB0"/>
    <w:rsid w:val="00E322F7"/>
    <w:rsid w:val="00E33407"/>
    <w:rsid w:val="00E338AE"/>
    <w:rsid w:val="00E34320"/>
    <w:rsid w:val="00E345E3"/>
    <w:rsid w:val="00E3500E"/>
    <w:rsid w:val="00E35D3F"/>
    <w:rsid w:val="00E3600D"/>
    <w:rsid w:val="00E367CF"/>
    <w:rsid w:val="00E369FD"/>
    <w:rsid w:val="00E37A61"/>
    <w:rsid w:val="00E37A6E"/>
    <w:rsid w:val="00E37FE8"/>
    <w:rsid w:val="00E40CE3"/>
    <w:rsid w:val="00E41176"/>
    <w:rsid w:val="00E411D6"/>
    <w:rsid w:val="00E411F4"/>
    <w:rsid w:val="00E41BDC"/>
    <w:rsid w:val="00E41FC2"/>
    <w:rsid w:val="00E42385"/>
    <w:rsid w:val="00E42C65"/>
    <w:rsid w:val="00E43EC7"/>
    <w:rsid w:val="00E446F6"/>
    <w:rsid w:val="00E44B3D"/>
    <w:rsid w:val="00E44D94"/>
    <w:rsid w:val="00E4500A"/>
    <w:rsid w:val="00E50113"/>
    <w:rsid w:val="00E50530"/>
    <w:rsid w:val="00E50CD5"/>
    <w:rsid w:val="00E516CD"/>
    <w:rsid w:val="00E5185A"/>
    <w:rsid w:val="00E51A02"/>
    <w:rsid w:val="00E524AB"/>
    <w:rsid w:val="00E52F27"/>
    <w:rsid w:val="00E53715"/>
    <w:rsid w:val="00E54596"/>
    <w:rsid w:val="00E54C22"/>
    <w:rsid w:val="00E550E0"/>
    <w:rsid w:val="00E55C82"/>
    <w:rsid w:val="00E56630"/>
    <w:rsid w:val="00E578E1"/>
    <w:rsid w:val="00E57E1F"/>
    <w:rsid w:val="00E60110"/>
    <w:rsid w:val="00E60D37"/>
    <w:rsid w:val="00E619BF"/>
    <w:rsid w:val="00E63A22"/>
    <w:rsid w:val="00E63D5F"/>
    <w:rsid w:val="00E642F3"/>
    <w:rsid w:val="00E645E4"/>
    <w:rsid w:val="00E64601"/>
    <w:rsid w:val="00E647D7"/>
    <w:rsid w:val="00E64A89"/>
    <w:rsid w:val="00E6512D"/>
    <w:rsid w:val="00E65181"/>
    <w:rsid w:val="00E65449"/>
    <w:rsid w:val="00E667C8"/>
    <w:rsid w:val="00E66966"/>
    <w:rsid w:val="00E701E5"/>
    <w:rsid w:val="00E70CDE"/>
    <w:rsid w:val="00E712B7"/>
    <w:rsid w:val="00E714B7"/>
    <w:rsid w:val="00E716C4"/>
    <w:rsid w:val="00E72169"/>
    <w:rsid w:val="00E73D5E"/>
    <w:rsid w:val="00E74B0E"/>
    <w:rsid w:val="00E758C5"/>
    <w:rsid w:val="00E7641A"/>
    <w:rsid w:val="00E7674B"/>
    <w:rsid w:val="00E76B4C"/>
    <w:rsid w:val="00E76C7A"/>
    <w:rsid w:val="00E77286"/>
    <w:rsid w:val="00E778F6"/>
    <w:rsid w:val="00E80F36"/>
    <w:rsid w:val="00E8115E"/>
    <w:rsid w:val="00E82D46"/>
    <w:rsid w:val="00E836B5"/>
    <w:rsid w:val="00E83C5C"/>
    <w:rsid w:val="00E8530E"/>
    <w:rsid w:val="00E8566A"/>
    <w:rsid w:val="00E85769"/>
    <w:rsid w:val="00E8685E"/>
    <w:rsid w:val="00E86EE2"/>
    <w:rsid w:val="00E86FC1"/>
    <w:rsid w:val="00E87369"/>
    <w:rsid w:val="00E911E2"/>
    <w:rsid w:val="00E92AB3"/>
    <w:rsid w:val="00E9408B"/>
    <w:rsid w:val="00E94DDA"/>
    <w:rsid w:val="00E95611"/>
    <w:rsid w:val="00E9582F"/>
    <w:rsid w:val="00E96061"/>
    <w:rsid w:val="00E96075"/>
    <w:rsid w:val="00E9680A"/>
    <w:rsid w:val="00E968AD"/>
    <w:rsid w:val="00E97744"/>
    <w:rsid w:val="00E97E11"/>
    <w:rsid w:val="00EA23AA"/>
    <w:rsid w:val="00EA282D"/>
    <w:rsid w:val="00EA31D3"/>
    <w:rsid w:val="00EA3578"/>
    <w:rsid w:val="00EA3DB2"/>
    <w:rsid w:val="00EA3E27"/>
    <w:rsid w:val="00EA3E3B"/>
    <w:rsid w:val="00EA4276"/>
    <w:rsid w:val="00EA44B1"/>
    <w:rsid w:val="00EA4C91"/>
    <w:rsid w:val="00EA5836"/>
    <w:rsid w:val="00EA5965"/>
    <w:rsid w:val="00EA6C67"/>
    <w:rsid w:val="00EA6F70"/>
    <w:rsid w:val="00EA7501"/>
    <w:rsid w:val="00EA7E21"/>
    <w:rsid w:val="00EB0B19"/>
    <w:rsid w:val="00EB0B4B"/>
    <w:rsid w:val="00EB1515"/>
    <w:rsid w:val="00EB17FA"/>
    <w:rsid w:val="00EB1F39"/>
    <w:rsid w:val="00EB2325"/>
    <w:rsid w:val="00EB3805"/>
    <w:rsid w:val="00EB3DB9"/>
    <w:rsid w:val="00EB502D"/>
    <w:rsid w:val="00EB61F9"/>
    <w:rsid w:val="00EB638D"/>
    <w:rsid w:val="00EB6E5D"/>
    <w:rsid w:val="00EB797A"/>
    <w:rsid w:val="00EB7CDA"/>
    <w:rsid w:val="00EC11F5"/>
    <w:rsid w:val="00EC17A6"/>
    <w:rsid w:val="00EC272F"/>
    <w:rsid w:val="00EC2887"/>
    <w:rsid w:val="00EC2BCB"/>
    <w:rsid w:val="00EC2DD9"/>
    <w:rsid w:val="00EC33C2"/>
    <w:rsid w:val="00EC4A0A"/>
    <w:rsid w:val="00EC4D9D"/>
    <w:rsid w:val="00EC6558"/>
    <w:rsid w:val="00EC675A"/>
    <w:rsid w:val="00EC6DBE"/>
    <w:rsid w:val="00EC6EA9"/>
    <w:rsid w:val="00EC7C44"/>
    <w:rsid w:val="00ED0691"/>
    <w:rsid w:val="00ED0902"/>
    <w:rsid w:val="00ED112C"/>
    <w:rsid w:val="00ED18E1"/>
    <w:rsid w:val="00ED1F63"/>
    <w:rsid w:val="00ED1F88"/>
    <w:rsid w:val="00ED2560"/>
    <w:rsid w:val="00ED2D41"/>
    <w:rsid w:val="00ED3379"/>
    <w:rsid w:val="00ED400F"/>
    <w:rsid w:val="00ED6869"/>
    <w:rsid w:val="00ED6907"/>
    <w:rsid w:val="00ED6B39"/>
    <w:rsid w:val="00ED6E35"/>
    <w:rsid w:val="00ED75E3"/>
    <w:rsid w:val="00ED7B51"/>
    <w:rsid w:val="00ED7F51"/>
    <w:rsid w:val="00EE0165"/>
    <w:rsid w:val="00EE069B"/>
    <w:rsid w:val="00EE087C"/>
    <w:rsid w:val="00EE2313"/>
    <w:rsid w:val="00EE2553"/>
    <w:rsid w:val="00EE2F77"/>
    <w:rsid w:val="00EE464F"/>
    <w:rsid w:val="00EE4919"/>
    <w:rsid w:val="00EE4AA7"/>
    <w:rsid w:val="00EE4D29"/>
    <w:rsid w:val="00EE6386"/>
    <w:rsid w:val="00EE7167"/>
    <w:rsid w:val="00EE78B4"/>
    <w:rsid w:val="00EE7FE9"/>
    <w:rsid w:val="00EF0042"/>
    <w:rsid w:val="00EF0A87"/>
    <w:rsid w:val="00EF1778"/>
    <w:rsid w:val="00EF2AD6"/>
    <w:rsid w:val="00EF2BFF"/>
    <w:rsid w:val="00EF2E60"/>
    <w:rsid w:val="00EF30EC"/>
    <w:rsid w:val="00EF4129"/>
    <w:rsid w:val="00EF41EB"/>
    <w:rsid w:val="00EF56CB"/>
    <w:rsid w:val="00EF6DC2"/>
    <w:rsid w:val="00EF7402"/>
    <w:rsid w:val="00EF7C03"/>
    <w:rsid w:val="00F000A1"/>
    <w:rsid w:val="00F002A9"/>
    <w:rsid w:val="00F00561"/>
    <w:rsid w:val="00F00579"/>
    <w:rsid w:val="00F01276"/>
    <w:rsid w:val="00F013DB"/>
    <w:rsid w:val="00F015FF"/>
    <w:rsid w:val="00F017F5"/>
    <w:rsid w:val="00F017F6"/>
    <w:rsid w:val="00F020D0"/>
    <w:rsid w:val="00F022AB"/>
    <w:rsid w:val="00F02F0B"/>
    <w:rsid w:val="00F033DE"/>
    <w:rsid w:val="00F034BC"/>
    <w:rsid w:val="00F047A7"/>
    <w:rsid w:val="00F04992"/>
    <w:rsid w:val="00F04DE3"/>
    <w:rsid w:val="00F055C5"/>
    <w:rsid w:val="00F060CF"/>
    <w:rsid w:val="00F061F4"/>
    <w:rsid w:val="00F07090"/>
    <w:rsid w:val="00F07544"/>
    <w:rsid w:val="00F1061B"/>
    <w:rsid w:val="00F110AE"/>
    <w:rsid w:val="00F119E4"/>
    <w:rsid w:val="00F1222F"/>
    <w:rsid w:val="00F12954"/>
    <w:rsid w:val="00F12ED3"/>
    <w:rsid w:val="00F12F1B"/>
    <w:rsid w:val="00F138B6"/>
    <w:rsid w:val="00F1402B"/>
    <w:rsid w:val="00F158B2"/>
    <w:rsid w:val="00F15A65"/>
    <w:rsid w:val="00F1754B"/>
    <w:rsid w:val="00F17E22"/>
    <w:rsid w:val="00F212DE"/>
    <w:rsid w:val="00F2138F"/>
    <w:rsid w:val="00F2161D"/>
    <w:rsid w:val="00F21709"/>
    <w:rsid w:val="00F22A12"/>
    <w:rsid w:val="00F22AB8"/>
    <w:rsid w:val="00F22B03"/>
    <w:rsid w:val="00F22F39"/>
    <w:rsid w:val="00F232E5"/>
    <w:rsid w:val="00F23AB0"/>
    <w:rsid w:val="00F248A5"/>
    <w:rsid w:val="00F24E08"/>
    <w:rsid w:val="00F254B6"/>
    <w:rsid w:val="00F255EA"/>
    <w:rsid w:val="00F30EA3"/>
    <w:rsid w:val="00F319A8"/>
    <w:rsid w:val="00F319E8"/>
    <w:rsid w:val="00F32028"/>
    <w:rsid w:val="00F32B63"/>
    <w:rsid w:val="00F3381F"/>
    <w:rsid w:val="00F33EFF"/>
    <w:rsid w:val="00F34CDC"/>
    <w:rsid w:val="00F35E55"/>
    <w:rsid w:val="00F36A59"/>
    <w:rsid w:val="00F36AD8"/>
    <w:rsid w:val="00F36E93"/>
    <w:rsid w:val="00F36ED1"/>
    <w:rsid w:val="00F379F1"/>
    <w:rsid w:val="00F37CD3"/>
    <w:rsid w:val="00F4024B"/>
    <w:rsid w:val="00F4066B"/>
    <w:rsid w:val="00F406AB"/>
    <w:rsid w:val="00F40EAC"/>
    <w:rsid w:val="00F40F8A"/>
    <w:rsid w:val="00F40FFB"/>
    <w:rsid w:val="00F41219"/>
    <w:rsid w:val="00F41579"/>
    <w:rsid w:val="00F41A2D"/>
    <w:rsid w:val="00F41CDF"/>
    <w:rsid w:val="00F41DF7"/>
    <w:rsid w:val="00F41E27"/>
    <w:rsid w:val="00F42B1F"/>
    <w:rsid w:val="00F430C5"/>
    <w:rsid w:val="00F4321F"/>
    <w:rsid w:val="00F43F26"/>
    <w:rsid w:val="00F44360"/>
    <w:rsid w:val="00F451EF"/>
    <w:rsid w:val="00F45A3C"/>
    <w:rsid w:val="00F45CA6"/>
    <w:rsid w:val="00F45EFE"/>
    <w:rsid w:val="00F4616A"/>
    <w:rsid w:val="00F46C90"/>
    <w:rsid w:val="00F46E3E"/>
    <w:rsid w:val="00F473C6"/>
    <w:rsid w:val="00F47CE1"/>
    <w:rsid w:val="00F50E5B"/>
    <w:rsid w:val="00F50FE3"/>
    <w:rsid w:val="00F510BE"/>
    <w:rsid w:val="00F5186A"/>
    <w:rsid w:val="00F51ED9"/>
    <w:rsid w:val="00F5203E"/>
    <w:rsid w:val="00F526DA"/>
    <w:rsid w:val="00F52E46"/>
    <w:rsid w:val="00F535EA"/>
    <w:rsid w:val="00F5390F"/>
    <w:rsid w:val="00F53D6D"/>
    <w:rsid w:val="00F53DB7"/>
    <w:rsid w:val="00F557E0"/>
    <w:rsid w:val="00F55C50"/>
    <w:rsid w:val="00F55CEE"/>
    <w:rsid w:val="00F56087"/>
    <w:rsid w:val="00F57878"/>
    <w:rsid w:val="00F57AC4"/>
    <w:rsid w:val="00F600AD"/>
    <w:rsid w:val="00F600B5"/>
    <w:rsid w:val="00F6088E"/>
    <w:rsid w:val="00F610E6"/>
    <w:rsid w:val="00F61E55"/>
    <w:rsid w:val="00F6230E"/>
    <w:rsid w:val="00F6231F"/>
    <w:rsid w:val="00F62376"/>
    <w:rsid w:val="00F626E5"/>
    <w:rsid w:val="00F63321"/>
    <w:rsid w:val="00F63338"/>
    <w:rsid w:val="00F64578"/>
    <w:rsid w:val="00F64F67"/>
    <w:rsid w:val="00F65287"/>
    <w:rsid w:val="00F6535D"/>
    <w:rsid w:val="00F65464"/>
    <w:rsid w:val="00F6554F"/>
    <w:rsid w:val="00F655D5"/>
    <w:rsid w:val="00F6613E"/>
    <w:rsid w:val="00F662D2"/>
    <w:rsid w:val="00F665A9"/>
    <w:rsid w:val="00F666EE"/>
    <w:rsid w:val="00F66CA5"/>
    <w:rsid w:val="00F67BEB"/>
    <w:rsid w:val="00F67DF3"/>
    <w:rsid w:val="00F70656"/>
    <w:rsid w:val="00F706C3"/>
    <w:rsid w:val="00F70FE3"/>
    <w:rsid w:val="00F72056"/>
    <w:rsid w:val="00F724C6"/>
    <w:rsid w:val="00F72635"/>
    <w:rsid w:val="00F73021"/>
    <w:rsid w:val="00F73BE9"/>
    <w:rsid w:val="00F73C75"/>
    <w:rsid w:val="00F7458F"/>
    <w:rsid w:val="00F74A36"/>
    <w:rsid w:val="00F74A63"/>
    <w:rsid w:val="00F7603E"/>
    <w:rsid w:val="00F76A35"/>
    <w:rsid w:val="00F771B5"/>
    <w:rsid w:val="00F777E7"/>
    <w:rsid w:val="00F8030B"/>
    <w:rsid w:val="00F81D51"/>
    <w:rsid w:val="00F837B4"/>
    <w:rsid w:val="00F83934"/>
    <w:rsid w:val="00F83C86"/>
    <w:rsid w:val="00F8401F"/>
    <w:rsid w:val="00F84EA2"/>
    <w:rsid w:val="00F84F27"/>
    <w:rsid w:val="00F8553A"/>
    <w:rsid w:val="00F8598F"/>
    <w:rsid w:val="00F85B0C"/>
    <w:rsid w:val="00F86224"/>
    <w:rsid w:val="00F876E9"/>
    <w:rsid w:val="00F877D4"/>
    <w:rsid w:val="00F902AC"/>
    <w:rsid w:val="00F91693"/>
    <w:rsid w:val="00F9177F"/>
    <w:rsid w:val="00F9197C"/>
    <w:rsid w:val="00F91FC9"/>
    <w:rsid w:val="00F92487"/>
    <w:rsid w:val="00F92767"/>
    <w:rsid w:val="00F92B88"/>
    <w:rsid w:val="00F93DD2"/>
    <w:rsid w:val="00F93FBC"/>
    <w:rsid w:val="00F943E7"/>
    <w:rsid w:val="00F95D54"/>
    <w:rsid w:val="00F96961"/>
    <w:rsid w:val="00F96AB5"/>
    <w:rsid w:val="00F9715A"/>
    <w:rsid w:val="00FA026E"/>
    <w:rsid w:val="00FA0414"/>
    <w:rsid w:val="00FA0943"/>
    <w:rsid w:val="00FA09E7"/>
    <w:rsid w:val="00FA0E70"/>
    <w:rsid w:val="00FA11DA"/>
    <w:rsid w:val="00FA16B0"/>
    <w:rsid w:val="00FA17F2"/>
    <w:rsid w:val="00FA1D17"/>
    <w:rsid w:val="00FA21D8"/>
    <w:rsid w:val="00FA226F"/>
    <w:rsid w:val="00FA236C"/>
    <w:rsid w:val="00FA3FCA"/>
    <w:rsid w:val="00FA4862"/>
    <w:rsid w:val="00FA60A9"/>
    <w:rsid w:val="00FA622B"/>
    <w:rsid w:val="00FA68DC"/>
    <w:rsid w:val="00FA6A0B"/>
    <w:rsid w:val="00FA6EB9"/>
    <w:rsid w:val="00FA78D1"/>
    <w:rsid w:val="00FA7F41"/>
    <w:rsid w:val="00FB0223"/>
    <w:rsid w:val="00FB0A91"/>
    <w:rsid w:val="00FB0D57"/>
    <w:rsid w:val="00FB0EAE"/>
    <w:rsid w:val="00FB1288"/>
    <w:rsid w:val="00FB1D7E"/>
    <w:rsid w:val="00FB2081"/>
    <w:rsid w:val="00FB26F6"/>
    <w:rsid w:val="00FB357B"/>
    <w:rsid w:val="00FB3A2A"/>
    <w:rsid w:val="00FB3C92"/>
    <w:rsid w:val="00FB3D1A"/>
    <w:rsid w:val="00FB435E"/>
    <w:rsid w:val="00FB456A"/>
    <w:rsid w:val="00FB484B"/>
    <w:rsid w:val="00FB497B"/>
    <w:rsid w:val="00FB4BB0"/>
    <w:rsid w:val="00FB514E"/>
    <w:rsid w:val="00FB54EC"/>
    <w:rsid w:val="00FB5879"/>
    <w:rsid w:val="00FB61FE"/>
    <w:rsid w:val="00FB64C1"/>
    <w:rsid w:val="00FB7001"/>
    <w:rsid w:val="00FC1242"/>
    <w:rsid w:val="00FC1580"/>
    <w:rsid w:val="00FC161A"/>
    <w:rsid w:val="00FC18E5"/>
    <w:rsid w:val="00FC2AF4"/>
    <w:rsid w:val="00FC2C71"/>
    <w:rsid w:val="00FC3D4A"/>
    <w:rsid w:val="00FC4770"/>
    <w:rsid w:val="00FC4AB8"/>
    <w:rsid w:val="00FC5A1B"/>
    <w:rsid w:val="00FC5BAB"/>
    <w:rsid w:val="00FC6DD4"/>
    <w:rsid w:val="00FC74BF"/>
    <w:rsid w:val="00FC759D"/>
    <w:rsid w:val="00FC7B14"/>
    <w:rsid w:val="00FC7B7E"/>
    <w:rsid w:val="00FD0433"/>
    <w:rsid w:val="00FD0EC9"/>
    <w:rsid w:val="00FD13A1"/>
    <w:rsid w:val="00FD2D80"/>
    <w:rsid w:val="00FD2E7D"/>
    <w:rsid w:val="00FD3B74"/>
    <w:rsid w:val="00FD3E79"/>
    <w:rsid w:val="00FD469F"/>
    <w:rsid w:val="00FD4B00"/>
    <w:rsid w:val="00FD50F8"/>
    <w:rsid w:val="00FD53FA"/>
    <w:rsid w:val="00FD575B"/>
    <w:rsid w:val="00FD5E72"/>
    <w:rsid w:val="00FD624E"/>
    <w:rsid w:val="00FD6404"/>
    <w:rsid w:val="00FD6AD6"/>
    <w:rsid w:val="00FD6F65"/>
    <w:rsid w:val="00FD7ACF"/>
    <w:rsid w:val="00FE08AC"/>
    <w:rsid w:val="00FE1CC1"/>
    <w:rsid w:val="00FE2129"/>
    <w:rsid w:val="00FE31AC"/>
    <w:rsid w:val="00FE372D"/>
    <w:rsid w:val="00FE3B93"/>
    <w:rsid w:val="00FE3EA7"/>
    <w:rsid w:val="00FE4A9A"/>
    <w:rsid w:val="00FE4BA3"/>
    <w:rsid w:val="00FE7AE5"/>
    <w:rsid w:val="00FE7DEF"/>
    <w:rsid w:val="00FF1194"/>
    <w:rsid w:val="00FF286B"/>
    <w:rsid w:val="00FF5701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00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4"/>
        <w:sz w:val="24"/>
        <w:szCs w:val="24"/>
        <w:lang w:val="en-US" w:eastAsia="en-US" w:bidi="en-US"/>
      </w:rPr>
    </w:rPrDefault>
    <w:pPrDefault>
      <w:pPr>
        <w:spacing w:before="240" w:after="12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C6EC8"/>
  </w:style>
  <w:style w:type="paragraph" w:styleId="Heading1">
    <w:name w:val="heading 1"/>
    <w:aliases w:val="h1"/>
    <w:basedOn w:val="Normal"/>
    <w:link w:val="Heading1Char"/>
    <w:uiPriority w:val="9"/>
    <w:semiHidden/>
    <w:qFormat/>
    <w:rsid w:val="00D03B88"/>
    <w:pPr>
      <w:keepNext/>
      <w:keepLines/>
      <w:spacing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Heading2">
    <w:name w:val="heading 2"/>
    <w:aliases w:val="h2"/>
    <w:basedOn w:val="Normal"/>
    <w:link w:val="Heading2Char"/>
    <w:uiPriority w:val="9"/>
    <w:semiHidden/>
    <w:qFormat/>
    <w:rsid w:val="008210B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  <w:lang w:bidi="ar-SA"/>
    </w:rPr>
  </w:style>
  <w:style w:type="paragraph" w:styleId="Heading3">
    <w:name w:val="heading 3"/>
    <w:aliases w:val="h3"/>
    <w:basedOn w:val="Normal"/>
    <w:link w:val="Heading3Char"/>
    <w:semiHidden/>
    <w:qFormat/>
    <w:rsid w:val="008210BE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Heading4">
    <w:name w:val="heading 4"/>
    <w:aliases w:val="h4"/>
    <w:basedOn w:val="Normal"/>
    <w:link w:val="Heading4Char"/>
    <w:semiHidden/>
    <w:qFormat/>
    <w:rsid w:val="008210B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lang w:bidi="ar-SA"/>
    </w:rPr>
  </w:style>
  <w:style w:type="paragraph" w:styleId="Heading5">
    <w:name w:val="heading 5"/>
    <w:aliases w:val="h5"/>
    <w:basedOn w:val="Normal"/>
    <w:link w:val="Heading5Char"/>
    <w:semiHidden/>
    <w:qFormat/>
    <w:rsid w:val="008210BE"/>
    <w:pPr>
      <w:keepNext/>
      <w:keepLines/>
      <w:spacing w:before="200" w:after="0"/>
      <w:outlineLvl w:val="4"/>
    </w:pPr>
    <w:rPr>
      <w:rFonts w:eastAsiaTheme="majorEastAsia" w:cstheme="majorBidi"/>
      <w:lang w:bidi="ar-SA"/>
    </w:rPr>
  </w:style>
  <w:style w:type="paragraph" w:styleId="Heading6">
    <w:name w:val="heading 6"/>
    <w:aliases w:val="h6"/>
    <w:basedOn w:val="Normal"/>
    <w:link w:val="Heading6Char"/>
    <w:semiHidden/>
    <w:qFormat/>
    <w:rsid w:val="008210BE"/>
    <w:pPr>
      <w:keepNext/>
      <w:keepLines/>
      <w:spacing w:before="200" w:after="0"/>
      <w:outlineLvl w:val="5"/>
    </w:pPr>
    <w:rPr>
      <w:rFonts w:eastAsiaTheme="majorEastAsia" w:cstheme="majorBidi"/>
      <w:i/>
      <w:iCs/>
      <w:lang w:bidi="ar-SA"/>
    </w:rPr>
  </w:style>
  <w:style w:type="paragraph" w:styleId="Heading7">
    <w:name w:val="heading 7"/>
    <w:aliases w:val="h7"/>
    <w:basedOn w:val="Normal"/>
    <w:link w:val="Heading7Char"/>
    <w:semiHidden/>
    <w:qFormat/>
    <w:rsid w:val="008210BE"/>
    <w:pPr>
      <w:keepNext/>
      <w:keepLines/>
      <w:spacing w:before="200" w:after="0"/>
      <w:outlineLvl w:val="6"/>
    </w:pPr>
    <w:rPr>
      <w:rFonts w:eastAsiaTheme="majorEastAsia" w:cstheme="majorBidi"/>
      <w:i/>
      <w:iCs/>
      <w:lang w:bidi="ar-SA"/>
    </w:rPr>
  </w:style>
  <w:style w:type="paragraph" w:styleId="Heading8">
    <w:name w:val="heading 8"/>
    <w:aliases w:val="h8"/>
    <w:basedOn w:val="Normal"/>
    <w:link w:val="Heading8Char"/>
    <w:semiHidden/>
    <w:qFormat/>
    <w:rsid w:val="008210BE"/>
    <w:pPr>
      <w:keepNext/>
      <w:keepLines/>
      <w:spacing w:before="200" w:after="0"/>
      <w:outlineLvl w:val="7"/>
    </w:pPr>
    <w:rPr>
      <w:rFonts w:eastAsiaTheme="majorEastAsia" w:cstheme="majorBidi"/>
      <w:szCs w:val="20"/>
      <w:lang w:bidi="ar-SA"/>
    </w:rPr>
  </w:style>
  <w:style w:type="paragraph" w:styleId="Heading9">
    <w:name w:val="heading 9"/>
    <w:aliases w:val="h9"/>
    <w:basedOn w:val="Normal"/>
    <w:link w:val="Heading9Char"/>
    <w:semiHidden/>
    <w:qFormat/>
    <w:rsid w:val="008210BE"/>
    <w:pPr>
      <w:keepNext/>
      <w:keepLines/>
      <w:spacing w:before="200" w:after="0"/>
      <w:outlineLvl w:val="8"/>
    </w:pPr>
    <w:rPr>
      <w:rFonts w:eastAsiaTheme="majorEastAsia" w:cstheme="majorBidi"/>
      <w:i/>
      <w:i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semiHidden/>
    <w:rsid w:val="00881721"/>
    <w:rPr>
      <w:rFonts w:eastAsiaTheme="majorEastAsia" w:cstheme="majorBidi"/>
      <w:b/>
      <w:bCs/>
      <w:sz w:val="28"/>
      <w:szCs w:val="28"/>
      <w:lang w:bidi="ar-SA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semiHidden/>
    <w:rsid w:val="00881721"/>
    <w:rPr>
      <w:rFonts w:eastAsiaTheme="majorEastAsia" w:cstheme="majorBidi"/>
      <w:b/>
      <w:bCs/>
      <w:szCs w:val="26"/>
      <w:lang w:bidi="ar-SA"/>
    </w:rPr>
  </w:style>
  <w:style w:type="character" w:customStyle="1" w:styleId="Heading3Char">
    <w:name w:val="Heading 3 Char"/>
    <w:aliases w:val="h3 Char"/>
    <w:basedOn w:val="DefaultParagraphFont"/>
    <w:link w:val="Heading3"/>
    <w:semiHidden/>
    <w:rsid w:val="000E1CF7"/>
    <w:rPr>
      <w:rFonts w:eastAsiaTheme="majorEastAsia" w:cstheme="majorBidi"/>
      <w:b/>
      <w:bCs/>
      <w:lang w:bidi="ar-SA"/>
    </w:rPr>
  </w:style>
  <w:style w:type="character" w:customStyle="1" w:styleId="Heading4Char">
    <w:name w:val="Heading 4 Char"/>
    <w:aliases w:val="h4 Char"/>
    <w:basedOn w:val="DefaultParagraphFont"/>
    <w:link w:val="Heading4"/>
    <w:semiHidden/>
    <w:rsid w:val="000E1CF7"/>
    <w:rPr>
      <w:rFonts w:eastAsiaTheme="majorEastAsia" w:cstheme="majorBidi"/>
      <w:b/>
      <w:bCs/>
      <w:i/>
      <w:iCs/>
      <w:lang w:bidi="ar-SA"/>
    </w:rPr>
  </w:style>
  <w:style w:type="character" w:customStyle="1" w:styleId="Heading5Char">
    <w:name w:val="Heading 5 Char"/>
    <w:aliases w:val="h5 Char"/>
    <w:basedOn w:val="DefaultParagraphFont"/>
    <w:link w:val="Heading5"/>
    <w:semiHidden/>
    <w:rsid w:val="000E1CF7"/>
    <w:rPr>
      <w:rFonts w:eastAsiaTheme="majorEastAsia" w:cstheme="majorBidi"/>
      <w:lang w:bidi="ar-SA"/>
    </w:rPr>
  </w:style>
  <w:style w:type="character" w:customStyle="1" w:styleId="Heading6Char">
    <w:name w:val="Heading 6 Char"/>
    <w:aliases w:val="h6 Char"/>
    <w:basedOn w:val="DefaultParagraphFont"/>
    <w:link w:val="Heading6"/>
    <w:semiHidden/>
    <w:rsid w:val="000E1CF7"/>
    <w:rPr>
      <w:rFonts w:eastAsiaTheme="majorEastAsia" w:cstheme="majorBidi"/>
      <w:i/>
      <w:iCs/>
      <w:lang w:bidi="ar-SA"/>
    </w:rPr>
  </w:style>
  <w:style w:type="character" w:customStyle="1" w:styleId="Heading7Char">
    <w:name w:val="Heading 7 Char"/>
    <w:aliases w:val="h7 Char"/>
    <w:basedOn w:val="DefaultParagraphFont"/>
    <w:link w:val="Heading7"/>
    <w:semiHidden/>
    <w:rsid w:val="000E1CF7"/>
    <w:rPr>
      <w:rFonts w:eastAsiaTheme="majorEastAsia" w:cstheme="majorBidi"/>
      <w:i/>
      <w:iCs/>
      <w:lang w:bidi="ar-SA"/>
    </w:rPr>
  </w:style>
  <w:style w:type="character" w:customStyle="1" w:styleId="Heading8Char">
    <w:name w:val="Heading 8 Char"/>
    <w:aliases w:val="h8 Char"/>
    <w:basedOn w:val="DefaultParagraphFont"/>
    <w:link w:val="Heading8"/>
    <w:semiHidden/>
    <w:rsid w:val="000E1CF7"/>
    <w:rPr>
      <w:rFonts w:eastAsiaTheme="majorEastAsia" w:cstheme="majorBidi"/>
      <w:szCs w:val="20"/>
      <w:lang w:bidi="ar-SA"/>
    </w:rPr>
  </w:style>
  <w:style w:type="character" w:customStyle="1" w:styleId="Heading9Char">
    <w:name w:val="Heading 9 Char"/>
    <w:aliases w:val="h9 Char"/>
    <w:basedOn w:val="DefaultParagraphFont"/>
    <w:link w:val="Heading9"/>
    <w:semiHidden/>
    <w:rsid w:val="000E1CF7"/>
    <w:rPr>
      <w:rFonts w:eastAsiaTheme="majorEastAsia" w:cstheme="majorBidi"/>
      <w:i/>
      <w:iCs/>
      <w:szCs w:val="20"/>
      <w:lang w:bidi="ar-SA"/>
    </w:rPr>
  </w:style>
  <w:style w:type="paragraph" w:styleId="MacroText">
    <w:name w:val="macro"/>
    <w:link w:val="MacroTextChar"/>
    <w:uiPriority w:val="99"/>
    <w:semiHidden/>
    <w:unhideWhenUsed/>
    <w:rsid w:val="001635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52E46"/>
    <w:rPr>
      <w:rFonts w:ascii="Courier New" w:hAnsi="Courier New" w:cs="Courier New"/>
      <w:kern w:val="24"/>
      <w:sz w:val="20"/>
      <w:szCs w:val="20"/>
    </w:rPr>
  </w:style>
  <w:style w:type="paragraph" w:styleId="NoSpacing">
    <w:name w:val="No Spacing"/>
    <w:uiPriority w:val="1"/>
    <w:semiHidden/>
    <w:qFormat/>
    <w:rsid w:val="005759EF"/>
    <w:pPr>
      <w:spacing w:after="0"/>
    </w:pPr>
  </w:style>
  <w:style w:type="paragraph" w:styleId="NormalIndent">
    <w:name w:val="Normal Indent"/>
    <w:basedOn w:val="Normal"/>
    <w:uiPriority w:val="99"/>
    <w:semiHidden/>
    <w:unhideWhenUsed/>
    <w:rsid w:val="008210BE"/>
    <w:pPr>
      <w:ind w:left="720"/>
    </w:pPr>
  </w:style>
  <w:style w:type="table" w:styleId="TableList1">
    <w:name w:val="Table List 1"/>
    <w:basedOn w:val="TableNormal"/>
    <w:uiPriority w:val="99"/>
    <w:rsid w:val="00163542"/>
    <w:pPr>
      <w:spacing w:after="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9B5DFB"/>
    <w:pPr>
      <w:spacing w:after="0"/>
    </w:pPr>
  </w:style>
  <w:style w:type="paragraph" w:styleId="BodyText">
    <w:name w:val="Body Text"/>
    <w:aliases w:val="BT,Body Text (Text of Statute),bt"/>
    <w:basedOn w:val="Normal"/>
    <w:link w:val="BodyTextChar"/>
    <w:semiHidden/>
    <w:rsid w:val="00A61FAA"/>
    <w:rPr>
      <w:rFonts w:eastAsia="Times New Roman"/>
      <w:lang w:bidi="ar-SA"/>
    </w:rPr>
  </w:style>
  <w:style w:type="character" w:customStyle="1" w:styleId="BodyTextChar">
    <w:name w:val="Body Text Char"/>
    <w:aliases w:val="BT Char,Body Text (Text of Statute) Char,bt Char"/>
    <w:basedOn w:val="DefaultParagraphFont"/>
    <w:link w:val="BodyText"/>
    <w:semiHidden/>
    <w:rsid w:val="000E1CF7"/>
    <w:rPr>
      <w:rFonts w:eastAsia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rsid w:val="00A61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1FAA"/>
    <w:pPr>
      <w:spacing w:after="0"/>
    </w:pPr>
    <w:rPr>
      <w:rFonts w:eastAsia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CF7"/>
    <w:rPr>
      <w:rFonts w:eastAsia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semiHidden/>
    <w:rsid w:val="00311088"/>
    <w:rPr>
      <w:vertAlign w:val="superscript"/>
    </w:rPr>
  </w:style>
  <w:style w:type="paragraph" w:styleId="FootnoteText">
    <w:name w:val="footnote text"/>
    <w:basedOn w:val="Normal"/>
    <w:link w:val="FootnoteTextChar"/>
    <w:rsid w:val="005B7A19"/>
    <w:pPr>
      <w:spacing w:before="60" w:after="60"/>
      <w:ind w:firstLine="720"/>
      <w:contextualSpacing/>
    </w:pPr>
    <w:rPr>
      <w:rFonts w:eastAsia="Times New Roman"/>
      <w:kern w:val="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7A19"/>
    <w:rPr>
      <w:rFonts w:eastAsia="Times New Roman"/>
      <w:kern w:val="0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rsid w:val="00A61F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61F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CF7"/>
    <w:rPr>
      <w:rFonts w:ascii="Tahoma" w:hAnsi="Tahoma" w:cs="Tahoma"/>
      <w:sz w:val="16"/>
      <w:szCs w:val="16"/>
    </w:rPr>
  </w:style>
  <w:style w:type="paragraph" w:customStyle="1" w:styleId="BChapterName">
    <w:name w:val="BChapter_Name"/>
    <w:basedOn w:val="Normal"/>
    <w:link w:val="BChapterNameChar"/>
    <w:qFormat/>
    <w:rsid w:val="00FA11DA"/>
    <w:pPr>
      <w:jc w:val="center"/>
      <w:outlineLvl w:val="0"/>
    </w:pPr>
    <w:rPr>
      <w:b/>
      <w:sz w:val="28"/>
      <w:szCs w:val="28"/>
    </w:rPr>
  </w:style>
  <w:style w:type="character" w:customStyle="1" w:styleId="BChapterNameChar">
    <w:name w:val="BChapter_Name Char"/>
    <w:basedOn w:val="DefaultParagraphFont"/>
    <w:link w:val="BChapterName"/>
    <w:rsid w:val="00FA11DA"/>
    <w:rPr>
      <w:b/>
      <w:sz w:val="28"/>
      <w:szCs w:val="28"/>
    </w:rPr>
  </w:style>
  <w:style w:type="paragraph" w:customStyle="1" w:styleId="BHead1">
    <w:name w:val="BHead1"/>
    <w:next w:val="BNormal"/>
    <w:link w:val="BHead1Char"/>
    <w:qFormat/>
    <w:rsid w:val="00EB638D"/>
    <w:pPr>
      <w:outlineLvl w:val="0"/>
    </w:pPr>
    <w:rPr>
      <w:rFonts w:eastAsiaTheme="majorEastAsia" w:cstheme="majorBidi"/>
      <w:b/>
      <w:bCs/>
      <w:kern w:val="0"/>
      <w:sz w:val="28"/>
      <w:szCs w:val="28"/>
      <w:lang w:eastAsia="ja-JP" w:bidi="ar-SA"/>
    </w:rPr>
  </w:style>
  <w:style w:type="character" w:customStyle="1" w:styleId="BHead1Char">
    <w:name w:val="BHead1 Char"/>
    <w:basedOn w:val="Heading1Char"/>
    <w:link w:val="BHead1"/>
    <w:rsid w:val="00EB638D"/>
    <w:rPr>
      <w:rFonts w:eastAsiaTheme="majorEastAsia" w:cstheme="majorBidi"/>
      <w:b/>
      <w:bCs/>
      <w:kern w:val="0"/>
      <w:sz w:val="28"/>
      <w:szCs w:val="28"/>
      <w:lang w:eastAsia="ja-JP" w:bidi="ar-SA"/>
    </w:rPr>
  </w:style>
  <w:style w:type="paragraph" w:customStyle="1" w:styleId="BNormal">
    <w:name w:val="BNormal"/>
    <w:link w:val="BNormalChar"/>
    <w:qFormat/>
    <w:rsid w:val="0090141E"/>
    <w:pPr>
      <w:spacing w:before="120" w:after="0"/>
    </w:pPr>
    <w:rPr>
      <w:rFonts w:eastAsia="Times New Roman"/>
      <w:kern w:val="0"/>
      <w:lang w:bidi="ar-SA"/>
    </w:rPr>
  </w:style>
  <w:style w:type="character" w:customStyle="1" w:styleId="BNormalChar">
    <w:name w:val="BNormal Char"/>
    <w:basedOn w:val="DefaultParagraphFont"/>
    <w:link w:val="BNormal"/>
    <w:rsid w:val="0090141E"/>
    <w:rPr>
      <w:rFonts w:eastAsia="Times New Roman"/>
      <w:kern w:val="0"/>
      <w:lang w:bidi="ar-SA"/>
    </w:rPr>
  </w:style>
  <w:style w:type="paragraph" w:customStyle="1" w:styleId="BQuotelong">
    <w:name w:val="BQuote_long"/>
    <w:basedOn w:val="BNormal"/>
    <w:link w:val="BQuotelongChar"/>
    <w:qFormat/>
    <w:rsid w:val="00A06BF9"/>
    <w:pPr>
      <w:ind w:left="1080" w:right="720"/>
    </w:pPr>
  </w:style>
  <w:style w:type="character" w:customStyle="1" w:styleId="BQuotelongChar">
    <w:name w:val="BQuote_long Char"/>
    <w:basedOn w:val="BNormalChar"/>
    <w:link w:val="BQuotelong"/>
    <w:rsid w:val="00A06BF9"/>
    <w:rPr>
      <w:rFonts w:eastAsia="Times New Roman"/>
      <w:kern w:val="0"/>
      <w:lang w:bidi="ar-SA"/>
    </w:rPr>
  </w:style>
  <w:style w:type="paragraph" w:customStyle="1" w:styleId="BHead2">
    <w:name w:val="BHead2"/>
    <w:next w:val="BNormal"/>
    <w:link w:val="BHead2Char"/>
    <w:qFormat/>
    <w:rsid w:val="00EB638D"/>
    <w:pPr>
      <w:outlineLvl w:val="1"/>
    </w:pPr>
    <w:rPr>
      <w:rFonts w:eastAsiaTheme="majorEastAsia" w:cstheme="majorBidi"/>
      <w:b/>
      <w:bCs/>
      <w:i/>
      <w:color w:val="000000" w:themeColor="text1"/>
      <w:kern w:val="0"/>
      <w:szCs w:val="26"/>
      <w:lang w:bidi="ar-SA"/>
    </w:rPr>
  </w:style>
  <w:style w:type="character" w:customStyle="1" w:styleId="BHead2Char">
    <w:name w:val="BHead2 Char"/>
    <w:basedOn w:val="BNormalChar"/>
    <w:link w:val="BHead2"/>
    <w:rsid w:val="00EB638D"/>
    <w:rPr>
      <w:rFonts w:eastAsiaTheme="majorEastAsia" w:cstheme="majorBidi"/>
      <w:b/>
      <w:bCs/>
      <w:i/>
      <w:color w:val="000000" w:themeColor="text1"/>
      <w:kern w:val="0"/>
      <w:szCs w:val="26"/>
      <w:lang w:bidi="ar-SA"/>
    </w:rPr>
  </w:style>
  <w:style w:type="paragraph" w:customStyle="1" w:styleId="BListitembul">
    <w:name w:val="BList_item_bul"/>
    <w:basedOn w:val="Normal"/>
    <w:link w:val="BListitembulChar"/>
    <w:qFormat/>
    <w:rsid w:val="008717E4"/>
    <w:pPr>
      <w:numPr>
        <w:numId w:val="25"/>
      </w:numPr>
      <w:spacing w:before="0" w:after="0"/>
      <w:ind w:left="1080"/>
      <w:contextualSpacing/>
    </w:pPr>
    <w:rPr>
      <w:rFonts w:eastAsia="Times New Roman"/>
      <w:kern w:val="0"/>
      <w:lang w:bidi="ar-SA"/>
    </w:rPr>
  </w:style>
  <w:style w:type="character" w:customStyle="1" w:styleId="BListitembulChar">
    <w:name w:val="BList_item_bul Char"/>
    <w:basedOn w:val="DefaultParagraphFont"/>
    <w:link w:val="BListitembul"/>
    <w:rsid w:val="008717E4"/>
    <w:rPr>
      <w:rFonts w:eastAsia="Times New Roman"/>
      <w:kern w:val="0"/>
      <w:lang w:bidi="ar-SA"/>
    </w:rPr>
  </w:style>
  <w:style w:type="paragraph" w:customStyle="1" w:styleId="BHead3">
    <w:name w:val="BHead3"/>
    <w:next w:val="BNormal"/>
    <w:link w:val="BHead3Char"/>
    <w:qFormat/>
    <w:rsid w:val="00EB638D"/>
    <w:pPr>
      <w:ind w:left="720"/>
      <w:outlineLvl w:val="2"/>
    </w:pPr>
    <w:rPr>
      <w:rFonts w:eastAsiaTheme="majorEastAsia" w:cstheme="majorBidi"/>
      <w:bCs/>
      <w:i/>
      <w:kern w:val="0"/>
      <w:lang w:eastAsia="zh-CN" w:bidi="ar-SA"/>
    </w:rPr>
  </w:style>
  <w:style w:type="character" w:customStyle="1" w:styleId="BHead3Char">
    <w:name w:val="BHead3 Char"/>
    <w:basedOn w:val="DefaultParagraphFont"/>
    <w:link w:val="BHead3"/>
    <w:rsid w:val="00EB638D"/>
    <w:rPr>
      <w:rFonts w:eastAsiaTheme="majorEastAsia" w:cstheme="majorBidi"/>
      <w:bCs/>
      <w:i/>
      <w:kern w:val="0"/>
      <w:lang w:eastAsia="zh-CN" w:bidi="ar-SA"/>
    </w:rPr>
  </w:style>
  <w:style w:type="character" w:customStyle="1" w:styleId="PListitemChar">
    <w:name w:val="PList_item Char"/>
    <w:basedOn w:val="DefaultParagraphFont"/>
    <w:semiHidden/>
    <w:rsid w:val="00134E05"/>
  </w:style>
  <w:style w:type="paragraph" w:customStyle="1" w:styleId="BCommentpara">
    <w:name w:val="BComment_para"/>
    <w:basedOn w:val="Normal"/>
    <w:next w:val="BNormal"/>
    <w:link w:val="BCommentparaChar"/>
    <w:qFormat/>
    <w:rsid w:val="002F68F8"/>
    <w:pPr>
      <w:spacing w:before="100" w:beforeAutospacing="1"/>
      <w:ind w:left="720"/>
    </w:pPr>
  </w:style>
  <w:style w:type="character" w:customStyle="1" w:styleId="BCommentparaChar">
    <w:name w:val="BComment_para Char"/>
    <w:basedOn w:val="DefaultParagraphFont"/>
    <w:link w:val="BCommentpara"/>
    <w:rsid w:val="007E29E2"/>
  </w:style>
  <w:style w:type="character" w:customStyle="1" w:styleId="BCommenthead">
    <w:name w:val="BComment_head"/>
    <w:basedOn w:val="DefaultParagraphFont"/>
    <w:uiPriority w:val="1"/>
    <w:qFormat/>
    <w:rsid w:val="004A493A"/>
    <w:rPr>
      <w:b/>
    </w:rPr>
  </w:style>
  <w:style w:type="paragraph" w:customStyle="1" w:styleId="BExamplepara">
    <w:name w:val="BExample_para"/>
    <w:basedOn w:val="Normal"/>
    <w:next w:val="BNormal"/>
    <w:link w:val="BExampleparaChar"/>
    <w:qFormat/>
    <w:rsid w:val="00D56F5B"/>
    <w:pPr>
      <w:ind w:left="720"/>
      <w:jc w:val="both"/>
    </w:pPr>
  </w:style>
  <w:style w:type="character" w:customStyle="1" w:styleId="BExampleparaChar">
    <w:name w:val="BExample_para Char"/>
    <w:basedOn w:val="DefaultParagraphFont"/>
    <w:link w:val="BExamplepara"/>
    <w:rsid w:val="007E29E2"/>
  </w:style>
  <w:style w:type="character" w:customStyle="1" w:styleId="BExamplehead">
    <w:name w:val="BExample_head"/>
    <w:basedOn w:val="BExampleparaChar"/>
    <w:uiPriority w:val="1"/>
    <w:qFormat/>
    <w:rsid w:val="00E35D3F"/>
    <w:rPr>
      <w:rFonts w:eastAsia="Times New Roman"/>
      <w:b/>
      <w:kern w:val="0"/>
      <w:lang w:bidi="ar-SA"/>
    </w:rPr>
  </w:style>
  <w:style w:type="paragraph" w:customStyle="1" w:styleId="BListitemnum">
    <w:name w:val="BList_item_num"/>
    <w:basedOn w:val="BListitembul"/>
    <w:link w:val="BListitemnumChar"/>
    <w:qFormat/>
    <w:rsid w:val="00937CBF"/>
    <w:pPr>
      <w:numPr>
        <w:numId w:val="1"/>
      </w:numPr>
      <w:ind w:left="1080"/>
    </w:pPr>
  </w:style>
  <w:style w:type="character" w:customStyle="1" w:styleId="BListitemnumChar">
    <w:name w:val="BList_item_num Char"/>
    <w:basedOn w:val="BListitembulChar"/>
    <w:link w:val="BListitemnum"/>
    <w:rsid w:val="00937CBF"/>
    <w:rPr>
      <w:rFonts w:eastAsia="Times New Roman"/>
      <w:kern w:val="0"/>
      <w:lang w:bidi="ar-SA"/>
    </w:rPr>
  </w:style>
  <w:style w:type="character" w:customStyle="1" w:styleId="BCasenameshort">
    <w:name w:val="BCasename_short"/>
    <w:basedOn w:val="BCasenamefull"/>
    <w:uiPriority w:val="1"/>
    <w:qFormat/>
    <w:rsid w:val="00630797"/>
    <w:rPr>
      <w:rFonts w:eastAsia="Times New Roman"/>
      <w:i/>
      <w:color w:val="00B050"/>
      <w:kern w:val="0"/>
      <w:lang w:bidi="ar-SA"/>
    </w:rPr>
  </w:style>
  <w:style w:type="character" w:customStyle="1" w:styleId="BCasenamefull">
    <w:name w:val="BCasename_full"/>
    <w:uiPriority w:val="1"/>
    <w:qFormat/>
    <w:rsid w:val="003930D7"/>
    <w:rPr>
      <w:rFonts w:eastAsia="Times New Roman"/>
      <w:i/>
      <w:color w:val="00B050"/>
      <w:kern w:val="0"/>
      <w:lang w:bidi="ar-SA"/>
    </w:rPr>
  </w:style>
  <w:style w:type="paragraph" w:customStyle="1" w:styleId="BHead4">
    <w:name w:val="BHead4"/>
    <w:next w:val="BNormal"/>
    <w:link w:val="BHead4Char"/>
    <w:qFormat/>
    <w:rsid w:val="00EB638D"/>
    <w:pPr>
      <w:ind w:left="720"/>
      <w:outlineLvl w:val="3"/>
    </w:pPr>
    <w:rPr>
      <w:rFonts w:eastAsiaTheme="majorEastAsia" w:cstheme="majorBidi"/>
      <w:bCs/>
      <w:i/>
      <w:iCs/>
      <w:kern w:val="0"/>
      <w:lang w:bidi="ar-SA"/>
    </w:rPr>
  </w:style>
  <w:style w:type="character" w:customStyle="1" w:styleId="BHead4Char">
    <w:name w:val="BHead4 Char"/>
    <w:basedOn w:val="BNormalChar"/>
    <w:link w:val="BHead4"/>
    <w:rsid w:val="00EB638D"/>
    <w:rPr>
      <w:rFonts w:eastAsiaTheme="majorEastAsia" w:cstheme="majorBidi"/>
      <w:bCs/>
      <w:i/>
      <w:iCs/>
      <w:kern w:val="0"/>
      <w:lang w:bidi="ar-SA"/>
    </w:rPr>
  </w:style>
  <w:style w:type="paragraph" w:customStyle="1" w:styleId="BHead5">
    <w:name w:val="BHead5"/>
    <w:next w:val="BNormal"/>
    <w:link w:val="BHead5Char"/>
    <w:qFormat/>
    <w:rsid w:val="00F57AC4"/>
    <w:pPr>
      <w:ind w:left="720"/>
      <w:outlineLvl w:val="4"/>
    </w:pPr>
    <w:rPr>
      <w:rFonts w:eastAsia="Times New Roman"/>
      <w:kern w:val="0"/>
      <w:lang w:bidi="ar-SA"/>
    </w:rPr>
  </w:style>
  <w:style w:type="character" w:customStyle="1" w:styleId="BHead5Char">
    <w:name w:val="BHead5 Char"/>
    <w:basedOn w:val="BNormalChar"/>
    <w:link w:val="BHead5"/>
    <w:rsid w:val="00F57AC4"/>
    <w:rPr>
      <w:rFonts w:eastAsia="Times New Roman"/>
      <w:kern w:val="0"/>
      <w:lang w:bidi="ar-SA"/>
    </w:rPr>
  </w:style>
  <w:style w:type="character" w:customStyle="1" w:styleId="BOnlyinprint">
    <w:name w:val="BOnly_in_print"/>
    <w:basedOn w:val="BNormalChar"/>
    <w:uiPriority w:val="1"/>
    <w:qFormat/>
    <w:rsid w:val="00F30EA3"/>
    <w:rPr>
      <w:rFonts w:eastAsia="Times New Roman"/>
      <w:color w:val="0070C0"/>
      <w:kern w:val="0"/>
      <w:lang w:bidi="ar-SA"/>
    </w:rPr>
  </w:style>
  <w:style w:type="character" w:customStyle="1" w:styleId="BURL">
    <w:name w:val="BURL"/>
    <w:basedOn w:val="DefaultParagraphFont"/>
    <w:uiPriority w:val="1"/>
    <w:qFormat/>
    <w:rsid w:val="003126D4"/>
    <w:rPr>
      <w:color w:val="000000" w:themeColor="text1"/>
      <w:u w:val="wave" w:color="365F91" w:themeColor="accent1" w:themeShade="BF"/>
    </w:rPr>
  </w:style>
  <w:style w:type="paragraph" w:customStyle="1" w:styleId="BObservpara">
    <w:name w:val="BObserv_para"/>
    <w:basedOn w:val="BExamplepara"/>
    <w:link w:val="BObservparaChar"/>
    <w:rsid w:val="005555D7"/>
  </w:style>
  <w:style w:type="character" w:customStyle="1" w:styleId="BObservparaChar">
    <w:name w:val="BObserv_para Char"/>
    <w:basedOn w:val="BExampleparaChar"/>
    <w:link w:val="BObservpara"/>
    <w:rsid w:val="002B59C0"/>
    <w:rPr>
      <w:rFonts w:eastAsia="Times New Roman"/>
      <w:kern w:val="0"/>
      <w:lang w:bidi="ar-SA"/>
    </w:rPr>
  </w:style>
  <w:style w:type="paragraph" w:customStyle="1" w:styleId="BCaseExpara">
    <w:name w:val="BCase_Ex_para"/>
    <w:basedOn w:val="BQuotelong"/>
    <w:qFormat/>
    <w:rsid w:val="00823709"/>
  </w:style>
  <w:style w:type="character" w:customStyle="1" w:styleId="BCaseExhead">
    <w:name w:val="BCase_Ex_head"/>
    <w:basedOn w:val="DefaultParagraphFont"/>
    <w:uiPriority w:val="1"/>
    <w:qFormat/>
    <w:rsid w:val="00BA4FE1"/>
    <w:rPr>
      <w:b/>
      <w:bCs/>
    </w:rPr>
  </w:style>
  <w:style w:type="paragraph" w:customStyle="1" w:styleId="BPracTippara">
    <w:name w:val="BPrac_Tip_para"/>
    <w:basedOn w:val="BCaseExpara"/>
    <w:rsid w:val="00BA4FE1"/>
  </w:style>
  <w:style w:type="character" w:customStyle="1" w:styleId="BPracTiphead">
    <w:name w:val="BPrac_Tip_head"/>
    <w:basedOn w:val="DefaultParagraphFont"/>
    <w:uiPriority w:val="1"/>
    <w:rsid w:val="00BA4FE1"/>
    <w:rPr>
      <w:b/>
    </w:rPr>
  </w:style>
  <w:style w:type="character" w:styleId="PlaceholderText">
    <w:name w:val="Placeholder Text"/>
    <w:basedOn w:val="DefaultParagraphFont"/>
    <w:uiPriority w:val="99"/>
    <w:semiHidden/>
    <w:rsid w:val="00E80F36"/>
    <w:rPr>
      <w:color w:val="808080"/>
    </w:rPr>
  </w:style>
  <w:style w:type="paragraph" w:customStyle="1" w:styleId="BHiddenText">
    <w:name w:val="BHiddenText"/>
    <w:basedOn w:val="Normal"/>
    <w:link w:val="BHiddenTextChar"/>
    <w:unhideWhenUsed/>
    <w:qFormat/>
    <w:rsid w:val="0060307E"/>
    <w:pPr>
      <w:tabs>
        <w:tab w:val="left" w:pos="0"/>
      </w:tabs>
      <w:autoSpaceDE w:val="0"/>
      <w:autoSpaceDN w:val="0"/>
      <w:adjustRightInd w:val="0"/>
    </w:pPr>
    <w:rPr>
      <w:rFonts w:ascii="Courier New" w:hAnsi="Courier New" w:cs="Courier New"/>
      <w:vanish/>
      <w:sz w:val="22"/>
      <w:szCs w:val="22"/>
    </w:rPr>
  </w:style>
  <w:style w:type="character" w:customStyle="1" w:styleId="BHiddenTextChar">
    <w:name w:val="BHiddenText Char"/>
    <w:basedOn w:val="DefaultParagraphFont"/>
    <w:link w:val="BHiddenText"/>
    <w:rsid w:val="000F250C"/>
    <w:rPr>
      <w:rFonts w:ascii="Courier New" w:hAnsi="Courier New" w:cs="Courier New"/>
      <w:vanish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7674B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7674B"/>
    <w:rPr>
      <w:rFonts w:ascii="Tahoma" w:hAnsi="Tahoma" w:cs="Tahoma"/>
      <w:sz w:val="16"/>
      <w:szCs w:val="16"/>
    </w:rPr>
  </w:style>
  <w:style w:type="character" w:customStyle="1" w:styleId="BNotehead">
    <w:name w:val="BNote_head"/>
    <w:basedOn w:val="DefaultParagraphFont"/>
    <w:uiPriority w:val="1"/>
    <w:qFormat/>
    <w:rsid w:val="003663BF"/>
  </w:style>
  <w:style w:type="table" w:customStyle="1" w:styleId="LightList-Accent11">
    <w:name w:val="Light List - Accent 11"/>
    <w:basedOn w:val="TableNormal"/>
    <w:uiPriority w:val="61"/>
    <w:rsid w:val="00D64BB5"/>
    <w:pPr>
      <w:spacing w:after="0"/>
    </w:pPr>
    <w:rPr>
      <w:rFonts w:asciiTheme="minorHAnsi" w:hAnsiTheme="minorHAnsi" w:cstheme="minorBidi"/>
      <w:kern w:val="0"/>
      <w:sz w:val="22"/>
      <w:szCs w:val="22"/>
      <w:lang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olorfulList-Accent5">
    <w:name w:val="Colorful List Accent 5"/>
    <w:basedOn w:val="TableNormal"/>
    <w:uiPriority w:val="72"/>
    <w:rsid w:val="00D64BB5"/>
    <w:pPr>
      <w:spacing w:after="0"/>
    </w:pPr>
    <w:rPr>
      <w:rFonts w:asciiTheme="minorHAnsi" w:hAnsiTheme="minorHAnsi" w:cstheme="minorBidi"/>
      <w:color w:val="000000" w:themeColor="text1"/>
      <w:kern w:val="0"/>
      <w:sz w:val="22"/>
      <w:szCs w:val="22"/>
      <w:lang w:bidi="ar-SA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BNotepara">
    <w:name w:val="BNote_para"/>
    <w:basedOn w:val="BObservpara"/>
    <w:link w:val="BNoteparaChar"/>
    <w:qFormat/>
    <w:rsid w:val="002B59C0"/>
    <w:pPr>
      <w:spacing w:before="0"/>
    </w:pPr>
  </w:style>
  <w:style w:type="character" w:customStyle="1" w:styleId="BNoteparaChar">
    <w:name w:val="BNote_para Char"/>
    <w:basedOn w:val="BObservparaChar"/>
    <w:link w:val="BNotepara"/>
    <w:rsid w:val="002B59C0"/>
    <w:rPr>
      <w:rFonts w:eastAsia="Times New Roman"/>
      <w:kern w:val="0"/>
      <w:lang w:bidi="ar-SA"/>
    </w:rPr>
  </w:style>
  <w:style w:type="character" w:customStyle="1" w:styleId="BObservhead">
    <w:name w:val="BObserv_head"/>
    <w:basedOn w:val="DefaultParagraphFont"/>
    <w:uiPriority w:val="1"/>
    <w:qFormat/>
    <w:rsid w:val="002B59C0"/>
    <w:rPr>
      <w:b/>
    </w:rPr>
  </w:style>
  <w:style w:type="paragraph" w:customStyle="1" w:styleId="BUnitStart">
    <w:name w:val="BUnitStart"/>
    <w:basedOn w:val="BNormal"/>
    <w:link w:val="BUnitStartChar"/>
    <w:unhideWhenUsed/>
    <w:qFormat/>
    <w:rsid w:val="002B59C0"/>
    <w:rPr>
      <w:rFonts w:ascii="Courier New" w:hAnsi="Courier New"/>
      <w:vanish/>
      <w:sz w:val="20"/>
    </w:rPr>
  </w:style>
  <w:style w:type="character" w:customStyle="1" w:styleId="BUnitStartChar">
    <w:name w:val="BUnitStart Char"/>
    <w:basedOn w:val="BNormalChar"/>
    <w:link w:val="BUnitStart"/>
    <w:rsid w:val="00CA1C2C"/>
    <w:rPr>
      <w:rFonts w:ascii="Courier New" w:eastAsia="Times New Roman" w:hAnsi="Courier New"/>
      <w:vanish/>
      <w:kern w:val="0"/>
      <w:sz w:val="20"/>
      <w:lang w:bidi="ar-SA"/>
    </w:rPr>
  </w:style>
  <w:style w:type="paragraph" w:customStyle="1" w:styleId="BHeadtable">
    <w:name w:val="BHead_table"/>
    <w:basedOn w:val="Normal"/>
    <w:link w:val="BHeadtableChar"/>
    <w:qFormat/>
    <w:rsid w:val="00994780"/>
    <w:pPr>
      <w:jc w:val="center"/>
    </w:pPr>
    <w:rPr>
      <w:b/>
    </w:rPr>
  </w:style>
  <w:style w:type="character" w:customStyle="1" w:styleId="BHeadtableChar">
    <w:name w:val="BHead_table Char"/>
    <w:basedOn w:val="DefaultParagraphFont"/>
    <w:link w:val="BHeadtable"/>
    <w:rsid w:val="007E29E2"/>
    <w:rPr>
      <w:b/>
    </w:rPr>
  </w:style>
  <w:style w:type="paragraph" w:customStyle="1" w:styleId="BNormaltable">
    <w:name w:val="BNormal_table"/>
    <w:basedOn w:val="BNormal"/>
    <w:link w:val="BNormaltableChar"/>
    <w:qFormat/>
    <w:rsid w:val="00B35906"/>
    <w:pPr>
      <w:spacing w:before="0"/>
    </w:pPr>
    <w:rPr>
      <w:sz w:val="20"/>
      <w:szCs w:val="20"/>
    </w:rPr>
  </w:style>
  <w:style w:type="character" w:customStyle="1" w:styleId="BNormaltableChar">
    <w:name w:val="BNormal_table Char"/>
    <w:basedOn w:val="BNormalChar"/>
    <w:link w:val="BNormaltable"/>
    <w:rsid w:val="00B35906"/>
    <w:rPr>
      <w:rFonts w:eastAsia="Times New Roman"/>
      <w:kern w:val="0"/>
      <w:sz w:val="20"/>
      <w:szCs w:val="20"/>
      <w:lang w:bidi="ar-SA"/>
    </w:rPr>
  </w:style>
  <w:style w:type="paragraph" w:customStyle="1" w:styleId="BNormaltablebold">
    <w:name w:val="BNormal_table_bold"/>
    <w:basedOn w:val="BNormaltable"/>
    <w:link w:val="BNormaltableboldChar"/>
    <w:qFormat/>
    <w:rsid w:val="00B35906"/>
    <w:rPr>
      <w:b/>
    </w:rPr>
  </w:style>
  <w:style w:type="character" w:customStyle="1" w:styleId="BNormaltableboldChar">
    <w:name w:val="BNormal_table_bold Char"/>
    <w:basedOn w:val="BNormaltableChar"/>
    <w:link w:val="BNormaltablebold"/>
    <w:rsid w:val="00B35906"/>
    <w:rPr>
      <w:rFonts w:eastAsia="Times New Roman"/>
      <w:b/>
      <w:kern w:val="0"/>
      <w:sz w:val="20"/>
      <w:szCs w:val="20"/>
      <w:lang w:bidi="ar-SA"/>
    </w:rPr>
  </w:style>
  <w:style w:type="character" w:customStyle="1" w:styleId="FootnoteNumber">
    <w:name w:val="Footnote Number"/>
    <w:semiHidden/>
    <w:rsid w:val="00BA3A17"/>
    <w:rPr>
      <w:b/>
      <w:color w:val="800080"/>
      <w:position w:val="6"/>
      <w:sz w:val="20"/>
    </w:rPr>
  </w:style>
  <w:style w:type="paragraph" w:styleId="Header">
    <w:name w:val="header"/>
    <w:basedOn w:val="Normal"/>
    <w:link w:val="HeaderChar"/>
    <w:uiPriority w:val="99"/>
    <w:semiHidden/>
    <w:qFormat/>
    <w:rsid w:val="00BA3A17"/>
    <w:pPr>
      <w:tabs>
        <w:tab w:val="center" w:pos="4680"/>
        <w:tab w:val="right" w:pos="9360"/>
      </w:tabs>
      <w:spacing w:before="0" w:after="0"/>
    </w:pPr>
    <w:rPr>
      <w:rFonts w:cstheme="minorBidi"/>
      <w:kern w:val="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81721"/>
    <w:rPr>
      <w:rFonts w:cstheme="minorBidi"/>
      <w:kern w:val="0"/>
      <w:lang w:bidi="ar-SA"/>
    </w:rPr>
  </w:style>
  <w:style w:type="paragraph" w:styleId="Footer">
    <w:name w:val="footer"/>
    <w:basedOn w:val="Normal"/>
    <w:link w:val="FooterChar"/>
    <w:uiPriority w:val="99"/>
    <w:semiHidden/>
    <w:rsid w:val="00BA3A17"/>
    <w:pPr>
      <w:tabs>
        <w:tab w:val="center" w:pos="4680"/>
        <w:tab w:val="right" w:pos="9360"/>
      </w:tabs>
      <w:spacing w:before="0" w:after="0"/>
    </w:pPr>
    <w:rPr>
      <w:rFonts w:cstheme="minorBidi"/>
      <w:kern w:val="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81721"/>
    <w:rPr>
      <w:rFonts w:cstheme="minorBidi"/>
      <w:kern w:val="0"/>
      <w:lang w:bidi="ar-SA"/>
    </w:rPr>
  </w:style>
  <w:style w:type="paragraph" w:styleId="TOC1">
    <w:name w:val="toc 1"/>
    <w:basedOn w:val="Normal"/>
    <w:next w:val="Normal"/>
    <w:autoRedefine/>
    <w:uiPriority w:val="39"/>
    <w:semiHidden/>
    <w:rsid w:val="00BA3A17"/>
    <w:pPr>
      <w:spacing w:before="0" w:after="0"/>
      <w:ind w:right="720"/>
    </w:pPr>
    <w:rPr>
      <w:kern w:val="0"/>
      <w:lang w:bidi="ar-SA"/>
    </w:rPr>
  </w:style>
  <w:style w:type="paragraph" w:styleId="EnvelopeAddress">
    <w:name w:val="envelope address"/>
    <w:basedOn w:val="Normal"/>
    <w:uiPriority w:val="99"/>
    <w:semiHidden/>
    <w:unhideWhenUsed/>
    <w:rsid w:val="00BA3A17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kern w:val="0"/>
      <w:lang w:bidi="ar-S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A3A17"/>
    <w:pPr>
      <w:spacing w:before="0" w:after="0"/>
      <w:ind w:left="240" w:hanging="240"/>
    </w:pPr>
    <w:rPr>
      <w:rFonts w:cstheme="minorBidi"/>
      <w:kern w:val="0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A3A17"/>
    <w:rPr>
      <w:rFonts w:eastAsiaTheme="majorEastAsia" w:cstheme="majorBidi"/>
      <w:kern w:val="0"/>
      <w:shd w:val="pct20" w:color="auto" w:fill="auto"/>
      <w:lang w:bidi="ar-SA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A3A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kern w:val="0"/>
      <w:lang w:bidi="ar-SA"/>
    </w:rPr>
  </w:style>
  <w:style w:type="paragraph" w:customStyle="1" w:styleId="TOCPage">
    <w:name w:val="TOC Page"/>
    <w:basedOn w:val="Normal"/>
    <w:next w:val="TOC1"/>
    <w:link w:val="TOCPageChar"/>
    <w:semiHidden/>
    <w:rsid w:val="00BA3A17"/>
    <w:pPr>
      <w:spacing w:after="0"/>
      <w:jc w:val="right"/>
    </w:pPr>
    <w:rPr>
      <w:rFonts w:cstheme="minorBidi"/>
      <w:kern w:val="0"/>
      <w:sz w:val="20"/>
      <w:u w:val="single"/>
      <w:lang w:bidi="ar-SA"/>
    </w:rPr>
  </w:style>
  <w:style w:type="character" w:customStyle="1" w:styleId="TOCPageChar">
    <w:name w:val="TOC Page Char"/>
    <w:basedOn w:val="DefaultParagraphFont"/>
    <w:link w:val="TOCPage"/>
    <w:semiHidden/>
    <w:rsid w:val="00134E05"/>
    <w:rPr>
      <w:sz w:val="20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E1CF7"/>
    <w:rPr>
      <w:rFonts w:cstheme="minorBidi"/>
      <w:kern w:val="0"/>
      <w:sz w:val="20"/>
      <w:szCs w:val="20"/>
      <w:lang w:bidi="ar-SA"/>
    </w:rPr>
  </w:style>
  <w:style w:type="paragraph" w:styleId="EndnoteText">
    <w:name w:val="endnote text"/>
    <w:basedOn w:val="Normal"/>
    <w:link w:val="EndnoteTextChar"/>
    <w:uiPriority w:val="99"/>
    <w:semiHidden/>
    <w:rsid w:val="00BA3A17"/>
    <w:pPr>
      <w:spacing w:before="0" w:after="0"/>
    </w:pPr>
    <w:rPr>
      <w:rFonts w:cstheme="minorBidi"/>
      <w:kern w:val="0"/>
      <w:sz w:val="20"/>
      <w:szCs w:val="20"/>
      <w:lang w:bidi="ar-SA"/>
    </w:rPr>
  </w:style>
  <w:style w:type="paragraph" w:styleId="List">
    <w:name w:val="List"/>
    <w:basedOn w:val="Normal"/>
    <w:uiPriority w:val="99"/>
    <w:semiHidden/>
    <w:unhideWhenUsed/>
    <w:rsid w:val="00BA3A17"/>
    <w:pPr>
      <w:spacing w:before="0" w:after="0"/>
      <w:ind w:left="360" w:hanging="360"/>
      <w:contextualSpacing/>
    </w:pPr>
    <w:rPr>
      <w:rFonts w:cstheme="minorBidi"/>
      <w:kern w:val="0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BA3A17"/>
    <w:rPr>
      <w:rFonts w:cstheme="minorBidi"/>
      <w:kern w:val="0"/>
      <w:lang w:bidi="ar-SA"/>
    </w:rPr>
  </w:style>
  <w:style w:type="paragraph" w:styleId="Closing">
    <w:name w:val="Closing"/>
    <w:basedOn w:val="Normal"/>
    <w:link w:val="ClosingChar"/>
    <w:uiPriority w:val="99"/>
    <w:semiHidden/>
    <w:unhideWhenUsed/>
    <w:rsid w:val="00BA3A17"/>
    <w:pPr>
      <w:spacing w:before="0" w:after="0"/>
      <w:ind w:left="4320"/>
    </w:pPr>
    <w:rPr>
      <w:rFonts w:cstheme="minorBidi"/>
      <w:kern w:val="0"/>
      <w:lang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0E1CF7"/>
    <w:rPr>
      <w:rFonts w:cstheme="minorBidi"/>
      <w:kern w:val="0"/>
      <w:lang w:bidi="ar-SA"/>
    </w:rPr>
  </w:style>
  <w:style w:type="paragraph" w:styleId="BodyTextIndent">
    <w:name w:val="Body Text Indent"/>
    <w:basedOn w:val="Normal"/>
    <w:link w:val="BodyTextIndentChar"/>
    <w:semiHidden/>
    <w:rsid w:val="00BA3A17"/>
    <w:pPr>
      <w:spacing w:before="0"/>
      <w:ind w:left="360"/>
    </w:pPr>
    <w:rPr>
      <w:rFonts w:cstheme="minorBidi"/>
      <w:kern w:val="0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A3A17"/>
    <w:rPr>
      <w:rFonts w:cstheme="minorBidi"/>
      <w:kern w:val="0"/>
      <w:lang w:bidi="ar-SA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A3A17"/>
    <w:pPr>
      <w:spacing w:before="0" w:after="0"/>
    </w:pPr>
    <w:rPr>
      <w:rFonts w:cstheme="minorBidi"/>
      <w:kern w:val="0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BA3A17"/>
    <w:rPr>
      <w:rFonts w:cstheme="minorBidi"/>
      <w:kern w:val="0"/>
      <w:lang w:bidi="ar-S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A3A17"/>
    <w:pPr>
      <w:spacing w:before="0" w:after="0"/>
    </w:pPr>
    <w:rPr>
      <w:rFonts w:cstheme="minorBidi"/>
      <w:kern w:val="0"/>
      <w:lang w:bidi="ar-SA"/>
    </w:rPr>
  </w:style>
  <w:style w:type="character" w:customStyle="1" w:styleId="BodyTextFirstIndentChar">
    <w:name w:val="Body Text First Indent Char"/>
    <w:aliases w:val="Text of Statute Char"/>
    <w:basedOn w:val="BodyTextChar"/>
    <w:link w:val="BodyTextFirstIndent"/>
    <w:semiHidden/>
    <w:rsid w:val="000E1CF7"/>
    <w:rPr>
      <w:rFonts w:eastAsia="Times New Roman" w:cstheme="minorBidi"/>
      <w:kern w:val="0"/>
      <w:lang w:bidi="ar-SA"/>
    </w:rPr>
  </w:style>
  <w:style w:type="paragraph" w:styleId="BodyTextFirstIndent">
    <w:name w:val="Body Text First Indent"/>
    <w:aliases w:val="Text of Statute"/>
    <w:basedOn w:val="BodyText"/>
    <w:link w:val="BodyTextFirstIndentChar"/>
    <w:semiHidden/>
    <w:rsid w:val="00BA3A17"/>
    <w:pPr>
      <w:spacing w:before="0" w:after="0"/>
      <w:ind w:firstLine="360"/>
    </w:pPr>
    <w:rPr>
      <w:rFonts w:eastAsiaTheme="minorHAnsi" w:cstheme="minorBidi"/>
      <w:kern w:val="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A3A17"/>
    <w:rPr>
      <w:rFonts w:cstheme="minorBidi"/>
      <w:kern w:val="0"/>
      <w:lang w:bidi="ar-S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A3A17"/>
    <w:pPr>
      <w:spacing w:after="0"/>
      <w:ind w:firstLine="36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A3A17"/>
    <w:rPr>
      <w:rFonts w:cstheme="minorBidi"/>
      <w:kern w:val="0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A3A17"/>
    <w:pPr>
      <w:spacing w:before="0" w:after="0"/>
    </w:pPr>
    <w:rPr>
      <w:rFonts w:cstheme="minorBidi"/>
      <w:kern w:val="0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A3A17"/>
    <w:rPr>
      <w:rFonts w:cstheme="minorBidi"/>
      <w:kern w:val="0"/>
      <w:lang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A3A17"/>
    <w:pPr>
      <w:spacing w:before="0" w:line="480" w:lineRule="auto"/>
    </w:pPr>
    <w:rPr>
      <w:rFonts w:cstheme="minorBidi"/>
      <w:kern w:val="0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A3A17"/>
    <w:rPr>
      <w:rFonts w:cstheme="minorBidi"/>
      <w:kern w:val="0"/>
      <w:sz w:val="16"/>
      <w:szCs w:val="16"/>
      <w:lang w:bidi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A3A17"/>
    <w:pPr>
      <w:spacing w:before="0"/>
    </w:pPr>
    <w:rPr>
      <w:rFonts w:cstheme="minorBidi"/>
      <w:kern w:val="0"/>
      <w:sz w:val="16"/>
      <w:szCs w:val="16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3A17"/>
    <w:rPr>
      <w:rFonts w:cstheme="minorBidi"/>
      <w:kern w:val="0"/>
      <w:lang w:bidi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A3A17"/>
    <w:pPr>
      <w:spacing w:before="0" w:line="480" w:lineRule="auto"/>
      <w:ind w:left="360"/>
    </w:pPr>
    <w:rPr>
      <w:rFonts w:cstheme="minorBidi"/>
      <w:kern w:val="0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A3A17"/>
    <w:rPr>
      <w:rFonts w:cstheme="minorBidi"/>
      <w:kern w:val="0"/>
      <w:sz w:val="16"/>
      <w:szCs w:val="16"/>
      <w:lang w:bidi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A3A17"/>
    <w:pPr>
      <w:spacing w:before="0"/>
      <w:ind w:left="360"/>
    </w:pPr>
    <w:rPr>
      <w:rFonts w:cstheme="minorBidi"/>
      <w:kern w:val="0"/>
      <w:sz w:val="16"/>
      <w:szCs w:val="16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1CF7"/>
    <w:rPr>
      <w:rFonts w:ascii="Consolas" w:hAnsi="Consolas" w:cstheme="minorBidi"/>
      <w:kern w:val="0"/>
      <w:sz w:val="21"/>
      <w:szCs w:val="21"/>
      <w:lang w:bidi="ar-SA"/>
    </w:rPr>
  </w:style>
  <w:style w:type="paragraph" w:styleId="PlainText">
    <w:name w:val="Plain Text"/>
    <w:basedOn w:val="Normal"/>
    <w:link w:val="PlainTextChar"/>
    <w:uiPriority w:val="99"/>
    <w:semiHidden/>
    <w:rsid w:val="00BA3A17"/>
    <w:pPr>
      <w:spacing w:before="0" w:after="0"/>
    </w:pPr>
    <w:rPr>
      <w:rFonts w:ascii="Consolas" w:hAnsi="Consolas" w:cstheme="minorBidi"/>
      <w:kern w:val="0"/>
      <w:sz w:val="21"/>
      <w:szCs w:val="21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A3A17"/>
    <w:rPr>
      <w:rFonts w:cstheme="minorBidi"/>
      <w:kern w:val="0"/>
      <w:lang w:bidi="ar-S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A3A17"/>
    <w:pPr>
      <w:spacing w:before="0" w:after="0"/>
    </w:pPr>
    <w:rPr>
      <w:rFonts w:cstheme="minorBidi"/>
      <w:kern w:val="0"/>
      <w:lang w:bidi="ar-SA"/>
    </w:rPr>
  </w:style>
  <w:style w:type="paragraph" w:styleId="NormalWeb">
    <w:name w:val="Normal (Web)"/>
    <w:basedOn w:val="Normal"/>
    <w:semiHidden/>
    <w:rsid w:val="00BA3A17"/>
    <w:pPr>
      <w:spacing w:before="0" w:after="0"/>
    </w:pPr>
    <w:rPr>
      <w:kern w:val="0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A3A17"/>
    <w:rPr>
      <w:rFonts w:cstheme="minorBidi"/>
      <w:i/>
      <w:iCs/>
      <w:kern w:val="0"/>
      <w:lang w:bidi="ar-S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A3A17"/>
    <w:pPr>
      <w:spacing w:before="0" w:after="0"/>
    </w:pPr>
    <w:rPr>
      <w:rFonts w:cstheme="minorBidi"/>
      <w:i/>
      <w:iCs/>
      <w:kern w:val="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3A17"/>
    <w:rPr>
      <w:rFonts w:ascii="Consolas" w:hAnsi="Consolas" w:cstheme="minorBidi"/>
      <w:kern w:val="0"/>
      <w:sz w:val="20"/>
      <w:szCs w:val="20"/>
      <w:lang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3A17"/>
    <w:pPr>
      <w:spacing w:before="0" w:after="0"/>
    </w:pPr>
    <w:rPr>
      <w:rFonts w:ascii="Consolas" w:hAnsi="Consolas" w:cstheme="minorBidi"/>
      <w:kern w:val="0"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CF7"/>
    <w:rPr>
      <w:rFonts w:eastAsia="Times New Roman" w:cstheme="minorBidi"/>
      <w:b/>
      <w:bCs/>
      <w:kern w:val="0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3A17"/>
    <w:pPr>
      <w:spacing w:before="0"/>
    </w:pPr>
    <w:rPr>
      <w:rFonts w:eastAsiaTheme="minorHAnsi" w:cstheme="minorBidi"/>
      <w:b/>
      <w:bCs/>
      <w:kern w:val="0"/>
    </w:rPr>
  </w:style>
  <w:style w:type="character" w:styleId="BookTitle">
    <w:name w:val="Book Title"/>
    <w:basedOn w:val="DefaultParagraphFont"/>
    <w:uiPriority w:val="33"/>
    <w:semiHidden/>
    <w:rsid w:val="00BA3A17"/>
    <w:rPr>
      <w:b/>
      <w:bCs/>
      <w:smallCaps/>
      <w:spacing w:val="5"/>
    </w:rPr>
  </w:style>
  <w:style w:type="paragraph" w:customStyle="1" w:styleId="Initials">
    <w:name w:val="Initials"/>
    <w:basedOn w:val="Normal"/>
    <w:uiPriority w:val="99"/>
    <w:semiHidden/>
    <w:rsid w:val="00BA3A17"/>
    <w:pPr>
      <w:spacing w:after="0"/>
      <w:contextualSpacing/>
    </w:pPr>
    <w:rPr>
      <w:rFonts w:eastAsia="Times New Roman"/>
      <w:kern w:val="0"/>
      <w:lang w:bidi="ar-SA"/>
    </w:rPr>
  </w:style>
  <w:style w:type="paragraph" w:styleId="ListParagraph">
    <w:name w:val="List Paragraph"/>
    <w:basedOn w:val="Normal"/>
    <w:uiPriority w:val="34"/>
    <w:semiHidden/>
    <w:qFormat/>
    <w:rsid w:val="000B1DF4"/>
    <w:pPr>
      <w:spacing w:before="0" w:after="0"/>
      <w:ind w:left="720"/>
      <w:contextualSpacing/>
      <w:jc w:val="both"/>
    </w:pPr>
    <w:rPr>
      <w:rFonts w:eastAsia="Calibri"/>
      <w:bCs/>
      <w:kern w:val="0"/>
      <w:lang w:eastAsia="da-DK" w:bidi="ar-SA"/>
    </w:rPr>
  </w:style>
  <w:style w:type="character" w:customStyle="1" w:styleId="emphi1">
    <w:name w:val="emphi1"/>
    <w:basedOn w:val="DefaultParagraphFont"/>
    <w:semiHidden/>
    <w:rsid w:val="000B1DF4"/>
    <w:rPr>
      <w:i/>
      <w:iCs/>
    </w:rPr>
  </w:style>
  <w:style w:type="character" w:customStyle="1" w:styleId="emph-i">
    <w:name w:val="emph-i"/>
    <w:basedOn w:val="DefaultParagraphFont"/>
    <w:semiHidden/>
    <w:rsid w:val="000B1DF4"/>
    <w:rPr>
      <w:i/>
      <w:iCs/>
    </w:rPr>
  </w:style>
  <w:style w:type="paragraph" w:customStyle="1" w:styleId="BLevel1">
    <w:name w:val="BLevel1"/>
    <w:basedOn w:val="BNormal"/>
    <w:link w:val="BLevel1Char"/>
    <w:qFormat/>
    <w:rsid w:val="00994780"/>
    <w:pPr>
      <w:outlineLvl w:val="0"/>
    </w:pPr>
    <w:rPr>
      <w:b/>
    </w:rPr>
  </w:style>
  <w:style w:type="character" w:customStyle="1" w:styleId="BLevel1Char">
    <w:name w:val="BLevel1 Char"/>
    <w:basedOn w:val="BNormalChar"/>
    <w:link w:val="BLevel1"/>
    <w:rsid w:val="00994780"/>
    <w:rPr>
      <w:rFonts w:eastAsia="Times New Roman"/>
      <w:b/>
      <w:kern w:val="0"/>
      <w:lang w:bidi="ar-SA"/>
    </w:rPr>
  </w:style>
  <w:style w:type="paragraph" w:customStyle="1" w:styleId="BLevel2">
    <w:name w:val="BLevel2"/>
    <w:basedOn w:val="BNormal"/>
    <w:link w:val="BLevel2Char"/>
    <w:qFormat/>
    <w:rsid w:val="00994780"/>
    <w:pPr>
      <w:ind w:left="720"/>
      <w:outlineLvl w:val="1"/>
    </w:pPr>
  </w:style>
  <w:style w:type="character" w:customStyle="1" w:styleId="BLevel2Char">
    <w:name w:val="BLevel2 Char"/>
    <w:basedOn w:val="BNormalChar"/>
    <w:link w:val="BLevel2"/>
    <w:rsid w:val="00994780"/>
    <w:rPr>
      <w:rFonts w:eastAsia="Times New Roman"/>
      <w:kern w:val="0"/>
      <w:lang w:bidi="ar-SA"/>
    </w:rPr>
  </w:style>
  <w:style w:type="paragraph" w:customStyle="1" w:styleId="BLevel3">
    <w:name w:val="BLevel3"/>
    <w:basedOn w:val="BNormal"/>
    <w:link w:val="BLevel3Char"/>
    <w:qFormat/>
    <w:rsid w:val="00994780"/>
    <w:pPr>
      <w:ind w:left="1440"/>
      <w:outlineLvl w:val="2"/>
    </w:pPr>
  </w:style>
  <w:style w:type="character" w:customStyle="1" w:styleId="BLevel3Char">
    <w:name w:val="BLevel3 Char"/>
    <w:basedOn w:val="BNormalChar"/>
    <w:link w:val="BLevel3"/>
    <w:rsid w:val="00994780"/>
    <w:rPr>
      <w:rFonts w:eastAsia="Times New Roman"/>
      <w:kern w:val="0"/>
      <w:lang w:bidi="ar-SA"/>
    </w:rPr>
  </w:style>
  <w:style w:type="paragraph" w:customStyle="1" w:styleId="BLevel4">
    <w:name w:val="BLevel4"/>
    <w:basedOn w:val="BNormal"/>
    <w:link w:val="BLevel4Char"/>
    <w:qFormat/>
    <w:rsid w:val="006053C8"/>
    <w:pPr>
      <w:ind w:left="2160"/>
      <w:outlineLvl w:val="3"/>
    </w:pPr>
  </w:style>
  <w:style w:type="character" w:customStyle="1" w:styleId="BLevel4Char">
    <w:name w:val="BLevel4 Char"/>
    <w:basedOn w:val="BNormalChar"/>
    <w:link w:val="BLevel4"/>
    <w:rsid w:val="006053C8"/>
    <w:rPr>
      <w:rFonts w:eastAsia="Times New Roman"/>
      <w:kern w:val="0"/>
      <w:lang w:bidi="ar-SA"/>
    </w:rPr>
  </w:style>
  <w:style w:type="paragraph" w:customStyle="1" w:styleId="BLevel5">
    <w:name w:val="BLevel5"/>
    <w:basedOn w:val="BNormal"/>
    <w:link w:val="BLevel5Char"/>
    <w:qFormat/>
    <w:rsid w:val="006053C8"/>
    <w:pPr>
      <w:ind w:left="2880"/>
      <w:outlineLvl w:val="4"/>
    </w:pPr>
  </w:style>
  <w:style w:type="character" w:customStyle="1" w:styleId="BLevel5Char">
    <w:name w:val="BLevel5 Char"/>
    <w:basedOn w:val="BNormalChar"/>
    <w:link w:val="BLevel5"/>
    <w:rsid w:val="006053C8"/>
    <w:rPr>
      <w:rFonts w:eastAsia="Times New Roman"/>
      <w:kern w:val="0"/>
      <w:lang w:bidi="ar-SA"/>
    </w:rPr>
  </w:style>
  <w:style w:type="paragraph" w:customStyle="1" w:styleId="BLevel6">
    <w:name w:val="BLevel6"/>
    <w:basedOn w:val="BNormal"/>
    <w:link w:val="BLevel6Char"/>
    <w:qFormat/>
    <w:rsid w:val="006053C8"/>
    <w:pPr>
      <w:ind w:left="3600"/>
      <w:outlineLvl w:val="5"/>
    </w:pPr>
  </w:style>
  <w:style w:type="character" w:customStyle="1" w:styleId="BLevel6Char">
    <w:name w:val="BLevel6 Char"/>
    <w:basedOn w:val="DefaultParagraphFont"/>
    <w:link w:val="BLevel6"/>
    <w:rsid w:val="00C924AA"/>
    <w:rPr>
      <w:rFonts w:eastAsia="Times New Roman"/>
      <w:kern w:val="0"/>
      <w:lang w:bidi="ar-SA"/>
    </w:rPr>
  </w:style>
  <w:style w:type="paragraph" w:styleId="TOC2">
    <w:name w:val="toc 2"/>
    <w:basedOn w:val="Normal"/>
    <w:next w:val="Normal"/>
    <w:autoRedefine/>
    <w:uiPriority w:val="39"/>
    <w:semiHidden/>
    <w:qFormat/>
    <w:rsid w:val="00D3763E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qFormat/>
    <w:rsid w:val="00D3763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D3763E"/>
    <w:pPr>
      <w:spacing w:after="100"/>
      <w:ind w:left="720"/>
    </w:pPr>
  </w:style>
  <w:style w:type="paragraph" w:customStyle="1" w:styleId="Style1">
    <w:name w:val="Style1"/>
    <w:basedOn w:val="Normal"/>
    <w:semiHidden/>
    <w:qFormat/>
    <w:rsid w:val="00685FC3"/>
    <w:pPr>
      <w:spacing w:before="0" w:after="0"/>
      <w:jc w:val="both"/>
    </w:pPr>
    <w:rPr>
      <w:rFonts w:eastAsia="Calibri"/>
      <w:bCs/>
      <w:kern w:val="0"/>
      <w:lang w:eastAsia="da-DK" w:bidi="ar-SA"/>
    </w:rPr>
  </w:style>
  <w:style w:type="paragraph" w:customStyle="1" w:styleId="p">
    <w:name w:val="p"/>
    <w:uiPriority w:val="99"/>
    <w:semiHidden/>
    <w:rsid w:val="000B42CA"/>
    <w:pPr>
      <w:widowControl w:val="0"/>
      <w:autoSpaceDE w:val="0"/>
      <w:autoSpaceDN w:val="0"/>
      <w:adjustRightInd w:val="0"/>
      <w:spacing w:before="100" w:after="0"/>
      <w:ind w:firstLine="150"/>
    </w:pPr>
    <w:rPr>
      <w:rFonts w:eastAsiaTheme="minorEastAsia"/>
      <w:kern w:val="0"/>
      <w:sz w:val="20"/>
      <w:szCs w:val="20"/>
      <w:lang w:bidi="ar-SA"/>
    </w:rPr>
  </w:style>
  <w:style w:type="character" w:customStyle="1" w:styleId="BCautionhead">
    <w:name w:val="BCaution_head"/>
    <w:basedOn w:val="BCommenthead"/>
    <w:uiPriority w:val="1"/>
    <w:qFormat/>
    <w:rsid w:val="007E29E2"/>
    <w:rPr>
      <w:b/>
    </w:rPr>
  </w:style>
  <w:style w:type="paragraph" w:customStyle="1" w:styleId="BCautionpara">
    <w:name w:val="BCaution_para"/>
    <w:basedOn w:val="BCommentpara"/>
    <w:link w:val="BCautionparaChar"/>
    <w:qFormat/>
    <w:rsid w:val="009337A4"/>
  </w:style>
  <w:style w:type="character" w:customStyle="1" w:styleId="BCautionparaChar">
    <w:name w:val="BCaution_para Char"/>
    <w:basedOn w:val="BCommentparaChar"/>
    <w:link w:val="BCautionpara"/>
    <w:rsid w:val="009337A4"/>
    <w:rPr>
      <w:rFonts w:eastAsia="Times New Roman"/>
      <w:kern w:val="0"/>
      <w:lang w:bidi="ar-SA"/>
    </w:rPr>
  </w:style>
  <w:style w:type="paragraph" w:styleId="Bibliography">
    <w:name w:val="Bibliography"/>
    <w:basedOn w:val="Normal"/>
    <w:next w:val="Normal"/>
    <w:uiPriority w:val="99"/>
    <w:semiHidden/>
    <w:rsid w:val="00C4264F"/>
  </w:style>
  <w:style w:type="paragraph" w:customStyle="1" w:styleId="Default">
    <w:name w:val="Default"/>
    <w:semiHidden/>
    <w:rsid w:val="00242B4D"/>
    <w:pPr>
      <w:autoSpaceDE w:val="0"/>
      <w:autoSpaceDN w:val="0"/>
      <w:adjustRightInd w:val="0"/>
      <w:spacing w:before="0" w:after="0"/>
    </w:pPr>
    <w:rPr>
      <w:rFonts w:ascii="Arial" w:eastAsiaTheme="minorEastAsia" w:hAnsi="Arial" w:cs="Arial"/>
      <w:color w:val="000000"/>
      <w:kern w:val="0"/>
      <w:lang w:bidi="ar-SA"/>
    </w:rPr>
  </w:style>
  <w:style w:type="character" w:customStyle="1" w:styleId="apple-converted-space">
    <w:name w:val="apple-converted-space"/>
    <w:basedOn w:val="DefaultParagraphFont"/>
    <w:semiHidden/>
    <w:rsid w:val="00242B4D"/>
    <w:rPr>
      <w:rFonts w:cs="Times New Roman"/>
    </w:rPr>
  </w:style>
  <w:style w:type="paragraph" w:customStyle="1" w:styleId="rvps2">
    <w:name w:val="rvps2"/>
    <w:basedOn w:val="Normal"/>
    <w:semiHidden/>
    <w:rsid w:val="00242B4D"/>
    <w:pPr>
      <w:spacing w:before="100" w:beforeAutospacing="1" w:after="100" w:afterAutospacing="1"/>
    </w:pPr>
    <w:rPr>
      <w:rFonts w:eastAsiaTheme="minorEastAsia"/>
      <w:kern w:val="0"/>
      <w:lang w:bidi="ar-SA"/>
    </w:rPr>
  </w:style>
  <w:style w:type="table" w:styleId="TableGrid">
    <w:name w:val="Table Grid"/>
    <w:basedOn w:val="TableNormal"/>
    <w:uiPriority w:val="59"/>
    <w:rsid w:val="00AA53B1"/>
    <w:pPr>
      <w:spacing w:before="0" w:after="0"/>
    </w:pPr>
    <w:rPr>
      <w:rFonts w:asciiTheme="minorHAnsi" w:eastAsiaTheme="minorEastAsia" w:hAnsiTheme="minorHAnsi"/>
      <w:kern w:val="0"/>
      <w:sz w:val="18"/>
      <w:szCs w:val="22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4070"/>
    <w:rPr>
      <w:rFonts w:cs="Times New Roman"/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semiHidden/>
    <w:qFormat/>
    <w:rsid w:val="00654070"/>
    <w:rPr>
      <w:rFonts w:cs="Times New Roman"/>
      <w:b/>
      <w:bCs/>
    </w:rPr>
  </w:style>
  <w:style w:type="paragraph" w:customStyle="1" w:styleId="c2">
    <w:name w:val="c2"/>
    <w:basedOn w:val="Normal"/>
    <w:semiHidden/>
    <w:rsid w:val="00654070"/>
    <w:pPr>
      <w:spacing w:before="100" w:beforeAutospacing="1" w:after="100" w:afterAutospacing="1"/>
    </w:pPr>
    <w:rPr>
      <w:rFonts w:eastAsiaTheme="minorEastAsia"/>
      <w:kern w:val="0"/>
      <w:lang w:val="cs-CZ" w:eastAsia="cs-CZ" w:bidi="ar-SA"/>
    </w:rPr>
  </w:style>
  <w:style w:type="paragraph" w:customStyle="1" w:styleId="hp">
    <w:name w:val="hp"/>
    <w:basedOn w:val="Normal"/>
    <w:semiHidden/>
    <w:rsid w:val="00654070"/>
    <w:pPr>
      <w:spacing w:before="100" w:beforeAutospacing="1" w:after="100" w:afterAutospacing="1"/>
    </w:pPr>
    <w:rPr>
      <w:rFonts w:eastAsiaTheme="minorEastAsia"/>
      <w:kern w:val="0"/>
      <w:lang w:val="cs-CZ" w:eastAsia="cs-CZ" w:bidi="ar-SA"/>
    </w:rPr>
  </w:style>
  <w:style w:type="paragraph" w:customStyle="1" w:styleId="Body">
    <w:name w:val="Body"/>
    <w:basedOn w:val="Normal"/>
    <w:next w:val="BNormal"/>
    <w:semiHidden/>
    <w:rsid w:val="00DF2E1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before="0" w:after="200" w:line="276" w:lineRule="auto"/>
    </w:pPr>
    <w:rPr>
      <w:rFonts w:eastAsiaTheme="minorEastAsia" w:cs="Calibri"/>
      <w:color w:val="000000"/>
      <w:kern w:val="0"/>
      <w:szCs w:val="22"/>
      <w:u w:color="000000"/>
      <w:lang w:val="pt-PT" w:bidi="ar-SA"/>
    </w:rPr>
  </w:style>
  <w:style w:type="character" w:customStyle="1" w:styleId="ColorfulGrid-Accent1Char">
    <w:name w:val="Colorful Grid - Accent 1 Char"/>
    <w:link w:val="ColorfulGrid-Accent1"/>
    <w:uiPriority w:val="29"/>
    <w:rsid w:val="006251A0"/>
    <w:rPr>
      <w:sz w:val="22"/>
      <w:szCs w:val="22"/>
    </w:rPr>
  </w:style>
  <w:style w:type="table" w:styleId="ColorfulGrid-Accent1">
    <w:name w:val="Colorful Grid Accent 1"/>
    <w:basedOn w:val="TableNormal"/>
    <w:link w:val="ColorfulGrid-Accent1Char"/>
    <w:uiPriority w:val="29"/>
    <w:semiHidden/>
    <w:unhideWhenUsed/>
    <w:rsid w:val="006251A0"/>
    <w:pPr>
      <w:spacing w:before="0" w:after="0"/>
    </w:pPr>
    <w:rPr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customStyle="1" w:styleId="BSourceExtract">
    <w:name w:val="BSourceExtract"/>
    <w:basedOn w:val="BNormal"/>
    <w:rsid w:val="00EA31D3"/>
    <w:pPr>
      <w:ind w:left="720"/>
    </w:pPr>
    <w:rPr>
      <w:sz w:val="20"/>
      <w:szCs w:val="20"/>
    </w:rPr>
  </w:style>
  <w:style w:type="paragraph" w:customStyle="1" w:styleId="BSourceExtractHead">
    <w:name w:val="BSourceExtract_Head"/>
    <w:basedOn w:val="BSourceExtract"/>
    <w:rsid w:val="00EA31D3"/>
    <w:rPr>
      <w:b/>
    </w:rPr>
  </w:style>
  <w:style w:type="paragraph" w:customStyle="1" w:styleId="HBNORMAL">
    <w:name w:val="HBNORMAL"/>
    <w:aliases w:val="NL"/>
    <w:semiHidden/>
    <w:rsid w:val="004857FC"/>
    <w:pPr>
      <w:spacing w:before="0" w:after="0"/>
    </w:pPr>
    <w:rPr>
      <w:rFonts w:eastAsia="Times New Roman"/>
      <w:kern w:val="0"/>
      <w:lang w:bidi="ar-SA"/>
    </w:rPr>
  </w:style>
  <w:style w:type="character" w:styleId="EndnoteReference">
    <w:name w:val="endnote reference"/>
    <w:basedOn w:val="DefaultParagraphFont"/>
    <w:uiPriority w:val="99"/>
    <w:semiHidden/>
    <w:rsid w:val="00E216E3"/>
    <w:rPr>
      <w:rFonts w:ascii="Verdana" w:hAnsi="Verdana"/>
      <w:color w:val="0000FF"/>
      <w:sz w:val="24"/>
      <w:vertAlign w:val="superscript"/>
    </w:rPr>
  </w:style>
  <w:style w:type="paragraph" w:styleId="ListBullet">
    <w:name w:val="List Bullet"/>
    <w:basedOn w:val="Normal"/>
    <w:semiHidden/>
    <w:rsid w:val="00E216E3"/>
    <w:pPr>
      <w:widowControl w:val="0"/>
      <w:numPr>
        <w:numId w:val="3"/>
      </w:numPr>
      <w:spacing w:before="0" w:line="300" w:lineRule="atLeast"/>
      <w:ind w:right="360"/>
      <w:jc w:val="both"/>
    </w:pPr>
    <w:rPr>
      <w:rFonts w:ascii="Verdana" w:eastAsia="Times New Roman" w:hAnsi="Verdana"/>
      <w:kern w:val="0"/>
      <w:lang w:bidi="ar-SA"/>
    </w:rPr>
  </w:style>
  <w:style w:type="paragraph" w:styleId="ListBullet2">
    <w:name w:val="List Bullet 2"/>
    <w:basedOn w:val="ListBullet"/>
    <w:semiHidden/>
    <w:rsid w:val="00E216E3"/>
    <w:pPr>
      <w:numPr>
        <w:ilvl w:val="1"/>
      </w:numPr>
      <w:ind w:right="0"/>
    </w:pPr>
  </w:style>
  <w:style w:type="character" w:customStyle="1" w:styleId="Level1TopicChar">
    <w:name w:val="Level 1 Topic Char"/>
    <w:basedOn w:val="DefaultParagraphFont"/>
    <w:link w:val="Level1Topic"/>
    <w:semiHidden/>
    <w:rsid w:val="000E1CF7"/>
    <w:rPr>
      <w:rFonts w:ascii="Arial" w:hAnsi="Arial" w:cs="Arial"/>
      <w:b/>
      <w:bCs/>
      <w:sz w:val="36"/>
      <w:szCs w:val="36"/>
    </w:rPr>
  </w:style>
  <w:style w:type="character" w:customStyle="1" w:styleId="LawNoteTitleChar">
    <w:name w:val="LawNote Title Char"/>
    <w:basedOn w:val="DefaultParagraphFont"/>
    <w:link w:val="LawNoteTitle"/>
    <w:semiHidden/>
    <w:rsid w:val="000E1CF7"/>
    <w:rPr>
      <w:rFonts w:ascii="Arial" w:hAnsi="Arial" w:cs="Arial"/>
      <w:b/>
      <w:color w:val="3C71A5"/>
      <w:sz w:val="32"/>
      <w:szCs w:val="32"/>
    </w:rPr>
  </w:style>
  <w:style w:type="character" w:styleId="PageNumber">
    <w:name w:val="page number"/>
    <w:basedOn w:val="DefaultParagraphFont"/>
    <w:semiHidden/>
    <w:rsid w:val="00282AD3"/>
  </w:style>
  <w:style w:type="paragraph" w:customStyle="1" w:styleId="CitationNote">
    <w:name w:val="CitationNote"/>
    <w:basedOn w:val="Heading2"/>
    <w:semiHidden/>
    <w:rsid w:val="00BB5BEA"/>
    <w:rPr>
      <w:rFonts w:cs="Times New Roman"/>
      <w:color w:val="31849B" w:themeColor="accent5" w:themeShade="BF"/>
    </w:rPr>
  </w:style>
  <w:style w:type="paragraph" w:customStyle="1" w:styleId="BCitationNote">
    <w:name w:val="BCitationNote"/>
    <w:rsid w:val="00B25CAA"/>
    <w:rPr>
      <w:rFonts w:eastAsiaTheme="majorEastAsia"/>
      <w:b/>
      <w:bCs/>
      <w:color w:val="31849B" w:themeColor="accent5" w:themeShade="BF"/>
      <w:szCs w:val="26"/>
      <w:lang w:bidi="ar-SA"/>
    </w:rPr>
  </w:style>
  <w:style w:type="paragraph" w:customStyle="1" w:styleId="DocID">
    <w:name w:val="DocID"/>
    <w:basedOn w:val="Footer"/>
    <w:next w:val="Footer"/>
    <w:semiHidden/>
    <w:rsid w:val="002B627A"/>
    <w:pPr>
      <w:tabs>
        <w:tab w:val="clear" w:pos="4680"/>
        <w:tab w:val="clear" w:pos="9360"/>
      </w:tabs>
    </w:pPr>
    <w:rPr>
      <w:rFonts w:eastAsia="Times New Roman" w:cs="Times New Roman"/>
      <w:sz w:val="16"/>
      <w:szCs w:val="20"/>
    </w:rPr>
  </w:style>
  <w:style w:type="paragraph" w:customStyle="1" w:styleId="Heading">
    <w:name w:val="Heading"/>
    <w:basedOn w:val="Normal"/>
    <w:semiHidden/>
    <w:rsid w:val="002B627A"/>
    <w:pPr>
      <w:spacing w:before="0" w:after="240"/>
    </w:pPr>
    <w:rPr>
      <w:rFonts w:eastAsia="Times New Roman"/>
      <w:kern w:val="0"/>
      <w:szCs w:val="20"/>
      <w:lang w:bidi="ar-SA"/>
    </w:rPr>
  </w:style>
  <w:style w:type="paragraph" w:customStyle="1" w:styleId="heading1notoc">
    <w:name w:val="heading 1 (no toc)"/>
    <w:basedOn w:val="Heading1"/>
    <w:next w:val="Normal"/>
    <w:link w:val="heading1notocChar"/>
    <w:semiHidden/>
    <w:rsid w:val="002B627A"/>
    <w:pPr>
      <w:keepNext w:val="0"/>
      <w:keepLines w:val="0"/>
      <w:spacing w:before="0" w:after="240"/>
      <w:outlineLvl w:val="9"/>
    </w:pPr>
    <w:rPr>
      <w:rFonts w:eastAsia="Times New Roman" w:cs="Times New Roman"/>
      <w:b w:val="0"/>
      <w:bCs w:val="0"/>
      <w:kern w:val="0"/>
      <w:sz w:val="24"/>
      <w:szCs w:val="20"/>
    </w:rPr>
  </w:style>
  <w:style w:type="paragraph" w:customStyle="1" w:styleId="heading2notoc">
    <w:name w:val="heading 2 (no toc)"/>
    <w:basedOn w:val="Heading2"/>
    <w:next w:val="Normal"/>
    <w:semiHidden/>
    <w:rsid w:val="002B627A"/>
    <w:pPr>
      <w:keepNext w:val="0"/>
      <w:keepLines w:val="0"/>
      <w:spacing w:before="0" w:after="240"/>
      <w:outlineLvl w:val="9"/>
    </w:pPr>
    <w:rPr>
      <w:rFonts w:eastAsia="Times New Roman" w:cs="Times New Roman"/>
      <w:b w:val="0"/>
      <w:bCs w:val="0"/>
      <w:kern w:val="0"/>
      <w:szCs w:val="20"/>
    </w:rPr>
  </w:style>
  <w:style w:type="paragraph" w:customStyle="1" w:styleId="heading3notoc">
    <w:name w:val="heading 3 (no toc)"/>
    <w:basedOn w:val="Heading3"/>
    <w:next w:val="Normal"/>
    <w:semiHidden/>
    <w:rsid w:val="002B627A"/>
    <w:pPr>
      <w:keepNext w:val="0"/>
      <w:keepLines w:val="0"/>
      <w:spacing w:before="0" w:after="240"/>
      <w:outlineLvl w:val="9"/>
    </w:pPr>
    <w:rPr>
      <w:rFonts w:eastAsia="Times New Roman" w:cs="Times New Roman"/>
      <w:b w:val="0"/>
      <w:bCs w:val="0"/>
      <w:kern w:val="0"/>
      <w:szCs w:val="20"/>
    </w:rPr>
  </w:style>
  <w:style w:type="paragraph" w:customStyle="1" w:styleId="heading4notoc">
    <w:name w:val="heading 4 (no toc)"/>
    <w:basedOn w:val="Heading4"/>
    <w:next w:val="Normal"/>
    <w:semiHidden/>
    <w:rsid w:val="002B627A"/>
    <w:pPr>
      <w:keepNext w:val="0"/>
      <w:keepLines w:val="0"/>
      <w:spacing w:before="0" w:after="240"/>
      <w:outlineLvl w:val="9"/>
    </w:pPr>
    <w:rPr>
      <w:rFonts w:eastAsia="Times New Roman" w:cs="Times New Roman"/>
      <w:b w:val="0"/>
      <w:bCs w:val="0"/>
      <w:i w:val="0"/>
      <w:iCs w:val="0"/>
      <w:kern w:val="0"/>
      <w:szCs w:val="20"/>
    </w:rPr>
  </w:style>
  <w:style w:type="paragraph" w:customStyle="1" w:styleId="heading5notoc">
    <w:name w:val="heading 5 (no toc)"/>
    <w:basedOn w:val="Heading5"/>
    <w:next w:val="Normal"/>
    <w:semiHidden/>
    <w:rsid w:val="002B627A"/>
    <w:pPr>
      <w:keepNext w:val="0"/>
      <w:keepLines w:val="0"/>
      <w:spacing w:before="0" w:after="240"/>
      <w:outlineLvl w:val="9"/>
    </w:pPr>
    <w:rPr>
      <w:rFonts w:eastAsia="Times New Roman" w:cs="Times New Roman"/>
      <w:kern w:val="0"/>
      <w:szCs w:val="20"/>
    </w:rPr>
  </w:style>
  <w:style w:type="paragraph" w:customStyle="1" w:styleId="Quote1">
    <w:name w:val="Quote1"/>
    <w:aliases w:val="q"/>
    <w:basedOn w:val="Normal"/>
    <w:next w:val="QuoteContinued"/>
    <w:semiHidden/>
    <w:rsid w:val="002B627A"/>
    <w:pPr>
      <w:spacing w:after="0"/>
      <w:ind w:left="1440" w:right="1440"/>
    </w:pPr>
    <w:rPr>
      <w:rFonts w:eastAsia="Times New Roman"/>
      <w:kern w:val="0"/>
      <w:szCs w:val="20"/>
      <w:lang w:bidi="ar-SA"/>
    </w:rPr>
  </w:style>
  <w:style w:type="paragraph" w:customStyle="1" w:styleId="QuoteDoubleSpace">
    <w:name w:val="Quote DoubleSpace"/>
    <w:aliases w:val="qd"/>
    <w:basedOn w:val="Quote1"/>
    <w:next w:val="Normal"/>
    <w:semiHidden/>
    <w:rsid w:val="002B627A"/>
    <w:pPr>
      <w:spacing w:line="480" w:lineRule="auto"/>
    </w:pPr>
  </w:style>
  <w:style w:type="paragraph" w:customStyle="1" w:styleId="QuoteContinued">
    <w:name w:val="Quote Continued"/>
    <w:basedOn w:val="BodyText"/>
    <w:next w:val="BodyText"/>
    <w:semiHidden/>
    <w:rsid w:val="002B627A"/>
    <w:pPr>
      <w:spacing w:before="0" w:after="240"/>
    </w:pPr>
    <w:rPr>
      <w:kern w:val="0"/>
      <w:szCs w:val="20"/>
    </w:rPr>
  </w:style>
  <w:style w:type="paragraph" w:styleId="Title">
    <w:name w:val="Title"/>
    <w:basedOn w:val="Normal"/>
    <w:link w:val="TitleChar"/>
    <w:semiHidden/>
    <w:qFormat/>
    <w:rsid w:val="002B627A"/>
    <w:pPr>
      <w:spacing w:after="60"/>
      <w:jc w:val="center"/>
      <w:outlineLvl w:val="0"/>
    </w:pPr>
    <w:rPr>
      <w:rFonts w:eastAsia="Times New Roman" w:cs="Arial"/>
      <w:b/>
      <w:bCs/>
      <w:kern w:val="28"/>
      <w:sz w:val="28"/>
      <w:szCs w:val="32"/>
      <w:lang w:bidi="ar-SA"/>
    </w:rPr>
  </w:style>
  <w:style w:type="character" w:customStyle="1" w:styleId="TitleChar">
    <w:name w:val="Title Char"/>
    <w:basedOn w:val="DefaultParagraphFont"/>
    <w:link w:val="Title"/>
    <w:semiHidden/>
    <w:rsid w:val="000E1CF7"/>
    <w:rPr>
      <w:rFonts w:eastAsia="Times New Roman" w:cs="Arial"/>
      <w:b/>
      <w:bCs/>
      <w:kern w:val="28"/>
      <w:sz w:val="28"/>
      <w:szCs w:val="32"/>
      <w:lang w:bidi="ar-SA"/>
    </w:rPr>
  </w:style>
  <w:style w:type="paragraph" w:styleId="Subtitle">
    <w:name w:val="Subtitle"/>
    <w:basedOn w:val="Normal"/>
    <w:link w:val="SubtitleChar"/>
    <w:semiHidden/>
    <w:qFormat/>
    <w:rsid w:val="002B627A"/>
    <w:pPr>
      <w:spacing w:before="0" w:after="60"/>
      <w:jc w:val="center"/>
      <w:outlineLvl w:val="1"/>
    </w:pPr>
    <w:rPr>
      <w:rFonts w:eastAsia="Times New Roman" w:cs="Arial"/>
      <w:kern w:val="0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semiHidden/>
    <w:rsid w:val="000E1CF7"/>
    <w:rPr>
      <w:rFonts w:eastAsia="Times New Roman" w:cs="Arial"/>
      <w:kern w:val="0"/>
      <w:szCs w:val="20"/>
      <w:lang w:bidi="ar-SA"/>
    </w:rPr>
  </w:style>
  <w:style w:type="character" w:customStyle="1" w:styleId="ptext-1">
    <w:name w:val="ptext-1"/>
    <w:basedOn w:val="DefaultParagraphFont"/>
    <w:semiHidden/>
    <w:rsid w:val="006F25CD"/>
  </w:style>
  <w:style w:type="character" w:customStyle="1" w:styleId="ptext-2">
    <w:name w:val="ptext-2"/>
    <w:basedOn w:val="DefaultParagraphFont"/>
    <w:semiHidden/>
    <w:rsid w:val="006F25CD"/>
  </w:style>
  <w:style w:type="character" w:customStyle="1" w:styleId="enumbell">
    <w:name w:val="enumbell"/>
    <w:semiHidden/>
    <w:rsid w:val="006F25CD"/>
    <w:rPr>
      <w:b/>
      <w:bCs/>
    </w:rPr>
  </w:style>
  <w:style w:type="paragraph" w:customStyle="1" w:styleId="TableHeading1">
    <w:name w:val="Table Heading 1"/>
    <w:basedOn w:val="Normal"/>
    <w:semiHidden/>
    <w:qFormat/>
    <w:rsid w:val="00A832C5"/>
    <w:pPr>
      <w:shd w:val="clear" w:color="auto" w:fill="FFFFFF" w:themeFill="background1"/>
      <w:spacing w:before="120"/>
    </w:pPr>
    <w:rPr>
      <w:rFonts w:ascii="Arial" w:eastAsia="Times New Roman" w:hAnsi="Arial"/>
      <w:b/>
      <w:color w:val="262626" w:themeColor="text1" w:themeTint="D9"/>
      <w:kern w:val="0"/>
      <w:sz w:val="32"/>
      <w:szCs w:val="22"/>
      <w:lang w:bidi="ar-SA"/>
    </w:rPr>
  </w:style>
  <w:style w:type="paragraph" w:customStyle="1" w:styleId="AuthorByline">
    <w:name w:val="Author Byline"/>
    <w:basedOn w:val="Normal"/>
    <w:next w:val="Normal"/>
    <w:semiHidden/>
    <w:qFormat/>
    <w:rsid w:val="00A832C5"/>
    <w:pPr>
      <w:spacing w:before="120" w:line="360" w:lineRule="auto"/>
      <w:jc w:val="both"/>
    </w:pPr>
    <w:rPr>
      <w:rFonts w:ascii="Verdana" w:eastAsia="Times New Roman" w:hAnsi="Verdana" w:cs="Arial"/>
      <w:kern w:val="0"/>
      <w:sz w:val="22"/>
      <w:lang w:bidi="ar-SA"/>
    </w:rPr>
  </w:style>
  <w:style w:type="paragraph" w:customStyle="1" w:styleId="DocumentTitle">
    <w:name w:val="Document Title"/>
    <w:basedOn w:val="Normal"/>
    <w:next w:val="ArticleText"/>
    <w:link w:val="DocumentTitleChar"/>
    <w:semiHidden/>
    <w:qFormat/>
    <w:rsid w:val="00A832C5"/>
    <w:pPr>
      <w:spacing w:before="100"/>
    </w:pPr>
    <w:rPr>
      <w:rFonts w:ascii="Arial" w:eastAsia="Times New Roman" w:hAnsi="Arial"/>
      <w:kern w:val="0"/>
      <w:sz w:val="28"/>
      <w:szCs w:val="28"/>
      <w:lang w:bidi="ar-SA"/>
    </w:rPr>
  </w:style>
  <w:style w:type="paragraph" w:customStyle="1" w:styleId="PrimaryHeading">
    <w:name w:val="Primary Heading"/>
    <w:basedOn w:val="Normal"/>
    <w:next w:val="Normal"/>
    <w:semiHidden/>
    <w:qFormat/>
    <w:rsid w:val="00A832C5"/>
    <w:pPr>
      <w:spacing w:after="0"/>
    </w:pPr>
    <w:rPr>
      <w:rFonts w:ascii="Arial" w:eastAsia="Times New Roman" w:hAnsi="Arial" w:cs="Arial"/>
      <w:b/>
      <w:kern w:val="0"/>
      <w:sz w:val="36"/>
      <w:szCs w:val="36"/>
      <w:lang w:bidi="ar-SA"/>
    </w:rPr>
  </w:style>
  <w:style w:type="paragraph" w:customStyle="1" w:styleId="SecondaryHeading">
    <w:name w:val="Secondary Heading"/>
    <w:basedOn w:val="Normal"/>
    <w:next w:val="Normal"/>
    <w:semiHidden/>
    <w:qFormat/>
    <w:rsid w:val="00A832C5"/>
    <w:pPr>
      <w:shd w:val="clear" w:color="auto" w:fill="1D1B11" w:themeFill="background2" w:themeFillShade="1A"/>
      <w:spacing w:before="0"/>
    </w:pPr>
    <w:rPr>
      <w:rFonts w:ascii="Arial" w:eastAsia="Times New Roman" w:hAnsi="Arial" w:cs="Arial"/>
      <w:b/>
      <w:color w:val="B8CCE4" w:themeColor="accent1" w:themeTint="66"/>
      <w:kern w:val="0"/>
      <w:sz w:val="28"/>
      <w:szCs w:val="32"/>
      <w:lang w:bidi="ar-SA"/>
    </w:rPr>
  </w:style>
  <w:style w:type="paragraph" w:customStyle="1" w:styleId="ArticleText">
    <w:name w:val="Article Text"/>
    <w:basedOn w:val="Normal"/>
    <w:semiHidden/>
    <w:qFormat/>
    <w:rsid w:val="00A832C5"/>
    <w:pPr>
      <w:spacing w:before="120"/>
      <w:jc w:val="both"/>
    </w:pPr>
    <w:rPr>
      <w:rFonts w:ascii="Arial" w:eastAsia="Times New Roman" w:hAnsi="Arial"/>
      <w:kern w:val="0"/>
      <w:sz w:val="20"/>
      <w:lang w:bidi="ar-SA"/>
    </w:rPr>
  </w:style>
  <w:style w:type="paragraph" w:customStyle="1" w:styleId="ArticleHeading1">
    <w:name w:val="Article Heading 1"/>
    <w:basedOn w:val="Heading1"/>
    <w:next w:val="Normal"/>
    <w:link w:val="ArticleHeading1Char"/>
    <w:semiHidden/>
    <w:qFormat/>
    <w:rsid w:val="00A832C5"/>
    <w:pPr>
      <w:keepNext w:val="0"/>
      <w:keepLines w:val="0"/>
      <w:spacing w:before="120" w:after="120"/>
    </w:pPr>
    <w:rPr>
      <w:rFonts w:ascii="Arial" w:hAnsi="Arial"/>
      <w:b w:val="0"/>
      <w:bCs w:val="0"/>
      <w:color w:val="F79646" w:themeColor="accent6"/>
      <w:kern w:val="0"/>
    </w:rPr>
  </w:style>
  <w:style w:type="paragraph" w:customStyle="1" w:styleId="ArticleHeading2">
    <w:name w:val="Article Heading 2"/>
    <w:basedOn w:val="Heading2"/>
    <w:next w:val="ArticleText"/>
    <w:link w:val="ArticleHeading2Char"/>
    <w:semiHidden/>
    <w:qFormat/>
    <w:rsid w:val="00A832C5"/>
    <w:pPr>
      <w:keepNext w:val="0"/>
      <w:keepLines w:val="0"/>
      <w:spacing w:before="120" w:after="120"/>
      <w:ind w:left="720"/>
    </w:pPr>
    <w:rPr>
      <w:rFonts w:ascii="Verdana" w:eastAsia="Times New Roman" w:hAnsi="Verdana"/>
      <w:b w:val="0"/>
      <w:bCs w:val="0"/>
      <w:color w:val="F79646" w:themeColor="accent6"/>
      <w:kern w:val="0"/>
    </w:rPr>
  </w:style>
  <w:style w:type="character" w:customStyle="1" w:styleId="DocumentTitleChar">
    <w:name w:val="Document Title Char"/>
    <w:basedOn w:val="DefaultParagraphFont"/>
    <w:link w:val="DocumentTitle"/>
    <w:semiHidden/>
    <w:rsid w:val="000E1CF7"/>
    <w:rPr>
      <w:rFonts w:ascii="Arial" w:eastAsia="Times New Roman" w:hAnsi="Arial"/>
      <w:kern w:val="0"/>
      <w:sz w:val="28"/>
      <w:szCs w:val="28"/>
      <w:lang w:bidi="ar-SA"/>
    </w:rPr>
  </w:style>
  <w:style w:type="character" w:customStyle="1" w:styleId="ArticleHeading1Char">
    <w:name w:val="Article Heading 1 Char"/>
    <w:basedOn w:val="Heading1Char"/>
    <w:link w:val="ArticleHeading1"/>
    <w:semiHidden/>
    <w:rsid w:val="000E1CF7"/>
    <w:rPr>
      <w:rFonts w:ascii="Arial" w:eastAsiaTheme="majorEastAsia" w:hAnsi="Arial" w:cstheme="majorBidi"/>
      <w:b w:val="0"/>
      <w:bCs w:val="0"/>
      <w:color w:val="F79646" w:themeColor="accent6"/>
      <w:kern w:val="0"/>
      <w:sz w:val="28"/>
      <w:szCs w:val="28"/>
      <w:lang w:bidi="ar-SA"/>
    </w:rPr>
  </w:style>
  <w:style w:type="character" w:customStyle="1" w:styleId="ArticleHeading2Char">
    <w:name w:val="Article Heading 2 Char"/>
    <w:basedOn w:val="Heading2Char"/>
    <w:link w:val="ArticleHeading2"/>
    <w:semiHidden/>
    <w:rsid w:val="000E1CF7"/>
    <w:rPr>
      <w:rFonts w:ascii="Verdana" w:eastAsia="Times New Roman" w:hAnsi="Verdana" w:cstheme="majorBidi"/>
      <w:b w:val="0"/>
      <w:bCs w:val="0"/>
      <w:color w:val="F79646" w:themeColor="accent6"/>
      <w:kern w:val="0"/>
      <w:szCs w:val="26"/>
      <w:lang w:bidi="ar-SA"/>
    </w:rPr>
  </w:style>
  <w:style w:type="paragraph" w:customStyle="1" w:styleId="PublishDate">
    <w:name w:val="Publish Date"/>
    <w:basedOn w:val="Normal"/>
    <w:semiHidden/>
    <w:qFormat/>
    <w:rsid w:val="00A832C5"/>
    <w:pPr>
      <w:spacing w:before="120"/>
      <w:jc w:val="right"/>
    </w:pPr>
    <w:rPr>
      <w:rFonts w:ascii="Verdana" w:hAnsi="Verdana"/>
      <w:kern w:val="0"/>
      <w:sz w:val="20"/>
      <w:lang w:bidi="ar-SA"/>
    </w:rPr>
  </w:style>
  <w:style w:type="paragraph" w:customStyle="1" w:styleId="ArticleHeading3">
    <w:name w:val="Article Heading 3"/>
    <w:basedOn w:val="ArticleHeading2"/>
    <w:next w:val="ArticleText"/>
    <w:semiHidden/>
    <w:qFormat/>
    <w:rsid w:val="00A832C5"/>
    <w:pPr>
      <w:ind w:left="1440"/>
    </w:pPr>
    <w:rPr>
      <w:i/>
    </w:rPr>
  </w:style>
  <w:style w:type="paragraph" w:customStyle="1" w:styleId="TableSubheading1">
    <w:name w:val="Table Subheading 1"/>
    <w:basedOn w:val="ArticleText"/>
    <w:semiHidden/>
    <w:qFormat/>
    <w:rsid w:val="00A832C5"/>
    <w:pPr>
      <w:shd w:val="clear" w:color="auto" w:fill="404040" w:themeFill="text1" w:themeFillTint="BF"/>
    </w:pPr>
    <w:rPr>
      <w:b/>
      <w:color w:val="DDD9C3" w:themeColor="background2" w:themeShade="E6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A832C5"/>
    <w:pPr>
      <w:spacing w:before="0" w:after="0"/>
    </w:pPr>
    <w:rPr>
      <w:rFonts w:asciiTheme="minorHAnsi" w:eastAsiaTheme="minorEastAsia" w:hAnsiTheme="minorHAnsi" w:cstheme="minorBidi"/>
      <w:kern w:val="0"/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evel1Topic">
    <w:name w:val="Level 1 Topic"/>
    <w:basedOn w:val="Normal"/>
    <w:link w:val="Level1TopicChar"/>
    <w:semiHidden/>
    <w:rsid w:val="008228BD"/>
    <w:pPr>
      <w:spacing w:before="0" w:after="240" w:line="300" w:lineRule="atLeast"/>
    </w:pPr>
    <w:rPr>
      <w:rFonts w:ascii="Arial" w:hAnsi="Arial" w:cs="Arial"/>
      <w:b/>
      <w:bCs/>
      <w:sz w:val="36"/>
      <w:szCs w:val="36"/>
    </w:rPr>
  </w:style>
  <w:style w:type="paragraph" w:customStyle="1" w:styleId="LawNoteTitle">
    <w:name w:val="LawNote Title"/>
    <w:basedOn w:val="Normal"/>
    <w:link w:val="LawNoteTitleChar"/>
    <w:semiHidden/>
    <w:rsid w:val="008228BD"/>
    <w:pPr>
      <w:spacing w:before="0" w:after="240" w:line="300" w:lineRule="atLeast"/>
    </w:pPr>
    <w:rPr>
      <w:rFonts w:ascii="Arial" w:hAnsi="Arial" w:cs="Arial"/>
      <w:b/>
      <w:color w:val="3C71A5"/>
      <w:sz w:val="32"/>
      <w:szCs w:val="32"/>
    </w:rPr>
  </w:style>
  <w:style w:type="paragraph" w:customStyle="1" w:styleId="EndText">
    <w:name w:val="EndText"/>
    <w:basedOn w:val="Normal"/>
    <w:link w:val="EndTextChar"/>
    <w:semiHidden/>
    <w:rsid w:val="008228BD"/>
    <w:pPr>
      <w:numPr>
        <w:numId w:val="11"/>
      </w:numPr>
      <w:tabs>
        <w:tab w:val="clear" w:pos="720"/>
      </w:tabs>
      <w:spacing w:before="0"/>
      <w:ind w:left="0"/>
      <w:jc w:val="both"/>
    </w:pPr>
    <w:rPr>
      <w:rFonts w:ascii="Arial" w:eastAsia="Times New Roman" w:hAnsi="Arial"/>
      <w:kern w:val="0"/>
      <w:sz w:val="16"/>
      <w:lang w:bidi="ar-SA"/>
    </w:rPr>
  </w:style>
  <w:style w:type="character" w:customStyle="1" w:styleId="EndTextChar">
    <w:name w:val="EndText Char"/>
    <w:link w:val="EndText"/>
    <w:semiHidden/>
    <w:rsid w:val="000E1CF7"/>
    <w:rPr>
      <w:rFonts w:ascii="Arial" w:eastAsia="Times New Roman" w:hAnsi="Arial"/>
      <w:kern w:val="0"/>
      <w:sz w:val="16"/>
      <w:lang w:bidi="ar-SA"/>
    </w:rPr>
  </w:style>
  <w:style w:type="paragraph" w:customStyle="1" w:styleId="bbnode">
    <w:name w:val="bbnode"/>
    <w:basedOn w:val="BNormal"/>
    <w:qFormat/>
    <w:rsid w:val="002D2949"/>
    <w:pPr>
      <w:spacing w:before="0"/>
    </w:pPr>
    <w:rPr>
      <w:rFonts w:ascii="Arial" w:hAnsi="Arial" w:cs="Arial"/>
      <w:color w:val="E36C0A" w:themeColor="accent6" w:themeShade="BF"/>
      <w:sz w:val="16"/>
      <w:szCs w:val="16"/>
    </w:rPr>
  </w:style>
  <w:style w:type="paragraph" w:customStyle="1" w:styleId="bbreporter">
    <w:name w:val="bbreporter"/>
    <w:basedOn w:val="bbnode"/>
    <w:qFormat/>
    <w:rsid w:val="002D2949"/>
    <w:rPr>
      <w:color w:val="984806" w:themeColor="accent6" w:themeShade="80"/>
    </w:rPr>
  </w:style>
  <w:style w:type="paragraph" w:customStyle="1" w:styleId="bblsID">
    <w:name w:val="bblsID"/>
    <w:basedOn w:val="bbreporter"/>
    <w:qFormat/>
    <w:rsid w:val="002D2949"/>
    <w:rPr>
      <w:color w:val="0070C0"/>
      <w:szCs w:val="22"/>
    </w:rPr>
  </w:style>
  <w:style w:type="paragraph" w:customStyle="1" w:styleId="bbslug">
    <w:name w:val="bbslug"/>
    <w:basedOn w:val="bbnode"/>
    <w:rsid w:val="002D2949"/>
    <w:rPr>
      <w:b/>
      <w:i/>
      <w:color w:val="FF0000"/>
    </w:rPr>
  </w:style>
  <w:style w:type="character" w:customStyle="1" w:styleId="bblink-bbcitation">
    <w:name w:val="bblink-bbcitation"/>
    <w:basedOn w:val="DefaultParagraphFont"/>
    <w:uiPriority w:val="1"/>
    <w:qFormat/>
    <w:rsid w:val="0060761F"/>
    <w:rPr>
      <w:color w:val="7030A0"/>
    </w:rPr>
  </w:style>
  <w:style w:type="paragraph" w:customStyle="1" w:styleId="BGeographicName">
    <w:name w:val="BGeographicName"/>
    <w:basedOn w:val="Normal"/>
    <w:link w:val="BGeographicNameChar"/>
    <w:qFormat/>
    <w:rsid w:val="00BB26EE"/>
    <w:rPr>
      <w:color w:val="006600"/>
    </w:rPr>
  </w:style>
  <w:style w:type="character" w:customStyle="1" w:styleId="BGeographicNameChar">
    <w:name w:val="BGeographicName Char"/>
    <w:basedOn w:val="BNormalChar"/>
    <w:link w:val="BGeographicName"/>
    <w:rsid w:val="007E29E2"/>
    <w:rPr>
      <w:rFonts w:eastAsia="Times New Roman"/>
      <w:color w:val="006600"/>
      <w:kern w:val="0"/>
      <w:lang w:bidi="ar-SA"/>
    </w:rPr>
  </w:style>
  <w:style w:type="character" w:customStyle="1" w:styleId="BContentControl">
    <w:name w:val="BContent_Control"/>
    <w:basedOn w:val="DefaultParagraphFont"/>
    <w:uiPriority w:val="1"/>
    <w:rsid w:val="00147DAE"/>
    <w:rPr>
      <w:rFonts w:ascii="Calibri" w:hAnsi="Calibri"/>
      <w:sz w:val="16"/>
      <w:bdr w:val="none" w:sz="0" w:space="0" w:color="auto"/>
      <w:shd w:val="pct45" w:color="CCFFCC" w:fill="FFFFFF" w:themeFill="background1"/>
    </w:rPr>
  </w:style>
  <w:style w:type="character" w:customStyle="1" w:styleId="heading1notocChar">
    <w:name w:val="heading 1 (no toc) Char"/>
    <w:basedOn w:val="Heading1Char"/>
    <w:link w:val="heading1notoc"/>
    <w:semiHidden/>
    <w:rsid w:val="000E1CF7"/>
    <w:rPr>
      <w:rFonts w:eastAsia="Times New Roman" w:cstheme="majorBidi"/>
      <w:b w:val="0"/>
      <w:bCs w:val="0"/>
      <w:kern w:val="0"/>
      <w:sz w:val="28"/>
      <w:szCs w:val="20"/>
      <w:lang w:bidi="ar-SA"/>
    </w:rPr>
  </w:style>
  <w:style w:type="paragraph" w:customStyle="1" w:styleId="BDocStart">
    <w:name w:val="BDoc_Start"/>
    <w:next w:val="BNormal"/>
    <w:link w:val="BDocStartChar"/>
    <w:rsid w:val="00EB638D"/>
    <w:rPr>
      <w:rFonts w:eastAsiaTheme="majorEastAsia" w:cstheme="majorBidi"/>
      <w:bCs/>
      <w:color w:val="4F81BD" w:themeColor="accent1"/>
      <w:sz w:val="28"/>
      <w:szCs w:val="28"/>
      <w:lang w:bidi="ar-SA"/>
    </w:rPr>
  </w:style>
  <w:style w:type="character" w:customStyle="1" w:styleId="BDocStartChar">
    <w:name w:val="BDoc_Start Char"/>
    <w:basedOn w:val="heading1notocChar"/>
    <w:link w:val="BDocStart"/>
    <w:rsid w:val="00EB638D"/>
    <w:rPr>
      <w:rFonts w:eastAsiaTheme="majorEastAsia" w:cstheme="majorBidi"/>
      <w:b w:val="0"/>
      <w:bCs/>
      <w:color w:val="4F81BD" w:themeColor="accent1"/>
      <w:kern w:val="0"/>
      <w:sz w:val="28"/>
      <w:szCs w:val="28"/>
      <w:lang w:bidi="ar-SA"/>
    </w:rPr>
  </w:style>
  <w:style w:type="paragraph" w:customStyle="1" w:styleId="BAuthor">
    <w:name w:val="BAuthor"/>
    <w:basedOn w:val="BNormal"/>
    <w:link w:val="BAuthorChar"/>
    <w:rsid w:val="004E67F5"/>
    <w:rPr>
      <w:color w:val="943634" w:themeColor="accent2" w:themeShade="BF"/>
      <w:sz w:val="20"/>
      <w:szCs w:val="20"/>
    </w:rPr>
  </w:style>
  <w:style w:type="character" w:customStyle="1" w:styleId="BAuthorChar">
    <w:name w:val="BAuthor Char"/>
    <w:basedOn w:val="BNormalChar"/>
    <w:link w:val="BAuthor"/>
    <w:rsid w:val="004E67F5"/>
    <w:rPr>
      <w:rFonts w:eastAsia="Times New Roman"/>
      <w:color w:val="943634" w:themeColor="accent2" w:themeShade="BF"/>
      <w:kern w:val="0"/>
      <w:sz w:val="20"/>
      <w:szCs w:val="20"/>
      <w:lang w:bidi="ar-SA"/>
    </w:rPr>
  </w:style>
  <w:style w:type="paragraph" w:customStyle="1" w:styleId="BHeadline">
    <w:name w:val="BHeadline"/>
    <w:basedOn w:val="Normal"/>
    <w:next w:val="BNormal"/>
    <w:rsid w:val="00994780"/>
    <w:rPr>
      <w:b/>
      <w:color w:val="244061" w:themeColor="accent1" w:themeShade="80"/>
      <w:sz w:val="28"/>
      <w:szCs w:val="28"/>
    </w:rPr>
  </w:style>
  <w:style w:type="paragraph" w:customStyle="1" w:styleId="BOrganization">
    <w:name w:val="BOrganization"/>
    <w:basedOn w:val="BNormal"/>
    <w:rsid w:val="004E67F5"/>
    <w:rPr>
      <w:color w:val="943634" w:themeColor="accent2" w:themeShade="BF"/>
      <w:sz w:val="20"/>
    </w:rPr>
  </w:style>
  <w:style w:type="paragraph" w:customStyle="1" w:styleId="BEditorsintro">
    <w:name w:val="BEditors_intro"/>
    <w:basedOn w:val="Normal"/>
    <w:next w:val="BNormal"/>
    <w:semiHidden/>
    <w:rsid w:val="00FF7826"/>
    <w:pPr>
      <w:spacing w:before="120" w:after="0"/>
    </w:pPr>
    <w:rPr>
      <w:rFonts w:asciiTheme="minorHAnsi" w:eastAsia="Times New Roman" w:hAnsiTheme="minorHAnsi"/>
      <w:b/>
      <w:color w:val="FFFFFF" w:themeColor="background1"/>
      <w:kern w:val="0"/>
      <w:sz w:val="16"/>
      <w:szCs w:val="16"/>
      <w:lang w:val="en-GB" w:eastAsia="en-GB" w:bidi="ar-SA"/>
    </w:rPr>
  </w:style>
  <w:style w:type="paragraph" w:customStyle="1" w:styleId="BOutsideauthorinfo">
    <w:name w:val="BOutside_author_info"/>
    <w:basedOn w:val="BNormal"/>
    <w:next w:val="BNormal"/>
    <w:semiHidden/>
    <w:rsid w:val="002027C7"/>
    <w:pPr>
      <w:spacing w:line="160" w:lineRule="exact"/>
    </w:pPr>
    <w:rPr>
      <w:rFonts w:ascii="Calibri" w:hAnsi="Calibri" w:cs="Arial"/>
      <w:b/>
      <w:color w:val="FFFFFF" w:themeColor="background1"/>
      <w:sz w:val="16"/>
      <w:szCs w:val="16"/>
      <w:lang w:val="en-GB" w:eastAsia="en-GB"/>
    </w:rPr>
  </w:style>
  <w:style w:type="paragraph" w:customStyle="1" w:styleId="BMoreinfo">
    <w:name w:val="BMore_info"/>
    <w:basedOn w:val="Normal"/>
    <w:next w:val="BNormal"/>
    <w:rsid w:val="00FF7826"/>
    <w:pPr>
      <w:spacing w:before="120" w:after="0"/>
    </w:pPr>
    <w:rPr>
      <w:rFonts w:asciiTheme="minorHAnsi" w:eastAsia="Times New Roman" w:hAnsiTheme="minorHAnsi"/>
      <w:b/>
      <w:color w:val="000000" w:themeColor="text1"/>
      <w:kern w:val="0"/>
      <w:sz w:val="16"/>
      <w:szCs w:val="16"/>
      <w:lang w:val="en-GB" w:eastAsia="en-GB" w:bidi="ar-SA"/>
    </w:rPr>
  </w:style>
  <w:style w:type="paragraph" w:customStyle="1" w:styleId="sp">
    <w:name w:val="sp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</w:pPr>
    <w:rPr>
      <w:rFonts w:eastAsia="Times New Roman"/>
      <w:kern w:val="0"/>
      <w:sz w:val="20"/>
      <w:szCs w:val="20"/>
      <w:lang w:bidi="ar-SA"/>
    </w:rPr>
  </w:style>
  <w:style w:type="paragraph" w:customStyle="1" w:styleId="outsideauthor">
    <w:name w:val="outside_author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</w:pPr>
    <w:rPr>
      <w:rFonts w:eastAsia="Times New Roman"/>
      <w:b/>
      <w:bCs/>
      <w:kern w:val="0"/>
      <w:sz w:val="20"/>
      <w:szCs w:val="20"/>
      <w:lang w:bidi="ar-SA"/>
    </w:rPr>
  </w:style>
  <w:style w:type="paragraph" w:customStyle="1" w:styleId="section">
    <w:name w:val="section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  <w:jc w:val="right"/>
    </w:pPr>
    <w:rPr>
      <w:rFonts w:eastAsia="Times New Roman"/>
      <w:b/>
      <w:bCs/>
      <w:color w:val="0000FF"/>
      <w:kern w:val="0"/>
      <w:sz w:val="36"/>
      <w:szCs w:val="36"/>
      <w:lang w:bidi="ar-SA"/>
    </w:rPr>
  </w:style>
  <w:style w:type="paragraph" w:customStyle="1" w:styleId="subsection">
    <w:name w:val="subsection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  <w:jc w:val="right"/>
    </w:pPr>
    <w:rPr>
      <w:rFonts w:eastAsia="Times New Roman"/>
      <w:b/>
      <w:bCs/>
      <w:kern w:val="0"/>
      <w:sz w:val="28"/>
      <w:szCs w:val="28"/>
      <w:lang w:bidi="ar-SA"/>
    </w:rPr>
  </w:style>
  <w:style w:type="paragraph" w:customStyle="1" w:styleId="level">
    <w:name w:val="level"/>
    <w:uiPriority w:val="99"/>
    <w:semiHidden/>
    <w:rsid w:val="00724007"/>
    <w:pPr>
      <w:widowControl w:val="0"/>
      <w:autoSpaceDE w:val="0"/>
      <w:autoSpaceDN w:val="0"/>
      <w:adjustRightInd w:val="0"/>
      <w:spacing w:before="0" w:after="0" w:line="300" w:lineRule="atLeast"/>
    </w:pPr>
    <w:rPr>
      <w:rFonts w:eastAsia="Times New Roman"/>
      <w:b/>
      <w:bCs/>
      <w:kern w:val="0"/>
      <w:sz w:val="20"/>
      <w:szCs w:val="20"/>
      <w:lang w:bidi="ar-SA"/>
    </w:rPr>
  </w:style>
  <w:style w:type="paragraph" w:customStyle="1" w:styleId="example">
    <w:name w:val="example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</w:pPr>
    <w:rPr>
      <w:rFonts w:eastAsia="Times New Roman"/>
      <w:i/>
      <w:iCs/>
      <w:color w:val="0000FF"/>
      <w:kern w:val="0"/>
      <w:sz w:val="20"/>
      <w:szCs w:val="20"/>
      <w:lang w:bidi="ar-SA"/>
    </w:rPr>
  </w:style>
  <w:style w:type="paragraph" w:customStyle="1" w:styleId="note">
    <w:name w:val="note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</w:pPr>
    <w:rPr>
      <w:rFonts w:eastAsia="Times New Roman"/>
      <w:color w:val="0000FF"/>
      <w:kern w:val="0"/>
      <w:sz w:val="20"/>
      <w:szCs w:val="20"/>
      <w:lang w:bidi="ar-SA"/>
    </w:rPr>
  </w:style>
  <w:style w:type="paragraph" w:customStyle="1" w:styleId="listitem">
    <w:name w:val="list.item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</w:pPr>
    <w:rPr>
      <w:rFonts w:eastAsia="Times New Roman"/>
      <w:color w:val="0000FF"/>
      <w:kern w:val="0"/>
      <w:sz w:val="20"/>
      <w:szCs w:val="20"/>
      <w:lang w:bidi="ar-SA"/>
    </w:rPr>
  </w:style>
  <w:style w:type="paragraph" w:customStyle="1" w:styleId="document">
    <w:name w:val="document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</w:pPr>
    <w:rPr>
      <w:rFonts w:eastAsia="Times New Roman"/>
      <w:kern w:val="0"/>
      <w:sz w:val="18"/>
      <w:szCs w:val="18"/>
      <w:lang w:bidi="ar-SA"/>
    </w:rPr>
  </w:style>
  <w:style w:type="paragraph" w:customStyle="1" w:styleId="head">
    <w:name w:val="head"/>
    <w:uiPriority w:val="99"/>
    <w:semiHidden/>
    <w:rsid w:val="00724007"/>
    <w:pPr>
      <w:widowControl w:val="0"/>
      <w:autoSpaceDE w:val="0"/>
      <w:autoSpaceDN w:val="0"/>
      <w:adjustRightInd w:val="0"/>
      <w:spacing w:after="240"/>
      <w:jc w:val="center"/>
    </w:pPr>
    <w:rPr>
      <w:rFonts w:eastAsia="Times New Roman"/>
      <w:b/>
      <w:bCs/>
      <w:kern w:val="0"/>
      <w:lang w:bidi="ar-SA"/>
    </w:rPr>
  </w:style>
  <w:style w:type="paragraph" w:customStyle="1" w:styleId="image">
    <w:name w:val="image"/>
    <w:uiPriority w:val="99"/>
    <w:semiHidden/>
    <w:rsid w:val="00724007"/>
    <w:pPr>
      <w:widowControl w:val="0"/>
      <w:autoSpaceDE w:val="0"/>
      <w:autoSpaceDN w:val="0"/>
      <w:adjustRightInd w:val="0"/>
      <w:spacing w:after="240"/>
      <w:jc w:val="center"/>
    </w:pPr>
    <w:rPr>
      <w:rFonts w:eastAsia="Times New Roman"/>
      <w:b/>
      <w:bCs/>
      <w:kern w:val="0"/>
      <w:lang w:bidi="ar-SA"/>
    </w:rPr>
  </w:style>
  <w:style w:type="paragraph" w:customStyle="1" w:styleId="descriptor">
    <w:name w:val="descriptor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</w:pPr>
    <w:rPr>
      <w:rFonts w:eastAsia="Times New Roman"/>
      <w:kern w:val="0"/>
      <w:sz w:val="18"/>
      <w:szCs w:val="18"/>
      <w:lang w:bidi="ar-SA"/>
    </w:rPr>
  </w:style>
  <w:style w:type="paragraph" w:customStyle="1" w:styleId="footnotepara">
    <w:name w:val="footnote_para"/>
    <w:uiPriority w:val="99"/>
    <w:semiHidden/>
    <w:rsid w:val="00724007"/>
    <w:pPr>
      <w:widowControl w:val="0"/>
      <w:autoSpaceDE w:val="0"/>
      <w:autoSpaceDN w:val="0"/>
      <w:adjustRightInd w:val="0"/>
      <w:spacing w:before="0" w:after="0"/>
    </w:pPr>
    <w:rPr>
      <w:rFonts w:eastAsia="Times New Roman"/>
      <w:kern w:val="0"/>
      <w:sz w:val="18"/>
      <w:szCs w:val="18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4007"/>
    <w:pPr>
      <w:spacing w:before="480" w:line="276" w:lineRule="auto"/>
      <w:outlineLvl w:val="9"/>
    </w:pPr>
    <w:rPr>
      <w:rFonts w:ascii="Cambria" w:eastAsia="MS Gothic" w:hAnsi="Cambria" w:cs="Times New Roman"/>
      <w:color w:val="365F91"/>
      <w:kern w:val="0"/>
      <w:lang w:eastAsia="ja-JP"/>
    </w:rPr>
  </w:style>
  <w:style w:type="character" w:customStyle="1" w:styleId="ssnonpaginatedrptr">
    <w:name w:val="ss_nonpaginatedrptr"/>
    <w:semiHidden/>
    <w:rsid w:val="00724007"/>
  </w:style>
  <w:style w:type="character" w:customStyle="1" w:styleId="st">
    <w:name w:val="st"/>
    <w:semiHidden/>
    <w:rsid w:val="00724007"/>
  </w:style>
  <w:style w:type="character" w:customStyle="1" w:styleId="BPlanpointhead">
    <w:name w:val="BPlan_point_head"/>
    <w:basedOn w:val="BCommenthead"/>
    <w:uiPriority w:val="1"/>
    <w:rsid w:val="00831EE4"/>
    <w:rPr>
      <w:b/>
      <w:iCs/>
      <w:color w:val="1F497D" w:themeColor="text2"/>
    </w:rPr>
  </w:style>
  <w:style w:type="paragraph" w:customStyle="1" w:styleId="BPlanpointpara">
    <w:name w:val="BPlan_point_para"/>
    <w:basedOn w:val="BCommentpara"/>
    <w:rsid w:val="00831EE4"/>
    <w:rPr>
      <w:color w:val="17365D" w:themeColor="text2" w:themeShade="BF"/>
    </w:rPr>
  </w:style>
  <w:style w:type="paragraph" w:customStyle="1" w:styleId="BRelatedTo">
    <w:name w:val="BRelatedTo"/>
    <w:basedOn w:val="BNormal"/>
    <w:next w:val="BNormal"/>
    <w:rsid w:val="00FC161A"/>
    <w:rPr>
      <w:color w:val="4F81BD" w:themeColor="accent1"/>
      <w:sz w:val="16"/>
    </w:rPr>
  </w:style>
  <w:style w:type="paragraph" w:customStyle="1" w:styleId="BProductionNote">
    <w:name w:val="BProductionNote"/>
    <w:basedOn w:val="BNormal"/>
    <w:link w:val="BProductionNoteChar"/>
    <w:rsid w:val="00EA282D"/>
    <w:pPr>
      <w:shd w:val="clear" w:color="auto" w:fill="FFFF00"/>
    </w:pPr>
    <w:rPr>
      <w:rFonts w:ascii="Times New Roman Bold" w:hAnsi="Times New Roman Bold"/>
      <w:b/>
      <w:color w:val="FF0000"/>
    </w:rPr>
  </w:style>
  <w:style w:type="character" w:customStyle="1" w:styleId="BProductionNoteChar">
    <w:name w:val="BProductionNote Char"/>
    <w:basedOn w:val="BNormalChar"/>
    <w:link w:val="BProductionNote"/>
    <w:rsid w:val="00EA282D"/>
    <w:rPr>
      <w:rFonts w:ascii="Times New Roman Bold" w:eastAsia="Times New Roman" w:hAnsi="Times New Roman Bold"/>
      <w:b/>
      <w:color w:val="FF0000"/>
      <w:kern w:val="0"/>
      <w:shd w:val="clear" w:color="auto" w:fill="FFFF00"/>
      <w:lang w:bidi="ar-SA"/>
    </w:rPr>
  </w:style>
  <w:style w:type="paragraph" w:customStyle="1" w:styleId="BHead6">
    <w:name w:val="BHead6"/>
    <w:next w:val="BNormal"/>
    <w:link w:val="BHead6Char"/>
    <w:rsid w:val="00F57AC4"/>
    <w:pPr>
      <w:ind w:left="1440"/>
      <w:outlineLvl w:val="5"/>
    </w:pPr>
    <w:rPr>
      <w:rFonts w:eastAsia="Times New Roman"/>
      <w:i/>
      <w:kern w:val="0"/>
      <w:lang w:bidi="ar-SA"/>
    </w:rPr>
  </w:style>
  <w:style w:type="character" w:customStyle="1" w:styleId="BHead6Char">
    <w:name w:val="BHead6 Char"/>
    <w:basedOn w:val="DefaultParagraphFont"/>
    <w:link w:val="BHead6"/>
    <w:rsid w:val="00F57AC4"/>
    <w:rPr>
      <w:rFonts w:eastAsia="Times New Roman"/>
      <w:i/>
      <w:kern w:val="0"/>
      <w:lang w:bidi="ar-SA"/>
    </w:rPr>
  </w:style>
  <w:style w:type="paragraph" w:customStyle="1" w:styleId="BHead7">
    <w:name w:val="BHead7"/>
    <w:next w:val="BNormal"/>
    <w:link w:val="BHead7Char"/>
    <w:rsid w:val="00F57AC4"/>
    <w:pPr>
      <w:ind w:left="1440"/>
      <w:outlineLvl w:val="6"/>
    </w:pPr>
    <w:rPr>
      <w:rFonts w:eastAsia="Times New Roman"/>
      <w:kern w:val="0"/>
      <w:lang w:bidi="ar-SA"/>
    </w:rPr>
  </w:style>
  <w:style w:type="character" w:customStyle="1" w:styleId="BHead7Char">
    <w:name w:val="BHead7 Char"/>
    <w:basedOn w:val="DefaultParagraphFont"/>
    <w:link w:val="BHead7"/>
    <w:rsid w:val="00F57AC4"/>
    <w:rPr>
      <w:rFonts w:eastAsia="Times New Roman"/>
      <w:kern w:val="0"/>
      <w:lang w:bidi="ar-SA"/>
    </w:rPr>
  </w:style>
  <w:style w:type="paragraph" w:customStyle="1" w:styleId="BHead8">
    <w:name w:val="BHead8"/>
    <w:next w:val="BNormal"/>
    <w:link w:val="BHead8Char"/>
    <w:rsid w:val="00F57AC4"/>
    <w:pPr>
      <w:ind w:left="2160"/>
      <w:outlineLvl w:val="7"/>
    </w:pPr>
    <w:rPr>
      <w:rFonts w:eastAsia="Times New Roman"/>
      <w:i/>
      <w:kern w:val="0"/>
      <w:lang w:bidi="ar-SA"/>
    </w:rPr>
  </w:style>
  <w:style w:type="character" w:customStyle="1" w:styleId="BHead8Char">
    <w:name w:val="BHead8 Char"/>
    <w:basedOn w:val="DefaultParagraphFont"/>
    <w:link w:val="BHead8"/>
    <w:rsid w:val="00F57AC4"/>
    <w:rPr>
      <w:rFonts w:eastAsia="Times New Roman"/>
      <w:i/>
      <w:kern w:val="0"/>
      <w:lang w:bidi="ar-SA"/>
    </w:rPr>
  </w:style>
  <w:style w:type="paragraph" w:customStyle="1" w:styleId="BBNAid">
    <w:name w:val="BBNA_id"/>
    <w:basedOn w:val="BNormal"/>
    <w:next w:val="BNormal"/>
    <w:link w:val="BBNAidChar"/>
    <w:qFormat/>
    <w:rsid w:val="00B82085"/>
    <w:rPr>
      <w:b/>
      <w:color w:val="31849B" w:themeColor="accent5" w:themeShade="BF"/>
    </w:rPr>
  </w:style>
  <w:style w:type="character" w:customStyle="1" w:styleId="BBNAidChar">
    <w:name w:val="BBNA_id Char"/>
    <w:basedOn w:val="BNormalChar"/>
    <w:link w:val="BBNAid"/>
    <w:rsid w:val="00B82085"/>
    <w:rPr>
      <w:rFonts w:eastAsia="Times New Roman"/>
      <w:b/>
      <w:color w:val="31849B" w:themeColor="accent5" w:themeShade="BF"/>
      <w:kern w:val="0"/>
      <w:lang w:bidi="ar-SA"/>
    </w:rPr>
  </w:style>
  <w:style w:type="paragraph" w:customStyle="1" w:styleId="BListitemorig">
    <w:name w:val="BList_item_orig"/>
    <w:basedOn w:val="BNormal"/>
    <w:qFormat/>
    <w:rsid w:val="005D78ED"/>
    <w:pPr>
      <w:ind w:left="1080" w:hanging="360"/>
    </w:pPr>
    <w:rPr>
      <w:szCs w:val="22"/>
    </w:rPr>
  </w:style>
  <w:style w:type="character" w:customStyle="1" w:styleId="bbDocID">
    <w:name w:val="bbDocID"/>
    <w:basedOn w:val="DefaultParagraphFont"/>
    <w:uiPriority w:val="1"/>
    <w:rsid w:val="00691039"/>
    <w:rPr>
      <w:color w:val="FF99FF"/>
    </w:rPr>
  </w:style>
  <w:style w:type="paragraph" w:customStyle="1" w:styleId="BVerbatimmarkup">
    <w:name w:val="BVerbatim_markup"/>
    <w:basedOn w:val="BodyText"/>
    <w:next w:val="BNormal"/>
    <w:link w:val="BVerbatimmarkupChar"/>
    <w:qFormat/>
    <w:rsid w:val="005C20E0"/>
    <w:rPr>
      <w:color w:val="FF0000"/>
    </w:rPr>
  </w:style>
  <w:style w:type="character" w:customStyle="1" w:styleId="BVerbatimmarkupChar">
    <w:name w:val="BVerbatim_markup Char"/>
    <w:basedOn w:val="DefaultParagraphFont"/>
    <w:link w:val="BVerbatimmarkup"/>
    <w:rsid w:val="00E97744"/>
    <w:rPr>
      <w:rFonts w:eastAsia="Times New Roman"/>
      <w:color w:val="FF0000"/>
      <w:lang w:bidi="ar-SA"/>
    </w:rPr>
  </w:style>
  <w:style w:type="paragraph" w:customStyle="1" w:styleId="BEditorIntro">
    <w:name w:val="BEditorIntro"/>
    <w:basedOn w:val="BNormal"/>
    <w:rsid w:val="00C53DA8"/>
    <w:rPr>
      <w:rFonts w:asciiTheme="minorHAnsi" w:hAnsiTheme="minorHAnsi"/>
      <w:b/>
      <w:color w:val="FFFFFF" w:themeColor="background1"/>
      <w:sz w:val="16"/>
      <w:szCs w:val="16"/>
      <w:lang w:val="en-GB" w:eastAsia="en-GB"/>
    </w:rPr>
  </w:style>
  <w:style w:type="paragraph" w:customStyle="1" w:styleId="text">
    <w:name w:val="text"/>
    <w:basedOn w:val="Normal"/>
    <w:uiPriority w:val="99"/>
    <w:qFormat/>
    <w:rsid w:val="00AF6C63"/>
    <w:pPr>
      <w:widowControl w:val="0"/>
      <w:spacing w:before="0" w:after="0"/>
      <w:ind w:firstLine="360"/>
    </w:pPr>
    <w:rPr>
      <w:kern w:val="0"/>
      <w:lang w:bidi="ar-SA"/>
    </w:rPr>
  </w:style>
  <w:style w:type="paragraph" w:customStyle="1" w:styleId="footnote">
    <w:name w:val="footnote"/>
    <w:basedOn w:val="text"/>
    <w:autoRedefine/>
    <w:uiPriority w:val="99"/>
    <w:qFormat/>
    <w:rsid w:val="00AF6C63"/>
    <w:rPr>
      <w:sz w:val="20"/>
    </w:rPr>
  </w:style>
  <w:style w:type="paragraph" w:customStyle="1" w:styleId="footnoteflush">
    <w:name w:val="footnote flush"/>
    <w:basedOn w:val="Normal"/>
    <w:uiPriority w:val="99"/>
    <w:rsid w:val="00AF6C63"/>
    <w:pPr>
      <w:autoSpaceDE w:val="0"/>
      <w:autoSpaceDN w:val="0"/>
      <w:adjustRightInd w:val="0"/>
      <w:spacing w:before="0" w:after="0"/>
      <w:jc w:val="both"/>
      <w:textAlignment w:val="center"/>
    </w:pPr>
    <w:rPr>
      <w:rFonts w:eastAsiaTheme="minorEastAsia" w:cs="ITC New Baskerville Std"/>
      <w:color w:val="000000"/>
      <w:kern w:val="0"/>
      <w:sz w:val="20"/>
      <w:szCs w:val="18"/>
      <w:lang w:bidi="ar-SA"/>
    </w:rPr>
  </w:style>
  <w:style w:type="paragraph" w:customStyle="1" w:styleId="Blockquoteflush">
    <w:name w:val="Block quote flush"/>
    <w:basedOn w:val="Normal"/>
    <w:autoRedefine/>
    <w:uiPriority w:val="99"/>
    <w:qFormat/>
    <w:rsid w:val="00AF6C63"/>
    <w:pPr>
      <w:widowControl w:val="0"/>
      <w:spacing w:after="240"/>
      <w:ind w:left="720"/>
    </w:pPr>
    <w:rPr>
      <w:kern w:val="0"/>
      <w:sz w:val="20"/>
      <w:lang w:bidi="ar-SA"/>
    </w:rPr>
  </w:style>
  <w:style w:type="paragraph" w:customStyle="1" w:styleId="footnoteparaindent">
    <w:name w:val="footnote para indent"/>
    <w:basedOn w:val="Normal"/>
    <w:autoRedefine/>
    <w:uiPriority w:val="99"/>
    <w:rsid w:val="00AF6C63"/>
    <w:pPr>
      <w:spacing w:before="0" w:after="0"/>
      <w:ind w:firstLine="360"/>
      <w:jc w:val="both"/>
    </w:pPr>
    <w:rPr>
      <w:rFonts w:cstheme="minorBidi"/>
      <w:kern w:val="0"/>
      <w:sz w:val="20"/>
      <w:szCs w:val="16"/>
      <w:lang w:bidi="ar-SA"/>
    </w:rPr>
  </w:style>
  <w:style w:type="paragraph" w:customStyle="1" w:styleId="toc10">
    <w:name w:val="toc1"/>
    <w:basedOn w:val="text"/>
    <w:autoRedefine/>
    <w:uiPriority w:val="99"/>
    <w:rsid w:val="00AF6C63"/>
    <w:pPr>
      <w:tabs>
        <w:tab w:val="right" w:pos="480"/>
        <w:tab w:val="left" w:pos="600"/>
        <w:tab w:val="right" w:leader="dot" w:pos="5520"/>
        <w:tab w:val="right" w:pos="6240"/>
        <w:tab w:val="right" w:pos="6960"/>
      </w:tabs>
      <w:autoSpaceDE w:val="0"/>
      <w:autoSpaceDN w:val="0"/>
      <w:adjustRightInd w:val="0"/>
      <w:ind w:left="600" w:hanging="600"/>
      <w:textAlignment w:val="center"/>
    </w:pPr>
    <w:rPr>
      <w:rFonts w:eastAsiaTheme="minorEastAsia" w:cs="ITC New Baskerville Std"/>
      <w:color w:val="000000"/>
      <w:sz w:val="22"/>
      <w:szCs w:val="22"/>
    </w:rPr>
  </w:style>
  <w:style w:type="paragraph" w:customStyle="1" w:styleId="toc20">
    <w:name w:val="toc2"/>
    <w:basedOn w:val="toc10"/>
    <w:autoRedefine/>
    <w:uiPriority w:val="99"/>
    <w:rsid w:val="00AF6C63"/>
    <w:pPr>
      <w:tabs>
        <w:tab w:val="clear" w:pos="480"/>
        <w:tab w:val="clear" w:pos="600"/>
        <w:tab w:val="left" w:pos="960"/>
      </w:tabs>
      <w:ind w:left="960" w:hanging="360"/>
    </w:pPr>
  </w:style>
  <w:style w:type="paragraph" w:customStyle="1" w:styleId="toc30">
    <w:name w:val="toc3"/>
    <w:basedOn w:val="toc20"/>
    <w:autoRedefine/>
    <w:uiPriority w:val="99"/>
    <w:rsid w:val="00AF6C63"/>
    <w:pPr>
      <w:tabs>
        <w:tab w:val="clear" w:pos="960"/>
        <w:tab w:val="left" w:pos="1380"/>
        <w:tab w:val="left" w:pos="8900"/>
      </w:tabs>
      <w:ind w:left="1380" w:hanging="420"/>
    </w:pPr>
  </w:style>
  <w:style w:type="paragraph" w:customStyle="1" w:styleId="1stLevelHeadII">
    <w:name w:val="1st Level Head II."/>
    <w:basedOn w:val="Normal"/>
    <w:autoRedefine/>
    <w:uiPriority w:val="99"/>
    <w:rsid w:val="00AF6C63"/>
    <w:pPr>
      <w:keepNext/>
      <w:widowControl w:val="0"/>
      <w:suppressAutoHyphens/>
      <w:autoSpaceDE w:val="0"/>
      <w:autoSpaceDN w:val="0"/>
      <w:adjustRightInd w:val="0"/>
      <w:spacing w:before="480" w:after="360"/>
      <w:jc w:val="center"/>
      <w:textAlignment w:val="center"/>
    </w:pPr>
    <w:rPr>
      <w:rFonts w:eastAsiaTheme="minorEastAsia" w:cs="ITC New Baskerville Std"/>
      <w:b/>
      <w:bCs/>
      <w:smallCaps/>
      <w:color w:val="000000"/>
      <w:kern w:val="0"/>
      <w:lang w:bidi="ar-SA"/>
    </w:rPr>
  </w:style>
  <w:style w:type="paragraph" w:customStyle="1" w:styleId="3rdLevelHead1">
    <w:name w:val="3rd Level Head 1."/>
    <w:basedOn w:val="Normal"/>
    <w:autoRedefine/>
    <w:uiPriority w:val="99"/>
    <w:rsid w:val="00AF6C63"/>
    <w:pPr>
      <w:keepNext/>
      <w:widowControl w:val="0"/>
      <w:tabs>
        <w:tab w:val="left" w:pos="360"/>
      </w:tabs>
      <w:suppressAutoHyphens/>
      <w:autoSpaceDE w:val="0"/>
      <w:autoSpaceDN w:val="0"/>
      <w:adjustRightInd w:val="0"/>
      <w:spacing w:before="360" w:after="240"/>
      <w:ind w:left="360" w:hanging="360"/>
      <w:textAlignment w:val="center"/>
    </w:pPr>
    <w:rPr>
      <w:rFonts w:eastAsiaTheme="minorEastAsia" w:cs="ITC New Baskerville Std"/>
      <w:b/>
      <w:bCs/>
      <w:i/>
      <w:iCs/>
      <w:color w:val="000000"/>
      <w:kern w:val="0"/>
      <w:szCs w:val="22"/>
      <w:lang w:bidi="ar-SA"/>
    </w:rPr>
  </w:style>
  <w:style w:type="paragraph" w:customStyle="1" w:styleId="footnoteindent">
    <w:name w:val="footnote indent"/>
    <w:basedOn w:val="footnote"/>
    <w:autoRedefine/>
    <w:uiPriority w:val="99"/>
    <w:rsid w:val="00AF6C63"/>
    <w:pPr>
      <w:autoSpaceDE w:val="0"/>
      <w:autoSpaceDN w:val="0"/>
      <w:adjustRightInd w:val="0"/>
      <w:spacing w:before="40"/>
      <w:ind w:left="360" w:firstLine="0"/>
      <w:jc w:val="both"/>
      <w:textAlignment w:val="center"/>
    </w:pPr>
    <w:rPr>
      <w:rFonts w:eastAsiaTheme="minorEastAsia" w:cs="ITC New Baskerville Std"/>
      <w:color w:val="000000"/>
      <w:szCs w:val="18"/>
    </w:rPr>
  </w:style>
  <w:style w:type="paragraph" w:customStyle="1" w:styleId="2ndLevelHeadA">
    <w:name w:val="2nd Level Head A."/>
    <w:basedOn w:val="Normal"/>
    <w:autoRedefine/>
    <w:uiPriority w:val="99"/>
    <w:rsid w:val="00AF6C63"/>
    <w:pPr>
      <w:keepNext/>
      <w:widowControl w:val="0"/>
      <w:tabs>
        <w:tab w:val="left" w:pos="360"/>
      </w:tabs>
      <w:suppressAutoHyphens/>
      <w:autoSpaceDE w:val="0"/>
      <w:autoSpaceDN w:val="0"/>
      <w:adjustRightInd w:val="0"/>
      <w:spacing w:before="360" w:after="240"/>
      <w:ind w:left="360" w:hanging="360"/>
      <w:textAlignment w:val="center"/>
    </w:pPr>
    <w:rPr>
      <w:rFonts w:eastAsiaTheme="minorEastAsia" w:cs="ITC New Baskerville Std"/>
      <w:b/>
      <w:bCs/>
      <w:iCs/>
      <w:color w:val="000000"/>
      <w:kern w:val="0"/>
      <w:lang w:bidi="ar-SA"/>
    </w:rPr>
  </w:style>
  <w:style w:type="paragraph" w:customStyle="1" w:styleId="chaptertitle">
    <w:name w:val="chapter title"/>
    <w:basedOn w:val="Normal"/>
    <w:uiPriority w:val="99"/>
    <w:rsid w:val="00AF6C63"/>
    <w:pPr>
      <w:widowControl w:val="0"/>
      <w:suppressAutoHyphens/>
      <w:autoSpaceDE w:val="0"/>
      <w:autoSpaceDN w:val="0"/>
      <w:adjustRightInd w:val="0"/>
      <w:spacing w:before="0" w:after="240" w:line="440" w:lineRule="atLeast"/>
      <w:textAlignment w:val="center"/>
    </w:pPr>
    <w:rPr>
      <w:rFonts w:ascii="ITC New Baskerville Std" w:eastAsiaTheme="minorEastAsia" w:hAnsi="ITC New Baskerville Std" w:cs="ITC New Baskerville Std"/>
      <w:color w:val="000000"/>
      <w:kern w:val="0"/>
      <w:sz w:val="40"/>
      <w:szCs w:val="40"/>
      <w:lang w:bidi="ar-SA"/>
    </w:rPr>
  </w:style>
  <w:style w:type="paragraph" w:customStyle="1" w:styleId="ChapterNum">
    <w:name w:val="ChapterNum"/>
    <w:basedOn w:val="toc10"/>
    <w:link w:val="ChapterNumChar"/>
    <w:rsid w:val="00AF6C63"/>
    <w:pPr>
      <w:tabs>
        <w:tab w:val="clear" w:pos="480"/>
        <w:tab w:val="clear" w:pos="6240"/>
        <w:tab w:val="clear" w:pos="6960"/>
        <w:tab w:val="left" w:pos="0"/>
        <w:tab w:val="right" w:pos="600"/>
        <w:tab w:val="left" w:pos="720"/>
        <w:tab w:val="right" w:pos="6120"/>
        <w:tab w:val="right" w:pos="6956"/>
      </w:tabs>
      <w:autoSpaceDE/>
      <w:autoSpaceDN/>
      <w:adjustRightInd/>
      <w:spacing w:line="240" w:lineRule="atLeast"/>
      <w:ind w:left="0" w:firstLine="720"/>
      <w:textAlignment w:val="auto"/>
    </w:pPr>
    <w:rPr>
      <w:rFonts w:eastAsia="Times New Roman" w:cs="Times New Roman"/>
      <w:color w:val="auto"/>
      <w:sz w:val="56"/>
      <w:szCs w:val="56"/>
    </w:rPr>
  </w:style>
  <w:style w:type="character" w:customStyle="1" w:styleId="ChapterNumChar">
    <w:name w:val="ChapterNum Char"/>
    <w:link w:val="ChapterNum"/>
    <w:rsid w:val="00AF6C63"/>
    <w:rPr>
      <w:rFonts w:eastAsia="Times New Roman"/>
      <w:kern w:val="0"/>
      <w:sz w:val="56"/>
      <w:szCs w:val="5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linkedin.com/in/welkowitz-david-76b34891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deaccess.intdom.bna.com\share\programs\prod\templates\BPub_Pre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C6604-E2D6-4103-B4F8-2C7EA82A6C20}"/>
      </w:docPartPr>
      <w:docPartBody>
        <w:p w:rsidR="007C05E4" w:rsidRDefault="007C05E4">
          <w:r w:rsidRPr="007E4A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579CA897D44E8BD8273B8A2897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B03C6-CFC1-47CC-9A9D-81C6BC527E3B}"/>
      </w:docPartPr>
      <w:docPartBody>
        <w:p w:rsidR="007C05E4" w:rsidRDefault="007C05E4">
          <w:r w:rsidRPr="007E4A7E">
            <w:rPr>
              <w:rStyle w:val="PlaceholderText"/>
            </w:rPr>
            <w:t>Unit.Start</w:t>
          </w:r>
        </w:p>
      </w:docPartBody>
    </w:docPart>
    <w:docPart>
      <w:docPartPr>
        <w:name w:val="003DA370477947EB9C9D8AB62E2D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D6E5-1A5E-4F74-AFAF-41AB96191253}"/>
      </w:docPartPr>
      <w:docPartBody>
        <w:p w:rsidR="007C05E4" w:rsidRDefault="007C05E4">
          <w:r w:rsidRPr="007E4A7E">
            <w:rPr>
              <w:rStyle w:val="PlaceholderText"/>
            </w:rPr>
            <w:t>Document</w:t>
          </w:r>
        </w:p>
      </w:docPartBody>
    </w:docPart>
    <w:docPart>
      <w:docPartPr>
        <w:name w:val="D763A12F54274CF593ED61AC6C1E9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DC762-DFE9-44B9-BF20-186246A5955D}"/>
      </w:docPartPr>
      <w:docPartBody>
        <w:p w:rsidR="007C05E4" w:rsidRDefault="007C05E4">
          <w:r w:rsidRPr="007E4A7E">
            <w:rPr>
              <w:rStyle w:val="PlaceholderText"/>
            </w:rPr>
            <w:t>enter text</w:t>
          </w:r>
        </w:p>
      </w:docPartBody>
    </w:docPart>
    <w:docPart>
      <w:docPartPr>
        <w:name w:val="10AB5438C3484F558983FCF01102A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2C34C-FFCF-45B4-81FB-22B280F33D4A}"/>
      </w:docPartPr>
      <w:docPartBody>
        <w:p w:rsidR="007C05E4" w:rsidRDefault="007C05E4">
          <w:r w:rsidRPr="007E4A7E">
            <w:rPr>
              <w:rStyle w:val="PlaceholderText"/>
            </w:rPr>
            <w:t>enter text</w:t>
          </w:r>
        </w:p>
      </w:docPartBody>
    </w:docPart>
    <w:docPart>
      <w:docPartPr>
        <w:name w:val="EAE1460F78F4451AA786FD3A00CF4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6AF6-5F8B-4F14-84C3-3B8531BE4D1F}"/>
      </w:docPartPr>
      <w:docPartBody>
        <w:p w:rsidR="007C05E4" w:rsidRDefault="007C05E4">
          <w:r w:rsidRPr="007E4A7E">
            <w:rPr>
              <w:rStyle w:val="PlaceholderText"/>
            </w:rPr>
            <w:t>enter REQUIRED text</w:t>
          </w:r>
        </w:p>
      </w:docPartBody>
    </w:docPart>
    <w:docPart>
      <w:docPartPr>
        <w:name w:val="896572641D0D4B0BAE33E3B867418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1CEA9-EA4F-48F3-B034-F5DA192D6284}"/>
      </w:docPartPr>
      <w:docPartBody>
        <w:p w:rsidR="007C05E4" w:rsidRDefault="007C05E4">
          <w:r w:rsidRPr="007E4A7E">
            <w:rPr>
              <w:rStyle w:val="PlaceholderText"/>
            </w:rPr>
            <w:t>enter REQUIRED text</w:t>
          </w:r>
        </w:p>
      </w:docPartBody>
    </w:docPart>
    <w:docPart>
      <w:docPartPr>
        <w:name w:val="7B95C07F63CE45B7BBEA1A593CCC1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71C29-C3A4-4134-9D92-D4C2C560E205}"/>
      </w:docPartPr>
      <w:docPartBody>
        <w:p w:rsidR="007C05E4" w:rsidRDefault="007C05E4">
          <w:r w:rsidRPr="007E4A7E">
            <w:rPr>
              <w:rStyle w:val="PlaceholderText"/>
            </w:rPr>
            <w:t>enter text</w:t>
          </w:r>
        </w:p>
      </w:docPartBody>
    </w:docPart>
    <w:docPart>
      <w:docPartPr>
        <w:name w:val="BD923CEF0F9343F8A81549FB45418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0084-A1B4-4EAD-AE41-A62526E0BAD7}"/>
      </w:docPartPr>
      <w:docPartBody>
        <w:p w:rsidR="007C05E4" w:rsidRDefault="007C05E4">
          <w:r w:rsidRPr="007E4A7E">
            <w:rPr>
              <w:rStyle w:val="PlaceholderText"/>
            </w:rPr>
            <w:t>enter text</w:t>
          </w:r>
        </w:p>
      </w:docPartBody>
    </w:docPart>
    <w:docPart>
      <w:docPartPr>
        <w:name w:val="2EDEC40868EF429186907B96F272B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15066-29F0-4352-8844-37C4884CB1C7}"/>
      </w:docPartPr>
      <w:docPartBody>
        <w:p w:rsidR="007C05E4" w:rsidRDefault="007C05E4">
          <w:r w:rsidRPr="007E4A7E">
            <w:rPr>
              <w:rStyle w:val="PlaceholderText"/>
            </w:rPr>
            <w:t>enter text</w:t>
          </w:r>
        </w:p>
      </w:docPartBody>
    </w:docPart>
    <w:docPart>
      <w:docPartPr>
        <w:name w:val="59FD74E3BC0645AF9D9CC4DB88A27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1B97C-E6D6-45E2-A0BC-B7DFAE50C275}"/>
      </w:docPartPr>
      <w:docPartBody>
        <w:p w:rsidR="007C05E4" w:rsidRDefault="007C05E4">
          <w:r w:rsidRPr="007E4A7E">
            <w:rPr>
              <w:rStyle w:val="PlaceholderText"/>
            </w:rPr>
            <w:t>enter text</w:t>
          </w:r>
        </w:p>
      </w:docPartBody>
    </w:docPart>
    <w:docPart>
      <w:docPartPr>
        <w:name w:val="B92A4910F26841D687BBE5E1E3A0C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30ABF-DD57-44C5-875B-AF44470B7849}"/>
      </w:docPartPr>
      <w:docPartBody>
        <w:p w:rsidR="007C05E4" w:rsidRDefault="007C05E4">
          <w:r w:rsidRPr="007E4A7E">
            <w:rPr>
              <w:rStyle w:val="PlaceholderText"/>
            </w:rPr>
            <w:t>enter text</w:t>
          </w:r>
        </w:p>
      </w:docPartBody>
    </w:docPart>
    <w:docPart>
      <w:docPartPr>
        <w:name w:val="BB44BD83BC2C4FE6B1B5F09DC46E1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5D953-36C0-48FA-A194-CAB449F61583}"/>
      </w:docPartPr>
      <w:docPartBody>
        <w:p w:rsidR="007C05E4" w:rsidRDefault="007C05E4">
          <w:r w:rsidRPr="007E4A7E">
            <w:rPr>
              <w:rStyle w:val="PlaceholderText"/>
            </w:rPr>
            <w:t>enter text</w:t>
          </w:r>
        </w:p>
      </w:docPartBody>
    </w:docPart>
    <w:docPart>
      <w:docPartPr>
        <w:name w:val="35898A7A82464034A0F302BE9F989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B446C-AC5C-4B16-A06B-F7247857F43A}"/>
      </w:docPartPr>
      <w:docPartBody>
        <w:p w:rsidR="007C05E4" w:rsidRDefault="007C05E4">
          <w:r w:rsidRPr="007E4A7E">
            <w:rPr>
              <w:rStyle w:val="PlaceholderText"/>
            </w:rPr>
            <w:t>enter text</w:t>
          </w:r>
        </w:p>
      </w:docPartBody>
    </w:docPart>
    <w:docPart>
      <w:docPartPr>
        <w:name w:val="29E41AF7D3334346863A4AAC5DA9B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D24E2-222B-4470-97F4-E67D36CB387A}"/>
      </w:docPartPr>
      <w:docPartBody>
        <w:p w:rsidR="007C05E4" w:rsidRDefault="007C05E4">
          <w:r w:rsidRPr="007E4A7E">
            <w:rPr>
              <w:rStyle w:val="PlaceholderText"/>
            </w:rPr>
            <w:t>enter text</w:t>
          </w:r>
        </w:p>
      </w:docPartBody>
    </w:docPart>
    <w:docPart>
      <w:docPartPr>
        <w:name w:val="6950B10D75B34D1BA0163B334A354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55518-38E1-43C4-A362-461C892840F2}"/>
      </w:docPartPr>
      <w:docPartBody>
        <w:p w:rsidR="007C05E4" w:rsidRDefault="007C05E4">
          <w:r w:rsidRPr="007E4A7E">
            <w:rPr>
              <w:rStyle w:val="PlaceholderText"/>
            </w:rPr>
            <w:t>choose an item (REQUIRED)</w:t>
          </w:r>
        </w:p>
      </w:docPartBody>
    </w:docPart>
    <w:docPart>
      <w:docPartPr>
        <w:name w:val="3A0E0BB7EDB14B20B886D0D9F6244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2F287-DD61-4E6F-9F43-F46F0904E166}"/>
      </w:docPartPr>
      <w:docPartBody>
        <w:p w:rsidR="007C05E4" w:rsidRDefault="007C05E4">
          <w:r w:rsidRPr="007E4A7E">
            <w:rPr>
              <w:rStyle w:val="PlaceholderText"/>
            </w:rPr>
            <w:t>enter text</w:t>
          </w:r>
        </w:p>
      </w:docPartBody>
    </w:docPart>
    <w:docPart>
      <w:docPartPr>
        <w:name w:val="42D1871E414245D0B526884852A2A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89576-E086-4F3F-B1E6-1A77264BEBC5}"/>
      </w:docPartPr>
      <w:docPartBody>
        <w:p w:rsidR="007C05E4" w:rsidRDefault="007C05E4">
          <w:r w:rsidRPr="007E4A7E">
            <w:rPr>
              <w:rStyle w:val="PlaceholderText"/>
            </w:rPr>
            <w:t>enter text</w:t>
          </w:r>
        </w:p>
      </w:docPartBody>
    </w:docPart>
    <w:docPart>
      <w:docPartPr>
        <w:name w:val="9FAC363D8D0B4541B353619A8A28B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886D4-51BE-4066-A996-5315BCB19AB7}"/>
      </w:docPartPr>
      <w:docPartBody>
        <w:p w:rsidR="007C05E4" w:rsidRDefault="007C05E4">
          <w:r w:rsidRPr="007E4A7E">
            <w:rPr>
              <w:rStyle w:val="PlaceholderText"/>
            </w:rPr>
            <w:t>enter REQUIRED text</w:t>
          </w:r>
        </w:p>
      </w:docPartBody>
    </w:docPart>
    <w:docPart>
      <w:docPartPr>
        <w:name w:val="74B39DF5A27941B59AEBCAB0EC30A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BFC68-7F69-4C46-8535-58A947774F45}"/>
      </w:docPartPr>
      <w:docPartBody>
        <w:p w:rsidR="007C05E4" w:rsidRDefault="007C05E4">
          <w:r w:rsidRPr="007E4A7E"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ITC New Baskerville Std">
    <w:altName w:val="Cambria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E4"/>
    <w:rsid w:val="007C05E4"/>
    <w:rsid w:val="00A36F94"/>
    <w:rsid w:val="00C20B40"/>
    <w:rsid w:val="00C2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5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ortfolio.service.codes xmlns="PortfolioServiceCodes">
  <dropDownList>
    <listItem displayText="appe-por" value="appe-por"/>
    <listItem displayText="appi-por" value="appi-por"/>
    <listItem displayText="apps-por" value="apps-por"/>
    <listItem displayText="bps-por" value="bps-por"/>
    <listItem displayText="bna-por" value="bna-por"/>
    <listItem displayText="ccl-por" value="ccl-por"/>
    <listItem displayText="cgm-por" value="cgm-por"/>
    <listItem displayText="cps-por" value="cps-por"/>
    <listItem displayText="cpssp-por" value="cpssp-por"/>
    <listItem displayText="edis-por" value="edis-por"/>
    <listItem displayText="egt-por" value="egt-por"/>
    <listItem displayText="fip-por" value="fip-por"/>
    <listItem displayText="hlbs-por" value="hlbs-por"/>
    <listItem displayText="ipa-por" value="ipa-por"/>
    <listItem displayText="lps-por" value="lps-por"/>
    <listItem displayText="pro2-por" value="pro2-por"/>
    <listItem displayText="pvl-por" value="pvl-por"/>
    <listItem displayText="sps-por" value="sps-por"/>
    <listItem displayText="surf-por" value="surf-por"/>
    <listItem displayText="tmcp-por" value="tmcp-por"/>
    <listItem displayText="tmet-por" value="tmet-por"/>
    <listItem displayText="tmip-por" value="tmip-por"/>
    <listItem displayText="tmre-por" value="tmre-por"/>
    <listItem displayText="tms-por" value="tms-por"/>
    <listItem displayText="tmtr-por" value="tmtr-por"/>
    <listItem displayText="tmus-por" value="tmus-por"/>
    <listItem displayText="tps-por" value="tps-por"/>
  </dropDownList>
</portfolio.service.cod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conversion.options xmlns="http://www.bna.com/gateway/conversion.options">
  <ns0:tables xmlns:ns0="http://www.bna.com/gateway/conversion.options" tag="smart"/>
</conversion.options>
</file>

<file path=customXml/item4.xml><?xml version="1.0" encoding="utf-8"?>
<document xmlns="http://www.bna.com/gateway/unit.start">
  <ns0:unit.start xmlns:ns0="http://www.bna.com/gateway/unit.start" copyright.owner="enter text" subpart.name="enter text" unit.code="main0005" unit.name="Chapter 5. State Law Remedies for Dilution" folio="201" class.code="A" class.name="Book Body" bna.id.prefix="5" pdm.name="Chap05" part.num="1" part.name="Part I. General Principles And State Law Applications" publication.name="Trademark Dilution - Federal, State, and International Law, Second Edition" acct.code="TD2M20" date="2025-09-25" supplement="0" volume.num="1" service.code="td-book"/>
</document>
</file>

<file path=customXml/item5.xml><?xml version="1.0" encoding="utf-8"?>
<reference.service.codes xmlns="ReferenceServiceCodes">
  <dropdownlist>
    <listitem value="aacm-ref"/>
    <listitem value="about-ref"/>
    <listitem value="acctfa-ref"/>
    <listitem value="acbfp-ref"/>
    <listitem value="acrc-ref"/>
    <listitem value="ada-ref"/>
    <listitem value="adco-ref"/>
    <listitem value="adlaw-refadlawco-ref"/>
    <listitem value="adlawdig-ref"/>
    <listitem value="aicpa-ref"/>
    <listitem value="alrc-ref"/>
    <listitem value="alre-ref"/>
    <listitem value="apc-ref"/>
    <listitem value="apc2-ref"/>
    <listitem value="ar-ref"/>
    <listitem value="arbc-ref"/>
    <listitem value="arbcvendor-ref"/>
    <listitem value="arbdom-ref"/>
    <listitem value="arbtr-ref"/>
    <listitem value="astr-ref"/>
    <listitem value="atf-ref"/>
    <listitem value="atrc-ref"/>
    <listitem value="atre-ref"/>
    <listitem value="atst-ref"/>
    <listitem value="bacm-ref"/>
    <listitem value="bacw-ref"/>
    <listitem value="barc-ref"/>
    <listitem value="bas-ref"/>
    <listitem value="bbas-ref"/>
    <listitem value="bca-ref"/>
    <listitem value="bcast-ref"/>
    <listitem value="bctd-ref"/>
    <listitem value="beps-ref"/>
    <listitem value="beps2-ref"/>
    <listitem value="bkcbank-ref"/>
    <listitem value="bkcc-ref"/>
    <listitem value="bkccomp-ref"/>
    <listitem value="bkccredit-ref"/>
    <listitem value="bkcesc-ref"/>
    <listitem value="bkcest-ref"/>
    <listitem value="bkcdigic-ref"/>
    <listitem value="bkcfees-ref"/>
    <listitem value="bkcfls-ref"/>
    <listitem value="bkcgift-ref"/>
    <listitem value="bkcgllr-ref"/>
    <listitem value="bkcisales-ref"/>
    <listitem value="bkclbrok-ref"/>
    <listitem value="bkclcards-ref"/>
    <listitem value="bkclcoll-ref"/>
    <listitem value="bkclcomm-ref"/>
    <listitem value="bkcldebt-ref"/>
    <listitem value="bkclins-ref"/>
    <listitem value="bkclorig-ref"/>
    <listitem value="bkclpayd-ref"/>
    <listitem value="bkclrefnd-ref"/>
    <listitem value="bkclsales-ref"/>
    <listitem value="bkclserv-ref"/>
    <listitem value="bkclsmall-ref"/>
    <listitem value="bkclspec-ref"/>
    <listitem value="bkclstu-ref"/>
    <listitem value="bkcltitl-ref"/>
    <listitem value="bkcltrans-ref"/>
    <listitem value="bkcmontr-ref"/>
    <listitem value="bkcmort-ref"/>
    <listitem value="bkcoper-ref"/>
    <listitem value="bkcudap-ref"/>
    <listitem value="bkcusry-ref"/>
    <listitem value="bkrp-ref"/>
    <listitem value="bkrpc-ref"/>
    <listitem value="blaw-ref"/>
    <listitem value="blawcoa-ref"/>
    <listitem value="blawdm-ref"/>
    <listitem value="blawln-ref"/>
    <listitem value="blawls-ref"/>
    <listitem value="blawpdf-ref"/>
    <listitem value="blawpg-ref"/>
    <listitem value="blawpv-ref"/>
    <listitem value="blawsp-ref"/>
    <listitem value="blawtr-ref"/>
    <listitem value="blenvpdf-ref"/>
    <listitem value="blfa-ref"/>
    <listitem value="blgovpdf-ref"/>
    <listitem value="blre-ref"/>
    <listitem value="bltaxpdf-ref"/>
    <listitem value="bna-ref"/>
    <listitem value="bnahndbk-ref"/>
    <listitem value="bpc-ref"/>
    <listitem value="bpfa-ref"/>
    <listitem value="bppi-ref"/>
    <listitem value="bppt-ref"/>
    <listitem value="bprc-ref"/>
    <listitem value="bpre-ref"/>
    <listitem value="bpse-ref"/>
    <listitem value="bsty-ref"/>
    <listitem value="btac-ref"/>
    <listitem value="btt-ref"/>
    <listitem value="btta-ref"/>
    <listitem value="bwd-ref"/>
    <listitem value="cable-ref"/>
    <listitem value="carn-ref"/>
    <listitem value="cbc-ref"/>
    <listitem value="cbg-ref"/>
    <listitem value="cblw-ref"/>
    <listitem value="cbn-ref"/>
    <listitem value="cbnco-ref"/>
    <listitem value="cbp-ref"/>
    <listitem value="cbtt-ref"/>
    <listitem value="cccg-ref"/>
    <listitem value="ccl-ref"/>
    <listitem value="cclw-ref"/>
    <listitem value="ccr-ref"/>
    <listitem value="celulr-ref"/>
    <listitem value="cfpb-ref"/>
    <listitem value="cfr-ref"/>
    <listitem value="cglw-ref"/>
    <listitem value="chc-ref"/>
    <listitem value="chem-ref"/>
    <listitem value="cheme-ref"/>
    <listitem value="cilw-ref"/>
    <listitem value="clrc-ref"/>
    <listitem value="clscbus-ref"/>
    <listitem value="clscatr-ref"/>
    <listitem value="clscsec-ref"/>
    <listitem value="clst-ref"/>
    <listitem value="cmg-ref"/>
    <listitem value="cmp-ref"/>
    <listitem value="cms-ref"/>
    <listitem value="comrg-ref"/>
    <listitem value="comrgco-ref"/>
    <listitem value="comrge-ref"/>
    <listitem value="comrul-ref"/>
    <listitem value="coso-ref"/>
    <listitem value="cplw-ref"/>
    <listitem value="cpre-ref"/>
    <listitem value="ctr-ref"/>
    <listitem value="darb-ref"/>
    <listitem value="ddee-ref"/>
    <listitem value="ddeelw-ref"/>
    <listitem value="delaw-ref"/>
    <listitem value="der-ref"/>
    <listitem value="doj-ref"/>
    <listitem value="dol-ref"/>
    <listitem value="eacw-ref"/>
    <listitem value="ealw-ref"/>
    <listitem value="ebc-ref"/>
    <listitem value="ebcco-ref"/>
    <listitem value="eblw-ref"/>
    <listitem value="ecan-ref"/>
    <listitem value="ecc-ref"/>
    <listitem value="ecel-ref"/>
    <listitem value="ecfr-ref"/>
    <listitem value="ecg-ref"/>
    <listitem value="ecj-ref"/>
    <listitem value="eclr-ref"/>
    <listitem value="eclw-ref"/>
    <listitem value="econ-ref"/>
    <listitem value="edg-ref"/>
    <listitem value="edg2-ref"/>
    <listitem value="edge-ref"/>
    <listitem value="edlw-ref"/>
    <listitem value="edrc-ref"/>
    <listitem value="edre-ref"/>
    <listitem value="eeo-ref"/>
    <listitem value="eg-ref"/>
    <listitem value="egcd-ref"/>
    <listitem value="eglw-ref"/>
    <listitem value="ehsdsn-ref"/>
    <listitem value="ehsgo-ref"/>
    <listitem value="elcd-ref"/>
    <listitem value="eldvd-ref"/>
    <listitem value="emg-ref"/>
    <listitem value="ensl-ref"/>
    <listitem value="ensr-ref"/>
    <listitem value="erco-ref"/>
    <listitem value="erf-ref"/>
    <listitem value="erfe-ref"/>
    <listitem value="erlt-ref"/>
    <listitem value="erltr-ref"/>
    <listitem value="erltsr-ref"/>
    <listitem value="erm-ref"/>
    <listitem value="esfm-ref"/>
    <listitem value="esfr-ref"/>
    <listitem value="eslw-ref"/>
    <listitem value="esoutlook-ref"/>
    <listitem value="esrgtr-ref"/>
    <listitem value="esst-ref"/>
    <listitem value="etcc-ref"/>
    <listitem value="etslw-ref"/>
    <listitem value="eulw-ref"/>
    <listitem value="eusc-ref"/>
    <listitem value="excc-ref"/>
    <listitem value="exgw-ref"/>
    <listitem value="fasb-ref"/>
    <listitem value="fasbarc-ref"/>
    <listitem value="fasbpc-ref"/>
    <listitem value="fccrcd-ref"/>
    <listitem value="fdfa-ref"/>
    <listitem value="fdfl-ref"/>
    <listitem value="fdic-ref"/>
    <listitem value="fdpp-ref"/>
    <listitem value="fdsl-ref"/>
    <listitem value="feddec-ref"/>
    <listitem value="fep-ref"/>
    <listitem value="fepco-ref"/>
    <listitem value="fig-ref"/>
    <listitem value="finra-ref"/>
    <listitem value="fleg-ref"/>
    <listitem value="flegtr-ref"/>
    <listitem value="flex-ref"/>
    <listitem value="fllt-ref"/>
    <listitem value="flltr-ref"/>
    <listitem value="flltsr-ref"/>
    <listitem value="flr-ref"/>
    <listitem value="fmine-ref"/>
    <listitem value="fminee-ref"/>
    <listitem value="fmla-ref"/>
    <listitem value="foia-ref"/>
    <listitem value="form-ref"/>
    <listitem value="fr-ref"/>
    <listitem value="frcom-ref"/>
    <listitem value="fsoc-ref"/>
    <listitem value="gasb-ref"/>
    <listitem value="gebwd-ref"/>
    <listitem value="gelw-ref"/>
    <listitem value="gin-ref"/>
    <listitem value="gpd-ref"/>
    <listitem value="gtf-ref"/>
    <listitem value="gtg-ref"/>
    <listitem value="gtg2-ref"/>
    <listitem value="harc-ref"/>
    <listitem value="haz-ref"/>
    <listitem value="haze-ref"/>
    <listitem value="hblw-ref"/>
    <listitem value="hbss-ref"/>
    <listitem value="hccg-ref"/>
    <listitem value="hccw-ref"/>
    <listitem value="hesw-ref"/>
    <listitem value="hhs-ref"/>
    <listitem value="hlaw-ref"/>
    <listitem value="hlcfraud-ref"/>
    <listitem value="hlchosp-ref"/>
    <listitem value="hlcinsgen-ref"/>
    <listitem value="hlcinsman-ref"/>
    <listitem value="hlcitech-ref"/>
    <listitem value="hlcpharma-ref"/>
    <listitem value="hlcpriv-ref"/>
    <listitem value="hlcprp-ref"/>
    <listitem value="hlfa-ref"/>
    <listitem value="hlrc-ref"/>
    <listitem value="hlre-ref"/>
    <listitem value="hlst-ref"/>
    <listitem value="hrcc-ref"/>
    <listitem value="hrcd-ref"/>
    <listitem value="hrchkf-ref"/>
    <listitem value="hrchks-ref"/>
    <listitem value="hrcp-ref"/>
    <listitem value="hrdsn-ref"/>
    <listitem value="hre-ref"/>
    <listitem value="hrfls-ref"/>
    <listitem value="hrgw-ref"/>
    <listitem value="hrhcc-ref"/>
    <listitem value="hrin-ref"/>
    <listitem value="hrintl-ref"/>
    <listitem value="hrlw-ref"/>
    <listitem value="hrpb-ref"/>
    <listitem value="hrpg-ref"/>
    <listitem value="hrrc-ref"/>
    <listitem value="hrre-ref"/>
    <listitem value="hrsg-ref"/>
    <listitem value="hrsqr-ref"/>
    <listitem value="hrst-ref"/>
    <listitem value="hrtt-ref"/>
    <listitem value="hsbt-ref"/>
    <listitem value="hwg-ref"/>
    <listitem value="ia-ref"/>
    <listitem value="iasb-ref"/>
    <listitem value="ibfd-ref"/>
    <listitem value="icr-ref"/>
    <listitem value="idsn-ref"/>
    <listitem value="ier-ref"/>
    <listitem value="ierco-ref"/>
    <listitem value="ilr-ref"/>
    <listitem value="ilrc-ref"/>
    <listitem value="ilrco-ref"/>
    <listitem value="ilre-ref"/>
    <listitem value="ilrpmb-ref"/>
    <listitem value="iner-ref"/>
    <listitem value="ipl-ref"/>
    <listitem value="iplcb-ref"/>
    <listitem value="iplw-ref"/>
    <listitem value="ippt-ref"/>
    <listitem value="iprc-ref"/>
    <listitem value="ipre-ref"/>
    <listitem value="ipsrc-ref"/>
    <listitem value="ipydsn-ref"/>
    <listitem value="irs-ref"/>
    <listitem value="itax-ref"/>
    <listitem value="itc-ref"/>
    <listitem value="itlw-ref"/>
    <listitem value="itr-ref"/>
    <listitem value="itrc-ref"/>
    <listitem value="itrco-ref"/>
    <listitem value="itre-ref"/>
    <listitem value="jcr-ref"/>
    <listitem value="josh-ref"/>
    <listitem value="la-ref"/>
    <listitem value="laco-ref"/>
    <listitem value="lbpwtr-ref"/>
    <listitem value="lea-ref"/>
    <listitem value="leb-ref"/>
    <listitem value="lec-ref"/>
    <listitem value="leemp-ref"/>
    <listitem value="leeo-ref"/>
    <listitem value="leg-ref"/>
    <listitem value="leh-ref"/>
    <listitem value="lela-ref"/>
    <listitem value="lelr-ref"/>
    <listitem value="lels-ref"/>
    <listitem value="lelw-ref"/>
    <listitem value="lerc-ref"/>
    <listitem value="lere-ref"/>
    <listitem value="les-ref"/>
    <listitem value="let-ref"/>
    <listitem value="lest-ref"/>
    <listitem value="lew-ref"/>
    <listitem value="local-ref"/>
    <listitem value="lorc-ref"/>
    <listitem value="lore-ref"/>
    <listitem value="lqrc-ref"/>
    <listitem value="lr-ref"/>
    <listitem value="lrmsd-ref"/>
    <listitem value="lrrmco-ref"/>
    <listitem value="lrx-ref"/>
    <listitem value="mbca-ref"/>
    <listitem value="medco-ref"/>
    <listitem value="medw-ref"/>
    <listitem value="miscdec-ref"/>
    <listitem value="mlirn-ref"/>
    <listitem value="mm-ref"/>
    <listitem value="mopc-ref"/>
    <listitem value="mope-ref"/>
    <listitem value="mopw-ref"/>
    <listitem value="msrb-ref"/>
    <listitem value="nada-ref"/>
    <listitem value="nasdaq-ref"/>
    <listitem value="nath-ref"/>
    <listitem value="nyse-ref"/>
    <listitem value="occ-ref"/>
    <listitem value="ominee-ref"/>
    <listitem value="osh-ref"/>
    <listitem value="oshco-ref"/>
    <listitem value="oshe-ref"/>
    <listitem value="oslw-ref"/>
    <listitem value="osm-ref"/>
    <listitem value="ossl-ref"/>
    <listitem value="ossr-ref"/>
    <listitem value="ow-ref"/>
    <listitem value="pag-ref"/>
    <listitem value="pbgc-ref"/>
    <listitem value="pcaob-ref"/>
    <listitem value="pcg-ref"/>
    <listitem value="pcmt-ref"/>
    <listitem value="pdscp-ref"/>
    <listitem value="pdswr-ref"/>
    <listitem value="pl-ref"/>
    <listitem value="plcu-ref"/>
    <listitem value="pm-ref"/>
    <listitem value="pol-ref"/>
    <listitem value="pq2co-ref"/>
    <listitem value="pqco-ref"/>
    <listitem value="pro1-ref"/>
    <listitem value="pro2-ref"/>
    <listitem value="psdoc-ref"/>
    <listitem value="psdocop-ref"/>
    <listitem value="pslr-ref"/>
    <listitem value="pst-ref"/>
    <listitem value="pstech-ref"/>
    <listitem value="pstrain-ref"/>
    <listitem value="ptabtr-ref"/>
    <listitem value="pvrc-ref"/>
    <listitem value="pvre-ref"/>
    <listitem value="pvsec-ref"/>
    <listitem value="pvspp-ref"/>
    <listitem value="pvst-ref"/>
    <listitem value="pwatch-ref"/>
    <listitem value="pydsn-ref"/>
    <listitem value="pyirccn-ref"/>
    <listitem value="pylw-ref"/>
    <listitem value="rag-ref"/>
    <listitem value="regsum-ref"/>
    <listitem value="ring-ref"/>
    <listitem value="rkpg-ref"/>
    <listitem value="rkpg2-ref"/>
    <listitem value="scan-ref"/>
    <listitem value="sctps-ref"/>
    <listitem value="sec-ref"/>
    <listitem value="secfr-ref"/>
    <listitem value="secm-ref"/>
    <listitem value="secrc-ref"/>
    <listitem value="sfposter-ref"/>
    <listitem value="sfrc-ref"/>
    <listitem value="sldvd-ref"/>
    <listitem value="sll-ref"/>
    <listitem value="smc-ref"/>
    <listitem value="smlr-ref"/>
    <listitem value="smst-ref"/>
    <listitem value="spgd-ref"/>
    <listitem value="splw-ref"/>
    <listitem value="spse-ref"/>
    <listitem value="sqrc-ref"/>
    <listitem value="srpg-ref"/>
    <listitem value="ssl-ref"/>
    <listitem value="sstx-ref"/>
    <listitem value="stadec-ref"/>
    <listitem value="staform-ref"/>
    <listitem value="stag-ref"/>
    <listitem value="state-ref"/>
    <listitem value="statecb-ref"/>
    <listitem value="stbillsehs-ref"/>
    <listitem value="stcon-ref"/>
    <listitem value="stegt-ref"/>
    <listitem value="stegtarc-ref"/>
    <listitem value="stleg-ref"/>
    <listitem value="stlegdig-ref"/>
    <listitem value="stxdtr-ref"/>
    <listitem value="surv-ref"/>
    <listitem value="tafc-ref"/>
    <listitem value="telerpts-ref"/>
    <listitem value="terc-ref"/>
    <listitem value="tmcain-ref"/>
    <listitem value="tmci-ref"/>
    <listitem value="tmcit-ref"/>
    <listitem value="tmcit2-ref"/>
    <listitem value="tmcitarc-ref"/>
    <listitem value="tmcitncb-ref"/>
    <listitem value="tmcn-ref"/>
    <listitem value="tmcsf-ref"/>
    <listitem value="tmcss-ref"/>
    <listitem value="tmdiag-ref"/>
    <listitem value="tmel-ref"/>
    <listitem value="tmelec-ref"/>
    <listitem value="tmextn-ref"/>
    <listitem value="tmextn2-ref"/>
    <listitem value="tmextnarc-ref"/>
    <listitem value="tmforms-ref"/>
    <listitem value="tmformsarc-ref"/>
    <listitem value="tmgn-ref"/>
    <listitem value="tmgo-ref"/>
    <listitem value="tmgp-ref"/>
    <listitem value="tmhc-ref"/>
    <listitem value="tmiit-ref"/>
    <listitem value="tmiit2-ref"/>
    <listitem value="tmiitarc-ref"/>
    <listitem value="tmintforms-ref"/>
    <listitem value="tmirccn-ref"/>
    <listitem value="tmise-ref"/>
    <listitem value="tmiwt-ref"/>
    <listitem value="tmiwt2-ref"/>
    <listitem value="tmlbl-ref"/>
    <listitem value="tmleg-ref"/>
    <listitem value="tmnxc-ref"/>
    <listitem value="tmnxsu-ref"/>
    <listitem value="tmnxt-ref"/>
    <listitem value="tmpg-ref"/>
    <listitem value="tmprtn-ref"/>
    <listitem value="tmprtn2-ref"/>
    <listitem value="tmprtnarc-ref"/>
    <listitem value="tmps-ref"/>
    <listitem value="tmpten-ref"/>
    <listitem value="tms-ref"/>
    <listitem value="tmsci-ref"/>
    <listitem value="tmscl-ref"/>
    <listitem value="tmsd-ref"/>
    <listitem value="tmsh-ref"/>
    <listitem value="tmslarc-ref"/>
    <listitem value="tmslm-ref"/>
    <listitem value="tmsr-ref"/>
    <listitem value="tmsrarc-ref"/>
    <listitem value="tmss-ref"/>
    <listitem value="tmstt-ref"/>
    <listitem value="tmsu-ref"/>
    <listitem value="tmsu2-ref"/>
    <listitem value="tmsuarc-ref"/>
    <listitem value="tmtcl-ref"/>
    <listitem value="tmupn-ref"/>
    <listitem value="tmxto-ref"/>
    <listitem value="tools-ref"/>
    <listitem value="tpcdl-ref"/>
    <listitem value="tpn-ref"/>
    <listitem value="tprl-ref"/>
    <listitem value="tpsfa-ref"/>
    <listitem value="trak-ref"/>
    <listitem value="trak2-ref"/>
    <listitem value="trdi-ref"/>
    <listitem value="ttb-ref"/>
    <listitem value="txpg-ref"/>
    <listitem value="txtr-ref"/>
    <listitem value="txtri-ref"/>
    <listitem value="txtri2-ref"/>
    <listitem value="txtrpri-ref"/>
    <listitem value="ulr-ref"/>
    <listitem value="urlw-ref"/>
    <listitem value="usc-ref"/>
    <listitem value="uscarc-ref"/>
    <listitem value="uslw-ref"/>
    <listitem value="vatn-ref"/>
    <listitem value="vstr-ref"/>
    <listitem value="wccd-ref"/>
    <listitem value="webw-ref"/>
    <listitem value="wh-ref"/>
    <listitem value="wh2co-ref"/>
    <listitem value="whco-ref"/>
    <listitem value="whm-ref"/>
    <listitem value="wmg-ref"/>
    <listitem value="wmg2-ref"/>
    <listitem value="wpc-ref"/>
    <listitem value="wpc2-ref"/>
    <listitem value="wrls-ref"/>
    <listitem value="wrr-ref"/>
    <listitem value="xclw-ref"/>
    <listitem value="xcpc-ref"/>
    <listitem value="xpdt-ref"/>
    <listitem value="xrm-ref"/>
  </dropdownlist>
</reference.service.codes>
</file>

<file path=customXml/item6.xml><?xml version="1.0" encoding="utf-8"?>
<book.service.codes xmlns="BookServiceCodes">
  <dropdownlist>
    <listitem value="aca-book"/>
    <listitem value="aclc-book"/>
    <listitem value="adel-book"/>
    <listitem value="adrel-book"/>
    <listitem value="aetr-book"/>
    <listitem value="afl-book"/>
    <listitem value="ald-book"/>
    <listitem value="apc-book"/>
    <listitem value="apsf-book"/>
    <listitem value="arb18-book"/>
    <listitem value="arb19-book"/>
    <listitem value="bam-book"/>
    <listitem value="bfc-book"/>
    <listitem value="biot-book"/>
    <listitem value="bkyov-book"/>
    <listitem value="bkyp-book"/>
    <listitem value="blm-book"/>
    <listitem value="bna-book"/>
    <listitem value="bplr-book"/>
    <listitem value="cbglf-book"/>
    <listitem value="cbh-book"/>
    <listitem value="cdpat-book"/>
    <listitem value="cfcjpp-book"/>
    <listitem value="cflc-book"/>
    <listitem value="cgdl-book"/>
    <listitem value="cic-book"/>
    <listitem value="cilel-book"/>
    <listitem value="clcdp-book"/>
    <listitem value="cld-book"/>
    <listitem value="cle-book"/>
    <listitem value="clwva-book"/>
    <listitem value="cmb-book"/>
    <listitem value="cnc-book"/>
    <listitem value="colp-book"/>
    <listitem value="cps1-book"/>
    <listitem value="cps61-book"/>
    <listitem value="cps63-book"/>
    <listitem value="cps67-book"/>
    <listitem value="cps68-book"/>
    <listitem value="cps75-book"/>
    <listitem value="cps88-book"/>
    <listitem value="crbc-book"/>
    <listitem value="cst-book"/>
    <listitem value="dat-book"/>
    <listitem value="dcalfc-book"/>
    <listitem value="dda-book"/>
    <listitem value="ddw-book"/>
    <listitem value="dec-book"/>
    <listitem value="desi-book"/>
    <listitem value="dlit-book"/>
    <listitem value="dll-book"/>
    <listitem value="dolfi-book"/>
    <listitem value="dpl-book"/>
    <listitem value="dsfc-book"/>
    <listitem value="dulg-book"/>
    <listitem value="ebl-book"/>
    <listitem value="eclas-book"/>
    <listitem value="edd-book"/>
    <listitem value="ediel-book"/>
    <listitem value="edcl-book"/>
    <listitem value="edl-book"/>
    <listitem value="edpf-book"/>
    <listitem value="edy-book"/>
    <listitem value="efl-book"/>
    <listitem value="ehl-book"/>
    <listitem value="eipl-book"/>
    <listitem value="el-book"/>
    <listitem value="elc-book"/>
    <listitem value="elcr-book"/>
    <listitem value="emp-book"/>
    <listitem value="epc-book"/>
    <listitem value="erisadl-book"/>
    <listitem value="err-book"/>
    <listitem value="esp-book"/>
    <listitem value="etpg-book"/>
    <listitem value="eupl-book"/>
    <listitem value="evd-book"/>
    <listitem value="fah-book"/>
    <listitem value="fap-book"/>
    <listitem value="fcawl-book"/>
    <listitem value="ffapl-book"/>
    <listitem value="ffua-book"/>
    <listitem value="fhcdl-book"/>
    <listitem value="fiflp-book"/>
    <listitem value="fitic-book"/>
    <listitem value="flfs-book"/>
    <listitem value="flsa-book"/>
    <listitem value="fmla-book"/>
    <listitem value="fotn-book"/>
    <listitem value="frd-book"/>
    <listitem value="ftecorp-book"/>
    <listitem value="fteind-book"/>
    <listitem value="ftepart-book"/>
    <listitem value="ftescorp-book"/>
    <listitem value="ftl-book"/>
    <listitem value="gdttc-book"/>
    <listitem value="gdttii-book"/>
    <listitem value="gep-book"/>
    <listitem value="gg-book"/>
    <listitem value="gisod-book"/>
    <listitem value="gof-book"/>
    <listitem value="gpl-book"/>
    <listitem value="hadrw-book"/>
    <listitem value="haw-book"/>
    <listitem value="hcf-book"/>
    <listitem value="hcylc-book"/>
    <listitem value="hee-book"/>
    <listitem value="heg-book"/>
    <listitem value="hlbs1500-book"/>
    <listitem value="hlbs2100-book"/>
    <listitem value="hlbs2300-book"/>
    <listitem value="hlbs2400-book"/>
    <listitem value="hlbs2600-book"/>
    <listitem value="hlbs2650-book"/>
    <listitem value="hlbs2800-book"/>
    <listitem value="hlbs2900-book"/>
    <listitem value="hlbs3300-book"/>
    <listitem value="hop-book"/>
    <listitem value="hpplac-book"/>
    <listitem value="hrcc-book"/>
    <listitem value="htcb-book"/>
    <listitem value="iedcm-book"/>
    <listitem value="igai-book"/>
    <listitem value="iipd-book"/>
    <listitem value="ile-book"/>
    <listitem value="ilfg-book"/>
    <listitem value="ilu337-book"/>
    <listitem value="ipl-book"/>
    <listitem value="iplc-book"/>
    <listitem value="ipsil-book"/>
    <listitem value="ipt-book"/>
    <listitem value="iptt-book"/>
    <listitem value="irc-book"/>
    <listitem value="isa-book"/>
    <listitem value="ishc-book"/>
    <listitem value="jcst-book"/>
    <listitem value="labp-book"/>
    <listitem value="lacma-book"/>
    <listitem value="ladh-book"/>
    <listitem value="lana-book"/>
    <listitem value="lapga-book"/>
    <listitem value="lbd-book"/>
    <listitem value="lfgp-book"/>
    <listitem value="llcbps-book"/>
    <listitem value="lml-book"/>
    <listitem value="lopm-book"/>
    <listitem value="lpdi-book"/>
    <listitem value="lptsda-book"/>
    <listitem value="lsfl-book"/>
    <listitem value="lulr-book"/>
    <listitem value="mapc-book"/>
    <listitem value="mcl-book"/>
    <listitem value="mdbsc-book"/>
    <listitem value="mdedl-book"/>
    <listitem value="meip-book"/>
    <listitem value="mlprco-book "/>
    <listitem value="naat-book"/>
    <listitem value="net-book"/>
    <listitem value="nlc-book"/>
    <listitem value="nlrr-book"/>
    <listitem value="nwic-book"/>
    <listitem value="ops-book"/>
    <listitem value="oshl-book"/>
    <listitem value="paaa-book"/>
    <listitem value="paed-book"/>
    <listitem value="paia-book"/>
    <listitem value="papc-book"/>
    <listitem value="patstan-book"/>
    <listitem value="pbcr-book"/>
    <listitem value="pce-book"/>
    <listitem value="pcmt-book"/>
    <listitem value="pda-book"/>
    <listitem value="pel-book"/>
    <listitem value="pesi-book"/>
    <listitem value="pfc-book"/>
    <listitem value="pfo-book"/>
    <listitem value="pgfafl-book"/>
    <listitem value="pgpp-book"/>
    <listitem value="pgofacsc-book"/>
    <listitem value="pjae-book"/>
    <listitem value="phrm-book"/>
    <listitem value="pir-book"/>
    <listitem value="plp-book"/>
    <listitem value="pls-book"/>
    <listitem value="ppat-book"/>
    <listitem value="ppla-book"/>
    <listitem value="pppp-book"/>
    <listitem value="pro1-book"/>
    <listitem value="pro2-book"/>
    <listitem value="pswh-book"/>
    <listitem value="ptabh-book"/>
    <listitem value="ptcl-book"/>
    <listitem value="ptcr-book"/>
    <listitem value="qeh-book"/>
    <listitem value="rcci-book"/>
    <listitem value="rctse-book"/>
    <listitem value="rgi-book"/>
    <listitem value="rif-book"/>
    <listitem value="rla-book"/>
    <listitem value="rpe-book"/>
    <listitem value="scp-book"/>
    <listitem value="sead-book"/>
    <listitem value="sps203-book"/>
    <listitem value="srp-book"/>
    <listitem value="ssfs-book"/>
    <listitem value="sti-book"/>
    <listitem value="tcs409a-book"/>
    <listitem value="td-book"/>
    <listitem value="teelm-book"/>
    <listitem value="tei-book"/>
    <listitem value="tic-book"/>
    <listitem value="tir-book"/>
    <listitem value="tlp-book"/>
    <listitem value="tmftg-book"/>
    <listitem value="tmftp-book"/>
    <listitem value="tmitg-book"/>
    <listitem value="tpt-book"/>
    <listitem value="trp-book"/>
    <listitem value="tslip-book"/>
    <listitem value="tss-book"/>
    <listitem value="tttp-book"/>
    <listitem value="ucipp-book"/>
    <listitem value="ueus-book"/>
    <listitem value="userra-book"/>
    <listitem value="usmt-book"/>
    <listitem value="vvil-book"/>
    <listitem value="vvp-book"/>
    <listitem value="waa-book"/>
    <listitem value="wan-book"/>
    <listitem value="wds-book"/>
    <listitem value="whl-book"/>
    <listitem value="wilbb-book"/>
    <listitem value="wilbf-book"/>
    <listitem value="wilfsarcw-book"/>
    <listitem value="willsh-book"/>
    <listitem value="wilmmlr-book"/>
    <listitem value="wilpb-book"/>
    <listitem value="wilrws-book"/>
    <listitem value="wiltpb-book"/>
    <listitem value="wlrd-book"/>
    <listitem value="wpd-book"/>
    <listitem value="wphl-book"/>
    <listitem value="wppg-book"/>
  </dropdownlist>
</book.service.codes>
</file>

<file path=customXml/itemProps1.xml><?xml version="1.0" encoding="utf-8"?>
<ds:datastoreItem xmlns:ds="http://schemas.openxmlformats.org/officeDocument/2006/customXml" ds:itemID="{25203738-0C39-41F2-B232-E9DAD00FD52D}">
  <ds:schemaRefs>
    <ds:schemaRef ds:uri="PortfolioServiceCodes"/>
  </ds:schemaRefs>
</ds:datastoreItem>
</file>

<file path=customXml/itemProps2.xml><?xml version="1.0" encoding="utf-8"?>
<ds:datastoreItem xmlns:ds="http://schemas.openxmlformats.org/officeDocument/2006/customXml" ds:itemID="{6FB45861-F80D-4D21-8271-FF104E2A19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A3C72-C4A8-40A7-A93D-753FF12AADFE}">
  <ds:schemaRefs>
    <ds:schemaRef ds:uri="http://www.bna.com/gateway/conversion.options"/>
  </ds:schemaRefs>
</ds:datastoreItem>
</file>

<file path=customXml/itemProps4.xml><?xml version="1.0" encoding="utf-8"?>
<ds:datastoreItem xmlns:ds="http://schemas.openxmlformats.org/officeDocument/2006/customXml" ds:itemID="{B04FCA99-13B0-422B-ADC9-9491644FA79D}">
  <ds:schemaRefs>
    <ds:schemaRef ds:uri="http://www.bna.com/gateway/unit.start"/>
  </ds:schemaRefs>
</ds:datastoreItem>
</file>

<file path=customXml/itemProps5.xml><?xml version="1.0" encoding="utf-8"?>
<ds:datastoreItem xmlns:ds="http://schemas.openxmlformats.org/officeDocument/2006/customXml" ds:itemID="{88E47CC7-89B1-4334-9439-A1F1C1083F4F}">
  <ds:schemaRefs>
    <ds:schemaRef ds:uri="ReferenceServiceCodes"/>
  </ds:schemaRefs>
</ds:datastoreItem>
</file>

<file path=customXml/itemProps6.xml><?xml version="1.0" encoding="utf-8"?>
<ds:datastoreItem xmlns:ds="http://schemas.openxmlformats.org/officeDocument/2006/customXml" ds:itemID="{438364F0-8022-49DD-ACD0-F4F06AB21D4B}">
  <ds:schemaRefs>
    <ds:schemaRef ds:uri="BookServiceCodes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BPub_Prep</Template>
  <TotalTime>0</TotalTime>
  <Pages>10</Pages>
  <Words>3423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2025-09-25T20:43:00Z</dcterms:created>
  <dcterms:modified xsi:type="dcterms:W3CDTF">2025-10-01T17:54:00Z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3.47</vt:lpwstr>
  </property>
  <property fmtid="{D5CDD505-2E9C-101B-9397-08002B2CF9AE}" pid="3" name="DocType">
    <vt:lpwstr>book</vt:lpwstr>
  </property>
</Properties>
</file>