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90CA0" w14:textId="77777777" w:rsidR="00BC54C2" w:rsidRPr="00BC54C2" w:rsidRDefault="0011736D" w:rsidP="00EC7A39">
      <w:pPr>
        <w:pStyle w:val="BDocStart"/>
      </w:pPr>
      <w:sdt>
        <w:sdtPr>
          <w:tag w:val="unit.start.head"/>
          <w:id w:val="-200711707"/>
          <w:lock w:val="sdtLocked"/>
          <w:placeholder>
            <w:docPart w:val="76A355CD91FD4ADEAE01A7A3D08C023D"/>
          </w:placeholder>
          <w15:appearance w15:val="hidden"/>
        </w:sdtPr>
        <w:sdtEndPr/>
        <w:sdtContent>
          <w:proofErr w:type="spellStart"/>
          <w:r w:rsidR="00EC7A39">
            <w:t>Unit.Start</w:t>
          </w:r>
          <w:proofErr w:type="spellEnd"/>
        </w:sdtContent>
      </w:sdt>
    </w:p>
    <w:sdt>
      <w:sdtPr>
        <w:rPr>
          <w:rStyle w:val="BContentControl"/>
        </w:rPr>
        <w:alias w:val="unit.start"/>
        <w:tag w:val="Unit1"/>
        <w:id w:val="-1065564795"/>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0D7D25C9" w14:textId="205750A2" w:rsidR="00BC54C2" w:rsidRPr="00BC54C2" w:rsidRDefault="0011736D" w:rsidP="00EC7A39">
          <w:pPr>
            <w:pStyle w:val="BNormal"/>
          </w:pPr>
          <w:sdt>
            <w:sdtPr>
              <w:rPr>
                <w:rStyle w:val="BContentControl"/>
              </w:rPr>
              <w:alias w:val="acct.code"/>
              <w:tag w:val="acct.code"/>
              <w:id w:val="-1013607576"/>
              <w:lock w:val="sdtLocked"/>
              <w:placeholder>
                <w:docPart w:val="1AFC54E238114D7480E15B4F322E3303"/>
              </w:placeholder>
              <w:dataBinding w:prefixMappings="xmlns:ns0='http://www.bna.com/gateway/unit.start' " w:xpath="/ns0:document[1]/ns0:unit.start[1]/@acct.code" w:storeItemID="{B04FCA99-13B0-422B-ADC9-9491644FA79D}"/>
              <w15:appearance w15:val="tags"/>
              <w:text/>
            </w:sdtPr>
            <w:sdtEndPr>
              <w:rPr>
                <w:rStyle w:val="BContentControl"/>
              </w:rPr>
            </w:sdtEndPr>
            <w:sdtContent>
              <w:r w:rsidR="00EC7A39">
                <w:rPr>
                  <w:rStyle w:val="BContentControl"/>
                </w:rPr>
                <w:t>TD2M20</w:t>
              </w:r>
            </w:sdtContent>
          </w:sdt>
          <w:sdt>
            <w:sdtPr>
              <w:rPr>
                <w:rStyle w:val="BContentControl"/>
              </w:rPr>
              <w:alias w:val="bna.id.prefix"/>
              <w:tag w:val="bna.id.prefix"/>
              <w:id w:val="-1895269124"/>
              <w:lock w:val="sdtLocked"/>
              <w:placeholder>
                <w:docPart w:val="FB2275C724DA45DD845A61D44ADC6459"/>
              </w:placeholder>
              <w:dataBinding w:prefixMappings="xmlns:ns0='http://www.bna.com/gateway/unit.start' " w:xpath="/ns0:document[1]/ns0:unit.start[1]/@bna.id.prefix" w:storeItemID="{B04FCA99-13B0-422B-ADC9-9491644FA79D}"/>
              <w15:appearance w15:val="tags"/>
              <w:text/>
            </w:sdtPr>
            <w:sdtEndPr>
              <w:rPr>
                <w:rStyle w:val="BContentControl"/>
              </w:rPr>
            </w:sdtEndPr>
            <w:sdtContent>
              <w:r w:rsidR="00EC7A39">
                <w:rPr>
                  <w:rStyle w:val="BContentControl"/>
                </w:rPr>
                <w:t>4</w:t>
              </w:r>
            </w:sdtContent>
          </w:sdt>
          <w:r w:rsidR="00EC7A39" w:rsidRPr="00EC7A39">
            <w:rPr>
              <w:rStyle w:val="BContentControl"/>
            </w:rPr>
            <w:t xml:space="preserve"> </w:t>
          </w:r>
          <w:sdt>
            <w:sdtPr>
              <w:rPr>
                <w:rStyle w:val="BContentControl"/>
              </w:rPr>
              <w:alias w:val="class.code*"/>
              <w:tag w:val="class.code"/>
              <w:id w:val="-399525992"/>
              <w:lock w:val="sdtLocked"/>
              <w:placeholder>
                <w:docPart w:val="0EB05747745D42F8A845DCC3FC0A9BF2"/>
              </w:placeholder>
              <w:dataBinding w:prefixMappings="xmlns:ns0='http://www.bna.com/gateway/unit.start' " w:xpath="/ns0:document[1]/ns0:unit.start[1]/@class.code" w:storeItemID="{B04FCA99-13B0-422B-ADC9-9491644FA79D}"/>
              <w15:appearance w15:val="tags"/>
              <w:text/>
            </w:sdtPr>
            <w:sdtEndPr>
              <w:rPr>
                <w:rStyle w:val="BContentControl"/>
              </w:rPr>
            </w:sdtEndPr>
            <w:sdtContent>
              <w:r w:rsidR="00EC7A39">
                <w:rPr>
                  <w:rStyle w:val="BContentControl"/>
                </w:rPr>
                <w:t>A</w:t>
              </w:r>
            </w:sdtContent>
          </w:sdt>
          <w:r w:rsidR="00EC7A39" w:rsidRPr="00EC7A39">
            <w:rPr>
              <w:rStyle w:val="BContentControl"/>
            </w:rPr>
            <w:t xml:space="preserve"> </w:t>
          </w:r>
          <w:sdt>
            <w:sdtPr>
              <w:rPr>
                <w:rStyle w:val="BContentControl"/>
              </w:rPr>
              <w:alias w:val="class.name*"/>
              <w:tag w:val="class.name"/>
              <w:id w:val="-574826682"/>
              <w:lock w:val="sdtLocked"/>
              <w:placeholder>
                <w:docPart w:val="66422E7CC92D4106B4BCFDF127EF2D26"/>
              </w:placeholder>
              <w:dataBinding w:prefixMappings="xmlns:ns0='http://www.bna.com/gateway/unit.start' " w:xpath="/ns0:document[1]/ns0:unit.start[1]/@class.name" w:storeItemID="{B04FCA99-13B0-422B-ADC9-9491644FA79D}"/>
              <w15:appearance w15:val="tags"/>
              <w:text/>
            </w:sdtPr>
            <w:sdtEndPr>
              <w:rPr>
                <w:rStyle w:val="BContentControl"/>
              </w:rPr>
            </w:sdtEndPr>
            <w:sdtContent>
              <w:r w:rsidR="00EC7A39">
                <w:rPr>
                  <w:rStyle w:val="BContentControl"/>
                </w:rPr>
                <w:t>Book Body</w:t>
              </w:r>
            </w:sdtContent>
          </w:sdt>
          <w:r w:rsidR="00EC7A39" w:rsidRPr="00EC7A39">
            <w:rPr>
              <w:rStyle w:val="BContentControl"/>
            </w:rPr>
            <w:t xml:space="preserve"> </w:t>
          </w:r>
          <w:sdt>
            <w:sdtPr>
              <w:rPr>
                <w:rStyle w:val="BContentControl"/>
              </w:rPr>
              <w:alias w:val="copyright.owner"/>
              <w:tag w:val="copyright.owner"/>
              <w:id w:val="-514451794"/>
              <w:lock w:val="sdtLocked"/>
              <w:placeholder>
                <w:docPart w:val="DD75C45CB80144AEA7E05C4654927B81"/>
              </w:placeholder>
              <w:dataBinding w:prefixMappings="xmlns:ns0='http://www.bna.com/gateway/unit.start' " w:xpath="/ns0:document[1]/ns0:unit.start[1]/@copyright.owner" w:storeItemID="{B04FCA99-13B0-422B-ADC9-9491644FA79D}"/>
              <w15:appearance w15:val="tags"/>
              <w:text/>
            </w:sdtPr>
            <w:sdtEndPr>
              <w:rPr>
                <w:rStyle w:val="BContentControl"/>
              </w:rPr>
            </w:sdtEndPr>
            <w:sdtContent>
              <w:r w:rsidR="00EC7A39" w:rsidRPr="00EC7A39">
                <w:rPr>
                  <w:rStyle w:val="BContentControl"/>
                </w:rPr>
                <w:t>enter text</w:t>
              </w:r>
            </w:sdtContent>
          </w:sdt>
          <w:r w:rsidR="00EC7A39" w:rsidRPr="00EC7A39">
            <w:rPr>
              <w:rStyle w:val="BContentControl"/>
            </w:rPr>
            <w:t xml:space="preserve"> </w:t>
          </w:r>
          <w:sdt>
            <w:sdtPr>
              <w:rPr>
                <w:rStyle w:val="BContentControl"/>
              </w:rPr>
              <w:alias w:val="date"/>
              <w:tag w:val="date"/>
              <w:id w:val="2076087009"/>
              <w:lock w:val="sdtLocked"/>
              <w:placeholder>
                <w:docPart w:val="92E4F7B4DBA146FB9B9917C197770F8E"/>
              </w:placeholder>
              <w:dataBinding w:prefixMappings="xmlns:ns0='http://www.bna.com/gateway/unit.start' " w:xpath="/ns0:document[1]/ns0:unit.start[1]/@date" w:storeItemID="{B04FCA99-13B0-422B-ADC9-9491644FA79D}"/>
              <w15:appearance w15:val="tags"/>
              <w:text/>
            </w:sdtPr>
            <w:sdtEndPr>
              <w:rPr>
                <w:rStyle w:val="BContentControl"/>
              </w:rPr>
            </w:sdtEndPr>
            <w:sdtContent>
              <w:r w:rsidR="00EC7A39">
                <w:rPr>
                  <w:rStyle w:val="BContentControl"/>
                </w:rPr>
                <w:t>2025-09-25</w:t>
              </w:r>
            </w:sdtContent>
          </w:sdt>
          <w:r w:rsidR="00EC7A39" w:rsidRPr="00EC7A39">
            <w:rPr>
              <w:rStyle w:val="BContentControl"/>
            </w:rPr>
            <w:t xml:space="preserve"> </w:t>
          </w:r>
          <w:sdt>
            <w:sdtPr>
              <w:rPr>
                <w:rStyle w:val="BContentControl"/>
              </w:rPr>
              <w:alias w:val="folio"/>
              <w:tag w:val="folio"/>
              <w:id w:val="462393207"/>
              <w:lock w:val="sdtLocked"/>
              <w:placeholder>
                <w:docPart w:val="D661023121EE4EFBA09859729A59732E"/>
              </w:placeholder>
              <w:dataBinding w:prefixMappings="xmlns:ns0='http://www.bna.com/gateway/unit.start' " w:xpath="/ns0:document[1]/ns0:unit.start[1]/@folio" w:storeItemID="{B04FCA99-13B0-422B-ADC9-9491644FA79D}"/>
              <w15:appearance w15:val="tags"/>
              <w:text/>
            </w:sdtPr>
            <w:sdtEndPr>
              <w:rPr>
                <w:rStyle w:val="BContentControl"/>
              </w:rPr>
            </w:sdtEndPr>
            <w:sdtContent>
              <w:r w:rsidR="00EC7A39">
                <w:rPr>
                  <w:rStyle w:val="BContentControl"/>
                </w:rPr>
                <w:t>173</w:t>
              </w:r>
            </w:sdtContent>
          </w:sdt>
          <w:r w:rsidR="00EC7A39" w:rsidRPr="00EC7A39">
            <w:rPr>
              <w:rStyle w:val="BContentControl"/>
            </w:rPr>
            <w:t xml:space="preserve"> </w:t>
          </w:r>
          <w:sdt>
            <w:sdtPr>
              <w:rPr>
                <w:rStyle w:val="BContentControl"/>
              </w:rPr>
              <w:alias w:val="part.name"/>
              <w:tag w:val="part.name"/>
              <w:id w:val="-1677645532"/>
              <w:lock w:val="sdtLocked"/>
              <w:placeholder>
                <w:docPart w:val="CEF5F02096F54C938465B6A5F73E00C1"/>
              </w:placeholder>
              <w:dataBinding w:prefixMappings="xmlns:ns0='http://www.bna.com/gateway/unit.start' " w:xpath="/ns0:document[1]/ns0:unit.start[1]/@part.name" w:storeItemID="{B04FCA99-13B0-422B-ADC9-9491644FA79D}"/>
              <w15:appearance w15:val="tags"/>
              <w:text/>
            </w:sdtPr>
            <w:sdtContent>
              <w:r w:rsidR="00BC54C2" w:rsidRPr="00BC54C2">
                <w:rPr>
                  <w:rStyle w:val="BContentControl"/>
                </w:rPr>
                <w:t>Part I.</w:t>
              </w:r>
              <w:r w:rsidR="00BC54C2" w:rsidRPr="00BC54C2">
                <w:rPr>
                  <w:rStyle w:val="BContentControl"/>
                </w:rPr>
                <w:t xml:space="preserve"> </w:t>
              </w:r>
              <w:r w:rsidR="00BC54C2" w:rsidRPr="00BC54C2">
                <w:rPr>
                  <w:rStyle w:val="BContentControl"/>
                </w:rPr>
                <w:t xml:space="preserve">General Principles </w:t>
              </w:r>
              <w:proofErr w:type="gramStart"/>
              <w:r w:rsidR="00BC54C2" w:rsidRPr="00BC54C2">
                <w:rPr>
                  <w:rStyle w:val="BContentControl"/>
                </w:rPr>
                <w:t>And</w:t>
              </w:r>
              <w:proofErr w:type="gramEnd"/>
              <w:r w:rsidR="00BC54C2" w:rsidRPr="00BC54C2">
                <w:rPr>
                  <w:rStyle w:val="BContentControl"/>
                </w:rPr>
                <w:t xml:space="preserve"> State Law Applications</w:t>
              </w:r>
            </w:sdtContent>
          </w:sdt>
          <w:r w:rsidR="00EC7A39" w:rsidRPr="00EC7A39">
            <w:rPr>
              <w:rStyle w:val="BContentControl"/>
            </w:rPr>
            <w:t xml:space="preserve"> </w:t>
          </w:r>
          <w:sdt>
            <w:sdtPr>
              <w:rPr>
                <w:rStyle w:val="BContentControl"/>
              </w:rPr>
              <w:alias w:val="part.num"/>
              <w:tag w:val="part.num"/>
              <w:id w:val="-1428110581"/>
              <w:lock w:val="sdtLocked"/>
              <w:placeholder>
                <w:docPart w:val="7804FA357E6444549BBEACEAAC01C0CD"/>
              </w:placeholder>
              <w:dataBinding w:prefixMappings="xmlns:ns0='http://www.bna.com/gateway/unit.start' " w:xpath="/ns0:document[1]/ns0:unit.start[1]/@part.num" w:storeItemID="{B04FCA99-13B0-422B-ADC9-9491644FA79D}"/>
              <w15:appearance w15:val="tags"/>
              <w:text/>
            </w:sdtPr>
            <w:sdtEndPr>
              <w:rPr>
                <w:rStyle w:val="BContentControl"/>
              </w:rPr>
            </w:sdtEndPr>
            <w:sdtContent>
              <w:r w:rsidR="00EC7A39">
                <w:rPr>
                  <w:rStyle w:val="BContentControl"/>
                </w:rPr>
                <w:t>1</w:t>
              </w:r>
            </w:sdtContent>
          </w:sdt>
          <w:r w:rsidR="00EC7A39" w:rsidRPr="00EC7A39">
            <w:rPr>
              <w:rStyle w:val="BContentControl"/>
            </w:rPr>
            <w:t xml:space="preserve"> </w:t>
          </w:r>
          <w:sdt>
            <w:sdtPr>
              <w:rPr>
                <w:rStyle w:val="BContentControl"/>
              </w:rPr>
              <w:alias w:val="subpart.name"/>
              <w:tag w:val="subpart.name"/>
              <w:id w:val="-308017132"/>
              <w:lock w:val="sdtLocked"/>
              <w:placeholder>
                <w:docPart w:val="14BEC8CB038248E6996A01262DCED41A"/>
              </w:placeholder>
              <w:dataBinding w:prefixMappings="xmlns:ns0='http://www.bna.com/gateway/unit.start' " w:xpath="/ns0:document[1]/ns0:unit.start[1]/@subpart.name" w:storeItemID="{B04FCA99-13B0-422B-ADC9-9491644FA79D}"/>
              <w15:appearance w15:val="tags"/>
              <w:text/>
            </w:sdtPr>
            <w:sdtEndPr>
              <w:rPr>
                <w:rStyle w:val="BContentControl"/>
              </w:rPr>
            </w:sdtEndPr>
            <w:sdtContent>
              <w:r w:rsidR="00EC7A39" w:rsidRPr="00EC7A39">
                <w:rPr>
                  <w:rStyle w:val="BContentControl"/>
                </w:rPr>
                <w:t>enter text</w:t>
              </w:r>
            </w:sdtContent>
          </w:sdt>
          <w:r w:rsidR="00EC7A39" w:rsidRPr="00EC7A39">
            <w:rPr>
              <w:rStyle w:val="BContentControl"/>
            </w:rPr>
            <w:t xml:space="preserve"> </w:t>
          </w:r>
          <w:sdt>
            <w:sdtPr>
              <w:rPr>
                <w:rStyle w:val="BContentControl"/>
              </w:rPr>
              <w:alias w:val="pdm.name"/>
              <w:tag w:val="pdm.name"/>
              <w:id w:val="478425808"/>
              <w:lock w:val="sdtLocked"/>
              <w:placeholder>
                <w:docPart w:val="A62B3ADFA8AC47C5BE0C559ED35558C4"/>
              </w:placeholder>
              <w:dataBinding w:prefixMappings="xmlns:ns0='http://www.bna.com/gateway/unit.start' " w:xpath="/ns0:document[1]/ns0:unit.start[1]/@pdm.name" w:storeItemID="{B04FCA99-13B0-422B-ADC9-9491644FA79D}"/>
              <w15:appearance w15:val="tags"/>
              <w:text/>
            </w:sdtPr>
            <w:sdtEndPr>
              <w:rPr>
                <w:rStyle w:val="BContentControl"/>
              </w:rPr>
            </w:sdtEndPr>
            <w:sdtContent>
              <w:r w:rsidR="00EC7A39">
                <w:rPr>
                  <w:rStyle w:val="BContentControl"/>
                </w:rPr>
                <w:t>Chap04</w:t>
              </w:r>
            </w:sdtContent>
          </w:sdt>
          <w:r w:rsidR="00EC7A39" w:rsidRPr="00EC7A39">
            <w:rPr>
              <w:rStyle w:val="BContentControl"/>
            </w:rPr>
            <w:t xml:space="preserve"> </w:t>
          </w:r>
          <w:sdt>
            <w:sdtPr>
              <w:rPr>
                <w:rStyle w:val="BContentControl"/>
              </w:rPr>
              <w:alias w:val="publication.name"/>
              <w:tag w:val="publication.name"/>
              <w:id w:val="682784123"/>
              <w:lock w:val="sdtLocked"/>
              <w:placeholder>
                <w:docPart w:val="1CC15FE1AA714220B609B117BB49799C"/>
              </w:placeholder>
              <w:dataBinding w:prefixMappings="xmlns:ns0='http://www.bna.com/gateway/unit.start' " w:xpath="/ns0:document[1]/ns0:unit.start[1]/@publication.name" w:storeItemID="{B04FCA99-13B0-422B-ADC9-9491644FA79D}"/>
              <w15:appearance w15:val="tags"/>
              <w:text/>
            </w:sdtPr>
            <w:sdtEndPr>
              <w:rPr>
                <w:rStyle w:val="BContentControl"/>
              </w:rPr>
            </w:sdtEndPr>
            <w:sdtContent>
              <w:r w:rsidR="00EC7A39">
                <w:rPr>
                  <w:rStyle w:val="BContentControl"/>
                </w:rPr>
                <w:t>Trademark Dilution - Federal, State, and International Law, Second Edition</w:t>
              </w:r>
            </w:sdtContent>
          </w:sdt>
          <w:r w:rsidR="00EC7A39" w:rsidRPr="00EC7A39">
            <w:rPr>
              <w:rStyle w:val="BContentControl"/>
            </w:rPr>
            <w:t xml:space="preserve"> </w:t>
          </w:r>
          <w:sdt>
            <w:sdtPr>
              <w:rPr>
                <w:rStyle w:val="BContentControl"/>
              </w:rPr>
              <w:alias w:val="service.code*"/>
              <w:tag w:val="mUnit1"/>
              <w:id w:val="-1899047397"/>
              <w:lock w:val="sdtLocked"/>
              <w:placeholder>
                <w:docPart w:val="4EC46F764BED4DEA92BD75EDC023FA86"/>
              </w:placeholder>
              <w:dataBinding w:prefixMappings="xmlns:ns0='http://www.bna.com/gateway/unit.start' " w:xpath="/ns0:document[1]/ns0:unit.start[1]/@service.code" w:storeItemID="{B04FCA99-13B0-422B-ADC9-9491644FA79D}"/>
              <w15:appearance w15:val="tags"/>
              <w:dropDownList w:lastValue="td-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glf-book" w:value="cbglf-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lbs1500-book" w:value="hlbs1500-book"/>
                <w:listItem w:displayText="hlbs2100-book" w:value="hlbs2100-book"/>
                <w:listItem w:displayText="hlbs2300-book" w:value="hlbs2300-book"/>
                <w:listItem w:displayText="hlbs2400-book" w:value="hlbs2400-book"/>
                <w:listItem w:displayText="hlbs2600-book" w:value="hlbs2600-book"/>
                <w:listItem w:displayText="hlbs2650-book" w:value="hlbs2650-book"/>
                <w:listItem w:displayText="hlbs2800-book" w:value="hlbs2800-book"/>
                <w:listItem w:displayText="hlbs2900-book" w:value="hlbs2900-book"/>
                <w:listItem w:displayText="hlbs3300-book" w:value="hlbs3300-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vvp-book" w:value="vvp-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EndPr>
              <w:rPr>
                <w:rStyle w:val="BContentControl"/>
              </w:rPr>
            </w:sdtEndPr>
            <w:sdtContent>
              <w:r w:rsidR="00EC7A39">
                <w:rPr>
                  <w:rStyle w:val="BContentControl"/>
                </w:rPr>
                <w:t>td-book</w:t>
              </w:r>
            </w:sdtContent>
          </w:sdt>
          <w:r w:rsidR="00EC7A39" w:rsidRPr="00EC7A39">
            <w:rPr>
              <w:rStyle w:val="BContentControl"/>
            </w:rPr>
            <w:t xml:space="preserve"> </w:t>
          </w:r>
          <w:sdt>
            <w:sdtPr>
              <w:rPr>
                <w:rStyle w:val="BContentControl"/>
              </w:rPr>
              <w:alias w:val="supplement"/>
              <w:tag w:val="supplement"/>
              <w:id w:val="-341083164"/>
              <w:lock w:val="sdtLocked"/>
              <w:placeholder>
                <w:docPart w:val="BD337364F50844369238DC159D84E82C"/>
              </w:placeholder>
              <w:dataBinding w:prefixMappings="xmlns:ns0='http://www.bna.com/gateway/unit.start' " w:xpath="/ns0:document[1]/ns0:unit.start[1]/@supplement" w:storeItemID="{B04FCA99-13B0-422B-ADC9-9491644FA79D}"/>
              <w15:appearance w15:val="tags"/>
              <w:text/>
            </w:sdtPr>
            <w:sdtEndPr>
              <w:rPr>
                <w:rStyle w:val="BContentControl"/>
              </w:rPr>
            </w:sdtEndPr>
            <w:sdtContent>
              <w:r w:rsidR="00EC7A39">
                <w:rPr>
                  <w:rStyle w:val="BContentControl"/>
                </w:rPr>
                <w:t>0</w:t>
              </w:r>
            </w:sdtContent>
          </w:sdt>
          <w:r w:rsidR="00EC7A39" w:rsidRPr="00EC7A39">
            <w:rPr>
              <w:rStyle w:val="BContentControl"/>
            </w:rPr>
            <w:t xml:space="preserve"> </w:t>
          </w:r>
          <w:sdt>
            <w:sdtPr>
              <w:rPr>
                <w:rStyle w:val="BContentControl"/>
              </w:rPr>
              <w:alias w:val="unit.code"/>
              <w:tag w:val="unit.code"/>
              <w:id w:val="-1320023559"/>
              <w:lock w:val="sdtLocked"/>
              <w:placeholder>
                <w:docPart w:val="766768D6C302468FBB3AF19C7EACC67A"/>
              </w:placeholder>
              <w:dataBinding w:prefixMappings="xmlns:ns0='http://www.bna.com/gateway/unit.start' " w:xpath="/ns0:document[1]/ns0:unit.start[1]/@unit.code" w:storeItemID="{B04FCA99-13B0-422B-ADC9-9491644FA79D}"/>
              <w15:appearance w15:val="tags"/>
              <w:text/>
            </w:sdtPr>
            <w:sdtEndPr>
              <w:rPr>
                <w:rStyle w:val="BContentControl"/>
              </w:rPr>
            </w:sdtEndPr>
            <w:sdtContent>
              <w:r w:rsidR="00EC7A39">
                <w:rPr>
                  <w:rStyle w:val="BContentControl"/>
                </w:rPr>
                <w:t>main0004</w:t>
              </w:r>
            </w:sdtContent>
          </w:sdt>
          <w:r w:rsidR="00EC7A39" w:rsidRPr="00EC7A39">
            <w:rPr>
              <w:rStyle w:val="BContentControl"/>
            </w:rPr>
            <w:t xml:space="preserve"> </w:t>
          </w:r>
          <w:sdt>
            <w:sdtPr>
              <w:rPr>
                <w:rStyle w:val="BContentControl"/>
              </w:rPr>
              <w:alias w:val="unit.name*"/>
              <w:tag w:val="unit.name"/>
              <w:id w:val="148104069"/>
              <w:lock w:val="sdtLocked"/>
              <w:placeholder>
                <w:docPart w:val="A3DAB64D4EA54A73A782012AB50042AF"/>
              </w:placeholder>
              <w:dataBinding w:prefixMappings="xmlns:ns0='http://www.bna.com/gateway/unit.start' " w:xpath="/ns0:document[1]/ns0:unit.start[1]/@unit.name" w:storeItemID="{B04FCA99-13B0-422B-ADC9-9491644FA79D}"/>
              <w15:appearance w15:val="tags"/>
              <w:text/>
            </w:sdtPr>
            <w:sdtContent>
              <w:r w:rsidR="00BC54C2" w:rsidRPr="00BC54C2">
                <w:rPr>
                  <w:rStyle w:val="BContentControl"/>
                </w:rPr>
                <w:t>Chapter 4.</w:t>
              </w:r>
              <w:r w:rsidR="00BC54C2" w:rsidRPr="00BC54C2">
                <w:rPr>
                  <w:rStyle w:val="BContentControl"/>
                </w:rPr>
                <w:t xml:space="preserve"> </w:t>
              </w:r>
              <w:r w:rsidR="00BC54C2" w:rsidRPr="00BC54C2">
                <w:rPr>
                  <w:rStyle w:val="BContentControl"/>
                </w:rPr>
                <w:t>Defenses to, and Exclusions From, State Dilution Claims</w:t>
              </w:r>
            </w:sdtContent>
          </w:sdt>
          <w:r w:rsidR="00EC7A39" w:rsidRPr="00EC7A39">
            <w:rPr>
              <w:rStyle w:val="BContentControl"/>
            </w:rPr>
            <w:t xml:space="preserve"> </w:t>
          </w:r>
          <w:sdt>
            <w:sdtPr>
              <w:rPr>
                <w:rStyle w:val="BContentControl"/>
              </w:rPr>
              <w:alias w:val="volume.num"/>
              <w:tag w:val="volume.num"/>
              <w:id w:val="-2106873993"/>
              <w:lock w:val="sdtLocked"/>
              <w:placeholder>
                <w:docPart w:val="1FEFE78530B14217B67FA4C9557CC4C6"/>
              </w:placeholder>
              <w:dataBinding w:prefixMappings="xmlns:ns0='http://www.bna.com/gateway/unit.start' " w:xpath="/ns0:document[1]/ns0:unit.start[1]/@volume.num" w:storeItemID="{B04FCA99-13B0-422B-ADC9-9491644FA79D}"/>
              <w15:appearance w15:val="tags"/>
              <w:text/>
            </w:sdtPr>
            <w:sdtEndPr>
              <w:rPr>
                <w:rStyle w:val="BContentControl"/>
              </w:rPr>
            </w:sdtEndPr>
            <w:sdtContent>
              <w:r w:rsidR="00EC7A39">
                <w:rPr>
                  <w:rStyle w:val="BContentControl"/>
                </w:rPr>
                <w:t>1</w:t>
              </w:r>
            </w:sdtContent>
          </w:sdt>
        </w:p>
        <w:bookmarkEnd w:id="0" w:displacedByCustomXml="next"/>
      </w:sdtContent>
    </w:sdt>
    <w:p w14:paraId="50783D1E" w14:textId="77777777" w:rsidR="00BC54C2" w:rsidRPr="00BC54C2" w:rsidRDefault="0011736D" w:rsidP="00EC7A39">
      <w:pPr>
        <w:pStyle w:val="BDocStart"/>
      </w:pPr>
      <w:sdt>
        <w:sdtPr>
          <w:tag w:val="DocStart"/>
          <w:id w:val="344054877"/>
          <w:lock w:val="sdtLocked"/>
          <w:placeholder>
            <w:docPart w:val="239B83E598384ACFADE92D381F7A00CD"/>
          </w:placeholder>
          <w15:appearance w15:val="hidden"/>
        </w:sdtPr>
        <w:sdtEndPr/>
        <w:sdtContent>
          <w:r w:rsidR="00EC7A39">
            <w:t>Document</w:t>
          </w:r>
        </w:sdtContent>
      </w:sdt>
    </w:p>
    <w:p w14:paraId="7CB741A5" w14:textId="6DE10EDF" w:rsidR="00BC54C2" w:rsidRPr="00BC54C2" w:rsidRDefault="00EC41EE" w:rsidP="00BC54C2">
      <w:pPr>
        <w:pStyle w:val="BChapterName"/>
      </w:pPr>
      <w:r w:rsidRPr="00BC54C2">
        <w:t>Chapter 4</w:t>
      </w:r>
      <w:r w:rsidR="00BC54C2" w:rsidRPr="00BC54C2">
        <w:t>.</w:t>
      </w:r>
      <w:r w:rsidR="00BC54C2" w:rsidRPr="00BC54C2">
        <w:t xml:space="preserve"> </w:t>
      </w:r>
      <w:r w:rsidR="00BC54C2" w:rsidRPr="00BC54C2">
        <w:t>D</w:t>
      </w:r>
      <w:r w:rsidRPr="00BC54C2">
        <w:t>efenses to, and Exclusions From,</w:t>
      </w:r>
      <w:r w:rsidR="00BC54C2" w:rsidRPr="00BC54C2">
        <w:t xml:space="preserve"> </w:t>
      </w:r>
      <w:r w:rsidRPr="00BC54C2">
        <w:t>State Dilution Claims</w:t>
      </w:r>
    </w:p>
    <w:p w14:paraId="455C2E1F" w14:textId="3D4EAECD" w:rsidR="00BC54C2" w:rsidRPr="00BC54C2" w:rsidRDefault="00BC54C2" w:rsidP="00BC54C2">
      <w:pPr>
        <w:pStyle w:val="BNormal"/>
      </w:pPr>
      <w:r w:rsidRPr="00BC54C2">
        <w:rPr>
          <w:i/>
        </w:rPr>
        <w:t>This chapter is current through May 2025.</w:t>
      </w:r>
    </w:p>
    <w:p w14:paraId="379A31AE" w14:textId="48778EAA" w:rsidR="00BC54C2" w:rsidRPr="00BC54C2" w:rsidRDefault="00EC41EE" w:rsidP="00BC54C2">
      <w:pPr>
        <w:pStyle w:val="BNormal"/>
      </w:pPr>
      <w:hyperlink r:id="rId13" w:history="1">
        <w:r w:rsidR="00BC54C2" w:rsidRPr="00BC54C2">
          <w:rPr>
            <w:rStyle w:val="Hyperlink"/>
          </w:rPr>
          <w:t>David Welkowitz</w:t>
        </w:r>
      </w:hyperlink>
      <w:r w:rsidR="00BC54C2" w:rsidRPr="00BC54C2">
        <w:rPr>
          <w:rFonts w:eastAsiaTheme="majorEastAsia"/>
          <w:vertAlign w:val="superscript"/>
        </w:rPr>
        <w:footnoteReference w:id="1"/>
      </w:r>
      <w:r w:rsidR="00BC54C2" w:rsidRPr="006C6CD8">
        <w:br/>
      </w:r>
      <w:r w:rsidR="00BC54C2" w:rsidRPr="00BC54C2">
        <w:rPr>
          <w:i/>
        </w:rPr>
        <w:t>Whittier Law School, Costa Mesa, CA</w:t>
      </w:r>
    </w:p>
    <w:p w14:paraId="694C5F47" w14:textId="28B0D76E" w:rsidR="00BC54C2" w:rsidRPr="00BC54C2" w:rsidRDefault="00EC41EE" w:rsidP="00BC54C2">
      <w:pPr>
        <w:pStyle w:val="BNormal"/>
        <w:rPr>
          <w:b/>
        </w:rPr>
      </w:pPr>
      <w:r w:rsidRPr="00BC54C2">
        <w:t>Disclaimer</w:t>
      </w:r>
      <w:r w:rsidR="00BC54C2" w:rsidRPr="00BC54C2">
        <w:t>:</w:t>
      </w:r>
      <w:r w:rsidR="00BC54C2" w:rsidRPr="00BC54C2">
        <w:t xml:space="preserve"> </w:t>
      </w:r>
      <w:r w:rsidR="00BC54C2" w:rsidRPr="00BC54C2">
        <w:t>T</w:t>
      </w:r>
      <w:r w:rsidRPr="00BC54C2">
        <w:t>he opinions expressed here are solely those of the author and should not be construed as representing the opinions, directly or indirectly, of the U.S</w:t>
      </w:r>
      <w:r w:rsidR="00BC54C2" w:rsidRPr="00BC54C2">
        <w:t>.</w:t>
      </w:r>
      <w:r w:rsidR="00BC54C2" w:rsidRPr="00BC54C2">
        <w:t xml:space="preserve"> </w:t>
      </w:r>
      <w:r w:rsidR="00BC54C2" w:rsidRPr="00BC54C2">
        <w:t>C</w:t>
      </w:r>
      <w:r w:rsidRPr="00BC54C2">
        <w:t>opyright Office.</w:t>
      </w:r>
    </w:p>
    <w:p w14:paraId="31F023B3" w14:textId="19502B77" w:rsidR="00BC54C2" w:rsidRPr="00BC54C2" w:rsidRDefault="00BC54C2" w:rsidP="00BC54C2">
      <w:pPr>
        <w:pStyle w:val="BHead1"/>
      </w:pPr>
      <w:r>
        <w:t>4.</w:t>
      </w:r>
      <w:r w:rsidRPr="00BC54C2">
        <w:rPr>
          <w:rStyle w:val="BBNAidChar"/>
          <w:rFonts w:eastAsiaTheme="majorEastAsia"/>
        </w:rPr>
        <w:t>I</w:t>
      </w:r>
      <w:r w:rsidRPr="00BC54C2">
        <w:t>.</w:t>
      </w:r>
      <w:r>
        <w:t xml:space="preserve">  </w:t>
      </w:r>
      <w:r w:rsidRPr="00BC54C2">
        <w:t>Express Exclusions and Defenses:</w:t>
      </w:r>
      <w:r w:rsidRPr="00BC54C2">
        <w:t xml:space="preserve"> </w:t>
      </w:r>
      <w:r w:rsidRPr="00BC54C2">
        <w:t>The Model State Trademark Bills</w:t>
      </w:r>
    </w:p>
    <w:p w14:paraId="7A0E4B03" w14:textId="376699C9" w:rsidR="00BC54C2" w:rsidRPr="00BC54C2" w:rsidRDefault="00EC41EE" w:rsidP="00BC54C2">
      <w:pPr>
        <w:pStyle w:val="BNormal"/>
      </w:pPr>
      <w:r w:rsidRPr="00BC54C2">
        <w:t>The original state dilution statutes (those whose statutes are like the 1964 Model State Trademark Bill</w:t>
      </w:r>
      <w:r w:rsidR="00BC54C2" w:rsidRPr="00BC54C2">
        <w:rPr>
          <w:vertAlign w:val="superscript"/>
        </w:rPr>
        <w:footnoteReference w:id="2"/>
      </w:r>
      <w:r w:rsidRPr="00BC54C2">
        <w:t>) contained no express defenses or exclusions</w:t>
      </w:r>
      <w:r w:rsidR="00BC54C2" w:rsidRPr="00BC54C2">
        <w:t>.</w:t>
      </w:r>
      <w:r w:rsidR="00BC54C2" w:rsidRPr="00BC54C2">
        <w:t xml:space="preserve"> </w:t>
      </w:r>
      <w:r w:rsidR="00BC54C2" w:rsidRPr="00BC54C2">
        <w:t>W</w:t>
      </w:r>
      <w:r w:rsidRPr="00BC54C2">
        <w:t>hen the United States Trademark Association (USTA, now the International Trademark Association, or INTA) proposed a federal dilution statute in 1987, that proposal, too, contained no express exclusions or defenses.</w:t>
      </w:r>
      <w:r w:rsidR="00BC54C2" w:rsidRPr="00BC54C2">
        <w:rPr>
          <w:vertAlign w:val="superscript"/>
        </w:rPr>
        <w:footnoteReference w:id="3"/>
      </w:r>
      <w:r w:rsidRPr="00BC54C2">
        <w:t xml:space="preserve"> The 1992 revision of the Model State Trademark Bill’s dilution provision, which was modeled after the proposed federal statute, was similarly lacking.</w:t>
      </w:r>
      <w:r w:rsidR="00BC54C2" w:rsidRPr="00BC54C2">
        <w:rPr>
          <w:vertAlign w:val="superscript"/>
        </w:rPr>
        <w:footnoteReference w:id="4"/>
      </w:r>
      <w:r w:rsidRPr="00BC54C2">
        <w:t xml:space="preserve"> It was not until the Federal Trademark Dilution Act (FTDA) was enacted in 1995</w:t>
      </w:r>
      <w:r w:rsidR="00BC54C2" w:rsidRPr="00BC54C2">
        <w:rPr>
          <w:vertAlign w:val="superscript"/>
        </w:rPr>
        <w:footnoteReference w:id="5"/>
      </w:r>
      <w:r w:rsidRPr="00BC54C2">
        <w:t xml:space="preserve"> that express defenses or exclusions became a part of dilution statutes.</w:t>
      </w:r>
    </w:p>
    <w:p w14:paraId="4542FD64" w14:textId="4C61CEE5" w:rsidR="00BC54C2" w:rsidRPr="00BC54C2" w:rsidRDefault="00EC41EE" w:rsidP="00BC54C2">
      <w:pPr>
        <w:pStyle w:val="BNormal"/>
      </w:pPr>
      <w:r w:rsidRPr="00BC54C2">
        <w:t>The FTDA contained three exclusions from liability</w:t>
      </w:r>
      <w:r w:rsidR="00BC54C2" w:rsidRPr="00BC54C2">
        <w:t>:</w:t>
      </w:r>
      <w:r w:rsidR="00BC54C2" w:rsidRPr="00BC54C2">
        <w:t xml:space="preserve"> </w:t>
      </w:r>
      <w:r w:rsidR="00BC54C2" w:rsidRPr="00BC54C2">
        <w:t>(</w:t>
      </w:r>
      <w:r w:rsidRPr="00BC54C2">
        <w:t>1) fair use in comparative advertising, (2) use in news reporting and news commentary, and (3) noncommercial use.</w:t>
      </w:r>
      <w:r w:rsidR="00BC54C2" w:rsidRPr="00BC54C2">
        <w:rPr>
          <w:vertAlign w:val="superscript"/>
        </w:rPr>
        <w:footnoteReference w:id="6"/>
      </w:r>
      <w:r w:rsidRPr="00BC54C2">
        <w:t xml:space="preserve"> The 1996 revision of the Model Bill contained the same three exclusions.</w:t>
      </w:r>
      <w:r w:rsidR="00BC54C2" w:rsidRPr="00BC54C2">
        <w:rPr>
          <w:vertAlign w:val="superscript"/>
        </w:rPr>
        <w:footnoteReference w:id="7"/>
      </w:r>
      <w:r w:rsidRPr="00BC54C2">
        <w:t xml:space="preserve"> The 2007 Model Bill revision,</w:t>
      </w:r>
      <w:r w:rsidR="00BC54C2" w:rsidRPr="00BC54C2">
        <w:rPr>
          <w:vertAlign w:val="superscript"/>
        </w:rPr>
        <w:footnoteReference w:id="8"/>
      </w:r>
      <w:r w:rsidRPr="00BC54C2">
        <w:t xml:space="preserve"> which has been adopted in several states, replaced the comparative advertising exclusion with a revised “fair use” exclusion contained in the Trademark Dilution Revision Act (TDRA) of 2006.</w:t>
      </w:r>
      <w:r w:rsidR="00BC54C2" w:rsidRPr="00BC54C2">
        <w:rPr>
          <w:vertAlign w:val="superscript"/>
        </w:rPr>
        <w:footnoteReference w:id="9"/>
      </w:r>
      <w:r w:rsidRPr="00BC54C2">
        <w:t xml:space="preserve"> The 2007 Model Bill also included the other two exclusions from the original FTDA, which were carried over to the TDRA</w:t>
      </w:r>
      <w:r w:rsidR="00BC54C2" w:rsidRPr="00BC54C2">
        <w:t>.</w:t>
      </w:r>
      <w:r w:rsidR="00BC54C2" w:rsidRPr="00BC54C2">
        <w:t xml:space="preserve"> </w:t>
      </w:r>
      <w:r w:rsidR="00BC54C2" w:rsidRPr="00BC54C2">
        <w:t>T</w:t>
      </w:r>
      <w:r w:rsidRPr="00BC54C2">
        <w:t>he news reporting exclusion has received virtually no attention from the courts.</w:t>
      </w:r>
      <w:r w:rsidR="00BC54C2" w:rsidRPr="00BC54C2">
        <w:rPr>
          <w:vertAlign w:val="superscript"/>
        </w:rPr>
        <w:footnoteReference w:id="10"/>
      </w:r>
      <w:r w:rsidRPr="00BC54C2">
        <w:t xml:space="preserve"> The other two Model Bill exclusions have been interpreted by courts deciding claims under the FTDA and TDRA</w:t>
      </w:r>
      <w:r w:rsidR="00BC54C2" w:rsidRPr="00BC54C2">
        <w:t>.</w:t>
      </w:r>
      <w:r w:rsidR="00BC54C2" w:rsidRPr="00BC54C2">
        <w:t xml:space="preserve"> </w:t>
      </w:r>
      <w:r w:rsidR="00BC54C2" w:rsidRPr="00BC54C2">
        <w:t>B</w:t>
      </w:r>
      <w:r w:rsidRPr="00BC54C2">
        <w:t>ecause the news reporting and noncommercial use exclusions in the TDRA and the Model Bill are virtually identical, and because the states that adopted the 1996 or 2007 version of the Model Bill all tend to use federal precedent as persuasive in state law cases, one would expect these exclusions to be interpreted along the same lines as the FTDA and TDRA.</w:t>
      </w:r>
      <w:r w:rsidR="00BC54C2" w:rsidRPr="00BC54C2">
        <w:rPr>
          <w:vertAlign w:val="superscript"/>
        </w:rPr>
        <w:footnoteReference w:id="11"/>
      </w:r>
      <w:r w:rsidRPr="00BC54C2">
        <w:t xml:space="preserve"> In addition, case law interpreting the former comparative advertising “fair use” exclusion under the FTDA—which contained wording identical to the 1996 Model Bill exclusion—and case law interpreting the comparative advertising portion of the current “fair use” exclusion should be relevant in state law analyses as well</w:t>
      </w:r>
      <w:r w:rsidR="00BC54C2" w:rsidRPr="00BC54C2">
        <w:t>.</w:t>
      </w:r>
      <w:r w:rsidR="00BC54C2" w:rsidRPr="00BC54C2">
        <w:t xml:space="preserve"> </w:t>
      </w:r>
      <w:r w:rsidR="00BC54C2" w:rsidRPr="00BC54C2">
        <w:t>T</w:t>
      </w:r>
      <w:r w:rsidRPr="00BC54C2">
        <w:t>hese three exclusions, discussed below, are covered in greater detail in Chapter 10.</w:t>
      </w:r>
    </w:p>
    <w:p w14:paraId="7AE2E038" w14:textId="33A03964" w:rsidR="00BC54C2" w:rsidRPr="00BC54C2" w:rsidRDefault="00BC54C2" w:rsidP="00BC54C2">
      <w:pPr>
        <w:pStyle w:val="BHead2"/>
      </w:pPr>
      <w:r>
        <w:t>4.I.</w:t>
      </w:r>
      <w:r w:rsidRPr="00BC54C2">
        <w:rPr>
          <w:rStyle w:val="BBNAidChar"/>
          <w:rFonts w:eastAsiaTheme="majorEastAsia"/>
        </w:rPr>
        <w:t>A</w:t>
      </w:r>
      <w:r w:rsidRPr="00BC54C2">
        <w:t>.</w:t>
      </w:r>
      <w:r>
        <w:t> </w:t>
      </w:r>
      <w:r w:rsidRPr="00BC54C2">
        <w:tab/>
        <w:t>The Fair-Use Exclusion</w:t>
      </w:r>
    </w:p>
    <w:p w14:paraId="19D60CFE" w14:textId="76267FFE" w:rsidR="00BC54C2" w:rsidRPr="00BC54C2" w:rsidRDefault="00EC41EE" w:rsidP="00BC54C2">
      <w:pPr>
        <w:pStyle w:val="BNormal"/>
      </w:pPr>
      <w:r w:rsidRPr="00BC54C2">
        <w:t>As originally enacted, the FTDA excluded from dilution liability</w:t>
      </w:r>
    </w:p>
    <w:p w14:paraId="4963BB54" w14:textId="11A2E6DF" w:rsidR="00BC54C2" w:rsidRPr="00BC54C2" w:rsidRDefault="00EC41EE" w:rsidP="00BC54C2">
      <w:pPr>
        <w:pStyle w:val="BNormal"/>
      </w:pPr>
      <w:r w:rsidRPr="00BC54C2">
        <w:t>“[f]air use of a famous mark by another person in comparative commercial advertising or promotion to identify the competing goods or services of the owner of the famous mark.”</w:t>
      </w:r>
      <w:r w:rsidR="00BC54C2" w:rsidRPr="00BC54C2">
        <w:rPr>
          <w:vertAlign w:val="superscript"/>
        </w:rPr>
        <w:footnoteReference w:id="12"/>
      </w:r>
      <w:r w:rsidRPr="00BC54C2">
        <w:t xml:space="preserve"> The 1996 Model Bill contains an identically worded exclusion.</w:t>
      </w:r>
      <w:r w:rsidR="00BC54C2" w:rsidRPr="00BC54C2">
        <w:rPr>
          <w:vertAlign w:val="superscript"/>
        </w:rPr>
        <w:footnoteReference w:id="13"/>
      </w:r>
      <w:r w:rsidRPr="00BC54C2">
        <w:t xml:space="preserve"> The TDRA reworded this exclusion significantly to include not only comparative advertising, but nominative and descriptive uses, and parody and criticism.</w:t>
      </w:r>
      <w:r w:rsidR="00BC54C2" w:rsidRPr="00BC54C2">
        <w:rPr>
          <w:vertAlign w:val="superscript"/>
        </w:rPr>
        <w:footnoteReference w:id="14"/>
      </w:r>
      <w:r w:rsidRPr="00BC54C2">
        <w:t xml:space="preserve"> The 2007 revisions to the Model Bill include the TDRA’s version of the fair–use exclusion, which is as follows:</w:t>
      </w:r>
    </w:p>
    <w:p w14:paraId="7DD6A8ED" w14:textId="5013EB84" w:rsidR="00BC54C2" w:rsidRPr="00BC54C2" w:rsidRDefault="00EC41EE" w:rsidP="00BC54C2">
      <w:pPr>
        <w:pStyle w:val="BQuotelong"/>
      </w:pPr>
      <w:r w:rsidRPr="00BC54C2">
        <w:t>Any fair use, including a nominative or descriptive fair use, or facilitation of such fair use, of a famous mark by another person other than as a designation of source for the person’s own goods or services, including use in connection with</w:t>
      </w:r>
    </w:p>
    <w:p w14:paraId="50778569" w14:textId="273EFA80" w:rsidR="00BC54C2" w:rsidRPr="00BC54C2" w:rsidRDefault="00EC41EE" w:rsidP="00BC54C2">
      <w:pPr>
        <w:pStyle w:val="BQuotelong"/>
      </w:pPr>
      <w:r w:rsidRPr="00BC54C2">
        <w:t>(A) Advertising or promotion that permits consumers to compare goods or services</w:t>
      </w:r>
      <w:r w:rsidR="00BC54C2" w:rsidRPr="00BC54C2">
        <w:t>;</w:t>
      </w:r>
      <w:r w:rsidR="00BC54C2" w:rsidRPr="00BC54C2">
        <w:t xml:space="preserve"> </w:t>
      </w:r>
      <w:r w:rsidR="00BC54C2" w:rsidRPr="00BC54C2">
        <w:t>o</w:t>
      </w:r>
      <w:r w:rsidRPr="00BC54C2">
        <w:t>r</w:t>
      </w:r>
    </w:p>
    <w:p w14:paraId="57D24DB1" w14:textId="361CC848" w:rsidR="00BC54C2" w:rsidRPr="00BC54C2" w:rsidRDefault="00EC41EE" w:rsidP="00BC54C2">
      <w:pPr>
        <w:pStyle w:val="BQuotelong"/>
      </w:pPr>
      <w:r w:rsidRPr="00BC54C2">
        <w:t>(B) Identifying and parodying, criticizing, or commenting upon the famous mark owner or the goods or services of the famous mark owner</w:t>
      </w:r>
      <w:r w:rsidR="00BC54C2" w:rsidRPr="00BC54C2">
        <w:t xml:space="preserve"> </w:t>
      </w:r>
      <w:r w:rsidRPr="00BC54C2">
        <w:t>…</w:t>
      </w:r>
      <w:r w:rsidR="00BC54C2" w:rsidRPr="00BC54C2">
        <w:rPr>
          <w:vertAlign w:val="superscript"/>
        </w:rPr>
        <w:footnoteReference w:id="15"/>
      </w:r>
    </w:p>
    <w:p w14:paraId="7E8E3E18" w14:textId="7ACD2E24" w:rsidR="00BC54C2" w:rsidRPr="00BC54C2" w:rsidRDefault="00EC41EE" w:rsidP="00BC54C2">
      <w:pPr>
        <w:pStyle w:val="BNormal"/>
      </w:pPr>
      <w:r w:rsidRPr="00BC54C2">
        <w:t>The 2007 Model Bill has been adopted by Alabama, California, Mississippi, Oregon, and Texas, as well as the territory of Puerto Rico, although not all of the adopters have used the same exclusionary language.</w:t>
      </w:r>
      <w:r w:rsidR="00BC54C2" w:rsidRPr="00BC54C2">
        <w:rPr>
          <w:vertAlign w:val="superscript"/>
        </w:rPr>
        <w:footnoteReference w:id="16"/>
      </w:r>
      <w:r w:rsidRPr="00BC54C2">
        <w:t xml:space="preserve"> Instead of a single category, the 2007 Model Bill’s fair-use exclusion has at least three categories—nominative and descriptive fair use</w:t>
      </w:r>
      <w:r w:rsidR="00BC54C2" w:rsidRPr="00BC54C2">
        <w:t>;</w:t>
      </w:r>
      <w:r w:rsidR="00BC54C2" w:rsidRPr="00BC54C2">
        <w:t xml:space="preserve"> </w:t>
      </w:r>
      <w:r w:rsidR="00BC54C2" w:rsidRPr="00BC54C2">
        <w:t>c</w:t>
      </w:r>
      <w:r w:rsidRPr="00BC54C2">
        <w:t>omparative advertising</w:t>
      </w:r>
      <w:r w:rsidR="00BC54C2" w:rsidRPr="00BC54C2">
        <w:t>;</w:t>
      </w:r>
      <w:r w:rsidR="00BC54C2" w:rsidRPr="00BC54C2">
        <w:t xml:space="preserve"> </w:t>
      </w:r>
      <w:r w:rsidR="00BC54C2" w:rsidRPr="00BC54C2">
        <w:t>a</w:t>
      </w:r>
      <w:r w:rsidRPr="00BC54C2">
        <w:t>nd fair use in parody, criticism, or commentary.(There is also a fourth catch-all category, since the exclusion says “</w:t>
      </w:r>
      <w:r w:rsidR="00BC54C2" w:rsidRPr="00BC54C2">
        <w:rPr>
          <w:i/>
        </w:rPr>
        <w:t>Any</w:t>
      </w:r>
      <w:r w:rsidRPr="00BC54C2">
        <w:t xml:space="preserve"> fair use, including</w:t>
      </w:r>
      <w:r w:rsidR="00BC54C2" w:rsidRPr="00BC54C2">
        <w:t>.</w:t>
      </w:r>
      <w:r w:rsidR="00BC54C2" w:rsidRPr="00BC54C2">
        <w:t xml:space="preserve"> </w:t>
      </w:r>
      <w:r w:rsidR="00BC54C2" w:rsidRPr="00BC54C2">
        <w:t>…</w:t>
      </w:r>
      <w:r w:rsidRPr="00BC54C2">
        <w:t>”</w:t>
      </w:r>
      <w:r w:rsidR="00BC54C2" w:rsidRPr="00BC54C2">
        <w:rPr>
          <w:vertAlign w:val="superscript"/>
        </w:rPr>
        <w:footnoteReference w:id="17"/>
      </w:r>
      <w:r w:rsidRPr="00BC54C2">
        <w:t>) However, the original wording remains in the laws of at least 15 states that enacted the 1996 Model Bill</w:t>
      </w:r>
      <w:r w:rsidR="00BC54C2" w:rsidRPr="00BC54C2">
        <w:t>.</w:t>
      </w:r>
      <w:r w:rsidR="00BC54C2" w:rsidRPr="00BC54C2">
        <w:t xml:space="preserve"> </w:t>
      </w:r>
      <w:r w:rsidR="00BC54C2" w:rsidRPr="00BC54C2">
        <w:t>I</w:t>
      </w:r>
      <w:r w:rsidRPr="00BC54C2">
        <w:t>n addition, judicial decisions applied nominative and descriptive fair-use concepts to dilution even before they were expressly included in the TDRA (and the 2007 Model Bill).</w:t>
      </w:r>
      <w:r w:rsidR="00BC54C2" w:rsidRPr="00BC54C2">
        <w:rPr>
          <w:vertAlign w:val="superscript"/>
        </w:rPr>
        <w:footnoteReference w:id="18"/>
      </w:r>
      <w:r w:rsidRPr="00BC54C2">
        <w:t xml:space="preserve"> Thus, the analysis of the 1996 Model Bill’s fair-use exclusion, as well as the relevant portion of the 2007 Model Bill’s exclusion, can benefit from an examination of FTDA cases.</w:t>
      </w:r>
    </w:p>
    <w:p w14:paraId="353F9D8A" w14:textId="24C67DE8" w:rsidR="00BC54C2" w:rsidRPr="00BC54C2" w:rsidRDefault="00BC54C2" w:rsidP="00BC54C2">
      <w:pPr>
        <w:pStyle w:val="BHead3"/>
      </w:pPr>
      <w:r>
        <w:t>4.I.A.</w:t>
      </w:r>
      <w:r w:rsidRPr="00BC54C2">
        <w:rPr>
          <w:rStyle w:val="BBNAidChar"/>
          <w:rFonts w:eastAsiaTheme="majorEastAsia"/>
        </w:rPr>
        <w:t>1</w:t>
      </w:r>
      <w:r w:rsidRPr="00BC54C2">
        <w:t>.</w:t>
      </w:r>
      <w:r>
        <w:t> </w:t>
      </w:r>
      <w:r w:rsidRPr="00BC54C2">
        <w:tab/>
        <w:t>Comparative Advertising</w:t>
      </w:r>
    </w:p>
    <w:p w14:paraId="0C8B0117" w14:textId="1DF2CB42" w:rsidR="00BC54C2" w:rsidRPr="00BC54C2" w:rsidRDefault="00EC41EE" w:rsidP="00BC54C2">
      <w:pPr>
        <w:pStyle w:val="BNormal"/>
      </w:pPr>
      <w:r w:rsidRPr="00BC54C2">
        <w:t>The comparative advertising exclusion</w:t>
      </w:r>
      <w:r w:rsidR="00BC54C2" w:rsidRPr="00BC54C2">
        <w:rPr>
          <w:vertAlign w:val="superscript"/>
        </w:rPr>
        <w:footnoteReference w:id="19"/>
      </w:r>
      <w:r w:rsidRPr="00BC54C2">
        <w:t xml:space="preserve"> was not discussed very much in the FTDA cases prior to the TDRA</w:t>
      </w:r>
      <w:r w:rsidR="00BC54C2" w:rsidRPr="00BC54C2">
        <w:t>.</w:t>
      </w:r>
      <w:r w:rsidR="00BC54C2" w:rsidRPr="00BC54C2">
        <w:t xml:space="preserve"> </w:t>
      </w:r>
      <w:r w:rsidR="00BC54C2" w:rsidRPr="00BC54C2">
        <w:t>O</w:t>
      </w:r>
      <w:r w:rsidRPr="00BC54C2">
        <w:t>ne court allowed the exclusion, even where the advertisement was alleged to be false.</w:t>
      </w:r>
      <w:r w:rsidR="00BC54C2" w:rsidRPr="00BC54C2">
        <w:rPr>
          <w:vertAlign w:val="superscript"/>
        </w:rPr>
        <w:footnoteReference w:id="20"/>
      </w:r>
      <w:r w:rsidRPr="00BC54C2">
        <w:t xml:space="preserve"> Another court rejected it in a case involving a noncompetitor’s ad (not a “comparative” advertisement) that was found to use more of the mark than the court deemed necessary for the purposes of the advertisement.</w:t>
      </w:r>
      <w:r w:rsidR="00BC54C2" w:rsidRPr="00BC54C2">
        <w:rPr>
          <w:vertAlign w:val="superscript"/>
        </w:rPr>
        <w:footnoteReference w:id="21"/>
      </w:r>
      <w:r w:rsidRPr="00BC54C2">
        <w:t xml:space="preserve"> However, the key unanswered question was, and remains, what constituted a “fair” use.</w:t>
      </w:r>
      <w:r w:rsidR="00BC54C2" w:rsidRPr="00BC54C2">
        <w:rPr>
          <w:vertAlign w:val="superscript"/>
        </w:rPr>
        <w:footnoteReference w:id="22"/>
      </w:r>
    </w:p>
    <w:p w14:paraId="0FEFB9F5" w14:textId="7A880C01" w:rsidR="00BC54C2" w:rsidRPr="00BC54C2" w:rsidRDefault="00EC41EE" w:rsidP="00BC54C2">
      <w:pPr>
        <w:pStyle w:val="BNormal"/>
      </w:pPr>
      <w:r w:rsidRPr="00BC54C2">
        <w:t xml:space="preserve">That question leads us to consider the relevance of </w:t>
      </w:r>
      <w:r w:rsidR="00BC54C2" w:rsidRPr="00BC54C2">
        <w:rPr>
          <w:i/>
        </w:rPr>
        <w:t>Deere &amp; Co</w:t>
      </w:r>
      <w:r w:rsidR="00BC54C2" w:rsidRPr="00BC54C2">
        <w:t>.</w:t>
      </w:r>
      <w:r w:rsidR="00BC54C2" w:rsidRPr="00BC54C2">
        <w:t xml:space="preserve"> </w:t>
      </w:r>
      <w:r w:rsidR="00BC54C2" w:rsidRPr="00BC54C2">
        <w:rPr>
          <w:i/>
        </w:rPr>
        <w:t>v</w:t>
      </w:r>
      <w:r w:rsidR="00BC54C2" w:rsidRPr="00BC54C2">
        <w:t>.</w:t>
      </w:r>
      <w:r w:rsidR="00BC54C2" w:rsidRPr="00BC54C2">
        <w:t xml:space="preserve"> </w:t>
      </w:r>
      <w:r w:rsidR="00BC54C2" w:rsidRPr="00BC54C2">
        <w:rPr>
          <w:i/>
        </w:rPr>
        <w:t>MTD Products, Inc</w:t>
      </w:r>
      <w:r w:rsidRPr="00BC54C2">
        <w:t>.</w:t>
      </w:r>
      <w:r w:rsidR="00BC54C2" w:rsidRPr="00BC54C2">
        <w:rPr>
          <w:vertAlign w:val="superscript"/>
        </w:rPr>
        <w:footnoteReference w:id="23"/>
      </w:r>
      <w:r w:rsidRPr="00BC54C2">
        <w:t xml:space="preserve"> to the exclusion of fair use in comparative advertising.</w:t>
      </w:r>
      <w:r w:rsidR="00BC54C2" w:rsidRPr="00BC54C2">
        <w:rPr>
          <w:vertAlign w:val="superscript"/>
        </w:rPr>
        <w:footnoteReference w:id="24"/>
      </w:r>
      <w:r w:rsidRPr="00BC54C2">
        <w:t xml:space="preserve"> The key in both situations is the “fairness” of the use</w:t>
      </w:r>
      <w:r w:rsidR="00BC54C2" w:rsidRPr="00BC54C2">
        <w:t>.</w:t>
      </w:r>
      <w:r w:rsidR="00BC54C2" w:rsidRPr="00BC54C2">
        <w:t xml:space="preserve"> </w:t>
      </w:r>
      <w:r w:rsidR="00BC54C2" w:rsidRPr="00BC54C2">
        <w:t>T</w:t>
      </w:r>
      <w:r w:rsidRPr="00BC54C2">
        <w:t>he Second Circuit apparently regarded the alteration of the Deere mark as going farther than necessary to make the comparative point,</w:t>
      </w:r>
      <w:r w:rsidR="00BC54C2" w:rsidRPr="00BC54C2">
        <w:rPr>
          <w:vertAlign w:val="superscript"/>
        </w:rPr>
        <w:footnoteReference w:id="25"/>
      </w:r>
      <w:r w:rsidRPr="00BC54C2">
        <w:t xml:space="preserve"> thus taking it out of fair-use protection.</w:t>
      </w:r>
      <w:r w:rsidR="00BC54C2" w:rsidRPr="00BC54C2">
        <w:rPr>
          <w:vertAlign w:val="superscript"/>
        </w:rPr>
        <w:footnoteReference w:id="26"/>
      </w:r>
      <w:r w:rsidRPr="00BC54C2">
        <w:t xml:space="preserve"> Arguably, that also makes it an “unfair” use for purposes of the comparative advertising defense</w:t>
      </w:r>
      <w:r w:rsidR="00BC54C2" w:rsidRPr="00BC54C2">
        <w:t>.</w:t>
      </w:r>
      <w:r w:rsidR="00BC54C2" w:rsidRPr="00BC54C2">
        <w:t xml:space="preserve"> </w:t>
      </w:r>
      <w:r w:rsidR="00BC54C2" w:rsidRPr="00BC54C2">
        <w:t>T</w:t>
      </w:r>
      <w:r w:rsidRPr="00BC54C2">
        <w:t xml:space="preserve">he fact that the later </w:t>
      </w:r>
      <w:r w:rsidR="00BC54C2" w:rsidRPr="00BC54C2">
        <w:rPr>
          <w:i/>
        </w:rPr>
        <w:t>Hormel</w:t>
      </w:r>
      <w:r w:rsidRPr="00BC54C2">
        <w:t xml:space="preserve"> decision</w:t>
      </w:r>
      <w:r w:rsidR="00BC54C2" w:rsidRPr="00BC54C2">
        <w:rPr>
          <w:vertAlign w:val="superscript"/>
        </w:rPr>
        <w:footnoteReference w:id="27"/>
      </w:r>
      <w:r w:rsidRPr="00BC54C2">
        <w:t xml:space="preserve"> reinterpreted </w:t>
      </w:r>
      <w:r w:rsidR="00BC54C2" w:rsidRPr="00BC54C2">
        <w:rPr>
          <w:i/>
        </w:rPr>
        <w:t>Deere</w:t>
      </w:r>
      <w:r w:rsidRPr="00BC54C2">
        <w:t xml:space="preserve"> as a </w:t>
      </w:r>
      <w:proofErr w:type="spellStart"/>
      <w:r w:rsidRPr="00BC54C2">
        <w:t>tarnishment</w:t>
      </w:r>
      <w:proofErr w:type="spellEnd"/>
      <w:r w:rsidRPr="00BC54C2">
        <w:t xml:space="preserve"> case reinforces the concept of unfair use</w:t>
      </w:r>
      <w:r w:rsidR="00BC54C2" w:rsidRPr="00BC54C2">
        <w:t>.</w:t>
      </w:r>
      <w:r w:rsidR="00BC54C2" w:rsidRPr="00BC54C2">
        <w:t xml:space="preserve"> </w:t>
      </w:r>
      <w:r w:rsidR="00BC54C2" w:rsidRPr="00BC54C2">
        <w:t>C</w:t>
      </w:r>
      <w:r w:rsidRPr="00BC54C2">
        <w:t xml:space="preserve">onsider, however, </w:t>
      </w:r>
      <w:r w:rsidR="00BC54C2" w:rsidRPr="00BC54C2">
        <w:rPr>
          <w:i/>
        </w:rPr>
        <w:t>Eveready Battery Co</w:t>
      </w:r>
      <w:r w:rsidR="00BC54C2" w:rsidRPr="00BC54C2">
        <w:t>.</w:t>
      </w:r>
      <w:r w:rsidR="00BC54C2" w:rsidRPr="00BC54C2">
        <w:t xml:space="preserve"> </w:t>
      </w:r>
      <w:r w:rsidR="00BC54C2" w:rsidRPr="00BC54C2">
        <w:rPr>
          <w:i/>
        </w:rPr>
        <w:t>v</w:t>
      </w:r>
      <w:r w:rsidR="00BC54C2" w:rsidRPr="00BC54C2">
        <w:t>.</w:t>
      </w:r>
      <w:r w:rsidR="00BC54C2" w:rsidRPr="00BC54C2">
        <w:t xml:space="preserve"> </w:t>
      </w:r>
      <w:r w:rsidR="00BC54C2" w:rsidRPr="00BC54C2">
        <w:rPr>
          <w:i/>
        </w:rPr>
        <w:t>Adolph Coors Co</w:t>
      </w:r>
      <w:r w:rsidRPr="00BC54C2">
        <w:t>.,</w:t>
      </w:r>
      <w:r w:rsidR="00BC54C2" w:rsidRPr="00BC54C2">
        <w:rPr>
          <w:vertAlign w:val="superscript"/>
        </w:rPr>
        <w:footnoteReference w:id="28"/>
      </w:r>
      <w:r w:rsidRPr="00BC54C2">
        <w:t xml:space="preserve"> where the court rejected a dilution claim arising from a commercial containing a parody of the “Energizer Bunny.”</w:t>
      </w:r>
      <w:r w:rsidR="00BC54C2" w:rsidRPr="00BC54C2">
        <w:rPr>
          <w:vertAlign w:val="superscript"/>
        </w:rPr>
        <w:footnoteReference w:id="29"/>
      </w:r>
      <w:r w:rsidRPr="00BC54C2">
        <w:t xml:space="preserve"> Although not involving competitors,</w:t>
      </w:r>
      <w:r w:rsidR="00BC54C2" w:rsidRPr="00BC54C2">
        <w:rPr>
          <w:vertAlign w:val="superscript"/>
        </w:rPr>
        <w:footnoteReference w:id="30"/>
      </w:r>
      <w:r w:rsidRPr="00BC54C2">
        <w:t xml:space="preserve"> and therefore distinguishable from </w:t>
      </w:r>
      <w:r w:rsidR="00BC54C2" w:rsidRPr="00BC54C2">
        <w:rPr>
          <w:i/>
        </w:rPr>
        <w:t>Deere</w:t>
      </w:r>
      <w:r w:rsidRPr="00BC54C2">
        <w:t>,</w:t>
      </w:r>
      <w:r w:rsidR="00BC54C2" w:rsidRPr="00BC54C2">
        <w:rPr>
          <w:vertAlign w:val="superscript"/>
        </w:rPr>
        <w:footnoteReference w:id="31"/>
      </w:r>
      <w:r w:rsidRPr="00BC54C2">
        <w:t xml:space="preserve"> the </w:t>
      </w:r>
      <w:r w:rsidR="00BC54C2" w:rsidRPr="00BC54C2">
        <w:rPr>
          <w:i/>
        </w:rPr>
        <w:t>Eveready</w:t>
      </w:r>
      <w:r w:rsidRPr="00BC54C2">
        <w:t xml:space="preserve"> court’s discussion of dilution included the observation that the commercial may be justified “in a fair use/parody analysis.”</w:t>
      </w:r>
      <w:r w:rsidR="00BC54C2" w:rsidRPr="00BC54C2">
        <w:rPr>
          <w:vertAlign w:val="superscript"/>
        </w:rPr>
        <w:footnoteReference w:id="32"/>
      </w:r>
      <w:r w:rsidRPr="00BC54C2">
        <w:t xml:space="preserve"> In contrast to </w:t>
      </w:r>
      <w:r w:rsidR="00BC54C2" w:rsidRPr="00BC54C2">
        <w:rPr>
          <w:i/>
        </w:rPr>
        <w:t>Deere</w:t>
      </w:r>
      <w:r w:rsidRPr="00BC54C2">
        <w:t xml:space="preserve">, the </w:t>
      </w:r>
      <w:r w:rsidR="00BC54C2" w:rsidRPr="00BC54C2">
        <w:rPr>
          <w:i/>
        </w:rPr>
        <w:t>Eveready</w:t>
      </w:r>
      <w:r w:rsidRPr="00BC54C2">
        <w:t xml:space="preserve"> court did not appear troubled by the lighthearted parody of the Energizer Bunny in another’s commercial</w:t>
      </w:r>
      <w:r w:rsidR="00BC54C2" w:rsidRPr="00BC54C2">
        <w:t>.</w:t>
      </w:r>
      <w:r w:rsidR="00BC54C2" w:rsidRPr="00BC54C2">
        <w:t xml:space="preserve"> </w:t>
      </w:r>
      <w:r w:rsidR="00BC54C2" w:rsidRPr="00BC54C2">
        <w:t>T</w:t>
      </w:r>
      <w:r w:rsidRPr="00BC54C2">
        <w:t xml:space="preserve">hus, one should not conclude that </w:t>
      </w:r>
      <w:r w:rsidR="00BC54C2" w:rsidRPr="00BC54C2">
        <w:rPr>
          <w:i/>
        </w:rPr>
        <w:t>Deere</w:t>
      </w:r>
      <w:r w:rsidRPr="00BC54C2">
        <w:t xml:space="preserve"> is the last word on the issue of fair use in comparative advertising.</w:t>
      </w:r>
      <w:r w:rsidR="00BC54C2" w:rsidRPr="00BC54C2">
        <w:rPr>
          <w:vertAlign w:val="superscript"/>
        </w:rPr>
        <w:footnoteReference w:id="33"/>
      </w:r>
    </w:p>
    <w:p w14:paraId="6F873F5B" w14:textId="6DD8F92E" w:rsidR="00BC54C2" w:rsidRPr="00BC54C2" w:rsidRDefault="00BC54C2" w:rsidP="00BC54C2">
      <w:pPr>
        <w:pStyle w:val="BHead3"/>
      </w:pPr>
      <w:r>
        <w:t>4.I.A.</w:t>
      </w:r>
      <w:r w:rsidRPr="00BC54C2">
        <w:rPr>
          <w:rStyle w:val="BBNAidChar"/>
          <w:rFonts w:eastAsiaTheme="majorEastAsia"/>
        </w:rPr>
        <w:t>2</w:t>
      </w:r>
      <w:r w:rsidRPr="00BC54C2">
        <w:t>.</w:t>
      </w:r>
      <w:r>
        <w:t> </w:t>
      </w:r>
      <w:r w:rsidRPr="00BC54C2">
        <w:tab/>
        <w:t>Descriptive and Nominative Fair Use</w:t>
      </w:r>
    </w:p>
    <w:p w14:paraId="64242E04" w14:textId="2B7B8798" w:rsidR="00BC54C2" w:rsidRPr="00BC54C2" w:rsidRDefault="00EC41EE" w:rsidP="00BC54C2">
      <w:pPr>
        <w:pStyle w:val="BNormal"/>
      </w:pPr>
      <w:r w:rsidRPr="00BC54C2">
        <w:t>Although nothing in the original version of the FTDA or the 1996 Model Bill referred to it, courts also allowed the descriptive fair-use defense of Section 33(b)(4) of the Lanham Act to be used as a defense to FTDA claims.</w:t>
      </w:r>
      <w:r w:rsidR="00BC54C2" w:rsidRPr="00BC54C2">
        <w:rPr>
          <w:vertAlign w:val="superscript"/>
        </w:rPr>
        <w:footnoteReference w:id="34"/>
      </w:r>
      <w:r w:rsidRPr="00BC54C2">
        <w:t xml:space="preserve"> Several courts, most notably the U.S</w:t>
      </w:r>
      <w:r w:rsidR="00BC54C2" w:rsidRPr="00BC54C2">
        <w:t>.</w:t>
      </w:r>
      <w:r w:rsidR="00BC54C2" w:rsidRPr="00BC54C2">
        <w:t xml:space="preserve"> </w:t>
      </w:r>
      <w:r w:rsidR="00BC54C2" w:rsidRPr="00BC54C2">
        <w:t>C</w:t>
      </w:r>
      <w:r w:rsidRPr="00BC54C2">
        <w:t>ourt of Appeals for the Ninth Circuit, also approved the use of the judicially recognized “nominative fair use” defense in FTDA cases.</w:t>
      </w:r>
      <w:r w:rsidR="00BC54C2" w:rsidRPr="00BC54C2">
        <w:rPr>
          <w:vertAlign w:val="superscript"/>
        </w:rPr>
        <w:footnoteReference w:id="35"/>
      </w:r>
      <w:r w:rsidRPr="00BC54C2">
        <w:t xml:space="preserve"> The latter permits the use of the trademark to refer to the trademark owner when use of a descriptive or generic term would not convey the same meaning or would be awkward.</w:t>
      </w:r>
      <w:r w:rsidR="00BC54C2" w:rsidRPr="00BC54C2">
        <w:rPr>
          <w:vertAlign w:val="superscript"/>
        </w:rPr>
        <w:footnoteReference w:id="36"/>
      </w:r>
      <w:r w:rsidRPr="00BC54C2">
        <w:t xml:space="preserve"> Both of these concepts are now included in the amended “fair use” exclusion under the TDRA</w:t>
      </w:r>
      <w:r w:rsidR="00BC54C2" w:rsidRPr="00BC54C2">
        <w:t>.</w:t>
      </w:r>
      <w:r w:rsidR="00BC54C2" w:rsidRPr="00BC54C2">
        <w:t xml:space="preserve"> </w:t>
      </w:r>
      <w:r w:rsidR="00BC54C2" w:rsidRPr="00BC54C2">
        <w:t>T</w:t>
      </w:r>
      <w:r w:rsidRPr="00BC54C2">
        <w:t>he 2007 Model Bill, like the TDRA, expressly includes nominative and descriptive uses within the “fair use” exclusion.</w:t>
      </w:r>
      <w:r w:rsidR="00BC54C2" w:rsidRPr="00BC54C2">
        <w:rPr>
          <w:vertAlign w:val="superscript"/>
        </w:rPr>
        <w:footnoteReference w:id="37"/>
      </w:r>
      <w:r w:rsidRPr="00BC54C2">
        <w:t xml:space="preserve"> Case law interpreting state dilution statutes supports the expectation that states using the 1996 Model Bill also will exclude descriptive and nominative uses from liability.</w:t>
      </w:r>
      <w:r w:rsidR="00BC54C2" w:rsidRPr="00BC54C2">
        <w:rPr>
          <w:vertAlign w:val="superscript"/>
        </w:rPr>
        <w:footnoteReference w:id="38"/>
      </w:r>
    </w:p>
    <w:p w14:paraId="16C6EFC8" w14:textId="7A91598F" w:rsidR="00BC54C2" w:rsidRPr="00BC54C2" w:rsidRDefault="00EC41EE" w:rsidP="00BC54C2">
      <w:pPr>
        <w:pStyle w:val="BNormal"/>
      </w:pPr>
      <w:r w:rsidRPr="00BC54C2">
        <w:t>Here, too, the “fairness” of the use is a basic question to be resolved</w:t>
      </w:r>
      <w:r w:rsidR="00BC54C2" w:rsidRPr="00BC54C2">
        <w:t>.</w:t>
      </w:r>
      <w:r w:rsidR="00BC54C2" w:rsidRPr="00BC54C2">
        <w:t xml:space="preserve"> </w:t>
      </w:r>
      <w:r w:rsidR="00BC54C2" w:rsidRPr="00BC54C2">
        <w:t>I</w:t>
      </w:r>
      <w:r w:rsidRPr="00BC54C2">
        <w:t>n the infringement context, the U.S</w:t>
      </w:r>
      <w:r w:rsidR="00BC54C2" w:rsidRPr="00BC54C2">
        <w:t>.</w:t>
      </w:r>
      <w:r w:rsidR="00BC54C2" w:rsidRPr="00BC54C2">
        <w:t xml:space="preserve"> </w:t>
      </w:r>
      <w:r w:rsidR="00BC54C2" w:rsidRPr="00BC54C2">
        <w:t>S</w:t>
      </w:r>
      <w:r w:rsidRPr="00BC54C2">
        <w:t>upreme Court has stated that the existence of confusion does not extinguish the fair descriptive use defense of Section 33(b)(4), although the level of confusion may be relevant to the issue of fairness.</w:t>
      </w:r>
      <w:r w:rsidR="00BC54C2" w:rsidRPr="00BC54C2">
        <w:rPr>
          <w:vertAlign w:val="superscript"/>
        </w:rPr>
        <w:footnoteReference w:id="39"/>
      </w:r>
      <w:r w:rsidRPr="00BC54C2">
        <w:t xml:space="preserve"> However, the nature of dilution as an incremental harm means that examining the “level” of dilution caused by the descriptive use is not appropriate when assessing fairness</w:t>
      </w:r>
      <w:r w:rsidR="00BC54C2" w:rsidRPr="00BC54C2">
        <w:t>.</w:t>
      </w:r>
      <w:r w:rsidR="00BC54C2" w:rsidRPr="00BC54C2">
        <w:t xml:space="preserve"> </w:t>
      </w:r>
      <w:r w:rsidR="00BC54C2" w:rsidRPr="00BC54C2">
        <w:t>S</w:t>
      </w:r>
      <w:r w:rsidRPr="00BC54C2">
        <w:t>imilarly, it should not be a part of the nominative-use analysis</w:t>
      </w:r>
      <w:r w:rsidR="00BC54C2" w:rsidRPr="00BC54C2">
        <w:t>.</w:t>
      </w:r>
      <w:r w:rsidR="00BC54C2" w:rsidRPr="00BC54C2">
        <w:t xml:space="preserve"> </w:t>
      </w:r>
      <w:r w:rsidR="00BC54C2" w:rsidRPr="00BC54C2">
        <w:t>U</w:t>
      </w:r>
      <w:r w:rsidRPr="00BC54C2">
        <w:t>nfortunately, that leaves the issue of fairness in an uncertain state.</w:t>
      </w:r>
      <w:r w:rsidR="00BC54C2" w:rsidRPr="00BC54C2">
        <w:rPr>
          <w:vertAlign w:val="superscript"/>
        </w:rPr>
        <w:footnoteReference w:id="40"/>
      </w:r>
      <w:r w:rsidRPr="00BC54C2">
        <w:t xml:space="preserve"> The court in </w:t>
      </w:r>
      <w:r w:rsidR="00BC54C2" w:rsidRPr="00BC54C2">
        <w:rPr>
          <w:i/>
        </w:rPr>
        <w:t>Deere</w:t>
      </w:r>
      <w:r w:rsidR="00BC54C2" w:rsidRPr="00BC54C2">
        <w:t xml:space="preserve"> </w:t>
      </w:r>
      <w:r w:rsidR="00BC54C2" w:rsidRPr="00BC54C2">
        <w:rPr>
          <w:vertAlign w:val="superscript"/>
        </w:rPr>
        <w:footnoteReference w:id="41"/>
      </w:r>
      <w:r w:rsidRPr="00BC54C2">
        <w:t xml:space="preserve"> which upheld a dilution claim against a humorous alteration of a mark—arguably a nominative use—took a very narrow view of fair use, but it was interpreting a New York statute that contained no express exclusions or defenses</w:t>
      </w:r>
      <w:r w:rsidR="00BC54C2" w:rsidRPr="00BC54C2">
        <w:t>.</w:t>
      </w:r>
      <w:r w:rsidR="00BC54C2" w:rsidRPr="00BC54C2">
        <w:t xml:space="preserve"> </w:t>
      </w:r>
      <w:r w:rsidR="00BC54C2" w:rsidRPr="00BC54C2">
        <w:t>I</w:t>
      </w:r>
      <w:r w:rsidRPr="00BC54C2">
        <w:t>t should not govern fair use under the 2007 Model Bill.</w:t>
      </w:r>
    </w:p>
    <w:p w14:paraId="7593EA83" w14:textId="37DC59FD" w:rsidR="00BC54C2" w:rsidRPr="00BC54C2" w:rsidRDefault="00BC54C2" w:rsidP="00BC54C2">
      <w:pPr>
        <w:pStyle w:val="BHead3"/>
      </w:pPr>
      <w:r>
        <w:t>4.I.A.</w:t>
      </w:r>
      <w:r w:rsidRPr="00BC54C2">
        <w:rPr>
          <w:rStyle w:val="BBNAidChar"/>
          <w:rFonts w:eastAsiaTheme="majorEastAsia"/>
        </w:rPr>
        <w:t>3</w:t>
      </w:r>
      <w:r w:rsidRPr="00BC54C2">
        <w:t>.</w:t>
      </w:r>
      <w:r>
        <w:t> </w:t>
      </w:r>
      <w:r w:rsidRPr="00BC54C2">
        <w:tab/>
        <w:t>Parody, Criticism, and Commentary</w:t>
      </w:r>
    </w:p>
    <w:p w14:paraId="5125A072" w14:textId="62EB1BCB" w:rsidR="00BC54C2" w:rsidRPr="00BC54C2" w:rsidRDefault="00EC41EE" w:rsidP="00BC54C2">
      <w:pPr>
        <w:pStyle w:val="BNormal"/>
      </w:pPr>
      <w:r w:rsidRPr="00BC54C2">
        <w:t>The 2007 Model Bill exclusion specifically refers to parody, criticism, and commentary (as well as simple identification) as examples of nominative and descriptive fair uses</w:t>
      </w:r>
      <w:r w:rsidR="00BC54C2" w:rsidRPr="00BC54C2">
        <w:t>.</w:t>
      </w:r>
      <w:r w:rsidR="00BC54C2" w:rsidRPr="00BC54C2">
        <w:t xml:space="preserve"> </w:t>
      </w:r>
      <w:r w:rsidR="00BC54C2" w:rsidRPr="00BC54C2">
        <w:t>B</w:t>
      </w:r>
      <w:r w:rsidRPr="00BC54C2">
        <w:t>efore the TDRA and the 2007 Model Bill, much of what is included in this exclusion would have been analyzed as either a judicially excluded nominative fair use or an excluded commentary or noncommercial use</w:t>
      </w:r>
      <w:r w:rsidR="00BC54C2" w:rsidRPr="00BC54C2">
        <w:t>.</w:t>
      </w:r>
      <w:r w:rsidR="00BC54C2" w:rsidRPr="00BC54C2">
        <w:t xml:space="preserve"> </w:t>
      </w:r>
      <w:r w:rsidR="00BC54C2" w:rsidRPr="00BC54C2">
        <w:t>T</w:t>
      </w:r>
      <w:r w:rsidRPr="00BC54C2">
        <w:t>hese two latter categories remain in the 2007 Model Bill exclusion, and neither is qualified by a requirement of “fair use.” Thus, it appears that the fair-use exclusion may expand the scope of excluded uses from the dilution statute</w:t>
      </w:r>
      <w:r w:rsidR="00BC54C2" w:rsidRPr="00BC54C2">
        <w:t>.</w:t>
      </w:r>
      <w:r w:rsidR="00BC54C2" w:rsidRPr="00BC54C2">
        <w:t xml:space="preserve"> </w:t>
      </w:r>
      <w:r w:rsidR="00BC54C2" w:rsidRPr="00BC54C2">
        <w:t>T</w:t>
      </w:r>
      <w:r w:rsidRPr="00BC54C2">
        <w:t>his possibility is discussed in more detail in Chapter 10.</w:t>
      </w:r>
    </w:p>
    <w:p w14:paraId="0A82C8B7" w14:textId="1B75178E" w:rsidR="00BC54C2" w:rsidRPr="00BC54C2" w:rsidRDefault="00BC54C2" w:rsidP="00BC54C2">
      <w:pPr>
        <w:pStyle w:val="BHead2"/>
      </w:pPr>
      <w:r>
        <w:t>4.I.</w:t>
      </w:r>
      <w:r w:rsidRPr="00BC54C2">
        <w:rPr>
          <w:rStyle w:val="BBNAidChar"/>
          <w:rFonts w:eastAsiaTheme="majorEastAsia"/>
        </w:rPr>
        <w:t>B</w:t>
      </w:r>
      <w:r w:rsidRPr="00BC54C2">
        <w:t>.</w:t>
      </w:r>
      <w:r>
        <w:t> </w:t>
      </w:r>
      <w:r w:rsidRPr="00BC54C2">
        <w:tab/>
        <w:t>The Noncommercial Use Exclusion</w:t>
      </w:r>
    </w:p>
    <w:p w14:paraId="35979583" w14:textId="70963447" w:rsidR="00BC54C2" w:rsidRPr="00BC54C2" w:rsidRDefault="00EC41EE" w:rsidP="00BC54C2">
      <w:pPr>
        <w:pStyle w:val="BNormal"/>
      </w:pPr>
      <w:r w:rsidRPr="00BC54C2">
        <w:t>In terms of federal law, the noncommercial use exclusion is the most interpreted of the express exclusions.</w:t>
      </w:r>
      <w:r w:rsidR="00BC54C2" w:rsidRPr="00BC54C2">
        <w:rPr>
          <w:vertAlign w:val="superscript"/>
        </w:rPr>
        <w:footnoteReference w:id="42"/>
      </w:r>
      <w:r w:rsidRPr="00BC54C2">
        <w:t xml:space="preserve"> There are many questions relating to this exclusion, most centering around the notion of “commercial.” The legislative history indicates an intent to exempt “expressive” uses, such as parody and satire.</w:t>
      </w:r>
      <w:r w:rsidR="00BC54C2" w:rsidRPr="00BC54C2">
        <w:rPr>
          <w:vertAlign w:val="superscript"/>
        </w:rPr>
        <w:footnoteReference w:id="43"/>
      </w:r>
      <w:r w:rsidRPr="00BC54C2">
        <w:t xml:space="preserve"> Unfortunately, the case law has not been consistent in its evaluation of “expressive” uses of a trademark.</w:t>
      </w:r>
      <w:r w:rsidR="00BC54C2" w:rsidRPr="00BC54C2">
        <w:rPr>
          <w:vertAlign w:val="superscript"/>
        </w:rPr>
        <w:footnoteReference w:id="44"/>
      </w:r>
    </w:p>
    <w:p w14:paraId="6DB2D657" w14:textId="4FC8B51D" w:rsidR="00BC54C2" w:rsidRPr="00BC54C2" w:rsidRDefault="00EC41EE" w:rsidP="00BC54C2">
      <w:pPr>
        <w:pStyle w:val="BNormal"/>
      </w:pPr>
      <w:r w:rsidRPr="00BC54C2">
        <w:t>The interpretation of this exclusion is complicated slightly by the different wording in the elements of a claim in the TDRA, on the one hand, and the 1996 and 2007 Model Bills on the other</w:t>
      </w:r>
      <w:r w:rsidR="00BC54C2" w:rsidRPr="00BC54C2">
        <w:t>.</w:t>
      </w:r>
      <w:r w:rsidR="00BC54C2" w:rsidRPr="00BC54C2">
        <w:t xml:space="preserve"> </w:t>
      </w:r>
      <w:r w:rsidR="00BC54C2" w:rsidRPr="00BC54C2">
        <w:t>T</w:t>
      </w:r>
      <w:r w:rsidRPr="00BC54C2">
        <w:t>he Model Bills (like the original FTDA) require, as an element of the dilution claim, that there be a “commercial use in commerce” by the alleged diluting use</w:t>
      </w:r>
      <w:r w:rsidR="00BC54C2" w:rsidRPr="00BC54C2">
        <w:t>.</w:t>
      </w:r>
      <w:r w:rsidR="00BC54C2" w:rsidRPr="00BC54C2">
        <w:t xml:space="preserve"> </w:t>
      </w:r>
      <w:r w:rsidR="00BC54C2" w:rsidRPr="00BC54C2">
        <w:t>U</w:t>
      </w:r>
      <w:r w:rsidRPr="00BC54C2">
        <w:t>nder the FTDA, courts often conflated the analysis of a “commercial” use with the analysis of an excluded noncommercial use</w:t>
      </w:r>
      <w:r w:rsidR="00BC54C2" w:rsidRPr="00BC54C2">
        <w:t>.</w:t>
      </w:r>
      <w:r w:rsidR="00BC54C2" w:rsidRPr="00BC54C2">
        <w:t xml:space="preserve"> </w:t>
      </w:r>
      <w:r w:rsidR="00BC54C2" w:rsidRPr="00BC54C2">
        <w:t>H</w:t>
      </w:r>
      <w:r w:rsidRPr="00BC54C2">
        <w:t>owever, the two are not necessarily the same.</w:t>
      </w:r>
      <w:r w:rsidR="00BC54C2" w:rsidRPr="00BC54C2">
        <w:rPr>
          <w:vertAlign w:val="superscript"/>
        </w:rPr>
        <w:footnoteReference w:id="45"/>
      </w:r>
      <w:r w:rsidRPr="00BC54C2">
        <w:t xml:space="preserve"> In contrast to the Model Bills, the TDRA only requires a “use in commerce,” thus separating commercial from noncommercial use somewhat better</w:t>
      </w:r>
      <w:r w:rsidR="00BC54C2" w:rsidRPr="00BC54C2">
        <w:t>.</w:t>
      </w:r>
      <w:r w:rsidR="00BC54C2" w:rsidRPr="00BC54C2">
        <w:t xml:space="preserve"> </w:t>
      </w:r>
      <w:r w:rsidR="00BC54C2" w:rsidRPr="00BC54C2">
        <w:t>I</w:t>
      </w:r>
      <w:r w:rsidRPr="00BC54C2">
        <w:t>t is unclear whether this will have a material effect on the interpretation of this exclusion.</w:t>
      </w:r>
    </w:p>
    <w:p w14:paraId="236DACD0" w14:textId="0F8B3042" w:rsidR="00BC54C2" w:rsidRPr="00BC54C2" w:rsidRDefault="00EC41EE" w:rsidP="00BC54C2">
      <w:pPr>
        <w:pStyle w:val="BNormal"/>
      </w:pPr>
      <w:r w:rsidRPr="00BC54C2">
        <w:t>The most difficult—and numerous—issues of noncommercial use have involved Internet domain names.</w:t>
      </w:r>
      <w:r w:rsidR="00BC54C2" w:rsidRPr="00BC54C2">
        <w:rPr>
          <w:vertAlign w:val="superscript"/>
        </w:rPr>
        <w:footnoteReference w:id="46"/>
      </w:r>
      <w:r w:rsidRPr="00BC54C2">
        <w:t xml:space="preserve"> These cases often involve domain names of the form Trademark.com (or .org or .net)</w:t>
      </w:r>
      <w:r w:rsidR="00BC54C2" w:rsidRPr="00BC54C2">
        <w:t>.</w:t>
      </w:r>
      <w:r w:rsidR="00BC54C2" w:rsidRPr="00BC54C2">
        <w:t xml:space="preserve"> </w:t>
      </w:r>
      <w:r w:rsidR="00BC54C2" w:rsidRPr="00BC54C2">
        <w:t>T</w:t>
      </w:r>
      <w:r w:rsidRPr="00BC54C2">
        <w:t>wo questions arise most often</w:t>
      </w:r>
      <w:r w:rsidR="00BC54C2" w:rsidRPr="00BC54C2">
        <w:t>.</w:t>
      </w:r>
      <w:r w:rsidR="00BC54C2" w:rsidRPr="00BC54C2">
        <w:t xml:space="preserve"> </w:t>
      </w:r>
      <w:r w:rsidR="00BC54C2" w:rsidRPr="00BC54C2">
        <w:t>F</w:t>
      </w:r>
      <w:r w:rsidRPr="00BC54C2">
        <w:t>irst, is the use of the trademark an “expressive” one in and of itself (that is, apart from what may be displayed on the corresponding Web site)</w:t>
      </w:r>
      <w:r w:rsidR="00BC54C2" w:rsidRPr="00BC54C2">
        <w:t>?</w:t>
      </w:r>
      <w:r w:rsidR="00BC54C2" w:rsidRPr="00BC54C2">
        <w:t xml:space="preserve"> </w:t>
      </w:r>
      <w:r w:rsidR="00BC54C2" w:rsidRPr="00BC54C2">
        <w:t>S</w:t>
      </w:r>
      <w:r w:rsidRPr="00BC54C2">
        <w:t>econd, is there a “commercial” content to the use</w:t>
      </w:r>
      <w:r w:rsidR="00BC54C2" w:rsidRPr="00BC54C2">
        <w:t>?</w:t>
      </w:r>
      <w:r w:rsidR="00BC54C2" w:rsidRPr="00BC54C2">
        <w:t xml:space="preserve"> </w:t>
      </w:r>
      <w:r w:rsidR="00BC54C2" w:rsidRPr="00BC54C2">
        <w:t>I</w:t>
      </w:r>
      <w:r w:rsidRPr="00BC54C2">
        <w:t>n many cases, these domain names are used for Web sites that are critical of the trademark owner.</w:t>
      </w:r>
      <w:r w:rsidR="00BC54C2" w:rsidRPr="00BC54C2">
        <w:rPr>
          <w:vertAlign w:val="superscript"/>
        </w:rPr>
        <w:footnoteReference w:id="47"/>
      </w:r>
      <w:r w:rsidRPr="00BC54C2">
        <w:t xml:space="preserve"> In most cases, the courts have rejected the noncommercial use defense</w:t>
      </w:r>
      <w:r w:rsidR="00BC54C2" w:rsidRPr="00BC54C2">
        <w:t>.</w:t>
      </w:r>
      <w:r w:rsidR="00BC54C2" w:rsidRPr="00BC54C2">
        <w:t xml:space="preserve"> </w:t>
      </w:r>
      <w:r w:rsidR="00BC54C2" w:rsidRPr="00BC54C2">
        <w:t>U</w:t>
      </w:r>
      <w:r w:rsidRPr="00BC54C2">
        <w:t>sually, they have deemed the registration of another’s trademark as a domain name not to be, by itself, a commercial use.</w:t>
      </w:r>
      <w:r w:rsidR="00BC54C2" w:rsidRPr="00BC54C2">
        <w:rPr>
          <w:vertAlign w:val="superscript"/>
        </w:rPr>
        <w:footnoteReference w:id="48"/>
      </w:r>
      <w:r w:rsidRPr="00BC54C2">
        <w:t xml:space="preserve"> On the other hand, these courts have found commercial uses to arise from links from the offending Web site to sites connected with “commercial” ventures such as books and other items, and simply from creating an impediment to access for the plaintiff’s customers.</w:t>
      </w:r>
      <w:r w:rsidR="00BC54C2" w:rsidRPr="00BC54C2">
        <w:rPr>
          <w:vertAlign w:val="superscript"/>
        </w:rPr>
        <w:footnoteReference w:id="49"/>
      </w:r>
    </w:p>
    <w:p w14:paraId="1B4CFF01" w14:textId="44A364DC" w:rsidR="00BC54C2" w:rsidRPr="00BC54C2" w:rsidRDefault="00EC41EE" w:rsidP="00BC54C2">
      <w:pPr>
        <w:pStyle w:val="BNormal"/>
      </w:pPr>
      <w:r w:rsidRPr="00BC54C2">
        <w:t xml:space="preserve">Some additional insight may be garnered from the Ninth Circuit’s opinion in </w:t>
      </w:r>
      <w:r w:rsidR="00BC54C2" w:rsidRPr="00BC54C2">
        <w:rPr>
          <w:i/>
        </w:rPr>
        <w:t>Mattel, Inc</w:t>
      </w:r>
      <w:r w:rsidR="00BC54C2" w:rsidRPr="00BC54C2">
        <w:t>.</w:t>
      </w:r>
      <w:r w:rsidR="00BC54C2" w:rsidRPr="00BC54C2">
        <w:t xml:space="preserve"> </w:t>
      </w:r>
      <w:r w:rsidR="00BC54C2" w:rsidRPr="00BC54C2">
        <w:rPr>
          <w:i/>
        </w:rPr>
        <w:t>v</w:t>
      </w:r>
      <w:r w:rsidR="00BC54C2" w:rsidRPr="00BC54C2">
        <w:t>.</w:t>
      </w:r>
      <w:r w:rsidR="00BC54C2" w:rsidRPr="00BC54C2">
        <w:t xml:space="preserve"> </w:t>
      </w:r>
      <w:r w:rsidR="00BC54C2" w:rsidRPr="00BC54C2">
        <w:rPr>
          <w:i/>
        </w:rPr>
        <w:t>MCA Records, Inc</w:t>
      </w:r>
      <w:r w:rsidRPr="00BC54C2">
        <w:t>.</w:t>
      </w:r>
      <w:r w:rsidR="00BC54C2" w:rsidRPr="00BC54C2">
        <w:rPr>
          <w:vertAlign w:val="superscript"/>
        </w:rPr>
        <w:footnoteReference w:id="50"/>
      </w:r>
      <w:r w:rsidRPr="00BC54C2">
        <w:t xml:space="preserve"> In </w:t>
      </w:r>
      <w:r w:rsidR="00BC54C2" w:rsidRPr="00BC54C2">
        <w:rPr>
          <w:i/>
        </w:rPr>
        <w:t>Mattel</w:t>
      </w:r>
      <w:r w:rsidRPr="00BC54C2">
        <w:t>, the Ninth Circuit held that a use can be a “commercial use” that satisfies the “commercial use in commerce” element under the FTDA (in that case, a commercially sold recording of a song) but still be excluded as a “noncommercial use” if it is a form of expression fully protected by the First Amendment.</w:t>
      </w:r>
      <w:r w:rsidR="00BC54C2" w:rsidRPr="00BC54C2">
        <w:rPr>
          <w:vertAlign w:val="superscript"/>
        </w:rPr>
        <w:footnoteReference w:id="51"/>
      </w:r>
    </w:p>
    <w:p w14:paraId="6400C505" w14:textId="4B611893" w:rsidR="00BC54C2" w:rsidRPr="00BC54C2" w:rsidRDefault="00EC41EE" w:rsidP="00BC54C2">
      <w:pPr>
        <w:pStyle w:val="BNormal"/>
      </w:pPr>
      <w:r w:rsidRPr="00BC54C2">
        <w:t xml:space="preserve">Another unknown is how the Supreme Court’s decision in </w:t>
      </w:r>
      <w:r w:rsidR="00BC54C2" w:rsidRPr="00BC54C2">
        <w:rPr>
          <w:rStyle w:val="BCasenamefull"/>
        </w:rPr>
        <w:t>Jack Daniel’s Properties, Inc. v. VIP Products LLC</w:t>
      </w:r>
      <w:r w:rsidR="00BC54C2" w:rsidRPr="00BC54C2">
        <w:rPr>
          <w:vertAlign w:val="superscript"/>
        </w:rPr>
        <w:footnoteReference w:id="52"/>
      </w:r>
      <w:r w:rsidRPr="00BC54C2">
        <w:t xml:space="preserve"> will affect the interpretation of noncommercial use under state law</w:t>
      </w:r>
      <w:r w:rsidR="00BC54C2" w:rsidRPr="00BC54C2">
        <w:t>.</w:t>
      </w:r>
      <w:r w:rsidR="00BC54C2" w:rsidRPr="00BC54C2">
        <w:t xml:space="preserve"> </w:t>
      </w:r>
      <w:r w:rsidR="00BC54C2" w:rsidRPr="00BC54C2">
        <w:t>I</w:t>
      </w:r>
      <w:r w:rsidRPr="00BC54C2">
        <w:t xml:space="preserve">n </w:t>
      </w:r>
      <w:r w:rsidR="00BC54C2" w:rsidRPr="00BC54C2">
        <w:rPr>
          <w:i/>
        </w:rPr>
        <w:t>Jack Daniel’s</w:t>
      </w:r>
      <w:r w:rsidRPr="00BC54C2">
        <w:t>, the Court held that the noncommercial use exclusion in the federal statute did not apply where the offending use was as a trademark, despite the lack of any language in the exclusion that such uses were not included.</w:t>
      </w:r>
      <w:r w:rsidR="00BC54C2" w:rsidRPr="00BC54C2">
        <w:rPr>
          <w:vertAlign w:val="superscript"/>
        </w:rPr>
        <w:footnoteReference w:id="53"/>
      </w:r>
    </w:p>
    <w:p w14:paraId="07ACA01E" w14:textId="61315A1F" w:rsidR="00BC54C2" w:rsidRPr="00BC54C2" w:rsidRDefault="00EC41EE" w:rsidP="00BC54C2">
      <w:pPr>
        <w:pStyle w:val="BNormal"/>
      </w:pPr>
      <w:r w:rsidRPr="00BC54C2">
        <w:t>One would expect the state laws to be interpreted similarly to the federal statute</w:t>
      </w:r>
      <w:r w:rsidR="00BC54C2" w:rsidRPr="00BC54C2">
        <w:t>;</w:t>
      </w:r>
      <w:r w:rsidR="00BC54C2" w:rsidRPr="00BC54C2">
        <w:t xml:space="preserve"> </w:t>
      </w:r>
      <w:r w:rsidR="00BC54C2" w:rsidRPr="00BC54C2">
        <w:t>h</w:t>
      </w:r>
      <w:r w:rsidRPr="00BC54C2">
        <w:t>owever, the lack of a common understanding of the term “noncommercial” complicates the analysis, as does the lack of any real legislative history to use when interpreting the exclusions</w:t>
      </w:r>
      <w:r w:rsidR="00BC54C2" w:rsidRPr="00BC54C2">
        <w:t>.</w:t>
      </w:r>
      <w:r w:rsidR="00BC54C2" w:rsidRPr="00BC54C2">
        <w:t xml:space="preserve"> </w:t>
      </w:r>
      <w:r w:rsidR="00BC54C2" w:rsidRPr="00BC54C2">
        <w:t>T</w:t>
      </w:r>
      <w:r w:rsidRPr="00BC54C2">
        <w:t>here is at least one “1996 type” state statute that may have unique interpretive problems</w:t>
      </w:r>
      <w:r w:rsidR="00BC54C2" w:rsidRPr="00BC54C2">
        <w:t>:</w:t>
      </w:r>
      <w:r w:rsidR="00BC54C2" w:rsidRPr="00BC54C2">
        <w:t xml:space="preserve"> </w:t>
      </w:r>
      <w:r w:rsidR="00BC54C2" w:rsidRPr="00BC54C2">
        <w:t>N</w:t>
      </w:r>
      <w:r w:rsidRPr="00BC54C2">
        <w:t>evada’s.</w:t>
      </w:r>
      <w:r w:rsidR="00BC54C2" w:rsidRPr="00BC54C2">
        <w:rPr>
          <w:vertAlign w:val="superscript"/>
        </w:rPr>
        <w:footnoteReference w:id="54"/>
      </w:r>
      <w:r w:rsidRPr="00BC54C2">
        <w:t xml:space="preserve"> Unlike the FTDA and the 1996 Model Bill, the Nevada statute does not contain an exclusion for “noncommercial use.” Instead, the statute expressly ties the exclusion to the required element of “commercial use” in the following manner:</w:t>
      </w:r>
    </w:p>
    <w:p w14:paraId="55F743FA" w14:textId="7C46FF18" w:rsidR="00BC54C2" w:rsidRPr="00BC54C2" w:rsidRDefault="00EC41EE" w:rsidP="00BC54C2">
      <w:pPr>
        <w:pStyle w:val="BQuotelong"/>
      </w:pPr>
      <w:r w:rsidRPr="00BC54C2">
        <w:t>“Commercial use” means use of a mark primarily for profit</w:t>
      </w:r>
      <w:r w:rsidR="00BC54C2" w:rsidRPr="00BC54C2">
        <w:t>.</w:t>
      </w:r>
      <w:r w:rsidR="00BC54C2" w:rsidRPr="00BC54C2">
        <w:t xml:space="preserve"> </w:t>
      </w:r>
      <w:r w:rsidR="00BC54C2" w:rsidRPr="00BC54C2">
        <w:t>T</w:t>
      </w:r>
      <w:r w:rsidRPr="00BC54C2">
        <w:t>he term does not include use of a mark for research, criticism, news commentary, news reporting, teaching or any similar use that is not primarily for profit.</w:t>
      </w:r>
      <w:r w:rsidR="00BC54C2" w:rsidRPr="00BC54C2">
        <w:rPr>
          <w:vertAlign w:val="superscript"/>
        </w:rPr>
        <w:footnoteReference w:id="55"/>
      </w:r>
    </w:p>
    <w:p w14:paraId="7FC7AEF5" w14:textId="66F89245" w:rsidR="00BC54C2" w:rsidRPr="00BC54C2" w:rsidRDefault="00EC41EE" w:rsidP="00BC54C2">
      <w:pPr>
        <w:pStyle w:val="BNormal"/>
      </w:pPr>
      <w:r w:rsidRPr="00BC54C2">
        <w:t xml:space="preserve">However, as the Ninth Circuit found in </w:t>
      </w:r>
      <w:r w:rsidR="00BC54C2" w:rsidRPr="00BC54C2">
        <w:rPr>
          <w:i/>
        </w:rPr>
        <w:t>Mattel</w:t>
      </w:r>
      <w:r w:rsidRPr="00BC54C2">
        <w:t>, there are many expressive uses that are made for profit, including the one at issue in that case</w:t>
      </w:r>
      <w:r w:rsidR="00BC54C2" w:rsidRPr="00BC54C2">
        <w:t>.</w:t>
      </w:r>
      <w:r w:rsidR="00BC54C2" w:rsidRPr="00BC54C2">
        <w:t xml:space="preserve"> </w:t>
      </w:r>
      <w:r w:rsidR="00BC54C2" w:rsidRPr="00BC54C2">
        <w:t>(</w:t>
      </w:r>
      <w:r w:rsidRPr="00BC54C2">
        <w:t>Indeed, criticism, such as a restaurant review or magazine reviews of products, may be made for profit.) Thus, the Nevada formulation appears not to exclude items that may be not only “expressive” but fully protected by the First Amendment</w:t>
      </w:r>
      <w:r w:rsidR="00BC54C2" w:rsidRPr="00BC54C2">
        <w:t>.</w:t>
      </w:r>
      <w:r w:rsidR="00BC54C2" w:rsidRPr="00BC54C2">
        <w:t xml:space="preserve"> </w:t>
      </w:r>
      <w:r w:rsidR="00BC54C2" w:rsidRPr="00BC54C2">
        <w:t>O</w:t>
      </w:r>
      <w:r w:rsidRPr="00BC54C2">
        <w:t>n the other hand, it might be more open to an interpretation that excludes certain trademark uses from dilution liability, in contrast to the Supreme Court’s interpretation of the TDRA.</w:t>
      </w:r>
    </w:p>
    <w:p w14:paraId="6B9ABDE2" w14:textId="7800D6DA" w:rsidR="00BC54C2" w:rsidRPr="00BC54C2" w:rsidRDefault="00EC41EE" w:rsidP="00BC54C2">
      <w:pPr>
        <w:pStyle w:val="BNormal"/>
      </w:pPr>
      <w:r w:rsidRPr="00BC54C2">
        <w:t>The 2007 Model Bill retained the noncommercial use exclusion, along with the other exclusions as provided in the TDRA.</w:t>
      </w:r>
      <w:r w:rsidR="00BC54C2" w:rsidRPr="00BC54C2">
        <w:rPr>
          <w:vertAlign w:val="superscript"/>
        </w:rPr>
        <w:footnoteReference w:id="56"/>
      </w:r>
      <w:r w:rsidRPr="00BC54C2">
        <w:t xml:space="preserve"> However, Oregon, which has adopted the 2007 Model Bill, altered the wording of the exclusion section</w:t>
      </w:r>
      <w:r w:rsidR="00BC54C2" w:rsidRPr="00BC54C2">
        <w:t>.</w:t>
      </w:r>
      <w:r w:rsidR="00BC54C2" w:rsidRPr="00BC54C2">
        <w:t xml:space="preserve"> </w:t>
      </w:r>
      <w:r w:rsidR="00BC54C2" w:rsidRPr="00BC54C2">
        <w:t>I</w:t>
      </w:r>
      <w:r w:rsidRPr="00BC54C2">
        <w:t>nstead of three separate exclusions, as provided in the Model Bill, all three are subsumed under a general provision relating to nominative or descriptive fair use:</w:t>
      </w:r>
    </w:p>
    <w:p w14:paraId="29299A67" w14:textId="4AB52584" w:rsidR="00BC54C2" w:rsidRPr="00BC54C2" w:rsidRDefault="00EC41EE" w:rsidP="00BC54C2">
      <w:pPr>
        <w:pStyle w:val="BQuotelong"/>
      </w:pPr>
      <w:r w:rsidRPr="00BC54C2">
        <w:t>An owner of a famous mark may not bring an action for another person’s use if the use is a nominative or descriptive fair use or facilitation of a nominative or descriptive fair use, other than as a designation of source for the other person’s own goods or services, including a use:</w:t>
      </w:r>
    </w:p>
    <w:p w14:paraId="13CBD8F5" w14:textId="226D2514" w:rsidR="00BC54C2" w:rsidRPr="00BC54C2" w:rsidRDefault="00EC41EE" w:rsidP="0011736D">
      <w:pPr>
        <w:pStyle w:val="BListitemorig"/>
        <w:ind w:left="1440"/>
      </w:pPr>
      <w:r w:rsidRPr="00BC54C2">
        <w:t>(a) In connection with:</w:t>
      </w:r>
    </w:p>
    <w:p w14:paraId="027BC40F" w14:textId="503427DD" w:rsidR="00BC54C2" w:rsidRPr="00BC54C2" w:rsidRDefault="00EC41EE" w:rsidP="0011736D">
      <w:pPr>
        <w:pStyle w:val="BListitemorig"/>
        <w:ind w:left="1800"/>
      </w:pPr>
      <w:r w:rsidRPr="00BC54C2">
        <w:t>(A) Advertising or promotion that permits consumers to compare goods or services</w:t>
      </w:r>
      <w:r w:rsidR="00BC54C2" w:rsidRPr="00BC54C2">
        <w:t>;</w:t>
      </w:r>
      <w:r w:rsidR="00BC54C2" w:rsidRPr="00BC54C2">
        <w:t xml:space="preserve"> </w:t>
      </w:r>
      <w:r w:rsidR="00BC54C2" w:rsidRPr="00BC54C2">
        <w:t>o</w:t>
      </w:r>
      <w:r w:rsidRPr="00BC54C2">
        <w:t>r</w:t>
      </w:r>
    </w:p>
    <w:p w14:paraId="36AD40CC" w14:textId="7BEA1A94" w:rsidR="00BC54C2" w:rsidRPr="00BC54C2" w:rsidRDefault="00EC41EE" w:rsidP="0011736D">
      <w:pPr>
        <w:pStyle w:val="BListitemorig"/>
        <w:ind w:left="1800"/>
      </w:pPr>
      <w:r w:rsidRPr="00BC54C2">
        <w:t xml:space="preserve">(B) Identifying or parodying, criticizing or commenting upon the owner of the famous mark or the goods or services of the owner of the famous </w:t>
      </w:r>
      <w:proofErr w:type="gramStart"/>
      <w:r w:rsidRPr="00BC54C2">
        <w:t>mark;</w:t>
      </w:r>
      <w:proofErr w:type="gramEnd"/>
    </w:p>
    <w:p w14:paraId="02CCD332" w14:textId="5F0AA30A" w:rsidR="00BC54C2" w:rsidRPr="00BC54C2" w:rsidRDefault="00EC41EE" w:rsidP="0011736D">
      <w:pPr>
        <w:pStyle w:val="BListitemorig"/>
        <w:ind w:left="1440"/>
      </w:pPr>
      <w:r w:rsidRPr="00BC54C2">
        <w:t>(b) That is noncommercial</w:t>
      </w:r>
      <w:r w:rsidR="00BC54C2" w:rsidRPr="00BC54C2">
        <w:t>;</w:t>
      </w:r>
      <w:r w:rsidR="00BC54C2" w:rsidRPr="00BC54C2">
        <w:t xml:space="preserve"> </w:t>
      </w:r>
      <w:r w:rsidR="00BC54C2" w:rsidRPr="00BC54C2">
        <w:t>o</w:t>
      </w:r>
      <w:r w:rsidRPr="00BC54C2">
        <w:t>r</w:t>
      </w:r>
    </w:p>
    <w:p w14:paraId="45B93B84" w14:textId="361D9977" w:rsidR="00BC54C2" w:rsidRPr="00BC54C2" w:rsidRDefault="00EC41EE" w:rsidP="0011736D">
      <w:pPr>
        <w:pStyle w:val="BListitemorig"/>
        <w:ind w:left="1440"/>
      </w:pPr>
      <w:r w:rsidRPr="00BC54C2">
        <w:t>(c) That constitutes news reporting or news commentary.</w:t>
      </w:r>
      <w:r w:rsidR="00BC54C2" w:rsidRPr="00BC54C2">
        <w:rPr>
          <w:vertAlign w:val="superscript"/>
        </w:rPr>
        <w:footnoteReference w:id="57"/>
      </w:r>
    </w:p>
    <w:p w14:paraId="505463A4" w14:textId="0B6AEDF3" w:rsidR="00BC54C2" w:rsidRPr="00BC54C2" w:rsidRDefault="00EC41EE" w:rsidP="00BC54C2">
      <w:pPr>
        <w:pStyle w:val="BNormal"/>
      </w:pPr>
      <w:r w:rsidRPr="00BC54C2">
        <w:t>This is an odd way to word the exclusions</w:t>
      </w:r>
      <w:r w:rsidR="00BC54C2" w:rsidRPr="00BC54C2">
        <w:t>.</w:t>
      </w:r>
      <w:r w:rsidR="00BC54C2" w:rsidRPr="00BC54C2">
        <w:t xml:space="preserve"> </w:t>
      </w:r>
      <w:r w:rsidR="00BC54C2" w:rsidRPr="00BC54C2">
        <w:t>F</w:t>
      </w:r>
      <w:r w:rsidRPr="00BC54C2">
        <w:t>irst, not all noncommercial uses are nominative or descriptive uses</w:t>
      </w:r>
      <w:r w:rsidR="00BC54C2" w:rsidRPr="00BC54C2">
        <w:t>.</w:t>
      </w:r>
      <w:r w:rsidR="00BC54C2" w:rsidRPr="00BC54C2">
        <w:t xml:space="preserve"> </w:t>
      </w:r>
      <w:r w:rsidR="00BC54C2" w:rsidRPr="00BC54C2">
        <w:t>T</w:t>
      </w:r>
      <w:r w:rsidRPr="00BC54C2">
        <w:t>hus, this wording seems to eliminate the exclusion in a variety of cases—indeed, it seems almost useless</w:t>
      </w:r>
      <w:r w:rsidR="00BC54C2" w:rsidRPr="00BC54C2">
        <w:t>.</w:t>
      </w:r>
      <w:r w:rsidR="00BC54C2" w:rsidRPr="00BC54C2">
        <w:t xml:space="preserve"> </w:t>
      </w:r>
      <w:r w:rsidR="00BC54C2" w:rsidRPr="00BC54C2">
        <w:t>I</w:t>
      </w:r>
      <w:r w:rsidRPr="00BC54C2">
        <w:t>t harkens back to the original House version of the TDRA, which would have eliminated the noncommercial use exclusion.</w:t>
      </w:r>
      <w:r w:rsidR="00BC54C2" w:rsidRPr="00BC54C2">
        <w:rPr>
          <w:vertAlign w:val="superscript"/>
        </w:rPr>
        <w:footnoteReference w:id="58"/>
      </w:r>
      <w:r w:rsidRPr="00BC54C2">
        <w:t xml:space="preserve"> Perhaps this was a drafting oversight, but if so, it is a significant error.</w:t>
      </w:r>
    </w:p>
    <w:p w14:paraId="42B4E91D" w14:textId="1F79831D" w:rsidR="00BC54C2" w:rsidRPr="00BC54C2" w:rsidRDefault="00EC41EE" w:rsidP="00BC54C2">
      <w:pPr>
        <w:pStyle w:val="BNormal"/>
      </w:pPr>
      <w:r w:rsidRPr="00BC54C2">
        <w:t>It is uncertain how the TDRA’s expansion of the “fair use” exclusion under federal law will affect the courts’ interpretation of the noncommercial use exclusion.</w:t>
      </w:r>
      <w:r w:rsidR="00BC54C2" w:rsidRPr="00BC54C2">
        <w:rPr>
          <w:vertAlign w:val="superscript"/>
        </w:rPr>
        <w:footnoteReference w:id="59"/>
      </w:r>
      <w:r w:rsidRPr="00BC54C2">
        <w:t xml:space="preserve"> If the amendment alters the scope of the noncommercial use exclusion, that could complicate the analysis of state laws, particularly those that are patterned after the 1996 Model Bill.</w:t>
      </w:r>
    </w:p>
    <w:p w14:paraId="7887291E" w14:textId="7615517D" w:rsidR="00BC54C2" w:rsidRPr="00BC54C2" w:rsidRDefault="00BC54C2" w:rsidP="00BC54C2">
      <w:pPr>
        <w:pStyle w:val="BHead2"/>
      </w:pPr>
      <w:r>
        <w:t>4.I.</w:t>
      </w:r>
      <w:r w:rsidRPr="00BC54C2">
        <w:rPr>
          <w:rStyle w:val="BBNAidChar"/>
          <w:rFonts w:eastAsiaTheme="majorEastAsia"/>
        </w:rPr>
        <w:t>C</w:t>
      </w:r>
      <w:r w:rsidRPr="00BC54C2">
        <w:t>.</w:t>
      </w:r>
      <w:r>
        <w:t> </w:t>
      </w:r>
      <w:r w:rsidRPr="00BC54C2">
        <w:tab/>
        <w:t>The News Reporting and Commentary Exclusion</w:t>
      </w:r>
    </w:p>
    <w:p w14:paraId="3D8B7A22" w14:textId="6C86BB65" w:rsidR="00BC54C2" w:rsidRPr="00BC54C2" w:rsidRDefault="00EC41EE" w:rsidP="00BC54C2">
      <w:pPr>
        <w:pStyle w:val="BNormal"/>
      </w:pPr>
      <w:r w:rsidRPr="00BC54C2">
        <w:t>The news reporting and commentary exclusion is contained in both the 1996 and 2007 Model Bills</w:t>
      </w:r>
      <w:r w:rsidR="00BC54C2" w:rsidRPr="00BC54C2">
        <w:t>.</w:t>
      </w:r>
      <w:r w:rsidR="00BC54C2" w:rsidRPr="00BC54C2">
        <w:t xml:space="preserve"> </w:t>
      </w:r>
      <w:r w:rsidR="00BC54C2" w:rsidRPr="00BC54C2">
        <w:t>I</w:t>
      </w:r>
      <w:r w:rsidRPr="00BC54C2">
        <w:t>ts clear purpose is to permit a free flow of information and commentary without fear of incurring liability</w:t>
      </w:r>
      <w:r w:rsidR="00BC54C2" w:rsidRPr="00BC54C2">
        <w:t>.</w:t>
      </w:r>
      <w:r w:rsidR="00BC54C2" w:rsidRPr="00BC54C2">
        <w:t xml:space="preserve"> </w:t>
      </w:r>
      <w:r w:rsidR="00BC54C2" w:rsidRPr="00BC54C2">
        <w:t>I</w:t>
      </w:r>
      <w:r w:rsidRPr="00BC54C2">
        <w:t>t is a very broadly worded exclusion</w:t>
      </w:r>
      <w:proofErr w:type="gramStart"/>
      <w:r w:rsidRPr="00BC54C2">
        <w:t>—“</w:t>
      </w:r>
      <w:proofErr w:type="gramEnd"/>
      <w:r w:rsidRPr="00BC54C2">
        <w:t>all forms” of reporting and commentary are covered</w:t>
      </w:r>
      <w:r w:rsidR="00BC54C2" w:rsidRPr="00BC54C2">
        <w:t>.</w:t>
      </w:r>
      <w:r w:rsidR="00BC54C2" w:rsidRPr="00BC54C2">
        <w:t xml:space="preserve"> </w:t>
      </w:r>
      <w:r w:rsidR="00BC54C2" w:rsidRPr="00BC54C2">
        <w:t>T</w:t>
      </w:r>
      <w:r w:rsidRPr="00BC54C2">
        <w:t>he most interesting, and yet unanswered, questions involve news or commentary that also has a commercial purpose</w:t>
      </w:r>
      <w:r w:rsidR="00BC54C2" w:rsidRPr="00BC54C2">
        <w:t>.</w:t>
      </w:r>
      <w:r w:rsidR="00BC54C2" w:rsidRPr="00BC54C2">
        <w:t xml:space="preserve"> </w:t>
      </w:r>
      <w:r w:rsidR="00BC54C2" w:rsidRPr="00BC54C2">
        <w:t>(</w:t>
      </w:r>
      <w:r w:rsidRPr="00BC54C2">
        <w:t>Such uses may not be covered by the noncommercial use exclusion.) Perhaps because of the obvious free-speech issues raised by attempts to impose liability in such cases, the exclusion is almost never invoked.</w:t>
      </w:r>
      <w:r w:rsidR="00BC54C2" w:rsidRPr="00BC54C2">
        <w:rPr>
          <w:vertAlign w:val="superscript"/>
        </w:rPr>
        <w:footnoteReference w:id="60"/>
      </w:r>
    </w:p>
    <w:p w14:paraId="6D72CDF3" w14:textId="69105D38" w:rsidR="00BC54C2" w:rsidRPr="00BC54C2" w:rsidRDefault="00EC41EE" w:rsidP="00BC54C2">
      <w:pPr>
        <w:pStyle w:val="BNormal"/>
      </w:pPr>
      <w:r w:rsidRPr="00BC54C2">
        <w:t>As noted in Section I.C., above, two states have adopted unusual versions of the news reporting and commentary exclusion</w:t>
      </w:r>
      <w:r w:rsidR="00BC54C2" w:rsidRPr="00BC54C2">
        <w:t>.</w:t>
      </w:r>
      <w:r w:rsidR="00BC54C2" w:rsidRPr="00BC54C2">
        <w:t xml:space="preserve"> </w:t>
      </w:r>
      <w:r w:rsidR="00BC54C2" w:rsidRPr="00BC54C2">
        <w:t>N</w:t>
      </w:r>
      <w:r w:rsidRPr="00BC54C2">
        <w:t>evada’s version seems internally inconsistent, because it excludes news reporting from liability but lumps it in with nonprofit enterprises</w:t>
      </w:r>
      <w:r w:rsidR="00BC54C2" w:rsidRPr="00BC54C2">
        <w:t>.</w:t>
      </w:r>
      <w:r w:rsidR="00BC54C2" w:rsidRPr="00BC54C2">
        <w:t xml:space="preserve"> </w:t>
      </w:r>
      <w:r w:rsidR="00BC54C2" w:rsidRPr="00BC54C2">
        <w:t>S</w:t>
      </w:r>
      <w:r w:rsidRPr="00BC54C2">
        <w:t xml:space="preserve">imilarly, Oregon’s statute places the news reporting and commentary exclusion </w:t>
      </w:r>
      <w:r w:rsidR="00BC54C2" w:rsidRPr="00BC54C2">
        <w:rPr>
          <w:i/>
        </w:rPr>
        <w:t>within</w:t>
      </w:r>
      <w:r w:rsidRPr="00BC54C2">
        <w:t xml:space="preserve"> the nominative and descriptive use exclusion</w:t>
      </w:r>
      <w:r w:rsidR="00BC54C2" w:rsidRPr="00BC54C2">
        <w:t>.</w:t>
      </w:r>
      <w:r w:rsidR="00BC54C2" w:rsidRPr="00BC54C2">
        <w:t xml:space="preserve"> </w:t>
      </w:r>
      <w:r w:rsidR="00BC54C2" w:rsidRPr="00BC54C2">
        <w:t>B</w:t>
      </w:r>
      <w:r w:rsidRPr="00BC54C2">
        <w:t>ut news reporting and commentary is not necessarily a form of nominative use (although that is one possible scenario).</w:t>
      </w:r>
    </w:p>
    <w:p w14:paraId="6FAB63E6" w14:textId="2AE41D60" w:rsidR="00BC54C2" w:rsidRPr="00BC54C2" w:rsidRDefault="00BC54C2" w:rsidP="00BC54C2">
      <w:pPr>
        <w:pStyle w:val="BHead1"/>
      </w:pPr>
      <w:r>
        <w:t>4.</w:t>
      </w:r>
      <w:r w:rsidRPr="00BC54C2">
        <w:rPr>
          <w:rStyle w:val="BBNAidChar"/>
          <w:rFonts w:eastAsiaTheme="majorEastAsia"/>
        </w:rPr>
        <w:t>II</w:t>
      </w:r>
      <w:r w:rsidRPr="00BC54C2">
        <w:t>.</w:t>
      </w:r>
      <w:r>
        <w:t xml:space="preserve">  </w:t>
      </w:r>
      <w:r w:rsidRPr="00BC54C2">
        <w:t>Implied Defenses</w:t>
      </w:r>
    </w:p>
    <w:p w14:paraId="54C971F5" w14:textId="0C47B42F" w:rsidR="00BC54C2" w:rsidRPr="00BC54C2" w:rsidRDefault="00BC54C2" w:rsidP="00BC54C2">
      <w:pPr>
        <w:pStyle w:val="BHead2"/>
      </w:pPr>
      <w:r>
        <w:t>4.II.</w:t>
      </w:r>
      <w:r w:rsidRPr="00BC54C2">
        <w:rPr>
          <w:rStyle w:val="BBNAidChar"/>
          <w:rFonts w:eastAsiaTheme="majorEastAsia"/>
        </w:rPr>
        <w:t>A</w:t>
      </w:r>
      <w:r w:rsidRPr="00BC54C2">
        <w:t>.</w:t>
      </w:r>
      <w:r>
        <w:t> </w:t>
      </w:r>
      <w:r w:rsidRPr="00BC54C2">
        <w:tab/>
        <w:t>Older Statutes and 1964 and 1992 Model-Bill Statutes</w:t>
      </w:r>
    </w:p>
    <w:p w14:paraId="1147CA92" w14:textId="31B23874" w:rsidR="00BC54C2" w:rsidRPr="00BC54C2" w:rsidRDefault="00EC41EE" w:rsidP="00BC54C2">
      <w:pPr>
        <w:pStyle w:val="BNormal"/>
      </w:pPr>
      <w:r w:rsidRPr="00BC54C2">
        <w:t>The older state laws (largely patterned after Massachusetts law and/or the 1964 Model Bill) and the 1992 Model Bill contain no express defenses</w:t>
      </w:r>
      <w:r w:rsidR="00BC54C2" w:rsidRPr="00BC54C2">
        <w:t>.</w:t>
      </w:r>
      <w:r w:rsidR="00BC54C2" w:rsidRPr="00BC54C2">
        <w:t xml:space="preserve"> </w:t>
      </w:r>
      <w:r w:rsidR="00BC54C2" w:rsidRPr="00BC54C2">
        <w:t>N</w:t>
      </w:r>
      <w:r w:rsidRPr="00BC54C2">
        <w:t>evertheless, courts have permitted various defenses to be raised against dilution claims in those states</w:t>
      </w:r>
      <w:r w:rsidR="00BC54C2" w:rsidRPr="00BC54C2">
        <w:t>.</w:t>
      </w:r>
      <w:r w:rsidR="00BC54C2" w:rsidRPr="00BC54C2">
        <w:t xml:space="preserve"> </w:t>
      </w:r>
      <w:r w:rsidR="00BC54C2" w:rsidRPr="00BC54C2">
        <w:t>A</w:t>
      </w:r>
      <w:r w:rsidRPr="00BC54C2">
        <w:t>s discussed elsewhere, courts have recognized a First Amendment defense to dilution in several cases involving laws patterned after the 1964 Model Bill.</w:t>
      </w:r>
      <w:r w:rsidR="00BC54C2" w:rsidRPr="00BC54C2">
        <w:rPr>
          <w:vertAlign w:val="superscript"/>
        </w:rPr>
        <w:footnoteReference w:id="61"/>
      </w:r>
      <w:r w:rsidRPr="00BC54C2">
        <w:t xml:space="preserve"> In most cases, courts have ruled against dilution claims on the grounds that the plaintiff failed to establish a critical element of the claim (either distinctiveness or dilution).</w:t>
      </w:r>
      <w:r w:rsidR="00BC54C2" w:rsidRPr="00BC54C2">
        <w:rPr>
          <w:vertAlign w:val="superscript"/>
        </w:rPr>
        <w:footnoteReference w:id="62"/>
      </w:r>
      <w:r w:rsidRPr="00BC54C2">
        <w:t xml:space="preserve"> Thus, the express exclusions of the FTDA and TDRA appear to be accepted implicitly by many courts as subsumed in the elements of a dilution claim</w:t>
      </w:r>
      <w:r w:rsidR="00BC54C2" w:rsidRPr="00BC54C2">
        <w:t>.</w:t>
      </w:r>
      <w:r w:rsidR="00BC54C2" w:rsidRPr="00BC54C2">
        <w:t xml:space="preserve"> </w:t>
      </w:r>
      <w:r w:rsidR="00BC54C2" w:rsidRPr="00BC54C2">
        <w:t>T</w:t>
      </w:r>
      <w:r w:rsidRPr="00BC54C2">
        <w:t>his has certain advantages for a defendant, since the burden clearly will be on the plaintiff to prove all items deemed elements of a claim rather than defenses.</w:t>
      </w:r>
      <w:r w:rsidR="00BC54C2" w:rsidRPr="00BC54C2">
        <w:rPr>
          <w:vertAlign w:val="superscript"/>
        </w:rPr>
        <w:footnoteReference w:id="63"/>
      </w:r>
      <w:r w:rsidRPr="00BC54C2">
        <w:t xml:space="preserve"> The major areas in which express defenses or exclusions may make a difference are in “commercial use” cases, where the First Amendment may be the only basis to deny relief,</w:t>
      </w:r>
      <w:r w:rsidR="00BC54C2" w:rsidRPr="00BC54C2">
        <w:rPr>
          <w:vertAlign w:val="superscript"/>
        </w:rPr>
        <w:footnoteReference w:id="64"/>
      </w:r>
      <w:r w:rsidRPr="00BC54C2">
        <w:t xml:space="preserve"> and certain comparative advertising cases, where the defendant used an altered version of the plaintiff’s mark.</w:t>
      </w:r>
      <w:r w:rsidR="00BC54C2" w:rsidRPr="00BC54C2">
        <w:rPr>
          <w:vertAlign w:val="superscript"/>
        </w:rPr>
        <w:footnoteReference w:id="65"/>
      </w:r>
    </w:p>
    <w:p w14:paraId="28521183" w14:textId="3E89D399" w:rsidR="00BC54C2" w:rsidRPr="00BC54C2" w:rsidRDefault="00BC54C2" w:rsidP="00BC54C2">
      <w:pPr>
        <w:pStyle w:val="BNormal"/>
      </w:pPr>
      <w:r w:rsidRPr="00BC54C2">
        <w:t>A-1.</w:t>
      </w:r>
      <w:r w:rsidRPr="00BC54C2">
        <w:tab/>
      </w:r>
      <w:r w:rsidRPr="00BC54C2">
        <w:rPr>
          <w:b/>
        </w:rPr>
        <w:t>Implied First Amendment Defenses</w:t>
      </w:r>
    </w:p>
    <w:p w14:paraId="4CF9454D" w14:textId="33D52CB9" w:rsidR="00BC54C2" w:rsidRPr="00BC54C2" w:rsidRDefault="00EC41EE" w:rsidP="00BC54C2">
      <w:pPr>
        <w:pStyle w:val="BNormal"/>
      </w:pPr>
      <w:r w:rsidRPr="00BC54C2">
        <w:t xml:space="preserve">Although the fair use and </w:t>
      </w:r>
      <w:proofErr w:type="gramStart"/>
      <w:r w:rsidRPr="00BC54C2">
        <w:t>noncommercial</w:t>
      </w:r>
      <w:proofErr w:type="gramEnd"/>
      <w:r w:rsidRPr="00BC54C2">
        <w:t xml:space="preserve"> use exclusions provide protection from dilution for many instances of protected speech, there may still be situations, even under newer statutes, where there is a need for a separate First Amendment defense (especially if courts adopt the Supreme Court’s interpretation of the federal noncommercial use exclusion</w:t>
      </w:r>
      <w:r w:rsidR="00BC54C2" w:rsidRPr="00BC54C2">
        <w:rPr>
          <w:vertAlign w:val="superscript"/>
        </w:rPr>
        <w:footnoteReference w:id="66"/>
      </w:r>
      <w:r w:rsidRPr="00BC54C2">
        <w:t>)</w:t>
      </w:r>
      <w:r w:rsidR="00BC54C2" w:rsidRPr="00BC54C2">
        <w:t>.</w:t>
      </w:r>
      <w:r w:rsidR="00BC54C2" w:rsidRPr="00BC54C2">
        <w:t xml:space="preserve"> </w:t>
      </w:r>
      <w:r w:rsidR="00BC54C2" w:rsidRPr="00BC54C2">
        <w:t>I</w:t>
      </w:r>
      <w:r w:rsidRPr="00BC54C2">
        <w:t xml:space="preserve">n one case, a court applied a test derived from a Second Circuit case, </w:t>
      </w:r>
      <w:r w:rsidR="00BC54C2" w:rsidRPr="00BC54C2">
        <w:rPr>
          <w:rStyle w:val="BCasenamefull"/>
        </w:rPr>
        <w:t>Rogers v. Grimaldi</w:t>
      </w:r>
      <w:r w:rsidRPr="00BC54C2">
        <w:t>,</w:t>
      </w:r>
      <w:r w:rsidR="00BC54C2" w:rsidRPr="00BC54C2">
        <w:rPr>
          <w:vertAlign w:val="superscript"/>
        </w:rPr>
        <w:footnoteReference w:id="67"/>
      </w:r>
      <w:r w:rsidRPr="00BC54C2">
        <w:t xml:space="preserve"> against a Pennsylvania dilution claim.</w:t>
      </w:r>
      <w:r w:rsidR="00BC54C2" w:rsidRPr="00BC54C2">
        <w:rPr>
          <w:vertAlign w:val="superscript"/>
        </w:rPr>
        <w:footnoteReference w:id="68"/>
      </w:r>
      <w:r w:rsidR="00BC54C2" w:rsidRPr="00BC54C2">
        <w:t xml:space="preserve"> </w:t>
      </w:r>
      <w:r w:rsidRPr="00BC54C2">
        <w:t xml:space="preserve">Under </w:t>
      </w:r>
      <w:r w:rsidR="00BC54C2" w:rsidRPr="00BC54C2">
        <w:rPr>
          <w:i/>
        </w:rPr>
        <w:t>Rogers</w:t>
      </w:r>
      <w:r w:rsidRPr="00BC54C2">
        <w:t xml:space="preserve">, an artistically relevant aspect of </w:t>
      </w:r>
      <w:proofErr w:type="gramStart"/>
      <w:r w:rsidRPr="00BC54C2">
        <w:t>an expressive</w:t>
      </w:r>
      <w:proofErr w:type="gramEnd"/>
      <w:r w:rsidRPr="00BC54C2">
        <w:t xml:space="preserve"> work will not be actionable as infringement if it is not explicitly misleading as to the source or content of the work</w:t>
      </w:r>
      <w:r w:rsidR="00BC54C2" w:rsidRPr="00BC54C2">
        <w:t>.</w:t>
      </w:r>
      <w:r w:rsidR="00BC54C2" w:rsidRPr="00BC54C2">
        <w:t xml:space="preserve"> </w:t>
      </w:r>
      <w:r w:rsidR="00BC54C2" w:rsidRPr="00BC54C2">
        <w:t>A</w:t>
      </w:r>
      <w:r w:rsidRPr="00BC54C2">
        <w:t xml:space="preserve">lthough the explicitly misleading factor seems out of place in a dilution claim, the court nevertheless found it applicable (the parties having conceded </w:t>
      </w:r>
      <w:proofErr w:type="gramStart"/>
      <w:r w:rsidRPr="00BC54C2">
        <w:t>its</w:t>
      </w:r>
      <w:proofErr w:type="gramEnd"/>
      <w:r w:rsidRPr="00BC54C2">
        <w:t xml:space="preserve"> applicability) and dismissed the dilution claim.</w:t>
      </w:r>
      <w:r w:rsidR="00BC54C2" w:rsidRPr="00BC54C2">
        <w:rPr>
          <w:vertAlign w:val="superscript"/>
        </w:rPr>
        <w:footnoteReference w:id="69"/>
      </w:r>
    </w:p>
    <w:p w14:paraId="2D64EFFD" w14:textId="35D82D6A" w:rsidR="00BC54C2" w:rsidRPr="00BC54C2" w:rsidRDefault="00BC54C2" w:rsidP="00BC54C2">
      <w:pPr>
        <w:pStyle w:val="BHead2"/>
      </w:pPr>
      <w:r>
        <w:t>4.II.</w:t>
      </w:r>
      <w:r w:rsidRPr="00BC54C2">
        <w:rPr>
          <w:rStyle w:val="BBNAidChar"/>
          <w:rFonts w:eastAsiaTheme="majorEastAsia"/>
        </w:rPr>
        <w:t>B</w:t>
      </w:r>
      <w:r w:rsidRPr="00BC54C2">
        <w:t>.</w:t>
      </w:r>
      <w:r>
        <w:t> </w:t>
      </w:r>
      <w:r w:rsidRPr="00BC54C2">
        <w:tab/>
        <w:t>Laches as a Defense to Dilution</w:t>
      </w:r>
    </w:p>
    <w:p w14:paraId="01F287C7" w14:textId="603FE607" w:rsidR="00BC54C2" w:rsidRPr="00BC54C2" w:rsidRDefault="00EC41EE" w:rsidP="00BC54C2">
      <w:pPr>
        <w:pStyle w:val="BNormal"/>
      </w:pPr>
      <w:r w:rsidRPr="00BC54C2">
        <w:t>Laches is a long-recognized defense to claims of all sorts, including intellectual property claims.</w:t>
      </w:r>
      <w:r w:rsidR="00BC54C2" w:rsidRPr="00BC54C2">
        <w:rPr>
          <w:vertAlign w:val="superscript"/>
        </w:rPr>
        <w:footnoteReference w:id="70"/>
      </w:r>
      <w:r w:rsidRPr="00BC54C2">
        <w:t xml:space="preserve"> There is no reason to exclude dilution claims from the operation of this defense, as courts have recognized.</w:t>
      </w:r>
      <w:r w:rsidR="00BC54C2" w:rsidRPr="00BC54C2">
        <w:rPr>
          <w:vertAlign w:val="superscript"/>
        </w:rPr>
        <w:footnoteReference w:id="71"/>
      </w:r>
      <w:r w:rsidRPr="00BC54C2">
        <w:t xml:space="preserve"> Under the FTDA, the TDRA, and most state laws, relief is made “subject to the principles of equity,”</w:t>
      </w:r>
      <w:r w:rsidR="00BC54C2" w:rsidRPr="00BC54C2">
        <w:rPr>
          <w:vertAlign w:val="superscript"/>
        </w:rPr>
        <w:footnoteReference w:id="72"/>
      </w:r>
      <w:r w:rsidRPr="00BC54C2">
        <w:t xml:space="preserve"> adding force to the notion that the equitable defense of laches is available to a defendant</w:t>
      </w:r>
      <w:r w:rsidR="00BC54C2" w:rsidRPr="00BC54C2">
        <w:t>.</w:t>
      </w:r>
      <w:r w:rsidR="00BC54C2" w:rsidRPr="00BC54C2">
        <w:t xml:space="preserve"> </w:t>
      </w:r>
      <w:r w:rsidR="00BC54C2" w:rsidRPr="00BC54C2">
        <w:t>U</w:t>
      </w:r>
      <w:r w:rsidRPr="00BC54C2">
        <w:t>nder the laws of several states, the only remedy is an injunction, which is an equitable remedy.</w:t>
      </w:r>
    </w:p>
    <w:p w14:paraId="17B0E466" w14:textId="4B3BA70A" w:rsidR="00BC54C2" w:rsidRPr="00BC54C2" w:rsidRDefault="00EC41EE" w:rsidP="00BC54C2">
      <w:pPr>
        <w:pStyle w:val="BNormal"/>
      </w:pPr>
      <w:r w:rsidRPr="00BC54C2">
        <w:t>Establishing a laches defense requires a showing of (1) an inexcusable delay on the plaintiff’s part in bringing the action and (2) prejudice to the defendant.</w:t>
      </w:r>
      <w:r w:rsidR="00BC54C2" w:rsidRPr="00BC54C2">
        <w:rPr>
          <w:vertAlign w:val="superscript"/>
        </w:rPr>
        <w:footnoteReference w:id="73"/>
      </w:r>
      <w:r w:rsidRPr="00BC54C2">
        <w:t xml:space="preserve"> In general, the operation of these factors will be the same in a dilution case as in any other case.</w:t>
      </w:r>
      <w:r w:rsidR="00BC54C2" w:rsidRPr="00BC54C2">
        <w:rPr>
          <w:vertAlign w:val="superscript"/>
        </w:rPr>
        <w:footnoteReference w:id="74"/>
      </w:r>
    </w:p>
    <w:p w14:paraId="335770D2" w14:textId="41531A24" w:rsidR="00BC54C2" w:rsidRPr="00BC54C2" w:rsidRDefault="00BC54C2" w:rsidP="00BC54C2">
      <w:pPr>
        <w:pStyle w:val="BHead1"/>
      </w:pPr>
      <w:r>
        <w:t>4.</w:t>
      </w:r>
      <w:r w:rsidRPr="00BC54C2">
        <w:rPr>
          <w:rStyle w:val="BBNAidChar"/>
          <w:rFonts w:eastAsiaTheme="majorEastAsia"/>
        </w:rPr>
        <w:t>III</w:t>
      </w:r>
      <w:r w:rsidRPr="00BC54C2">
        <w:t>.</w:t>
      </w:r>
      <w:r>
        <w:t xml:space="preserve">  </w:t>
      </w:r>
      <w:r w:rsidRPr="00BC54C2">
        <w:t>Preemption of State Dilution Laws</w:t>
      </w:r>
    </w:p>
    <w:p w14:paraId="1EF974EC" w14:textId="2C1EC0BB" w:rsidR="00BC54C2" w:rsidRPr="00BC54C2" w:rsidRDefault="00BC54C2" w:rsidP="00BC54C2">
      <w:pPr>
        <w:pStyle w:val="BHead2"/>
      </w:pPr>
      <w:r>
        <w:t>4.III.</w:t>
      </w:r>
      <w:r w:rsidRPr="00BC54C2">
        <w:rPr>
          <w:rStyle w:val="BBNAidChar"/>
          <w:rFonts w:eastAsiaTheme="majorEastAsia"/>
        </w:rPr>
        <w:t>A</w:t>
      </w:r>
      <w:r w:rsidRPr="00BC54C2">
        <w:t>.</w:t>
      </w:r>
      <w:r>
        <w:t> </w:t>
      </w:r>
      <w:r w:rsidRPr="00BC54C2">
        <w:tab/>
        <w:t>Introduction</w:t>
      </w:r>
    </w:p>
    <w:p w14:paraId="25348B1E" w14:textId="5D19ADA9" w:rsidR="00BC54C2" w:rsidRPr="00BC54C2" w:rsidRDefault="00EC41EE" w:rsidP="00BC54C2">
      <w:pPr>
        <w:pStyle w:val="BNormal"/>
      </w:pPr>
      <w:r w:rsidRPr="00BC54C2">
        <w:t>It is black-letter law that any state statute or common-law principle that conflicts with federal statutory, treaty, or constitutional law is invalid under the Constitution’s Supremacy Clause.</w:t>
      </w:r>
      <w:r w:rsidR="00BC54C2" w:rsidRPr="00BC54C2">
        <w:rPr>
          <w:vertAlign w:val="superscript"/>
        </w:rPr>
        <w:footnoteReference w:id="75"/>
      </w:r>
      <w:r w:rsidRPr="00BC54C2">
        <w:t xml:space="preserve"> In the absence of an obvious conflict, however, determining whether a state statute or regulation conflicts with a federal statute or constitutional principle is often a rather nuanced task.</w:t>
      </w:r>
      <w:r w:rsidR="00BC54C2" w:rsidRPr="00BC54C2">
        <w:rPr>
          <w:vertAlign w:val="superscript"/>
        </w:rPr>
        <w:footnoteReference w:id="76"/>
      </w:r>
      <w:r w:rsidRPr="00BC54C2">
        <w:t xml:space="preserve"> State dilution laws operate against the background of several sources of federal law</w:t>
      </w:r>
      <w:r w:rsidR="00BC54C2" w:rsidRPr="00BC54C2">
        <w:t>:</w:t>
      </w:r>
      <w:r w:rsidR="00BC54C2" w:rsidRPr="00BC54C2">
        <w:t xml:space="preserve"> </w:t>
      </w:r>
      <w:r w:rsidR="00BC54C2" w:rsidRPr="00BC54C2">
        <w:t>t</w:t>
      </w:r>
      <w:r w:rsidRPr="00BC54C2">
        <w:t>he federal Lanham Act, which regulates trademark protection</w:t>
      </w:r>
      <w:r w:rsidR="00BC54C2" w:rsidRPr="00BC54C2">
        <w:t>;</w:t>
      </w:r>
      <w:r w:rsidR="00BC54C2" w:rsidRPr="00BC54C2">
        <w:t xml:space="preserve"> </w:t>
      </w:r>
      <w:r w:rsidR="00BC54C2" w:rsidRPr="00BC54C2">
        <w:t>o</w:t>
      </w:r>
      <w:r w:rsidRPr="00BC54C2">
        <w:t>ther federal intellectual property protections, most obviously including federal patent and copyright laws and the Patent and Copyright Clause of the Constitution;</w:t>
      </w:r>
      <w:r w:rsidR="00BC54C2" w:rsidRPr="00BC54C2">
        <w:rPr>
          <w:vertAlign w:val="superscript"/>
        </w:rPr>
        <w:footnoteReference w:id="77"/>
      </w:r>
      <w:r w:rsidRPr="00BC54C2">
        <w:t xml:space="preserve"> and the Commerce Clause of the Constitution,</w:t>
      </w:r>
      <w:r w:rsidR="00BC54C2" w:rsidRPr="00BC54C2">
        <w:rPr>
          <w:vertAlign w:val="superscript"/>
        </w:rPr>
        <w:footnoteReference w:id="78"/>
      </w:r>
      <w:r w:rsidRPr="00BC54C2">
        <w:t xml:space="preserve"> which empowers Congress to regulate interstate commerce, but which also can be used to preclude state regulation.</w:t>
      </w:r>
      <w:r w:rsidR="00BC54C2" w:rsidRPr="00BC54C2">
        <w:rPr>
          <w:vertAlign w:val="superscript"/>
        </w:rPr>
        <w:footnoteReference w:id="79"/>
      </w:r>
      <w:r w:rsidRPr="00BC54C2">
        <w:t xml:space="preserve"> This section discusses whether any of those laws or constitutional provisions preempts the operation of state dilution laws.</w:t>
      </w:r>
      <w:r w:rsidR="00BC54C2" w:rsidRPr="00BC54C2">
        <w:rPr>
          <w:vertAlign w:val="superscript"/>
        </w:rPr>
        <w:footnoteReference w:id="80"/>
      </w:r>
    </w:p>
    <w:p w14:paraId="3D9F2CAC" w14:textId="32D47DC2" w:rsidR="00BC54C2" w:rsidRPr="00BC54C2" w:rsidRDefault="00BC54C2" w:rsidP="00BC54C2">
      <w:pPr>
        <w:pStyle w:val="BHead2"/>
      </w:pPr>
      <w:r>
        <w:t>4.III.</w:t>
      </w:r>
      <w:r w:rsidRPr="00BC54C2">
        <w:rPr>
          <w:rStyle w:val="BBNAidChar"/>
          <w:rFonts w:eastAsiaTheme="majorEastAsia"/>
        </w:rPr>
        <w:t>B</w:t>
      </w:r>
      <w:r w:rsidRPr="00BC54C2">
        <w:t>.</w:t>
      </w:r>
      <w:r>
        <w:t> </w:t>
      </w:r>
      <w:r w:rsidRPr="00BC54C2">
        <w:tab/>
        <w:t>Basic Principles of Statutory Preemption</w:t>
      </w:r>
    </w:p>
    <w:p w14:paraId="3AD8317B" w14:textId="3D2824CE" w:rsidR="00BC54C2" w:rsidRPr="00BC54C2" w:rsidRDefault="00EC41EE" w:rsidP="00BC54C2">
      <w:pPr>
        <w:pStyle w:val="BNormal"/>
      </w:pPr>
      <w:r w:rsidRPr="00BC54C2">
        <w:t xml:space="preserve">Apart from the general concepts in the Supremacy Clause, the Supreme Court has identified </w:t>
      </w:r>
      <w:proofErr w:type="gramStart"/>
      <w:r w:rsidRPr="00BC54C2">
        <w:t>particular categories</w:t>
      </w:r>
      <w:proofErr w:type="gramEnd"/>
      <w:r w:rsidRPr="00BC54C2">
        <w:t xml:space="preserve"> of circumstances where federal statutes preempt state laws</w:t>
      </w:r>
      <w:r w:rsidR="00BC54C2" w:rsidRPr="00BC54C2">
        <w:t>.</w:t>
      </w:r>
      <w:r w:rsidR="00BC54C2" w:rsidRPr="00BC54C2">
        <w:t xml:space="preserve"> </w:t>
      </w:r>
      <w:r w:rsidR="00BC54C2" w:rsidRPr="00BC54C2">
        <w:t>F</w:t>
      </w:r>
      <w:r w:rsidRPr="00BC54C2">
        <w:t>irst, Congress can expressly preempt any state law as part of its statutory scheme</w:t>
      </w:r>
      <w:r w:rsidR="00BC54C2" w:rsidRPr="00BC54C2">
        <w:t>.</w:t>
      </w:r>
      <w:r w:rsidR="00BC54C2" w:rsidRPr="00BC54C2">
        <w:t xml:space="preserve"> </w:t>
      </w:r>
      <w:r w:rsidR="00BC54C2" w:rsidRPr="00BC54C2">
        <w:t>O</w:t>
      </w:r>
      <w:r w:rsidRPr="00BC54C2">
        <w:t xml:space="preserve">ne prominent example in the intellectual property area is Section 301 of the Copyright Act, which prevents states from granting protection that is </w:t>
      </w:r>
      <w:proofErr w:type="gramStart"/>
      <w:r w:rsidRPr="00BC54C2">
        <w:t>in the nature of a</w:t>
      </w:r>
      <w:proofErr w:type="gramEnd"/>
      <w:r w:rsidRPr="00BC54C2">
        <w:t xml:space="preserve"> copyright.</w:t>
      </w:r>
      <w:r w:rsidR="00BC54C2" w:rsidRPr="00BC54C2">
        <w:rPr>
          <w:vertAlign w:val="superscript"/>
        </w:rPr>
        <w:footnoteReference w:id="81"/>
      </w:r>
    </w:p>
    <w:p w14:paraId="77D795D5" w14:textId="3FCA48C6" w:rsidR="00BC54C2" w:rsidRPr="00BC54C2" w:rsidRDefault="00EC41EE" w:rsidP="00BC54C2">
      <w:pPr>
        <w:pStyle w:val="BNormal"/>
      </w:pPr>
      <w:r w:rsidRPr="00BC54C2">
        <w:t>Nothing in the federal trademark statutes (nor in the patent statutes) expressly preempts all state regulation</w:t>
      </w:r>
      <w:r w:rsidR="00BC54C2" w:rsidRPr="00BC54C2">
        <w:t>.</w:t>
      </w:r>
      <w:r w:rsidR="00BC54C2" w:rsidRPr="00BC54C2">
        <w:t xml:space="preserve"> </w:t>
      </w:r>
      <w:r w:rsidR="00BC54C2" w:rsidRPr="00BC54C2">
        <w:t>H</w:t>
      </w:r>
      <w:r w:rsidRPr="00BC54C2">
        <w:t>owever, this does not end the discussion</w:t>
      </w:r>
      <w:r w:rsidR="00BC54C2" w:rsidRPr="00BC54C2">
        <w:t>.</w:t>
      </w:r>
      <w:r w:rsidR="00BC54C2" w:rsidRPr="00BC54C2">
        <w:t xml:space="preserve"> </w:t>
      </w:r>
      <w:r w:rsidR="00BC54C2" w:rsidRPr="00BC54C2">
        <w:t>T</w:t>
      </w:r>
      <w:r w:rsidRPr="00BC54C2">
        <w:t>he Supreme Court has also “recognized at least two types of implied pre-emption</w:t>
      </w:r>
      <w:r w:rsidR="00BC54C2" w:rsidRPr="00BC54C2">
        <w:t>:</w:t>
      </w:r>
      <w:r w:rsidR="00BC54C2" w:rsidRPr="00BC54C2">
        <w:t xml:space="preserve"> </w:t>
      </w:r>
      <w:r w:rsidR="00BC54C2" w:rsidRPr="00BC54C2">
        <w:t>f</w:t>
      </w:r>
      <w:r w:rsidRPr="00BC54C2">
        <w:t>ield pre-emption</w:t>
      </w:r>
      <w:r w:rsidR="00BC54C2" w:rsidRPr="00BC54C2">
        <w:t xml:space="preserve"> </w:t>
      </w:r>
      <w:r w:rsidRPr="00BC54C2">
        <w:t>…</w:t>
      </w:r>
      <w:r w:rsidR="00BC54C2" w:rsidRPr="00BC54C2">
        <w:t xml:space="preserve"> </w:t>
      </w:r>
      <w:r w:rsidRPr="00BC54C2">
        <w:t>and conflict pre-emption</w:t>
      </w:r>
      <w:r w:rsidR="00BC54C2" w:rsidRPr="00BC54C2">
        <w:t>.</w:t>
      </w:r>
      <w:r w:rsidR="00BC54C2" w:rsidRPr="00BC54C2">
        <w:t xml:space="preserve"> </w:t>
      </w:r>
      <w:r w:rsidR="00BC54C2" w:rsidRPr="00BC54C2">
        <w:t>…</w:t>
      </w:r>
      <w:r w:rsidRPr="00BC54C2">
        <w:t>”</w:t>
      </w:r>
      <w:r w:rsidR="00BC54C2" w:rsidRPr="00BC54C2">
        <w:rPr>
          <w:vertAlign w:val="superscript"/>
        </w:rPr>
        <w:footnoteReference w:id="82"/>
      </w:r>
      <w:r w:rsidRPr="00BC54C2">
        <w:t xml:space="preserve"> Field preemption occurs when Congress’s regulatory scheme is so pervasive that it does not permit any state regulation of that area of law.</w:t>
      </w:r>
      <w:r w:rsidR="00BC54C2" w:rsidRPr="00BC54C2">
        <w:rPr>
          <w:vertAlign w:val="superscript"/>
        </w:rPr>
        <w:footnoteReference w:id="83"/>
      </w:r>
      <w:r w:rsidRPr="00BC54C2">
        <w:t xml:space="preserve"> Conflict preemption occurs where acting in compliance with the state regulation would conflict with obligations under the federal statute,</w:t>
      </w:r>
      <w:r w:rsidR="00BC54C2" w:rsidRPr="00BC54C2">
        <w:rPr>
          <w:vertAlign w:val="superscript"/>
        </w:rPr>
        <w:footnoteReference w:id="84"/>
      </w:r>
      <w:r w:rsidRPr="00BC54C2">
        <w:t xml:space="preserve"> or where the state law “stands as an obstacle to the accomplishment and execution of the full purposes and objectives of Congress.”</w:t>
      </w:r>
      <w:r w:rsidR="00BC54C2" w:rsidRPr="00BC54C2">
        <w:rPr>
          <w:vertAlign w:val="superscript"/>
        </w:rPr>
        <w:footnoteReference w:id="85"/>
      </w:r>
    </w:p>
    <w:p w14:paraId="11B84096" w14:textId="437C7581" w:rsidR="00BC54C2" w:rsidRPr="00BC54C2" w:rsidRDefault="00EC41EE" w:rsidP="00BC54C2">
      <w:pPr>
        <w:pStyle w:val="BNormal"/>
      </w:pPr>
      <w:r w:rsidRPr="00BC54C2">
        <w:t>On the other side of the equation, the Court also has asserted that congressional preemption is not to be presumed, but rather, in the absence of clear direction, it should be assumed that Congress did not intend to preempt state law.</w:t>
      </w:r>
      <w:r w:rsidR="00BC54C2" w:rsidRPr="00BC54C2">
        <w:rPr>
          <w:vertAlign w:val="superscript"/>
        </w:rPr>
        <w:footnoteReference w:id="86"/>
      </w:r>
      <w:r w:rsidRPr="00BC54C2">
        <w:t xml:space="preserve"> In the final analysis, it is the intent of Congress that must govern.</w:t>
      </w:r>
      <w:r w:rsidR="00BC54C2" w:rsidRPr="00BC54C2">
        <w:rPr>
          <w:vertAlign w:val="superscript"/>
        </w:rPr>
        <w:footnoteReference w:id="87"/>
      </w:r>
    </w:p>
    <w:p w14:paraId="2BCBF441" w14:textId="1CE93B51" w:rsidR="00BC54C2" w:rsidRPr="00BC54C2" w:rsidRDefault="00BC54C2" w:rsidP="00BC54C2">
      <w:pPr>
        <w:pStyle w:val="BHead2"/>
      </w:pPr>
      <w:r>
        <w:t>4.III.</w:t>
      </w:r>
      <w:r w:rsidRPr="00BC54C2">
        <w:rPr>
          <w:rStyle w:val="BBNAidChar"/>
          <w:rFonts w:eastAsiaTheme="majorEastAsia"/>
        </w:rPr>
        <w:t>C</w:t>
      </w:r>
      <w:r w:rsidRPr="00BC54C2">
        <w:t>.</w:t>
      </w:r>
      <w:r>
        <w:t> </w:t>
      </w:r>
      <w:r w:rsidRPr="00BC54C2">
        <w:tab/>
        <w:t>Preemption of State Dilution Laws by Federal Statutes</w:t>
      </w:r>
    </w:p>
    <w:p w14:paraId="42A8B583" w14:textId="3A9562F9" w:rsidR="00BC54C2" w:rsidRPr="00BC54C2" w:rsidRDefault="00BC54C2" w:rsidP="00BC54C2">
      <w:pPr>
        <w:pStyle w:val="BHead3"/>
      </w:pPr>
      <w:proofErr w:type="gramStart"/>
      <w:r>
        <w:t>4.III.C.</w:t>
      </w:r>
      <w:proofErr w:type="gramEnd"/>
      <w:r w:rsidRPr="00BC54C2">
        <w:rPr>
          <w:rStyle w:val="BBNAidChar"/>
          <w:rFonts w:eastAsiaTheme="majorEastAsia"/>
        </w:rPr>
        <w:t>1</w:t>
      </w:r>
      <w:r w:rsidRPr="00BC54C2">
        <w:t>.</w:t>
      </w:r>
      <w:r>
        <w:t> </w:t>
      </w:r>
      <w:r w:rsidRPr="00BC54C2">
        <w:tab/>
        <w:t>The Lanham Act</w:t>
      </w:r>
    </w:p>
    <w:p w14:paraId="13D0B204" w14:textId="65431EFF" w:rsidR="00BC54C2" w:rsidRPr="00BC54C2" w:rsidRDefault="00EC41EE" w:rsidP="00BC54C2">
      <w:pPr>
        <w:pStyle w:val="BNormal"/>
      </w:pPr>
      <w:r w:rsidRPr="00BC54C2">
        <w:t xml:space="preserve">Before the enactment of the FTDA, the issue of whether the Lanham Act preempted state dilution laws </w:t>
      </w:r>
      <w:proofErr w:type="gramStart"/>
      <w:r w:rsidRPr="00BC54C2">
        <w:t>was</w:t>
      </w:r>
      <w:proofErr w:type="gramEnd"/>
      <w:r w:rsidRPr="00BC54C2">
        <w:t xml:space="preserve"> debated by commentators</w:t>
      </w:r>
      <w:r w:rsidR="00BC54C2" w:rsidRPr="00BC54C2">
        <w:rPr>
          <w:vertAlign w:val="superscript"/>
        </w:rPr>
        <w:footnoteReference w:id="88"/>
      </w:r>
      <w:r w:rsidRPr="00BC54C2">
        <w:t xml:space="preserve"> and courts.</w:t>
      </w:r>
      <w:r w:rsidR="00BC54C2" w:rsidRPr="00BC54C2">
        <w:rPr>
          <w:vertAlign w:val="superscript"/>
        </w:rPr>
        <w:footnoteReference w:id="89"/>
      </w:r>
      <w:r w:rsidRPr="00BC54C2">
        <w:t xml:space="preserve"> Generally, preemption claims were rejected</w:t>
      </w:r>
      <w:r w:rsidR="00BC54C2" w:rsidRPr="00BC54C2">
        <w:t>.</w:t>
      </w:r>
      <w:r w:rsidR="00BC54C2" w:rsidRPr="00BC54C2">
        <w:t xml:space="preserve"> </w:t>
      </w:r>
      <w:r w:rsidR="00BC54C2" w:rsidRPr="00BC54C2">
        <w:t>T</w:t>
      </w:r>
      <w:r w:rsidRPr="00BC54C2">
        <w:t>he FTDA and TDRA have changed the landscape somewhat, with (1) a narrow express preemption provision</w:t>
      </w:r>
      <w:r w:rsidR="00BC54C2" w:rsidRPr="00BC54C2">
        <w:rPr>
          <w:vertAlign w:val="superscript"/>
        </w:rPr>
        <w:footnoteReference w:id="90"/>
      </w:r>
      <w:r w:rsidRPr="00BC54C2">
        <w:t xml:space="preserve"> and (2) legislative history indicating that Congress did not intend generally to preempt state laws.</w:t>
      </w:r>
      <w:r w:rsidR="00BC54C2" w:rsidRPr="00BC54C2">
        <w:rPr>
          <w:vertAlign w:val="superscript"/>
        </w:rPr>
        <w:footnoteReference w:id="91"/>
      </w:r>
      <w:r w:rsidRPr="00BC54C2">
        <w:t xml:space="preserve"> Nevertheless, there is some room left for debate, because Congress did not definitively state, </w:t>
      </w:r>
      <w:r w:rsidR="00BC54C2" w:rsidRPr="00BC54C2">
        <w:rPr>
          <w:i/>
        </w:rPr>
        <w:t>in the statute</w:t>
      </w:r>
      <w:r w:rsidRPr="00BC54C2">
        <w:t>, its complete intentions.</w:t>
      </w:r>
    </w:p>
    <w:p w14:paraId="5BE2D3FB" w14:textId="1002CE6A" w:rsidR="00BC54C2" w:rsidRPr="00BC54C2" w:rsidRDefault="00BC54C2" w:rsidP="00BC54C2">
      <w:pPr>
        <w:pStyle w:val="BHead4"/>
      </w:pPr>
      <w:r>
        <w:t>4.III.C.1.</w:t>
      </w:r>
      <w:r w:rsidRPr="00BC54C2">
        <w:rPr>
          <w:rStyle w:val="BBNAidChar"/>
          <w:rFonts w:eastAsiaTheme="majorEastAsia"/>
        </w:rPr>
        <w:t>a</w:t>
      </w:r>
      <w:r w:rsidRPr="00BC54C2">
        <w:t>.</w:t>
      </w:r>
      <w:r>
        <w:t> </w:t>
      </w:r>
      <w:r w:rsidRPr="00BC54C2">
        <w:tab/>
        <w:t>The Federal Registration Defense in the TDRA</w:t>
      </w:r>
    </w:p>
    <w:p w14:paraId="30E71229" w14:textId="054890F1" w:rsidR="00BC54C2" w:rsidRPr="00BC54C2" w:rsidRDefault="00EC41EE" w:rsidP="00BC54C2">
      <w:pPr>
        <w:pStyle w:val="BNormal"/>
      </w:pPr>
      <w:r w:rsidRPr="00BC54C2">
        <w:t>The TDRA, like the FTDA, contains an express preemption provision, but it is a limited one</w:t>
      </w:r>
      <w:r w:rsidR="00BC54C2" w:rsidRPr="00BC54C2">
        <w:t>.</w:t>
      </w:r>
      <w:r w:rsidR="00BC54C2" w:rsidRPr="00BC54C2">
        <w:t xml:space="preserve"> </w:t>
      </w:r>
      <w:r w:rsidR="00BC54C2" w:rsidRPr="00BC54C2">
        <w:t>S</w:t>
      </w:r>
      <w:r w:rsidRPr="00BC54C2">
        <w:t xml:space="preserve">ection 43(c)(6) bars any state </w:t>
      </w:r>
      <w:proofErr w:type="gramStart"/>
      <w:r w:rsidRPr="00BC54C2">
        <w:t>common-law</w:t>
      </w:r>
      <w:proofErr w:type="gramEnd"/>
      <w:r w:rsidRPr="00BC54C2">
        <w:t xml:space="preserve"> or statutory dilution action against a mark registered under the Lanham Act on the </w:t>
      </w:r>
      <w:r w:rsidR="00BC54C2" w:rsidRPr="00BC54C2">
        <w:rPr>
          <w:i/>
        </w:rPr>
        <w:t xml:space="preserve">principal </w:t>
      </w:r>
      <w:r w:rsidRPr="00BC54C2">
        <w:t>register.</w:t>
      </w:r>
      <w:r w:rsidR="00BC54C2" w:rsidRPr="00BC54C2">
        <w:rPr>
          <w:vertAlign w:val="superscript"/>
        </w:rPr>
        <w:footnoteReference w:id="92"/>
      </w:r>
      <w:r w:rsidRPr="00BC54C2">
        <w:t xml:space="preserve"> This defense was contained in the original FTDA</w:t>
      </w:r>
      <w:r w:rsidR="00BC54C2" w:rsidRPr="00BC54C2">
        <w:rPr>
          <w:vertAlign w:val="superscript"/>
        </w:rPr>
        <w:footnoteReference w:id="93"/>
      </w:r>
      <w:r w:rsidRPr="00BC54C2">
        <w:t>, and it has been continued in substance (though with changes in wording) by the TDRA</w:t>
      </w:r>
      <w:r w:rsidR="00BC54C2" w:rsidRPr="00BC54C2">
        <w:t>.</w:t>
      </w:r>
      <w:r w:rsidR="00BC54C2" w:rsidRPr="00BC54C2">
        <w:t xml:space="preserve"> </w:t>
      </w:r>
      <w:r w:rsidR="00BC54C2" w:rsidRPr="00BC54C2">
        <w:t>O</w:t>
      </w:r>
      <w:r w:rsidRPr="00BC54C2">
        <w:t xml:space="preserve">riginally, the status of a </w:t>
      </w:r>
      <w:proofErr w:type="spellStart"/>
      <w:r w:rsidRPr="00BC54C2">
        <w:t>tarnishment</w:t>
      </w:r>
      <w:proofErr w:type="spellEnd"/>
      <w:r w:rsidRPr="00BC54C2">
        <w:t xml:space="preserve"> action was unclear where the action was brought pursuant to those state laws containing language that protects against “injury to business reputation” in addition to “dilution of the distinctiveness of a mark.” (Most likely, Congress intended that such actions be preempted as well, especially since the legislative history indicates that Congress believed that </w:t>
      </w:r>
      <w:proofErr w:type="spellStart"/>
      <w:r w:rsidRPr="00BC54C2">
        <w:t>tarnishment</w:t>
      </w:r>
      <w:proofErr w:type="spellEnd"/>
      <w:r w:rsidRPr="00BC54C2">
        <w:t xml:space="preserve"> actions were a subset of dilution actions.</w:t>
      </w:r>
      <w:r w:rsidR="00BC54C2" w:rsidRPr="00BC54C2">
        <w:rPr>
          <w:vertAlign w:val="superscript"/>
        </w:rPr>
        <w:footnoteReference w:id="94"/>
      </w:r>
      <w:r w:rsidRPr="00BC54C2">
        <w:t>)</w:t>
      </w:r>
    </w:p>
    <w:p w14:paraId="4CC770BD" w14:textId="2AAEA1BE" w:rsidR="00BC54C2" w:rsidRPr="00BC54C2" w:rsidRDefault="00EC41EE" w:rsidP="00BC54C2">
      <w:pPr>
        <w:pStyle w:val="BNormal"/>
      </w:pPr>
      <w:r w:rsidRPr="00BC54C2">
        <w:t xml:space="preserve">The TDRA reworded the section to include state law claims that “seek[] to prevent dilution by blurring or dilution by </w:t>
      </w:r>
      <w:proofErr w:type="spellStart"/>
      <w:r w:rsidRPr="00BC54C2">
        <w:t>tarnishment</w:t>
      </w:r>
      <w:proofErr w:type="spellEnd"/>
      <w:r w:rsidRPr="00BC54C2">
        <w:t>.”</w:t>
      </w:r>
      <w:r w:rsidR="00BC54C2" w:rsidRPr="00BC54C2">
        <w:rPr>
          <w:vertAlign w:val="superscript"/>
        </w:rPr>
        <w:footnoteReference w:id="95"/>
      </w:r>
      <w:r w:rsidRPr="00BC54C2">
        <w:t xml:space="preserve"> Although it does not use the words “injury to business reputation,” the definition of “dilution by </w:t>
      </w:r>
      <w:proofErr w:type="spellStart"/>
      <w:r w:rsidRPr="00BC54C2">
        <w:t>tarnishment</w:t>
      </w:r>
      <w:proofErr w:type="spellEnd"/>
      <w:r w:rsidRPr="00BC54C2">
        <w:t>” contained in the amended federal statute makes clear that those claims are included.</w:t>
      </w:r>
      <w:r w:rsidR="00BC54C2" w:rsidRPr="00BC54C2">
        <w:rPr>
          <w:vertAlign w:val="superscript"/>
        </w:rPr>
        <w:footnoteReference w:id="96"/>
      </w:r>
      <w:r w:rsidRPr="00BC54C2">
        <w:t xml:space="preserve"> Still unclear is the status of marks registered after the first mark (a well-known one) became “distinctive” within the meaning of state dilution laws</w:t>
      </w:r>
      <w:r w:rsidR="00BC54C2" w:rsidRPr="00BC54C2">
        <w:t>.</w:t>
      </w:r>
      <w:r w:rsidR="00BC54C2" w:rsidRPr="00BC54C2">
        <w:t xml:space="preserve"> </w:t>
      </w:r>
      <w:r w:rsidR="00BC54C2" w:rsidRPr="00BC54C2">
        <w:t>T</w:t>
      </w:r>
      <w:r w:rsidRPr="00BC54C2">
        <w:t xml:space="preserve">he plain language of the federal statute appears to bar a state dilution claim </w:t>
      </w:r>
      <w:proofErr w:type="gramStart"/>
      <w:r w:rsidRPr="00BC54C2">
        <w:t>as long as</w:t>
      </w:r>
      <w:proofErr w:type="gramEnd"/>
      <w:r w:rsidRPr="00BC54C2">
        <w:t xml:space="preserve"> the defendant’s mark is registered prior to the bringing of the claim, no matter when that occurred.</w:t>
      </w:r>
      <w:r w:rsidR="00BC54C2" w:rsidRPr="00BC54C2">
        <w:rPr>
          <w:vertAlign w:val="superscript"/>
        </w:rPr>
        <w:footnoteReference w:id="97"/>
      </w:r>
      <w:r w:rsidRPr="00BC54C2">
        <w:t xml:space="preserve"> But the legislative history is not clear as to what result was intended by Congress.</w:t>
      </w:r>
    </w:p>
    <w:p w14:paraId="2A419699" w14:textId="5018483C" w:rsidR="00BC54C2" w:rsidRPr="00BC54C2" w:rsidRDefault="00EC41EE" w:rsidP="00BC54C2">
      <w:pPr>
        <w:pStyle w:val="BNormal"/>
      </w:pPr>
      <w:r w:rsidRPr="00BC54C2">
        <w:t>The registration defense recognizes the supremacy of federal law as well as the equitable principle that a federal registrant ought to be able to rest assured that its registration will not be effectively defeated by a state dilution claim</w:t>
      </w:r>
      <w:r w:rsidR="00BC54C2" w:rsidRPr="00BC54C2">
        <w:t>.</w:t>
      </w:r>
      <w:r w:rsidR="00BC54C2" w:rsidRPr="00BC54C2">
        <w:t xml:space="preserve"> </w:t>
      </w:r>
      <w:r w:rsidR="00BC54C2" w:rsidRPr="00BC54C2">
        <w:t>T</w:t>
      </w:r>
      <w:r w:rsidRPr="00BC54C2">
        <w:t>he defense also serves to encourage federal registration</w:t>
      </w:r>
      <w:r w:rsidR="00BC54C2" w:rsidRPr="00BC54C2">
        <w:t>.</w:t>
      </w:r>
      <w:r w:rsidR="00BC54C2" w:rsidRPr="00BC54C2">
        <w:t xml:space="preserve"> </w:t>
      </w:r>
      <w:r w:rsidR="00BC54C2" w:rsidRPr="00BC54C2">
        <w:t>H</w:t>
      </w:r>
      <w:r w:rsidRPr="00BC54C2">
        <w:t>owever, the mere existence of a federal registration is not conclusive</w:t>
      </w:r>
      <w:r w:rsidR="00BC54C2" w:rsidRPr="00BC54C2">
        <w:t>.</w:t>
      </w:r>
      <w:r w:rsidR="00BC54C2" w:rsidRPr="00BC54C2">
        <w:t xml:space="preserve"> </w:t>
      </w:r>
      <w:r w:rsidR="00BC54C2" w:rsidRPr="00BC54C2">
        <w:t>A</w:t>
      </w:r>
      <w:r w:rsidRPr="00BC54C2">
        <w:t xml:space="preserve"> state-law claimant can attack the validity of the registration, if it is not yet incontestable, or seek to show that the registered mark is generic, for example.</w:t>
      </w:r>
      <w:r w:rsidR="00BC54C2" w:rsidRPr="00BC54C2">
        <w:rPr>
          <w:vertAlign w:val="superscript"/>
        </w:rPr>
        <w:footnoteReference w:id="98"/>
      </w:r>
    </w:p>
    <w:p w14:paraId="03DBD723" w14:textId="38070535" w:rsidR="00BC54C2" w:rsidRPr="00BC54C2" w:rsidRDefault="00EC41EE" w:rsidP="00BC54C2">
      <w:pPr>
        <w:pStyle w:val="BNormal"/>
      </w:pPr>
      <w:r w:rsidRPr="00BC54C2">
        <w:t>However, at least one court has held that a mere claim for cancellation of a registered mark does not avoid the bar of Section 43(c)(6).</w:t>
      </w:r>
      <w:r w:rsidR="00BC54C2" w:rsidRPr="00BC54C2">
        <w:rPr>
          <w:vertAlign w:val="superscript"/>
        </w:rPr>
        <w:footnoteReference w:id="99"/>
      </w:r>
      <w:r w:rsidR="00BC54C2" w:rsidRPr="00BC54C2">
        <w:t xml:space="preserve"> </w:t>
      </w:r>
      <w:r w:rsidRPr="00BC54C2">
        <w:t>The court reasoned that the provision applies to any registration that is valid “at the time the suit is filed,”</w:t>
      </w:r>
      <w:r w:rsidR="00BC54C2" w:rsidRPr="00BC54C2">
        <w:rPr>
          <w:vertAlign w:val="superscript"/>
        </w:rPr>
        <w:footnoteReference w:id="100"/>
      </w:r>
      <w:r w:rsidRPr="00BC54C2">
        <w:t xml:space="preserve"> indicating that a contrary position would make it too easy to avoid the bar.</w:t>
      </w:r>
    </w:p>
    <w:p w14:paraId="58DEC258" w14:textId="63E3E28A" w:rsidR="00BC54C2" w:rsidRPr="00BC54C2" w:rsidRDefault="00EC41EE" w:rsidP="00BC54C2">
      <w:pPr>
        <w:pStyle w:val="BNormal"/>
      </w:pPr>
      <w:r w:rsidRPr="00BC54C2">
        <w:t>When the TDRA was enacted, the reworded defense contained a drafting oddity</w:t>
      </w:r>
      <w:r w:rsidR="00BC54C2" w:rsidRPr="00BC54C2">
        <w:t>.</w:t>
      </w:r>
      <w:r w:rsidR="00BC54C2" w:rsidRPr="00BC54C2">
        <w:t xml:space="preserve"> </w:t>
      </w:r>
      <w:r w:rsidR="00BC54C2" w:rsidRPr="00BC54C2">
        <w:t>T</w:t>
      </w:r>
      <w:r w:rsidRPr="00BC54C2">
        <w:t>he 2006 TDRA version of this subsection read as follows:</w:t>
      </w:r>
    </w:p>
    <w:p w14:paraId="4A6815C2" w14:textId="7EE93136" w:rsidR="00BC54C2" w:rsidRPr="00BC54C2" w:rsidRDefault="00EC41EE" w:rsidP="00BC54C2">
      <w:pPr>
        <w:pStyle w:val="BQuotelong"/>
      </w:pPr>
      <w:r w:rsidRPr="00BC54C2">
        <w:t>The ownership by a person of a valid registration under the Act of March 3, 1881, or the Act of February 20, 1905, or on the principal register under this chapter shall be a complete bar to an action against that person, with respect to that mark, that—</w:t>
      </w:r>
    </w:p>
    <w:p w14:paraId="4650FB08" w14:textId="5311CEF1" w:rsidR="00BC54C2" w:rsidRPr="00BC54C2" w:rsidRDefault="00EC41EE" w:rsidP="0011736D">
      <w:pPr>
        <w:pStyle w:val="BListitemorig"/>
        <w:ind w:left="1440"/>
      </w:pPr>
      <w:r w:rsidRPr="00BC54C2">
        <w:t>(A)(</w:t>
      </w:r>
      <w:proofErr w:type="spellStart"/>
      <w:r w:rsidRPr="00BC54C2">
        <w:t>i</w:t>
      </w:r>
      <w:proofErr w:type="spellEnd"/>
      <w:r w:rsidRPr="00BC54C2">
        <w:t>) is brought by another person under the common law or a statute of a State</w:t>
      </w:r>
      <w:r w:rsidR="00BC54C2" w:rsidRPr="00BC54C2">
        <w:t>;</w:t>
      </w:r>
      <w:r w:rsidR="00BC54C2" w:rsidRPr="00BC54C2">
        <w:t xml:space="preserve"> </w:t>
      </w:r>
      <w:r w:rsidR="00BC54C2" w:rsidRPr="00BC54C2">
        <w:t>a</w:t>
      </w:r>
      <w:r w:rsidRPr="00BC54C2">
        <w:t>nd</w:t>
      </w:r>
    </w:p>
    <w:p w14:paraId="49CA563B" w14:textId="6D3CC3CC" w:rsidR="00BC54C2" w:rsidRPr="00BC54C2" w:rsidRDefault="00EC41EE" w:rsidP="0011736D">
      <w:pPr>
        <w:pStyle w:val="BListitemorig"/>
        <w:ind w:left="1800"/>
      </w:pPr>
      <w:r w:rsidRPr="00BC54C2">
        <w:t xml:space="preserve">(ii) seeks to prevent dilution by blurring or dilution by </w:t>
      </w:r>
      <w:proofErr w:type="spellStart"/>
      <w:r w:rsidRPr="00BC54C2">
        <w:t>tarnishment</w:t>
      </w:r>
      <w:proofErr w:type="spellEnd"/>
      <w:r w:rsidR="00BC54C2" w:rsidRPr="00BC54C2">
        <w:t>;</w:t>
      </w:r>
      <w:r w:rsidR="00BC54C2" w:rsidRPr="00BC54C2">
        <w:t xml:space="preserve"> </w:t>
      </w:r>
      <w:r w:rsidR="00BC54C2" w:rsidRPr="00BC54C2">
        <w:t>o</w:t>
      </w:r>
      <w:r w:rsidRPr="00BC54C2">
        <w:t>r</w:t>
      </w:r>
    </w:p>
    <w:p w14:paraId="24976DBE" w14:textId="4F30578E" w:rsidR="00BC54C2" w:rsidRPr="00BC54C2" w:rsidRDefault="00EC41EE" w:rsidP="0011736D">
      <w:pPr>
        <w:pStyle w:val="BListitemorig"/>
        <w:ind w:left="1440"/>
      </w:pPr>
      <w:r w:rsidRPr="00BC54C2">
        <w:t>(B) asserts any claim of actual or likely damage or harm to the distinctiveness or reputation of a mark, label, or form of advertisement.</w:t>
      </w:r>
    </w:p>
    <w:p w14:paraId="7C717963" w14:textId="21EEE156" w:rsidR="00BC54C2" w:rsidRPr="00BC54C2" w:rsidRDefault="00EC41EE" w:rsidP="00BC54C2">
      <w:pPr>
        <w:pStyle w:val="BNormal"/>
      </w:pPr>
      <w:r w:rsidRPr="00BC54C2">
        <w:t>In this version, subsection 43(c)(6)(A) specifically referred to actions brought under state law claiming dilution</w:t>
      </w:r>
      <w:r w:rsidR="00BC54C2" w:rsidRPr="00BC54C2">
        <w:t>.</w:t>
      </w:r>
      <w:r w:rsidR="00BC54C2" w:rsidRPr="00BC54C2">
        <w:t xml:space="preserve"> </w:t>
      </w:r>
      <w:r w:rsidR="00BC54C2" w:rsidRPr="00BC54C2">
        <w:t>H</w:t>
      </w:r>
      <w:r w:rsidRPr="00BC54C2">
        <w:t>owever, subsection</w:t>
      </w:r>
      <w:r w:rsidR="0011736D">
        <w:t xml:space="preserve"> </w:t>
      </w:r>
      <w:r w:rsidRPr="00BC54C2">
        <w:t>43(c)(6)(B) did not contain that limitation</w:t>
      </w:r>
      <w:r w:rsidR="00BC54C2" w:rsidRPr="00BC54C2">
        <w:t>.</w:t>
      </w:r>
      <w:r w:rsidR="00BC54C2" w:rsidRPr="00BC54C2">
        <w:t xml:space="preserve"> </w:t>
      </w:r>
      <w:r w:rsidR="00BC54C2" w:rsidRPr="00BC54C2">
        <w:t>T</w:t>
      </w:r>
      <w:r w:rsidRPr="00BC54C2">
        <w:t xml:space="preserve">hus, one could have argued that </w:t>
      </w:r>
      <w:r w:rsidR="00BC54C2" w:rsidRPr="00BC54C2">
        <w:rPr>
          <w:i/>
        </w:rPr>
        <w:t>any</w:t>
      </w:r>
      <w:r w:rsidRPr="00BC54C2">
        <w:t xml:space="preserve"> dilution claim, state or federal, was barred if asserted against a federally registered mark</w:t>
      </w:r>
      <w:r w:rsidR="00BC54C2" w:rsidRPr="00BC54C2">
        <w:t>.</w:t>
      </w:r>
      <w:r w:rsidR="00BC54C2" w:rsidRPr="00BC54C2">
        <w:t xml:space="preserve"> </w:t>
      </w:r>
      <w:r w:rsidR="00BC54C2" w:rsidRPr="00BC54C2">
        <w:t>A</w:t>
      </w:r>
      <w:r w:rsidRPr="00BC54C2">
        <w:t>nd, in fact, the Trademark Trial and Appeal Board so held.</w:t>
      </w:r>
      <w:r w:rsidR="00BC54C2" w:rsidRPr="00BC54C2">
        <w:rPr>
          <w:vertAlign w:val="superscript"/>
        </w:rPr>
        <w:footnoteReference w:id="101"/>
      </w:r>
      <w:r w:rsidRPr="00BC54C2">
        <w:t xml:space="preserve"> This, evidently, was not what Congress intended, although it was six years before this wording was changed</w:t>
      </w:r>
      <w:r w:rsidR="00BC54C2" w:rsidRPr="00BC54C2">
        <w:t>.</w:t>
      </w:r>
      <w:r w:rsidR="00BC54C2" w:rsidRPr="00BC54C2">
        <w:t xml:space="preserve"> </w:t>
      </w:r>
      <w:r w:rsidR="00BC54C2" w:rsidRPr="00BC54C2">
        <w:t>I</w:t>
      </w:r>
      <w:r w:rsidRPr="00BC54C2">
        <w:t>n 2012, asserting that the original TDRA language was a drafting error, Congress amended this subsection</w:t>
      </w:r>
      <w:r w:rsidR="00BC54C2" w:rsidRPr="00BC54C2">
        <w:t>.</w:t>
      </w:r>
      <w:r w:rsidR="00BC54C2" w:rsidRPr="00BC54C2">
        <w:t xml:space="preserve"> </w:t>
      </w:r>
      <w:r w:rsidR="00BC54C2" w:rsidRPr="00BC54C2">
        <w:t>T</w:t>
      </w:r>
      <w:r w:rsidRPr="00BC54C2">
        <w:t>he current version of the statute makes clear that federal registration only bars dilution claims brought under state law against the owner of the registered mark, not federal law.</w:t>
      </w:r>
      <w:r w:rsidR="00BC54C2" w:rsidRPr="00BC54C2">
        <w:rPr>
          <w:vertAlign w:val="superscript"/>
        </w:rPr>
        <w:footnoteReference w:id="102"/>
      </w:r>
    </w:p>
    <w:p w14:paraId="58780155" w14:textId="4652C1EE" w:rsidR="00BC54C2" w:rsidRPr="00BC54C2" w:rsidRDefault="00EC41EE" w:rsidP="00BC54C2">
      <w:pPr>
        <w:pStyle w:val="BNormal"/>
      </w:pPr>
      <w:r w:rsidRPr="00BC54C2">
        <w:t>In any event, the preemptive effect of Section 43(c)(6) is limited</w:t>
      </w:r>
      <w:r w:rsidR="00BC54C2" w:rsidRPr="00BC54C2">
        <w:t>.</w:t>
      </w:r>
      <w:r w:rsidR="00BC54C2" w:rsidRPr="00BC54C2">
        <w:t xml:space="preserve"> </w:t>
      </w:r>
      <w:r w:rsidR="00BC54C2" w:rsidRPr="00BC54C2">
        <w:t>I</w:t>
      </w:r>
      <w:r w:rsidRPr="00BC54C2">
        <w:t xml:space="preserve">t does </w:t>
      </w:r>
      <w:proofErr w:type="gramStart"/>
      <w:r w:rsidRPr="00BC54C2">
        <w:t>not purport to</w:t>
      </w:r>
      <w:proofErr w:type="gramEnd"/>
      <w:r w:rsidRPr="00BC54C2">
        <w:t xml:space="preserve"> preempt state dilution actions generally against nonregistered marks.</w:t>
      </w:r>
    </w:p>
    <w:p w14:paraId="72C065B7" w14:textId="56B577D2" w:rsidR="00BC54C2" w:rsidRPr="00BC54C2" w:rsidRDefault="00BC54C2" w:rsidP="00BC54C2">
      <w:pPr>
        <w:pStyle w:val="BHead4"/>
      </w:pPr>
      <w:r>
        <w:t>4.III.C.1.</w:t>
      </w:r>
      <w:r w:rsidRPr="00BC54C2">
        <w:rPr>
          <w:rStyle w:val="BBNAidChar"/>
          <w:rFonts w:eastAsiaTheme="majorEastAsia"/>
        </w:rPr>
        <w:t>b</w:t>
      </w:r>
      <w:r w:rsidRPr="00BC54C2">
        <w:t>.</w:t>
      </w:r>
      <w:r>
        <w:t> </w:t>
      </w:r>
      <w:r w:rsidRPr="00BC54C2">
        <w:tab/>
        <w:t>Lanham Act Preemption Generally</w:t>
      </w:r>
    </w:p>
    <w:p w14:paraId="08D7447A" w14:textId="23B6453B" w:rsidR="00BC54C2" w:rsidRPr="00BC54C2" w:rsidRDefault="00EC41EE" w:rsidP="0011736D">
      <w:pPr>
        <w:pStyle w:val="BNormal"/>
      </w:pPr>
      <w:r w:rsidRPr="00BC54C2">
        <w:t xml:space="preserve">There are </w:t>
      </w:r>
      <w:proofErr w:type="gramStart"/>
      <w:r w:rsidRPr="00BC54C2">
        <w:t>a number of</w:t>
      </w:r>
      <w:proofErr w:type="gramEnd"/>
      <w:r w:rsidRPr="00BC54C2">
        <w:t xml:space="preserve"> cogent arguments in support of the proposition that state dilution laws are not generally preempted by the Lanham Act</w:t>
      </w:r>
      <w:r w:rsidR="00BC54C2" w:rsidRPr="00BC54C2">
        <w:t>.</w:t>
      </w:r>
      <w:r w:rsidR="00BC54C2" w:rsidRPr="00BC54C2">
        <w:t xml:space="preserve"> </w:t>
      </w:r>
      <w:r w:rsidR="00BC54C2" w:rsidRPr="00BC54C2">
        <w:t>F</w:t>
      </w:r>
      <w:r w:rsidRPr="00BC54C2">
        <w:t>irst, the legislative history of the FTDA indicates that Congress was aware of the independent operation of state dilution laws and approved of their continued existence</w:t>
      </w:r>
      <w:r w:rsidR="00BC54C2" w:rsidRPr="00BC54C2">
        <w:t>.</w:t>
      </w:r>
      <w:r w:rsidR="00BC54C2" w:rsidRPr="00BC54C2">
        <w:t xml:space="preserve"> </w:t>
      </w:r>
      <w:r w:rsidR="00BC54C2" w:rsidRPr="00BC54C2">
        <w:t>T</w:t>
      </w:r>
      <w:r w:rsidRPr="00BC54C2">
        <w:t>he House Judiciary Committee Report on the FTDA states that the FTDA</w:t>
      </w:r>
      <w:r w:rsidR="0011736D">
        <w:t xml:space="preserve"> </w:t>
      </w:r>
      <w:r w:rsidRPr="00BC54C2">
        <w:t>would not preempt existing state dilution statutes</w:t>
      </w:r>
      <w:r w:rsidR="00BC54C2" w:rsidRPr="00BC54C2">
        <w:t>.</w:t>
      </w:r>
      <w:r w:rsidR="00BC54C2" w:rsidRPr="00BC54C2">
        <w:t xml:space="preserve"> </w:t>
      </w:r>
      <w:r w:rsidR="00BC54C2" w:rsidRPr="00BC54C2">
        <w:t>S</w:t>
      </w:r>
      <w:r w:rsidRPr="00BC54C2">
        <w:t>tate laws could continue to be applied in cases involving locally famous or distinctive marks</w:t>
      </w:r>
      <w:r w:rsidR="00BC54C2" w:rsidRPr="00BC54C2">
        <w:t>.</w:t>
      </w:r>
      <w:r w:rsidR="00BC54C2" w:rsidRPr="00BC54C2">
        <w:t xml:space="preserve"> </w:t>
      </w:r>
      <w:r w:rsidR="00BC54C2" w:rsidRPr="00BC54C2">
        <w:t>U</w:t>
      </w:r>
      <w:r w:rsidRPr="00BC54C2">
        <w:t>nlike patent and copyright laws, federal trademark law presently coexists with state trademark law, and it is to be expected that a federal dilution statute should similarly coexist with state dilution law.</w:t>
      </w:r>
      <w:r w:rsidR="00BC54C2" w:rsidRPr="00BC54C2">
        <w:rPr>
          <w:vertAlign w:val="superscript"/>
        </w:rPr>
        <w:footnoteReference w:id="103"/>
      </w:r>
    </w:p>
    <w:p w14:paraId="28995A46" w14:textId="3C3FA742" w:rsidR="00BC54C2" w:rsidRPr="00BC54C2" w:rsidRDefault="00EC41EE" w:rsidP="00BC54C2">
      <w:pPr>
        <w:pStyle w:val="BNormal"/>
      </w:pPr>
      <w:r w:rsidRPr="00BC54C2">
        <w:t>Similarly, when the USTA (now the INTA) proposed a federal dilution statute in 1987, it rejected preemption of state dilution laws, except as against federally registered marks.</w:t>
      </w:r>
      <w:r w:rsidR="00BC54C2" w:rsidRPr="00BC54C2">
        <w:rPr>
          <w:vertAlign w:val="superscript"/>
        </w:rPr>
        <w:footnoteReference w:id="104"/>
      </w:r>
      <w:r w:rsidRPr="00BC54C2">
        <w:t xml:space="preserve"> One can also point to the express preemption provision of Section 43(c)(6) and argue that Congress chose precisely how far it wanted to go in preempting state laws, and that courts ought to honor the intent of Congress.</w:t>
      </w:r>
      <w:r w:rsidR="00BC54C2" w:rsidRPr="00BC54C2">
        <w:rPr>
          <w:vertAlign w:val="superscript"/>
        </w:rPr>
        <w:footnoteReference w:id="105"/>
      </w:r>
    </w:p>
    <w:p w14:paraId="26B1951D" w14:textId="1CB85753" w:rsidR="00BC54C2" w:rsidRPr="00BC54C2" w:rsidRDefault="00EC41EE" w:rsidP="00BC54C2">
      <w:pPr>
        <w:pStyle w:val="BNormal"/>
      </w:pPr>
      <w:r w:rsidRPr="00BC54C2">
        <w:t>Despite this apparently clear legislative history, there are countervailing considerations</w:t>
      </w:r>
      <w:r w:rsidR="00BC54C2" w:rsidRPr="00BC54C2">
        <w:t>.</w:t>
      </w:r>
      <w:r w:rsidR="00BC54C2" w:rsidRPr="00BC54C2">
        <w:t xml:space="preserve"> </w:t>
      </w:r>
      <w:r w:rsidR="00BC54C2" w:rsidRPr="00BC54C2">
        <w:t>T</w:t>
      </w:r>
      <w:r w:rsidRPr="00BC54C2">
        <w:t>he TDRA contains three exclusions</w:t>
      </w:r>
      <w:r w:rsidR="00BC54C2" w:rsidRPr="00BC54C2">
        <w:t>:</w:t>
      </w:r>
      <w:r w:rsidR="00BC54C2" w:rsidRPr="00BC54C2">
        <w:t xml:space="preserve"> </w:t>
      </w:r>
      <w:r w:rsidR="00BC54C2" w:rsidRPr="00BC54C2">
        <w:t>f</w:t>
      </w:r>
      <w:r w:rsidRPr="00BC54C2">
        <w:t>air use, including comparative advertising and nominative and descriptive uses</w:t>
      </w:r>
      <w:r w:rsidR="00BC54C2" w:rsidRPr="00BC54C2">
        <w:t>;</w:t>
      </w:r>
      <w:r w:rsidR="00BC54C2" w:rsidRPr="00BC54C2">
        <w:t xml:space="preserve"> </w:t>
      </w:r>
      <w:proofErr w:type="gramStart"/>
      <w:r w:rsidR="00BC54C2" w:rsidRPr="00BC54C2">
        <w:t>n</w:t>
      </w:r>
      <w:r w:rsidRPr="00BC54C2">
        <w:t>oncommercial</w:t>
      </w:r>
      <w:proofErr w:type="gramEnd"/>
      <w:r w:rsidRPr="00BC54C2">
        <w:t xml:space="preserve"> use</w:t>
      </w:r>
      <w:r w:rsidR="00BC54C2" w:rsidRPr="00BC54C2">
        <w:t>;</w:t>
      </w:r>
      <w:r w:rsidR="00BC54C2" w:rsidRPr="00BC54C2">
        <w:t xml:space="preserve"> </w:t>
      </w:r>
      <w:r w:rsidR="00BC54C2" w:rsidRPr="00BC54C2">
        <w:t>a</w:t>
      </w:r>
      <w:r w:rsidRPr="00BC54C2">
        <w:t>nd use in news reporting and commentary.</w:t>
      </w:r>
      <w:r w:rsidR="00BC54C2" w:rsidRPr="00BC54C2">
        <w:rPr>
          <w:vertAlign w:val="superscript"/>
        </w:rPr>
        <w:footnoteReference w:id="106"/>
      </w:r>
      <w:r w:rsidRPr="00BC54C2">
        <w:t xml:space="preserve"> State dilution laws patterned after the 1964 and 1992 Model Bills do not contain any defenses or exclusions.</w:t>
      </w:r>
      <w:r w:rsidR="00BC54C2" w:rsidRPr="00BC54C2">
        <w:rPr>
          <w:vertAlign w:val="superscript"/>
        </w:rPr>
        <w:footnoteReference w:id="107"/>
      </w:r>
    </w:p>
    <w:p w14:paraId="20197664" w14:textId="74AF8AA1" w:rsidR="00BC54C2" w:rsidRPr="00BC54C2" w:rsidRDefault="00EC41EE" w:rsidP="00BC54C2">
      <w:pPr>
        <w:pStyle w:val="BNormal"/>
      </w:pPr>
      <w:r w:rsidRPr="00BC54C2">
        <w:t>One can easily imagine the use of a mark that falls within a federal exclusion or defense but may be considered diluting under state law</w:t>
      </w:r>
      <w:r w:rsidR="00BC54C2" w:rsidRPr="00BC54C2">
        <w:t>.</w:t>
      </w:r>
      <w:r w:rsidR="00BC54C2" w:rsidRPr="00BC54C2">
        <w:t xml:space="preserve"> </w:t>
      </w:r>
      <w:r w:rsidR="00BC54C2" w:rsidRPr="00BC54C2">
        <w:t>F</w:t>
      </w:r>
      <w:r w:rsidRPr="00BC54C2">
        <w:t>or example, it has been held (though not consistently) that the registration of an Internet domain name that is identical to or similar to another’s trademark is not necessarily a “commercial use” of the other’s mark.</w:t>
      </w:r>
      <w:r w:rsidR="00BC54C2" w:rsidRPr="00BC54C2">
        <w:rPr>
          <w:vertAlign w:val="superscript"/>
        </w:rPr>
        <w:footnoteReference w:id="108"/>
      </w:r>
      <w:r w:rsidRPr="00BC54C2">
        <w:t xml:space="preserve"> However, a state statute might be interpreted not to exclude such noncommercial uses,</w:t>
      </w:r>
      <w:r w:rsidR="00BC54C2" w:rsidRPr="00BC54C2">
        <w:rPr>
          <w:vertAlign w:val="superscript"/>
        </w:rPr>
        <w:footnoteReference w:id="109"/>
      </w:r>
      <w:r w:rsidRPr="00BC54C2">
        <w:t xml:space="preserve"> or might consider them “commercial” as a matter of state law.</w:t>
      </w:r>
    </w:p>
    <w:p w14:paraId="1F495038" w14:textId="4FD2E8CE" w:rsidR="00BC54C2" w:rsidRPr="00BC54C2" w:rsidRDefault="00EC41EE" w:rsidP="00BC54C2">
      <w:pPr>
        <w:pStyle w:val="BNormal"/>
      </w:pPr>
      <w:r w:rsidRPr="00BC54C2">
        <w:t>Similarly, a trademark parody might be considered a noncommercial use or a fair use under federal law, but there may be no such defense under state law.</w:t>
      </w:r>
      <w:r w:rsidR="00BC54C2" w:rsidRPr="00BC54C2">
        <w:rPr>
          <w:vertAlign w:val="superscript"/>
        </w:rPr>
        <w:footnoteReference w:id="110"/>
      </w:r>
      <w:r w:rsidRPr="00BC54C2">
        <w:t xml:space="preserve"> Or, to take another well-known situation, in </w:t>
      </w:r>
      <w:r w:rsidR="00BC54C2" w:rsidRPr="00BC54C2">
        <w:rPr>
          <w:i/>
        </w:rPr>
        <w:t>Deere &amp; Co</w:t>
      </w:r>
      <w:r w:rsidR="00BC54C2" w:rsidRPr="00BC54C2">
        <w:t>.</w:t>
      </w:r>
      <w:r w:rsidR="00BC54C2" w:rsidRPr="00BC54C2">
        <w:t xml:space="preserve"> </w:t>
      </w:r>
      <w:r w:rsidR="00BC54C2" w:rsidRPr="00BC54C2">
        <w:rPr>
          <w:i/>
        </w:rPr>
        <w:t>v</w:t>
      </w:r>
      <w:r w:rsidR="00BC54C2" w:rsidRPr="00BC54C2">
        <w:t>.</w:t>
      </w:r>
      <w:r w:rsidR="00BC54C2" w:rsidRPr="00BC54C2">
        <w:t xml:space="preserve"> </w:t>
      </w:r>
      <w:r w:rsidR="00BC54C2" w:rsidRPr="00BC54C2">
        <w:rPr>
          <w:i/>
        </w:rPr>
        <w:t>MTD Products, Inc</w:t>
      </w:r>
      <w:r w:rsidRPr="00BC54C2">
        <w:t>.,</w:t>
      </w:r>
      <w:r w:rsidR="00BC54C2" w:rsidRPr="00BC54C2">
        <w:rPr>
          <w:vertAlign w:val="superscript"/>
        </w:rPr>
        <w:footnoteReference w:id="111"/>
      </w:r>
      <w:r w:rsidRPr="00BC54C2">
        <w:t xml:space="preserve"> the court held that a humorous alteration of a well-known mark in a comparative advertisement violated New York’s dilution statute.</w:t>
      </w:r>
      <w:r w:rsidR="00BC54C2" w:rsidRPr="00BC54C2">
        <w:rPr>
          <w:vertAlign w:val="superscript"/>
        </w:rPr>
        <w:footnoteReference w:id="112"/>
      </w:r>
      <w:r w:rsidRPr="00BC54C2">
        <w:t xml:space="preserve"> Such a situation might be considered a “fair use” in a comparative advertisement and exempt from liability under the TDRA.</w:t>
      </w:r>
      <w:r w:rsidR="00BC54C2" w:rsidRPr="00BC54C2">
        <w:rPr>
          <w:vertAlign w:val="superscript"/>
        </w:rPr>
        <w:footnoteReference w:id="113"/>
      </w:r>
    </w:p>
    <w:p w14:paraId="762CBA72" w14:textId="2D839B4C" w:rsidR="00BC54C2" w:rsidRPr="00BC54C2" w:rsidRDefault="00EC41EE" w:rsidP="00BC54C2">
      <w:pPr>
        <w:pStyle w:val="BNormal"/>
      </w:pPr>
      <w:r w:rsidRPr="00BC54C2">
        <w:t xml:space="preserve">In </w:t>
      </w:r>
      <w:proofErr w:type="gramStart"/>
      <w:r w:rsidRPr="00BC54C2">
        <w:t>all of</w:t>
      </w:r>
      <w:proofErr w:type="gramEnd"/>
      <w:r w:rsidRPr="00BC54C2">
        <w:t xml:space="preserve"> these cases, if state law provides a viable alternative for a plaintiff to receive an injunction, then the federal defense is effectively worthless</w:t>
      </w:r>
      <w:r w:rsidR="00BC54C2" w:rsidRPr="00BC54C2">
        <w:t>.</w:t>
      </w:r>
      <w:r w:rsidR="00BC54C2" w:rsidRPr="00BC54C2">
        <w:t xml:space="preserve"> </w:t>
      </w:r>
      <w:r w:rsidR="00BC54C2" w:rsidRPr="00BC54C2">
        <w:t>I</w:t>
      </w:r>
      <w:r w:rsidRPr="00BC54C2">
        <w:t>n that case, one can say either that the state laws directly conflict with the federal or that they “</w:t>
      </w:r>
      <w:proofErr w:type="gramStart"/>
      <w:r w:rsidRPr="00BC54C2">
        <w:t>stand[</w:t>
      </w:r>
      <w:proofErr w:type="gramEnd"/>
      <w:r w:rsidRPr="00BC54C2">
        <w:t>] as an obstacle</w:t>
      </w:r>
      <w:r w:rsidR="00BC54C2" w:rsidRPr="00BC54C2">
        <w:t xml:space="preserve"> </w:t>
      </w:r>
      <w:r w:rsidRPr="00BC54C2">
        <w:t>…</w:t>
      </w:r>
      <w:r w:rsidR="00BC54C2" w:rsidRPr="00BC54C2">
        <w:t xml:space="preserve"> </w:t>
      </w:r>
      <w:r w:rsidRPr="00BC54C2">
        <w:t>[to the] purposes and objectives of Congress.”</w:t>
      </w:r>
      <w:r w:rsidR="00BC54C2" w:rsidRPr="00BC54C2">
        <w:rPr>
          <w:vertAlign w:val="superscript"/>
        </w:rPr>
        <w:footnoteReference w:id="114"/>
      </w:r>
      <w:r w:rsidRPr="00BC54C2">
        <w:t xml:space="preserve"> Either way, state laws ought to be preempted in such circumstances.</w:t>
      </w:r>
    </w:p>
    <w:p w14:paraId="006F4C6C" w14:textId="46CC43AD" w:rsidR="00BC54C2" w:rsidRPr="00BC54C2" w:rsidRDefault="00EC41EE" w:rsidP="00BC54C2">
      <w:pPr>
        <w:pStyle w:val="BNormal"/>
      </w:pPr>
      <w:r w:rsidRPr="00BC54C2">
        <w:t xml:space="preserve">At least some of the </w:t>
      </w:r>
      <w:proofErr w:type="gramStart"/>
      <w:r w:rsidRPr="00BC54C2">
        <w:t>problem</w:t>
      </w:r>
      <w:proofErr w:type="gramEnd"/>
      <w:r w:rsidRPr="00BC54C2">
        <w:t xml:space="preserve"> may be academic</w:t>
      </w:r>
      <w:r w:rsidR="00BC54C2" w:rsidRPr="00BC54C2">
        <w:t>.</w:t>
      </w:r>
      <w:r w:rsidR="00BC54C2" w:rsidRPr="00BC54C2">
        <w:t xml:space="preserve"> </w:t>
      </w:r>
      <w:r w:rsidR="00BC54C2" w:rsidRPr="00BC54C2">
        <w:t>C</w:t>
      </w:r>
      <w:r w:rsidRPr="00BC54C2">
        <w:t>ongress apparently believed that the uses subject to the exclusions under what is now Section 43(c)(3) of the Lanham Act were also protected by the First Amendment.</w:t>
      </w:r>
      <w:r w:rsidR="00BC54C2" w:rsidRPr="00BC54C2">
        <w:rPr>
          <w:vertAlign w:val="superscript"/>
        </w:rPr>
        <w:footnoteReference w:id="115"/>
      </w:r>
      <w:r w:rsidRPr="00BC54C2">
        <w:t xml:space="preserve"> If that were true, then states would be required to recognize such defenses as a matter of constitutional law</w:t>
      </w:r>
      <w:r w:rsidR="00BC54C2" w:rsidRPr="00BC54C2">
        <w:t>.</w:t>
      </w:r>
      <w:r w:rsidR="00BC54C2" w:rsidRPr="00BC54C2">
        <w:t xml:space="preserve"> </w:t>
      </w:r>
      <w:r w:rsidR="00BC54C2" w:rsidRPr="00BC54C2">
        <w:t>H</w:t>
      </w:r>
      <w:r w:rsidRPr="00BC54C2">
        <w:t>owever, courts interpreting state statutes have not agreed about the breadth of First Amendment protection given to trademarks.</w:t>
      </w:r>
      <w:r w:rsidR="00BC54C2" w:rsidRPr="00BC54C2">
        <w:rPr>
          <w:vertAlign w:val="superscript"/>
        </w:rPr>
        <w:footnoteReference w:id="116"/>
      </w:r>
      <w:r w:rsidRPr="00BC54C2">
        <w:t xml:space="preserve"> And Congress’s understanding of the breadth of First Amendment protection may be misguided</w:t>
      </w:r>
      <w:r w:rsidR="00BC54C2" w:rsidRPr="00BC54C2">
        <w:t>.</w:t>
      </w:r>
      <w:r w:rsidR="00BC54C2" w:rsidRPr="00BC54C2">
        <w:t xml:space="preserve"> </w:t>
      </w:r>
      <w:r w:rsidR="00BC54C2" w:rsidRPr="00BC54C2">
        <w:t>I</w:t>
      </w:r>
      <w:r w:rsidRPr="00BC54C2">
        <w:t>f the TDRA exclusions went beyond what is required by the First Amendment, then states would not be bound, as a matter of constitutional principle, to incorporate them by judicial interpretation</w:t>
      </w:r>
      <w:r w:rsidR="00BC54C2" w:rsidRPr="00BC54C2">
        <w:t>.</w:t>
      </w:r>
      <w:r w:rsidR="00BC54C2" w:rsidRPr="00BC54C2">
        <w:t xml:space="preserve"> </w:t>
      </w:r>
      <w:r w:rsidR="00BC54C2" w:rsidRPr="00BC54C2">
        <w:t>I</w:t>
      </w:r>
      <w:r w:rsidRPr="00BC54C2">
        <w:t>n particular, the “noncommercial use” exception may go beyond the First Amendment</w:t>
      </w:r>
      <w:r w:rsidR="00BC54C2" w:rsidRPr="00BC54C2">
        <w:t>.</w:t>
      </w:r>
      <w:r w:rsidR="00BC54C2" w:rsidRPr="00BC54C2">
        <w:t xml:space="preserve"> </w:t>
      </w:r>
      <w:r w:rsidR="00BC54C2" w:rsidRPr="00BC54C2">
        <w:t>A</w:t>
      </w:r>
      <w:r w:rsidRPr="00BC54C2">
        <w:t>lthough Congress had in mind satire and parody, courts have also used the noncommercial use exclusion in Internet-related cases, to distinguish uses that are deemed predatory from uses that are permissible.</w:t>
      </w:r>
      <w:r w:rsidR="00BC54C2" w:rsidRPr="00BC54C2">
        <w:rPr>
          <w:vertAlign w:val="superscript"/>
        </w:rPr>
        <w:footnoteReference w:id="117"/>
      </w:r>
      <w:r w:rsidRPr="00BC54C2">
        <w:t xml:space="preserve"> These may not, however, be uses that are protected by the First Amendment.</w:t>
      </w:r>
    </w:p>
    <w:p w14:paraId="75B67205" w14:textId="1C74D2F3" w:rsidR="00BC54C2" w:rsidRPr="00BC54C2" w:rsidRDefault="00EC41EE" w:rsidP="00BC54C2">
      <w:pPr>
        <w:pStyle w:val="BNormal"/>
      </w:pPr>
      <w:r w:rsidRPr="00BC54C2">
        <w:t>One can move beyond the TDRA and argue that the broader contours of the Lanham Act preempt state dilution laws</w:t>
      </w:r>
      <w:r w:rsidR="00BC54C2" w:rsidRPr="00BC54C2">
        <w:t>.</w:t>
      </w:r>
      <w:r w:rsidR="00BC54C2" w:rsidRPr="00BC54C2">
        <w:t xml:space="preserve"> </w:t>
      </w:r>
      <w:r w:rsidR="00BC54C2" w:rsidRPr="00BC54C2">
        <w:t>O</w:t>
      </w:r>
      <w:r w:rsidRPr="00BC54C2">
        <w:t>ne noted commentator, pointing to the underlying principle of uniformity of the Lanham Act, asserted that state dilution laws are a potential barrier to that uniformity.</w:t>
      </w:r>
      <w:r w:rsidR="00BC54C2" w:rsidRPr="00BC54C2">
        <w:rPr>
          <w:vertAlign w:val="superscript"/>
        </w:rPr>
        <w:footnoteReference w:id="118"/>
      </w:r>
      <w:r w:rsidRPr="00BC54C2">
        <w:t xml:space="preserve"> Ironically, this sentiment finds support in the legislative history of the FTDA, where Congress referred to the “patch–quilt” of state laws and the need for uniformity.</w:t>
      </w:r>
      <w:r w:rsidR="00BC54C2" w:rsidRPr="00BC54C2">
        <w:rPr>
          <w:vertAlign w:val="superscript"/>
        </w:rPr>
        <w:footnoteReference w:id="119"/>
      </w:r>
      <w:r w:rsidRPr="00BC54C2">
        <w:t xml:space="preserve"> However, as noted elsewhere in this text, courts have not always followed even clear legislative history when they believe the statute is clear on its face.</w:t>
      </w:r>
      <w:r w:rsidR="00BC54C2" w:rsidRPr="00BC54C2">
        <w:rPr>
          <w:vertAlign w:val="superscript"/>
        </w:rPr>
        <w:footnoteReference w:id="120"/>
      </w:r>
    </w:p>
    <w:p w14:paraId="232733E6" w14:textId="4AA98771" w:rsidR="00BC54C2" w:rsidRPr="00BC54C2" w:rsidRDefault="00EC41EE" w:rsidP="00BC54C2">
      <w:pPr>
        <w:pStyle w:val="BNormal"/>
      </w:pPr>
      <w:r w:rsidRPr="00BC54C2">
        <w:t xml:space="preserve">On the other hand, several provisions of the Lanham Act unrelated to dilution demonstrate that Congress purposely legislated </w:t>
      </w:r>
      <w:proofErr w:type="gramStart"/>
      <w:r w:rsidRPr="00BC54C2">
        <w:t>so as to</w:t>
      </w:r>
      <w:proofErr w:type="gramEnd"/>
      <w:r w:rsidRPr="00BC54C2">
        <w:t xml:space="preserve"> preserve rights under state law</w:t>
      </w:r>
      <w:r w:rsidR="00BC54C2" w:rsidRPr="00BC54C2">
        <w:t>.</w:t>
      </w:r>
      <w:r w:rsidR="00BC54C2" w:rsidRPr="00BC54C2">
        <w:t xml:space="preserve"> </w:t>
      </w:r>
      <w:r w:rsidR="00BC54C2" w:rsidRPr="00BC54C2">
        <w:t>S</w:t>
      </w:r>
      <w:r w:rsidRPr="00BC54C2">
        <w:t>ome of this preservation came at the expense of uniformity and consistency</w:t>
      </w:r>
      <w:r w:rsidR="00BC54C2" w:rsidRPr="00BC54C2">
        <w:t>.</w:t>
      </w:r>
      <w:r w:rsidR="00BC54C2" w:rsidRPr="00BC54C2">
        <w:t xml:space="preserve"> </w:t>
      </w:r>
      <w:r w:rsidR="00BC54C2" w:rsidRPr="00BC54C2">
        <w:t>F</w:t>
      </w:r>
      <w:r w:rsidRPr="00BC54C2">
        <w:t>or example, Section 15 describes the circumstances under which a federal registration can become incontestable.</w:t>
      </w:r>
      <w:r w:rsidR="00BC54C2" w:rsidRPr="00BC54C2">
        <w:rPr>
          <w:vertAlign w:val="superscript"/>
        </w:rPr>
        <w:footnoteReference w:id="121"/>
      </w:r>
      <w:r w:rsidRPr="00BC54C2">
        <w:t xml:space="preserve"> However, a specific exception to incontestable status exists “to the extent</w:t>
      </w:r>
      <w:r w:rsidR="00BC54C2" w:rsidRPr="00BC54C2">
        <w:t xml:space="preserve"> </w:t>
      </w:r>
      <w:r w:rsidRPr="00BC54C2">
        <w:t>…</w:t>
      </w:r>
      <w:r w:rsidR="00BC54C2" w:rsidRPr="00BC54C2">
        <w:t xml:space="preserve"> </w:t>
      </w:r>
      <w:r w:rsidRPr="00BC54C2">
        <w:t>[that the registered mark] infringes a valid right acquired under the law of any State or Territory by use of a mark</w:t>
      </w:r>
      <w:r w:rsidR="00BC54C2" w:rsidRPr="00BC54C2">
        <w:t xml:space="preserve"> </w:t>
      </w:r>
      <w:r w:rsidRPr="00BC54C2">
        <w:t>…</w:t>
      </w:r>
      <w:r w:rsidR="00BC54C2" w:rsidRPr="00BC54C2">
        <w:t xml:space="preserve"> </w:t>
      </w:r>
      <w:r w:rsidRPr="00BC54C2">
        <w:t>prior to the date of registration.”</w:t>
      </w:r>
      <w:r w:rsidR="00BC54C2" w:rsidRPr="00BC54C2">
        <w:rPr>
          <w:vertAlign w:val="superscript"/>
        </w:rPr>
        <w:footnoteReference w:id="122"/>
      </w:r>
      <w:r w:rsidRPr="00BC54C2">
        <w:t xml:space="preserve"> Furthermore, Section 33(b)(5) provides a defense to an incontestable mark to a junior user</w:t>
      </w:r>
      <w:r w:rsidR="00BC54C2" w:rsidRPr="00BC54C2">
        <w:rPr>
          <w:vertAlign w:val="superscript"/>
        </w:rPr>
        <w:footnoteReference w:id="123"/>
      </w:r>
      <w:r w:rsidRPr="00BC54C2">
        <w:t xml:space="preserve"> whose first use predates the registrant’s application for registration.</w:t>
      </w:r>
      <w:r w:rsidR="00BC54C2" w:rsidRPr="00BC54C2">
        <w:rPr>
          <w:vertAlign w:val="superscript"/>
        </w:rPr>
        <w:footnoteReference w:id="124"/>
      </w:r>
      <w:r w:rsidRPr="00BC54C2">
        <w:t xml:space="preserve"> Under this defense, even a confusingly similar use may continue indefinitely</w:t>
      </w:r>
      <w:r w:rsidR="00BC54C2" w:rsidRPr="00BC54C2">
        <w:t>.</w:t>
      </w:r>
      <w:r w:rsidR="00BC54C2" w:rsidRPr="00BC54C2">
        <w:t xml:space="preserve"> </w:t>
      </w:r>
      <w:r w:rsidR="00BC54C2" w:rsidRPr="00BC54C2">
        <w:t>C</w:t>
      </w:r>
      <w:r w:rsidRPr="00BC54C2">
        <w:t>learly this contravenes the notion of uniformity and even of preventing deception or confusion of consumers</w:t>
      </w:r>
      <w:r w:rsidR="00BC54C2" w:rsidRPr="00BC54C2">
        <w:t>.</w:t>
      </w:r>
      <w:r w:rsidR="00BC54C2" w:rsidRPr="00BC54C2">
        <w:t xml:space="preserve"> </w:t>
      </w:r>
      <w:proofErr w:type="gramStart"/>
      <w:r w:rsidR="00BC54C2" w:rsidRPr="00BC54C2">
        <w:t>T</w:t>
      </w:r>
      <w:r w:rsidRPr="00BC54C2">
        <w:t>hese accommodations are</w:t>
      </w:r>
      <w:proofErr w:type="gramEnd"/>
      <w:r w:rsidRPr="00BC54C2">
        <w:t xml:space="preserve"> evidence that Congress did not intend to preempt state laws.</w:t>
      </w:r>
      <w:r w:rsidR="00BC54C2" w:rsidRPr="00BC54C2">
        <w:rPr>
          <w:vertAlign w:val="superscript"/>
        </w:rPr>
        <w:footnoteReference w:id="125"/>
      </w:r>
    </w:p>
    <w:p w14:paraId="1328ECC5" w14:textId="3A748248" w:rsidR="00BC54C2" w:rsidRPr="00BC54C2" w:rsidRDefault="00EC41EE" w:rsidP="00BC54C2">
      <w:pPr>
        <w:pStyle w:val="BNormal"/>
      </w:pPr>
      <w:r w:rsidRPr="00BC54C2">
        <w:t>In other intellectual property areas, the Supreme Court has carefully analyzed the structure and intent of federal laws and has been unwilling to say that state laws should be struck down where they do not clearly contradict federal law.</w:t>
      </w:r>
      <w:r w:rsidR="00BC54C2" w:rsidRPr="00BC54C2">
        <w:rPr>
          <w:vertAlign w:val="superscript"/>
        </w:rPr>
        <w:footnoteReference w:id="126"/>
      </w:r>
      <w:r w:rsidRPr="00BC54C2">
        <w:t xml:space="preserve"> Given this apparent presumption of the viability of state regulation, courts should not lightly assume that state laws are preempted</w:t>
      </w:r>
      <w:r w:rsidR="00BC54C2" w:rsidRPr="00BC54C2">
        <w:t>.</w:t>
      </w:r>
      <w:r w:rsidR="00BC54C2" w:rsidRPr="00BC54C2">
        <w:t xml:space="preserve"> </w:t>
      </w:r>
      <w:r w:rsidR="00BC54C2" w:rsidRPr="00BC54C2">
        <w:t>F</w:t>
      </w:r>
      <w:r w:rsidRPr="00BC54C2">
        <w:t>inally, unlike patent and copyright matters, over which Congress is given plenary authority,</w:t>
      </w:r>
      <w:r w:rsidR="00BC54C2" w:rsidRPr="00BC54C2">
        <w:rPr>
          <w:vertAlign w:val="superscript"/>
        </w:rPr>
        <w:footnoteReference w:id="127"/>
      </w:r>
      <w:r w:rsidRPr="00BC54C2">
        <w:t xml:space="preserve"> trademark regulation was enacted pursuant to the Commerce Clause.</w:t>
      </w:r>
      <w:r w:rsidR="00BC54C2" w:rsidRPr="00BC54C2">
        <w:rPr>
          <w:vertAlign w:val="superscript"/>
        </w:rPr>
        <w:footnoteReference w:id="128"/>
      </w:r>
      <w:r w:rsidRPr="00BC54C2">
        <w:t xml:space="preserve"> The Supreme Court has held that there are limits to Congress’s regulatory authority under the Commerce Clause.</w:t>
      </w:r>
      <w:r w:rsidR="00BC54C2" w:rsidRPr="00BC54C2">
        <w:rPr>
          <w:vertAlign w:val="superscript"/>
        </w:rPr>
        <w:footnoteReference w:id="129"/>
      </w:r>
      <w:r w:rsidRPr="00BC54C2">
        <w:t xml:space="preserve"> Thus, it should not be assumed that Congress has chosen to occupy the field of trademark law particularly pervasively.</w:t>
      </w:r>
    </w:p>
    <w:p w14:paraId="2BCACECC" w14:textId="0AC29FCA" w:rsidR="00BC54C2" w:rsidRPr="00BC54C2" w:rsidRDefault="00BC54C2" w:rsidP="00BC54C2">
      <w:pPr>
        <w:pStyle w:val="BHead3"/>
      </w:pPr>
      <w:proofErr w:type="gramStart"/>
      <w:r>
        <w:t>4.III.C.</w:t>
      </w:r>
      <w:proofErr w:type="gramEnd"/>
      <w:r w:rsidRPr="00BC54C2">
        <w:rPr>
          <w:rStyle w:val="BBNAidChar"/>
          <w:rFonts w:eastAsiaTheme="majorEastAsia"/>
        </w:rPr>
        <w:t>2</w:t>
      </w:r>
      <w:r w:rsidRPr="00BC54C2">
        <w:t>.</w:t>
      </w:r>
      <w:r>
        <w:t> </w:t>
      </w:r>
      <w:r w:rsidRPr="00BC54C2">
        <w:tab/>
      </w:r>
      <w:proofErr w:type="gramStart"/>
      <w:r w:rsidRPr="00BC54C2">
        <w:t>The Patent</w:t>
      </w:r>
      <w:proofErr w:type="gramEnd"/>
      <w:r w:rsidRPr="00BC54C2">
        <w:t xml:space="preserve"> and Copyright Laws</w:t>
      </w:r>
    </w:p>
    <w:p w14:paraId="76E35B4D" w14:textId="6778BC75" w:rsidR="00BC54C2" w:rsidRPr="00BC54C2" w:rsidRDefault="00BC54C2" w:rsidP="00BC54C2">
      <w:pPr>
        <w:pStyle w:val="BHead4"/>
      </w:pPr>
      <w:r>
        <w:t>4.III.C.2.</w:t>
      </w:r>
      <w:r w:rsidRPr="00BC54C2">
        <w:rPr>
          <w:rStyle w:val="BBNAidChar"/>
          <w:rFonts w:eastAsiaTheme="majorEastAsia"/>
        </w:rPr>
        <w:t>a</w:t>
      </w:r>
      <w:r w:rsidRPr="00BC54C2">
        <w:t>.</w:t>
      </w:r>
      <w:r>
        <w:t> </w:t>
      </w:r>
      <w:r w:rsidRPr="00BC54C2">
        <w:tab/>
        <w:t>Preemption by Patent Law</w:t>
      </w:r>
    </w:p>
    <w:p w14:paraId="73A0B4FC" w14:textId="68F8F05C" w:rsidR="00BC54C2" w:rsidRPr="00BC54C2" w:rsidRDefault="00EC41EE" w:rsidP="00BC54C2">
      <w:pPr>
        <w:pStyle w:val="BNormal"/>
      </w:pPr>
      <w:r w:rsidRPr="00BC54C2">
        <w:t>One might not expect the patent and copyright laws to play a preemptive role in a trademark case</w:t>
      </w:r>
      <w:r w:rsidR="00BC54C2" w:rsidRPr="00BC54C2">
        <w:t>.</w:t>
      </w:r>
      <w:r w:rsidR="00BC54C2" w:rsidRPr="00BC54C2">
        <w:t xml:space="preserve"> </w:t>
      </w:r>
      <w:r w:rsidR="00BC54C2" w:rsidRPr="00BC54C2">
        <w:t>H</w:t>
      </w:r>
      <w:r w:rsidRPr="00BC54C2">
        <w:t>owever, the roles of patent and copyright, on the one hand, and trademark, on the other, increasingly are coming into conflict.</w:t>
      </w:r>
      <w:r w:rsidR="00BC54C2" w:rsidRPr="00BC54C2">
        <w:rPr>
          <w:vertAlign w:val="superscript"/>
        </w:rPr>
        <w:footnoteReference w:id="130"/>
      </w:r>
    </w:p>
    <w:p w14:paraId="3B8D3150" w14:textId="5EB281CB" w:rsidR="00BC54C2" w:rsidRPr="00BC54C2" w:rsidRDefault="00EC41EE" w:rsidP="00BC54C2">
      <w:pPr>
        <w:pStyle w:val="BNormal"/>
      </w:pPr>
      <w:r w:rsidRPr="00BC54C2">
        <w:t xml:space="preserve">The preemption issue has its roots in the so-called </w:t>
      </w:r>
      <w:r w:rsidR="00BC54C2" w:rsidRPr="00BC54C2">
        <w:rPr>
          <w:i/>
        </w:rPr>
        <w:t>Sears-</w:t>
      </w:r>
      <w:proofErr w:type="spellStart"/>
      <w:r w:rsidR="00BC54C2" w:rsidRPr="00BC54C2">
        <w:rPr>
          <w:i/>
        </w:rPr>
        <w:t>Compco</w:t>
      </w:r>
      <w:proofErr w:type="spellEnd"/>
      <w:r w:rsidRPr="00BC54C2">
        <w:t xml:space="preserve"> doctrine</w:t>
      </w:r>
      <w:r w:rsidR="00BC54C2" w:rsidRPr="00BC54C2">
        <w:t>.</w:t>
      </w:r>
      <w:r w:rsidR="00BC54C2" w:rsidRPr="00BC54C2">
        <w:t xml:space="preserve"> </w:t>
      </w:r>
      <w:r w:rsidR="00BC54C2" w:rsidRPr="00BC54C2">
        <w:t>T</w:t>
      </w:r>
      <w:r w:rsidRPr="00BC54C2">
        <w:t>he doctrine takes its name from the two seminal cases decided on the same day</w:t>
      </w:r>
      <w:r w:rsidR="00BC54C2" w:rsidRPr="00BC54C2">
        <w:t>:</w:t>
      </w:r>
      <w:r w:rsidR="00BC54C2" w:rsidRPr="00BC54C2">
        <w:t xml:space="preserve"> </w:t>
      </w:r>
      <w:r w:rsidR="00BC54C2" w:rsidRPr="00BC54C2">
        <w:rPr>
          <w:i/>
        </w:rPr>
        <w:t>Sears, Roebuck &amp; Co</w:t>
      </w:r>
      <w:r w:rsidR="00BC54C2" w:rsidRPr="00BC54C2">
        <w:t>.</w:t>
      </w:r>
      <w:r w:rsidR="00BC54C2" w:rsidRPr="00BC54C2">
        <w:t xml:space="preserve"> </w:t>
      </w:r>
      <w:r w:rsidR="00BC54C2" w:rsidRPr="00BC54C2">
        <w:rPr>
          <w:i/>
        </w:rPr>
        <w:t>v</w:t>
      </w:r>
      <w:r w:rsidR="00BC54C2" w:rsidRPr="00BC54C2">
        <w:t>.</w:t>
      </w:r>
      <w:r w:rsidR="00BC54C2" w:rsidRPr="00BC54C2">
        <w:t xml:space="preserve"> </w:t>
      </w:r>
      <w:r w:rsidR="00BC54C2" w:rsidRPr="00BC54C2">
        <w:rPr>
          <w:i/>
        </w:rPr>
        <w:t>Stiffel Co</w:t>
      </w:r>
      <w:r w:rsidRPr="00BC54C2">
        <w:t>.</w:t>
      </w:r>
      <w:r w:rsidR="00BC54C2" w:rsidRPr="00BC54C2">
        <w:rPr>
          <w:vertAlign w:val="superscript"/>
        </w:rPr>
        <w:footnoteReference w:id="131"/>
      </w:r>
      <w:r w:rsidRPr="00BC54C2">
        <w:t xml:space="preserve"> and </w:t>
      </w:r>
      <w:proofErr w:type="spellStart"/>
      <w:r w:rsidR="00BC54C2" w:rsidRPr="00BC54C2">
        <w:rPr>
          <w:i/>
        </w:rPr>
        <w:t>Compco</w:t>
      </w:r>
      <w:proofErr w:type="spellEnd"/>
      <w:r w:rsidR="00BC54C2" w:rsidRPr="00BC54C2">
        <w:rPr>
          <w:i/>
        </w:rPr>
        <w:t xml:space="preserve"> Corp</w:t>
      </w:r>
      <w:r w:rsidR="00BC54C2" w:rsidRPr="00BC54C2">
        <w:t>.</w:t>
      </w:r>
      <w:r w:rsidR="00BC54C2" w:rsidRPr="00BC54C2">
        <w:t xml:space="preserve"> </w:t>
      </w:r>
      <w:r w:rsidR="00BC54C2" w:rsidRPr="00BC54C2">
        <w:rPr>
          <w:i/>
        </w:rPr>
        <w:t>v</w:t>
      </w:r>
      <w:r w:rsidR="00BC54C2" w:rsidRPr="00BC54C2">
        <w:t>.</w:t>
      </w:r>
      <w:r w:rsidR="00BC54C2" w:rsidRPr="00BC54C2">
        <w:t xml:space="preserve"> </w:t>
      </w:r>
      <w:r w:rsidR="00BC54C2" w:rsidRPr="00BC54C2">
        <w:rPr>
          <w:i/>
        </w:rPr>
        <w:t>Day-Brite Lighting, Inc</w:t>
      </w:r>
      <w:r w:rsidRPr="00BC54C2">
        <w:t>.</w:t>
      </w:r>
      <w:r w:rsidR="00BC54C2" w:rsidRPr="00BC54C2">
        <w:rPr>
          <w:vertAlign w:val="superscript"/>
        </w:rPr>
        <w:footnoteReference w:id="132"/>
      </w:r>
      <w:r w:rsidRPr="00BC54C2">
        <w:t xml:space="preserve"> Both cases involved attempts to use state unfair competition law to preclude another person from copying the design of articles (a pole lamp in </w:t>
      </w:r>
      <w:r w:rsidR="00BC54C2" w:rsidRPr="00BC54C2">
        <w:rPr>
          <w:i/>
        </w:rPr>
        <w:t>Sears</w:t>
      </w:r>
      <w:r w:rsidRPr="00BC54C2">
        <w:t xml:space="preserve">, an overhead light in </w:t>
      </w:r>
      <w:proofErr w:type="spellStart"/>
      <w:r w:rsidR="00BC54C2" w:rsidRPr="00BC54C2">
        <w:rPr>
          <w:i/>
        </w:rPr>
        <w:t>Compco</w:t>
      </w:r>
      <w:proofErr w:type="spellEnd"/>
      <w:r w:rsidRPr="00BC54C2">
        <w:t>) the patents on which had been declared invalid</w:t>
      </w:r>
      <w:r w:rsidR="00BC54C2" w:rsidRPr="00BC54C2">
        <w:t>.</w:t>
      </w:r>
      <w:r w:rsidR="00BC54C2" w:rsidRPr="00BC54C2">
        <w:t xml:space="preserve"> </w:t>
      </w:r>
      <w:r w:rsidR="00BC54C2" w:rsidRPr="00BC54C2">
        <w:t>T</w:t>
      </w:r>
      <w:r w:rsidRPr="00BC54C2">
        <w:t>he Supreme Court held that state laws could not grant such protection</w:t>
      </w:r>
      <w:r w:rsidR="00BC54C2" w:rsidRPr="00BC54C2">
        <w:t>:</w:t>
      </w:r>
      <w:r w:rsidR="00BC54C2" w:rsidRPr="00BC54C2">
        <w:t xml:space="preserve"> </w:t>
      </w:r>
      <w:r w:rsidR="00BC54C2" w:rsidRPr="00BC54C2">
        <w:t>“</w:t>
      </w:r>
      <w:r w:rsidRPr="00BC54C2">
        <w:t>when the patent expires the monopoly created by it expires, too, and the right to make the article—including the right to make it in precisely the shape it carried when patented—passes to the public.”</w:t>
      </w:r>
      <w:r w:rsidR="00BC54C2" w:rsidRPr="00BC54C2">
        <w:rPr>
          <w:vertAlign w:val="superscript"/>
        </w:rPr>
        <w:footnoteReference w:id="133"/>
      </w:r>
      <w:r w:rsidRPr="00BC54C2">
        <w:t xml:space="preserve"> Although the potential sweep of the </w:t>
      </w:r>
      <w:r w:rsidR="00BC54C2" w:rsidRPr="00BC54C2">
        <w:rPr>
          <w:i/>
        </w:rPr>
        <w:t>Sears-</w:t>
      </w:r>
      <w:proofErr w:type="spellStart"/>
      <w:r w:rsidR="00BC54C2" w:rsidRPr="00BC54C2">
        <w:rPr>
          <w:i/>
        </w:rPr>
        <w:t>Compco</w:t>
      </w:r>
      <w:proofErr w:type="spellEnd"/>
      <w:r w:rsidRPr="00BC54C2">
        <w:t xml:space="preserve"> doctrine is broad, the Court subsequently indicated that there is room for some state regulation</w:t>
      </w:r>
      <w:r w:rsidR="00BC54C2" w:rsidRPr="00BC54C2">
        <w:t>.</w:t>
      </w:r>
      <w:r w:rsidR="00BC54C2" w:rsidRPr="00BC54C2">
        <w:t xml:space="preserve"> </w:t>
      </w:r>
      <w:r w:rsidR="00BC54C2" w:rsidRPr="00BC54C2">
        <w:t>I</w:t>
      </w:r>
      <w:r w:rsidRPr="00BC54C2">
        <w:t xml:space="preserve">n </w:t>
      </w:r>
      <w:r w:rsidR="00BC54C2" w:rsidRPr="00BC54C2">
        <w:rPr>
          <w:i/>
        </w:rPr>
        <w:t>Bonito Boats, Inc</w:t>
      </w:r>
      <w:r w:rsidR="00BC54C2" w:rsidRPr="00BC54C2">
        <w:t>.</w:t>
      </w:r>
      <w:r w:rsidR="00BC54C2" w:rsidRPr="00BC54C2">
        <w:t xml:space="preserve"> </w:t>
      </w:r>
      <w:r w:rsidR="00BC54C2" w:rsidRPr="00BC54C2">
        <w:rPr>
          <w:i/>
        </w:rPr>
        <w:t>v</w:t>
      </w:r>
      <w:r w:rsidR="00BC54C2" w:rsidRPr="00BC54C2">
        <w:t>.</w:t>
      </w:r>
      <w:r w:rsidR="00BC54C2" w:rsidRPr="00BC54C2">
        <w:t xml:space="preserve"> </w:t>
      </w:r>
      <w:r w:rsidR="00BC54C2" w:rsidRPr="00BC54C2">
        <w:rPr>
          <w:i/>
        </w:rPr>
        <w:t>Thunder Craft Boats, Inc</w:t>
      </w:r>
      <w:r w:rsidRPr="00BC54C2">
        <w:t>.,</w:t>
      </w:r>
      <w:r w:rsidR="00BC54C2" w:rsidRPr="00BC54C2">
        <w:rPr>
          <w:vertAlign w:val="superscript"/>
        </w:rPr>
        <w:footnoteReference w:id="134"/>
      </w:r>
      <w:r w:rsidRPr="00BC54C2">
        <w:t xml:space="preserve"> the Court reaffirmed the basic principles of </w:t>
      </w:r>
      <w:r w:rsidR="00BC54C2" w:rsidRPr="00BC54C2">
        <w:rPr>
          <w:i/>
        </w:rPr>
        <w:t>Sears-</w:t>
      </w:r>
      <w:proofErr w:type="spellStart"/>
      <w:r w:rsidR="00BC54C2" w:rsidRPr="00BC54C2">
        <w:rPr>
          <w:i/>
        </w:rPr>
        <w:t>Compco</w:t>
      </w:r>
      <w:proofErr w:type="spellEnd"/>
      <w:r w:rsidR="00BC54C2" w:rsidRPr="00BC54C2">
        <w:t>:</w:t>
      </w:r>
      <w:r w:rsidR="00BC54C2" w:rsidRPr="00BC54C2">
        <w:t xml:space="preserve"> </w:t>
      </w:r>
      <w:r w:rsidR="00BC54C2" w:rsidRPr="00BC54C2">
        <w:t>s</w:t>
      </w:r>
      <w:r w:rsidRPr="00BC54C2">
        <w:t>tates cannot prohibit the simple act of copying</w:t>
      </w:r>
      <w:r w:rsidR="00BC54C2" w:rsidRPr="00BC54C2">
        <w:t>.</w:t>
      </w:r>
      <w:r w:rsidR="00BC54C2" w:rsidRPr="00BC54C2">
        <w:t xml:space="preserve"> </w:t>
      </w:r>
      <w:r w:rsidR="00BC54C2" w:rsidRPr="00BC54C2">
        <w:t>B</w:t>
      </w:r>
      <w:r w:rsidRPr="00BC54C2">
        <w:t xml:space="preserve">ut the Court also asserted that states could use their </w:t>
      </w:r>
      <w:proofErr w:type="gramStart"/>
      <w:r w:rsidRPr="00BC54C2">
        <w:t>unfair-competition</w:t>
      </w:r>
      <w:proofErr w:type="gramEnd"/>
      <w:r w:rsidRPr="00BC54C2">
        <w:t xml:space="preserve"> laws to protect against consumer confusion.</w:t>
      </w:r>
      <w:r w:rsidR="00BC54C2" w:rsidRPr="00BC54C2">
        <w:rPr>
          <w:vertAlign w:val="superscript"/>
        </w:rPr>
        <w:footnoteReference w:id="135"/>
      </w:r>
    </w:p>
    <w:p w14:paraId="2F0006F6" w14:textId="012A30AD" w:rsidR="00BC54C2" w:rsidRPr="00BC54C2" w:rsidRDefault="00EC41EE" w:rsidP="00BC54C2">
      <w:pPr>
        <w:pStyle w:val="BNormal"/>
      </w:pPr>
      <w:r w:rsidRPr="00BC54C2">
        <w:t>Word and logo trademarks would not fall within the subject matter of patents</w:t>
      </w:r>
      <w:r w:rsidR="00BC54C2" w:rsidRPr="00BC54C2">
        <w:t>.</w:t>
      </w:r>
      <w:r w:rsidR="00BC54C2" w:rsidRPr="00BC54C2">
        <w:t xml:space="preserve"> </w:t>
      </w:r>
      <w:r w:rsidR="00BC54C2" w:rsidRPr="00BC54C2">
        <w:t>H</w:t>
      </w:r>
      <w:r w:rsidRPr="00BC54C2">
        <w:t xml:space="preserve">owever, patent law, and the preemptive effect of </w:t>
      </w:r>
      <w:r w:rsidR="00BC54C2" w:rsidRPr="00BC54C2">
        <w:rPr>
          <w:i/>
        </w:rPr>
        <w:t>Sears-</w:t>
      </w:r>
      <w:proofErr w:type="spellStart"/>
      <w:r w:rsidR="00BC54C2" w:rsidRPr="00BC54C2">
        <w:rPr>
          <w:i/>
        </w:rPr>
        <w:t>Compco</w:t>
      </w:r>
      <w:proofErr w:type="spellEnd"/>
      <w:r w:rsidRPr="00BC54C2">
        <w:t xml:space="preserve">, is particularly relevant when the subject of a trademark claim is </w:t>
      </w:r>
      <w:proofErr w:type="gramStart"/>
      <w:r w:rsidRPr="00BC54C2">
        <w:t>a product</w:t>
      </w:r>
      <w:proofErr w:type="gramEnd"/>
      <w:r w:rsidRPr="00BC54C2">
        <w:t xml:space="preserve"> configuration.</w:t>
      </w:r>
      <w:r w:rsidR="00BC54C2" w:rsidRPr="00BC54C2">
        <w:rPr>
          <w:vertAlign w:val="superscript"/>
        </w:rPr>
        <w:footnoteReference w:id="136"/>
      </w:r>
      <w:r w:rsidRPr="00BC54C2">
        <w:t xml:space="preserve"> Since the mid-1980s, product manufacturers have regularly attempted to use trade-dress law to protect their product designs.</w:t>
      </w:r>
      <w:r w:rsidR="00BC54C2" w:rsidRPr="00BC54C2">
        <w:rPr>
          <w:vertAlign w:val="superscript"/>
        </w:rPr>
        <w:footnoteReference w:id="137"/>
      </w:r>
      <w:r w:rsidRPr="00BC54C2">
        <w:t xml:space="preserve"> Most of those cases involve traditional trademark-infringement claims, requiring likelihood of confusion</w:t>
      </w:r>
      <w:r w:rsidR="00BC54C2" w:rsidRPr="00BC54C2">
        <w:t>.</w:t>
      </w:r>
      <w:r w:rsidR="00BC54C2" w:rsidRPr="00BC54C2">
        <w:t xml:space="preserve"> </w:t>
      </w:r>
      <w:r w:rsidR="00BC54C2" w:rsidRPr="00BC54C2">
        <w:t>U</w:t>
      </w:r>
      <w:r w:rsidRPr="00BC54C2">
        <w:t>sing trade-dress infringement does not waive one’s right to obtain and enforce a patent.</w:t>
      </w:r>
    </w:p>
    <w:p w14:paraId="29E04D32" w14:textId="4A9A0DDA" w:rsidR="00BC54C2" w:rsidRPr="00BC54C2" w:rsidRDefault="00EC41EE" w:rsidP="00BC54C2">
      <w:pPr>
        <w:pStyle w:val="BNormal"/>
      </w:pPr>
      <w:r w:rsidRPr="00BC54C2">
        <w:t xml:space="preserve">In </w:t>
      </w:r>
      <w:proofErr w:type="gramStart"/>
      <w:r w:rsidRPr="00BC54C2">
        <w:t>a number of</w:t>
      </w:r>
      <w:proofErr w:type="gramEnd"/>
      <w:r w:rsidRPr="00BC54C2">
        <w:t xml:space="preserve"> cases, claims for patent infringement have been joined with claims for trade-dress infringement.</w:t>
      </w:r>
      <w:r w:rsidR="00BC54C2" w:rsidRPr="00BC54C2">
        <w:rPr>
          <w:vertAlign w:val="superscript"/>
        </w:rPr>
        <w:footnoteReference w:id="138"/>
      </w:r>
      <w:r w:rsidRPr="00BC54C2">
        <w:t xml:space="preserve"> One of the important limitations on trademark protection for product configurations and packaging is the “functionality” doctrine</w:t>
      </w:r>
      <w:r w:rsidR="00BC54C2" w:rsidRPr="00BC54C2">
        <w:t>.</w:t>
      </w:r>
      <w:r w:rsidR="00BC54C2" w:rsidRPr="00BC54C2">
        <w:t xml:space="preserve"> </w:t>
      </w:r>
      <w:r w:rsidR="00BC54C2" w:rsidRPr="00BC54C2">
        <w:t>I</w:t>
      </w:r>
      <w:r w:rsidRPr="00BC54C2">
        <w:t>f a trademark is functional—in the case of product designs, usually because it is the best or one of the few best ways to make the object—then it cannot be protected by trademark law.</w:t>
      </w:r>
      <w:r w:rsidR="00BC54C2" w:rsidRPr="00BC54C2">
        <w:rPr>
          <w:vertAlign w:val="superscript"/>
        </w:rPr>
        <w:footnoteReference w:id="139"/>
      </w:r>
      <w:r w:rsidRPr="00BC54C2">
        <w:t xml:space="preserve"> In trademark-infringement cases brought under the Lanham Act, the Supreme Court has held that the existence of a utility patent is extremely strong evidence that the product design is “functional” and therefore not protectable under trademark law.</w:t>
      </w:r>
      <w:r w:rsidR="00BC54C2" w:rsidRPr="00BC54C2">
        <w:rPr>
          <w:vertAlign w:val="superscript"/>
        </w:rPr>
        <w:footnoteReference w:id="140"/>
      </w:r>
      <w:r w:rsidRPr="00BC54C2">
        <w:t xml:space="preserve"> By and large, this ruling does not purport to affect the ability of trademark law to protect designs that are merely ornamental</w:t>
      </w:r>
      <w:r w:rsidR="00BC54C2" w:rsidRPr="00BC54C2">
        <w:t>.</w:t>
      </w:r>
      <w:r w:rsidR="00BC54C2" w:rsidRPr="00BC54C2">
        <w:t xml:space="preserve"> </w:t>
      </w:r>
      <w:r w:rsidR="00BC54C2" w:rsidRPr="00BC54C2">
        <w:t>T</w:t>
      </w:r>
      <w:r w:rsidRPr="00BC54C2">
        <w:t xml:space="preserve">hose designs could be deemed </w:t>
      </w:r>
      <w:r w:rsidR="00BC54C2" w:rsidRPr="00BC54C2">
        <w:rPr>
          <w:i/>
        </w:rPr>
        <w:t>aesthetically</w:t>
      </w:r>
      <w:r w:rsidRPr="00BC54C2">
        <w:t xml:space="preserve"> functional, but only if they would cause competitors to be unable to compete effectively in the relevant market.</w:t>
      </w:r>
      <w:r w:rsidR="00BC54C2" w:rsidRPr="00BC54C2">
        <w:rPr>
          <w:vertAlign w:val="superscript"/>
        </w:rPr>
        <w:footnoteReference w:id="141"/>
      </w:r>
    </w:p>
    <w:p w14:paraId="62C42D0D" w14:textId="50B21067" w:rsidR="00BC54C2" w:rsidRPr="00BC54C2" w:rsidRDefault="00EC41EE" w:rsidP="00BC54C2">
      <w:pPr>
        <w:pStyle w:val="BNormal"/>
      </w:pPr>
      <w:r w:rsidRPr="00BC54C2">
        <w:t>It is unclear whether the Court will consider the existence of a design patent as preclusive of trade-dress protection</w:t>
      </w:r>
      <w:r w:rsidR="00BC54C2" w:rsidRPr="00BC54C2">
        <w:t>.</w:t>
      </w:r>
      <w:r w:rsidR="00BC54C2" w:rsidRPr="00BC54C2">
        <w:t xml:space="preserve"> </w:t>
      </w:r>
      <w:r w:rsidR="00BC54C2" w:rsidRPr="00BC54C2">
        <w:t>A</w:t>
      </w:r>
      <w:r w:rsidRPr="00BC54C2">
        <w:t>ssuming that it does not, any product configuration that is nonfunctional will be able to claim protection under the trademark laws.</w:t>
      </w:r>
    </w:p>
    <w:p w14:paraId="19C52C0D" w14:textId="024FE4C2" w:rsidR="00BC54C2" w:rsidRPr="00BC54C2" w:rsidRDefault="00EC41EE" w:rsidP="00BC54C2">
      <w:pPr>
        <w:pStyle w:val="BNormal"/>
      </w:pPr>
      <w:r w:rsidRPr="00BC54C2">
        <w:t>However, dilution differs from ordinary trademark infringement in a key concept</w:t>
      </w:r>
      <w:r w:rsidR="00BC54C2" w:rsidRPr="00BC54C2">
        <w:t>:</w:t>
      </w:r>
      <w:r w:rsidR="00BC54C2" w:rsidRPr="00BC54C2">
        <w:t xml:space="preserve"> </w:t>
      </w:r>
      <w:r w:rsidR="00BC54C2" w:rsidRPr="00BC54C2">
        <w:t>d</w:t>
      </w:r>
      <w:r w:rsidRPr="00BC54C2">
        <w:t>ilution does not require likelihood of confusion</w:t>
      </w:r>
      <w:r w:rsidR="00BC54C2" w:rsidRPr="00BC54C2">
        <w:t>.</w:t>
      </w:r>
      <w:r w:rsidR="00BC54C2" w:rsidRPr="00BC54C2">
        <w:t xml:space="preserve"> </w:t>
      </w:r>
      <w:r w:rsidR="00BC54C2" w:rsidRPr="00BC54C2">
        <w:t>T</w:t>
      </w:r>
      <w:r w:rsidRPr="00BC54C2">
        <w:t>he Court’s willingness to permit nonfunctional designs to be protected by trademark law seems predicated on the use of confusion-based trademark protection</w:t>
      </w:r>
      <w:r w:rsidR="00BC54C2" w:rsidRPr="00BC54C2">
        <w:t>.</w:t>
      </w:r>
      <w:r w:rsidR="00BC54C2" w:rsidRPr="00BC54C2">
        <w:t xml:space="preserve"> </w:t>
      </w:r>
      <w:r w:rsidR="00BC54C2" w:rsidRPr="00BC54C2">
        <w:t>O</w:t>
      </w:r>
      <w:r w:rsidRPr="00BC54C2">
        <w:t>nce that is removed, there is relatively little to distinguish dilution protection from copy protection</w:t>
      </w:r>
      <w:r w:rsidR="00BC54C2" w:rsidRPr="00BC54C2">
        <w:t>.</w:t>
      </w:r>
      <w:r w:rsidR="00BC54C2" w:rsidRPr="00BC54C2">
        <w:t xml:space="preserve"> </w:t>
      </w:r>
      <w:r w:rsidR="00BC54C2" w:rsidRPr="00BC54C2">
        <w:t>T</w:t>
      </w:r>
      <w:r w:rsidRPr="00BC54C2">
        <w:t>hat is because the tests for dilution amount to little more than a test for similarity in most product configuration cases</w:t>
      </w:r>
      <w:r w:rsidR="00BC54C2" w:rsidRPr="00BC54C2">
        <w:t>.</w:t>
      </w:r>
      <w:r w:rsidR="00BC54C2" w:rsidRPr="00BC54C2">
        <w:t xml:space="preserve"> </w:t>
      </w:r>
      <w:r w:rsidR="00BC54C2" w:rsidRPr="00BC54C2">
        <w:t>T</w:t>
      </w:r>
      <w:r w:rsidRPr="00BC54C2">
        <w:t>his is illustrated by briefly considering those tests.</w:t>
      </w:r>
      <w:r w:rsidR="00BC54C2" w:rsidRPr="00BC54C2">
        <w:rPr>
          <w:vertAlign w:val="superscript"/>
        </w:rPr>
        <w:footnoteReference w:id="142"/>
      </w:r>
    </w:p>
    <w:p w14:paraId="4073AE70" w14:textId="3CB20A1D" w:rsidR="00BC54C2" w:rsidRPr="00BC54C2" w:rsidRDefault="00EC41EE" w:rsidP="00BC54C2">
      <w:pPr>
        <w:pStyle w:val="BNormal"/>
      </w:pPr>
      <w:r w:rsidRPr="00BC54C2">
        <w:t>Some courts use a test that considers any significant use of a distinctive mark by an unauthorized user to be diluting.</w:t>
      </w:r>
      <w:r w:rsidR="00BC54C2" w:rsidRPr="00BC54C2">
        <w:rPr>
          <w:vertAlign w:val="superscript"/>
        </w:rPr>
        <w:footnoteReference w:id="143"/>
      </w:r>
      <w:r w:rsidRPr="00BC54C2">
        <w:t xml:space="preserve"> Obviously, making a copy of a “distinctive” product design would be considered diluting</w:t>
      </w:r>
      <w:r w:rsidR="00BC54C2" w:rsidRPr="00BC54C2">
        <w:t>.</w:t>
      </w:r>
      <w:r w:rsidR="00BC54C2" w:rsidRPr="00BC54C2">
        <w:t xml:space="preserve"> </w:t>
      </w:r>
      <w:r w:rsidR="00BC54C2" w:rsidRPr="00BC54C2">
        <w:t>O</w:t>
      </w:r>
      <w:r w:rsidRPr="00BC54C2">
        <w:t xml:space="preserve">ther courts use a multifactor test, frequently the test set forth in Judge Sweet’s concurring opinion in </w:t>
      </w:r>
      <w:r w:rsidR="00BC54C2" w:rsidRPr="00BC54C2">
        <w:rPr>
          <w:i/>
        </w:rPr>
        <w:t>Mead Data Central v</w:t>
      </w:r>
      <w:r w:rsidR="00BC54C2" w:rsidRPr="00BC54C2">
        <w:t>.</w:t>
      </w:r>
      <w:r w:rsidR="00BC54C2" w:rsidRPr="00BC54C2">
        <w:t xml:space="preserve"> </w:t>
      </w:r>
      <w:r w:rsidR="00BC54C2" w:rsidRPr="00BC54C2">
        <w:rPr>
          <w:i/>
        </w:rPr>
        <w:t>Toyota Motor Sales</w:t>
      </w:r>
      <w:r w:rsidRPr="00BC54C2">
        <w:t>.</w:t>
      </w:r>
      <w:r w:rsidR="00BC54C2" w:rsidRPr="00BC54C2">
        <w:rPr>
          <w:vertAlign w:val="superscript"/>
        </w:rPr>
        <w:footnoteReference w:id="144"/>
      </w:r>
      <w:r w:rsidRPr="00BC54C2">
        <w:t xml:space="preserve"> The six factors in this test are</w:t>
      </w:r>
      <w:r w:rsidR="00BC54C2" w:rsidRPr="00BC54C2">
        <w:t>:</w:t>
      </w:r>
      <w:r w:rsidR="00BC54C2" w:rsidRPr="00BC54C2">
        <w:t xml:space="preserve"> </w:t>
      </w:r>
      <w:r w:rsidR="00BC54C2" w:rsidRPr="00BC54C2">
        <w:t>(</w:t>
      </w:r>
      <w:r w:rsidRPr="00BC54C2">
        <w:t>1) similarity of the marks</w:t>
      </w:r>
      <w:r w:rsidR="00BC54C2" w:rsidRPr="00BC54C2">
        <w:t>;</w:t>
      </w:r>
      <w:r w:rsidR="00BC54C2" w:rsidRPr="00BC54C2">
        <w:t xml:space="preserve"> </w:t>
      </w:r>
      <w:r w:rsidR="00BC54C2" w:rsidRPr="00BC54C2">
        <w:t>(</w:t>
      </w:r>
      <w:r w:rsidRPr="00BC54C2">
        <w:t>2) similarity of the products</w:t>
      </w:r>
      <w:r w:rsidR="00BC54C2" w:rsidRPr="00BC54C2">
        <w:t>;</w:t>
      </w:r>
      <w:r w:rsidR="00BC54C2" w:rsidRPr="00BC54C2">
        <w:t xml:space="preserve"> </w:t>
      </w:r>
      <w:r w:rsidR="00BC54C2" w:rsidRPr="00BC54C2">
        <w:t>(</w:t>
      </w:r>
      <w:r w:rsidRPr="00BC54C2">
        <w:t>3) sophistication of the consumers</w:t>
      </w:r>
      <w:r w:rsidR="00BC54C2" w:rsidRPr="00BC54C2">
        <w:t>;</w:t>
      </w:r>
      <w:r w:rsidR="00BC54C2" w:rsidRPr="00BC54C2">
        <w:t xml:space="preserve"> </w:t>
      </w:r>
      <w:r w:rsidR="00BC54C2" w:rsidRPr="00BC54C2">
        <w:t>(</w:t>
      </w:r>
      <w:r w:rsidRPr="00BC54C2">
        <w:t>4) predatory intent</w:t>
      </w:r>
      <w:r w:rsidR="00BC54C2" w:rsidRPr="00BC54C2">
        <w:t>;</w:t>
      </w:r>
      <w:r w:rsidR="00BC54C2" w:rsidRPr="00BC54C2">
        <w:t xml:space="preserve"> </w:t>
      </w:r>
      <w:r w:rsidR="00BC54C2" w:rsidRPr="00BC54C2">
        <w:t>(</w:t>
      </w:r>
      <w:r w:rsidRPr="00BC54C2">
        <w:t>5) renown of the senior mark</w:t>
      </w:r>
      <w:r w:rsidR="00BC54C2" w:rsidRPr="00BC54C2">
        <w:t>;</w:t>
      </w:r>
      <w:r w:rsidR="00BC54C2" w:rsidRPr="00BC54C2">
        <w:t xml:space="preserve"> </w:t>
      </w:r>
      <w:r w:rsidR="00BC54C2" w:rsidRPr="00BC54C2">
        <w:t>a</w:t>
      </w:r>
      <w:r w:rsidRPr="00BC54C2">
        <w:t>nd (6) renown of the junior mark.</w:t>
      </w:r>
    </w:p>
    <w:p w14:paraId="31804042" w14:textId="2F6322A9" w:rsidR="00BC54C2" w:rsidRPr="00BC54C2" w:rsidRDefault="00EC41EE" w:rsidP="00BC54C2">
      <w:pPr>
        <w:pStyle w:val="BNormal"/>
      </w:pPr>
      <w:r w:rsidRPr="00BC54C2">
        <w:t>In most product configuration cases, factors (1) and (2) are a given</w:t>
      </w:r>
      <w:r w:rsidR="00BC54C2" w:rsidRPr="00BC54C2">
        <w:t>.</w:t>
      </w:r>
      <w:r w:rsidR="00BC54C2" w:rsidRPr="00BC54C2">
        <w:t xml:space="preserve"> </w:t>
      </w:r>
      <w:r w:rsidR="00BC54C2" w:rsidRPr="00BC54C2">
        <w:t>T</w:t>
      </w:r>
      <w:r w:rsidRPr="00BC54C2">
        <w:t>he fourth factor is difficult to assess in the context of product configuration</w:t>
      </w:r>
      <w:r w:rsidR="00BC54C2" w:rsidRPr="00BC54C2">
        <w:t>.</w:t>
      </w:r>
      <w:r w:rsidR="00BC54C2" w:rsidRPr="00BC54C2">
        <w:t xml:space="preserve"> </w:t>
      </w:r>
      <w:r w:rsidR="00BC54C2" w:rsidRPr="00BC54C2">
        <w:t>I</w:t>
      </w:r>
      <w:r w:rsidRPr="00BC54C2">
        <w:t xml:space="preserve">ntent to capitalize on the senior mark’s renown is present in the sense that the copyist wants to capitalize on the market for the </w:t>
      </w:r>
      <w:proofErr w:type="gramStart"/>
      <w:r w:rsidRPr="00BC54C2">
        <w:t>particular product</w:t>
      </w:r>
      <w:proofErr w:type="gramEnd"/>
      <w:r w:rsidRPr="00BC54C2">
        <w:t xml:space="preserve"> created by the senior user</w:t>
      </w:r>
      <w:r w:rsidR="00BC54C2" w:rsidRPr="00BC54C2">
        <w:t>.</w:t>
      </w:r>
      <w:r w:rsidR="00BC54C2" w:rsidRPr="00BC54C2">
        <w:t xml:space="preserve"> </w:t>
      </w:r>
      <w:r w:rsidR="00BC54C2" w:rsidRPr="00BC54C2">
        <w:t>I</w:t>
      </w:r>
      <w:r w:rsidRPr="00BC54C2">
        <w:t>n most cases, the junior user will not be a well-known source for the goods, unless the senior user has waited to sue</w:t>
      </w:r>
      <w:r w:rsidR="00BC54C2" w:rsidRPr="00BC54C2">
        <w:t>.</w:t>
      </w:r>
      <w:r w:rsidR="00BC54C2" w:rsidRPr="00BC54C2">
        <w:t xml:space="preserve"> </w:t>
      </w:r>
      <w:r w:rsidR="00BC54C2" w:rsidRPr="00BC54C2">
        <w:t>T</w:t>
      </w:r>
      <w:r w:rsidRPr="00BC54C2">
        <w:t>hat the senior mark is renowned does not separate the test from one that prohibits copying of “renowned” marks (as the FTDA and TDRA protect “famous” marks)</w:t>
      </w:r>
      <w:r w:rsidR="00BC54C2" w:rsidRPr="00BC54C2">
        <w:t>.</w:t>
      </w:r>
      <w:r w:rsidR="00BC54C2" w:rsidRPr="00BC54C2">
        <w:t xml:space="preserve"> </w:t>
      </w:r>
      <w:r w:rsidR="00BC54C2" w:rsidRPr="00BC54C2">
        <w:t>T</w:t>
      </w:r>
      <w:r w:rsidRPr="00BC54C2">
        <w:t>hat means that only when customers are sophisticated will the test be other than copy protection.</w:t>
      </w:r>
      <w:r w:rsidR="00BC54C2" w:rsidRPr="00BC54C2">
        <w:rPr>
          <w:vertAlign w:val="superscript"/>
        </w:rPr>
        <w:footnoteReference w:id="145"/>
      </w:r>
    </w:p>
    <w:p w14:paraId="1BF3F4B1" w14:textId="018E12AA" w:rsidR="00BC54C2" w:rsidRPr="00BC54C2" w:rsidRDefault="00EC41EE" w:rsidP="00BC54C2">
      <w:pPr>
        <w:pStyle w:val="BNormal"/>
      </w:pPr>
      <w:r w:rsidRPr="00BC54C2">
        <w:t>Even the federal TDRA blurring test, if used to analyze state dilution claims (especially those made under 2007 Model Bill statutes</w:t>
      </w:r>
      <w:r w:rsidR="00BC54C2" w:rsidRPr="00BC54C2">
        <w:rPr>
          <w:vertAlign w:val="superscript"/>
        </w:rPr>
        <w:footnoteReference w:id="146"/>
      </w:r>
      <w:r w:rsidRPr="00BC54C2">
        <w:t>), would not be much more than copy protection for product configurations</w:t>
      </w:r>
      <w:r w:rsidR="00BC54C2" w:rsidRPr="00BC54C2">
        <w:t>.</w:t>
      </w:r>
      <w:r w:rsidR="00BC54C2" w:rsidRPr="00BC54C2">
        <w:t xml:space="preserve"> </w:t>
      </w:r>
      <w:r w:rsidR="00BC54C2" w:rsidRPr="00BC54C2">
        <w:t>T</w:t>
      </w:r>
      <w:r w:rsidRPr="00BC54C2">
        <w:t xml:space="preserve">he federal test depends primarily on </w:t>
      </w:r>
      <w:proofErr w:type="gramStart"/>
      <w:r w:rsidRPr="00BC54C2">
        <w:t>association(</w:t>
      </w:r>
      <w:proofErr w:type="gramEnd"/>
      <w:r w:rsidRPr="00BC54C2">
        <w:t>not confusion), similarity (which would be the point of copying a product configuration), uniqueness of the mark (which could be anticompetitive in the case of product configurations), and intent to create an association</w:t>
      </w:r>
      <w:r w:rsidR="00BC54C2" w:rsidRPr="00BC54C2">
        <w:t>.</w:t>
      </w:r>
      <w:r w:rsidR="00BC54C2" w:rsidRPr="00BC54C2">
        <w:t xml:space="preserve"> </w:t>
      </w:r>
      <w:r w:rsidR="00BC54C2" w:rsidRPr="00BC54C2">
        <w:t>A</w:t>
      </w:r>
      <w:r w:rsidRPr="00BC54C2">
        <w:t>gain, these factors point to copy protection.</w:t>
      </w:r>
    </w:p>
    <w:p w14:paraId="663859D3" w14:textId="0DE68D8F" w:rsidR="00BC54C2" w:rsidRPr="00BC54C2" w:rsidRDefault="00EC41EE" w:rsidP="00BC54C2">
      <w:pPr>
        <w:pStyle w:val="BNormal"/>
      </w:pPr>
      <w:r w:rsidRPr="00BC54C2">
        <w:t>That dilution protects only “distinctive” or even “famous” marks is not sufficiently limiting</w:t>
      </w:r>
      <w:r w:rsidR="00BC54C2" w:rsidRPr="00BC54C2">
        <w:t>.</w:t>
      </w:r>
      <w:r w:rsidR="00BC54C2" w:rsidRPr="00BC54C2">
        <w:t xml:space="preserve"> </w:t>
      </w:r>
      <w:r w:rsidR="00BC54C2" w:rsidRPr="00BC54C2">
        <w:t>I</w:t>
      </w:r>
      <w:r w:rsidRPr="00BC54C2">
        <w:t xml:space="preserve">n </w:t>
      </w:r>
      <w:r w:rsidR="00BC54C2" w:rsidRPr="00BC54C2">
        <w:rPr>
          <w:i/>
        </w:rPr>
        <w:t>Bonito Boats</w:t>
      </w:r>
      <w:r w:rsidRPr="00BC54C2">
        <w:t>, the Court rejected an argument that the Florida statute prohibited only one method of copying and therefore was not unconstitutional.</w:t>
      </w:r>
      <w:r w:rsidR="00BC54C2" w:rsidRPr="00BC54C2">
        <w:rPr>
          <w:vertAlign w:val="superscript"/>
        </w:rPr>
        <w:footnoteReference w:id="147"/>
      </w:r>
      <w:r w:rsidRPr="00BC54C2">
        <w:t xml:space="preserve"> Limiting dilution to one class of marks (“distinctive”) should be similarly unavailing as a defense to preemption</w:t>
      </w:r>
      <w:r w:rsidR="00BC54C2" w:rsidRPr="00BC54C2">
        <w:t>.</w:t>
      </w:r>
      <w:r w:rsidR="00BC54C2" w:rsidRPr="00BC54C2">
        <w:t xml:space="preserve"> </w:t>
      </w:r>
      <w:r w:rsidR="00BC54C2" w:rsidRPr="00BC54C2">
        <w:t>M</w:t>
      </w:r>
      <w:r w:rsidRPr="00BC54C2">
        <w:t>oreover, although the Court has upheld state regulation of misappropriation of trade secrets,</w:t>
      </w:r>
      <w:r w:rsidR="00BC54C2" w:rsidRPr="00BC54C2">
        <w:rPr>
          <w:vertAlign w:val="superscript"/>
        </w:rPr>
        <w:footnoteReference w:id="148"/>
      </w:r>
      <w:r w:rsidRPr="00BC54C2">
        <w:t xml:space="preserve"> that is not the same as upholding state dilution protection for product configuration</w:t>
      </w:r>
      <w:r w:rsidR="00BC54C2" w:rsidRPr="00BC54C2">
        <w:t>.</w:t>
      </w:r>
      <w:r w:rsidR="00BC54C2" w:rsidRPr="00BC54C2">
        <w:t xml:space="preserve"> </w:t>
      </w:r>
      <w:r w:rsidR="00BC54C2" w:rsidRPr="00BC54C2">
        <w:t>I</w:t>
      </w:r>
      <w:r w:rsidRPr="00BC54C2">
        <w:t xml:space="preserve">n </w:t>
      </w:r>
      <w:r w:rsidR="00BC54C2" w:rsidRPr="00BC54C2">
        <w:rPr>
          <w:i/>
        </w:rPr>
        <w:t>Kewanee</w:t>
      </w:r>
      <w:r w:rsidRPr="00BC54C2">
        <w:t>, the Court found that trade-secret law works in tandem with patent law and does not provide disincentives to obtain patents.</w:t>
      </w:r>
      <w:r w:rsidR="00BC54C2" w:rsidRPr="00BC54C2">
        <w:rPr>
          <w:vertAlign w:val="superscript"/>
        </w:rPr>
        <w:footnoteReference w:id="149"/>
      </w:r>
      <w:r w:rsidRPr="00BC54C2">
        <w:t xml:space="preserve"> Specifically, trade-secret law does not preclude reverse engineering—in other words, copying—as a means of competing.</w:t>
      </w:r>
      <w:r w:rsidR="00BC54C2" w:rsidRPr="00BC54C2">
        <w:rPr>
          <w:vertAlign w:val="superscript"/>
        </w:rPr>
        <w:footnoteReference w:id="150"/>
      </w:r>
      <w:r w:rsidRPr="00BC54C2">
        <w:t xml:space="preserve"> Dilution, on the other hand, essentially prohibits reverse engineering of any “distinctive” product configuration.</w:t>
      </w:r>
    </w:p>
    <w:p w14:paraId="5794263D" w14:textId="3EE392C0" w:rsidR="00BC54C2" w:rsidRPr="00BC54C2" w:rsidRDefault="00EC41EE" w:rsidP="00BC54C2">
      <w:pPr>
        <w:pStyle w:val="BNormal"/>
      </w:pPr>
      <w:r w:rsidRPr="00BC54C2">
        <w:t xml:space="preserve">A federal district court, in </w:t>
      </w:r>
      <w:r w:rsidR="00BC54C2" w:rsidRPr="00BC54C2">
        <w:rPr>
          <w:i/>
        </w:rPr>
        <w:t>Escada AG v</w:t>
      </w:r>
      <w:r w:rsidR="00BC54C2" w:rsidRPr="00BC54C2">
        <w:t>.</w:t>
      </w:r>
      <w:r w:rsidR="00BC54C2" w:rsidRPr="00BC54C2">
        <w:t xml:space="preserve"> </w:t>
      </w:r>
      <w:r w:rsidR="00BC54C2" w:rsidRPr="00BC54C2">
        <w:rPr>
          <w:i/>
        </w:rPr>
        <w:t>Limited, Inc</w:t>
      </w:r>
      <w:r w:rsidRPr="00BC54C2">
        <w:t>.,</w:t>
      </w:r>
      <w:r w:rsidR="00BC54C2" w:rsidRPr="00BC54C2">
        <w:rPr>
          <w:vertAlign w:val="superscript"/>
        </w:rPr>
        <w:footnoteReference w:id="151"/>
      </w:r>
      <w:r w:rsidRPr="00BC54C2">
        <w:t xml:space="preserve"> held that under </w:t>
      </w:r>
      <w:r w:rsidR="00BC54C2" w:rsidRPr="00BC54C2">
        <w:rPr>
          <w:i/>
        </w:rPr>
        <w:t>Bonito</w:t>
      </w:r>
      <w:r w:rsidRPr="00BC54C2">
        <w:t>, New York’s dilution statute was preempted to the extent that it protected the design of the plaintiff’s perfume bottle.</w:t>
      </w:r>
      <w:r w:rsidR="00BC54C2" w:rsidRPr="00BC54C2">
        <w:rPr>
          <w:vertAlign w:val="superscript"/>
        </w:rPr>
        <w:footnoteReference w:id="152"/>
      </w:r>
      <w:r w:rsidRPr="00BC54C2">
        <w:t xml:space="preserve"> The court cited </w:t>
      </w:r>
      <w:r w:rsidR="00BC54C2" w:rsidRPr="00BC54C2">
        <w:rPr>
          <w:i/>
        </w:rPr>
        <w:t>Bonito</w:t>
      </w:r>
      <w:r w:rsidRPr="00BC54C2">
        <w:t>’s assertions that state law could protect against confusion, but not provide “patent-like” protection.</w:t>
      </w:r>
      <w:r w:rsidR="00BC54C2" w:rsidRPr="00BC54C2">
        <w:rPr>
          <w:vertAlign w:val="superscript"/>
        </w:rPr>
        <w:footnoteReference w:id="153"/>
      </w:r>
      <w:r w:rsidRPr="00BC54C2">
        <w:t xml:space="preserve"> Because New York’s dilution statute does not require confusion, the court found its protection to be essentially similar to patent protection, but without the patent law’s more rigorous standards for protectability.</w:t>
      </w:r>
      <w:r w:rsidR="00BC54C2" w:rsidRPr="00BC54C2">
        <w:rPr>
          <w:vertAlign w:val="superscript"/>
        </w:rPr>
        <w:footnoteReference w:id="154"/>
      </w:r>
      <w:r w:rsidR="00BC54C2" w:rsidRPr="00BC54C2">
        <w:rPr>
          <w:i/>
        </w:rPr>
        <w:t>Escada</w:t>
      </w:r>
      <w:r w:rsidRPr="00BC54C2">
        <w:t xml:space="preserve"> has been followed in several subsequent cases.</w:t>
      </w:r>
      <w:r w:rsidR="00BC54C2" w:rsidRPr="00BC54C2">
        <w:rPr>
          <w:vertAlign w:val="superscript"/>
        </w:rPr>
        <w:footnoteReference w:id="155"/>
      </w:r>
    </w:p>
    <w:p w14:paraId="2F48E412" w14:textId="1DE2B790" w:rsidR="00BC54C2" w:rsidRPr="00BC54C2" w:rsidRDefault="00BC54C2" w:rsidP="00BC54C2">
      <w:pPr>
        <w:pStyle w:val="BHead4"/>
      </w:pPr>
      <w:r>
        <w:t>4.III.C.2.</w:t>
      </w:r>
      <w:r w:rsidRPr="00BC54C2">
        <w:rPr>
          <w:rStyle w:val="BBNAidChar"/>
          <w:rFonts w:eastAsiaTheme="majorEastAsia"/>
        </w:rPr>
        <w:t>b</w:t>
      </w:r>
      <w:r w:rsidRPr="00BC54C2">
        <w:t>.</w:t>
      </w:r>
      <w:r>
        <w:t> </w:t>
      </w:r>
      <w:r w:rsidRPr="00BC54C2">
        <w:tab/>
        <w:t>Preemption by the Copyright Law</w:t>
      </w:r>
    </w:p>
    <w:p w14:paraId="25A5462A" w14:textId="3A53A861" w:rsidR="00BC54C2" w:rsidRPr="00BC54C2" w:rsidRDefault="00EC41EE" w:rsidP="00BC54C2">
      <w:pPr>
        <w:pStyle w:val="BNormal"/>
      </w:pPr>
      <w:r w:rsidRPr="00BC54C2">
        <w:t>Unlike the trademark or patent laws, the Copyright Act contains a provision expressly preempting certain state laws</w:t>
      </w:r>
      <w:r w:rsidR="00BC54C2" w:rsidRPr="00BC54C2">
        <w:t>.</w:t>
      </w:r>
      <w:r w:rsidR="00BC54C2" w:rsidRPr="00BC54C2">
        <w:t xml:space="preserve"> </w:t>
      </w:r>
      <w:r w:rsidR="00BC54C2" w:rsidRPr="00BC54C2">
        <w:t>S</w:t>
      </w:r>
      <w:r w:rsidRPr="00BC54C2">
        <w:t>ection 301 of the Copyright Act provides, in relevant part:</w:t>
      </w:r>
    </w:p>
    <w:p w14:paraId="133D570E" w14:textId="5244F257" w:rsidR="00BC54C2" w:rsidRPr="00BC54C2" w:rsidRDefault="00EC41EE" w:rsidP="0011736D">
      <w:pPr>
        <w:pStyle w:val="BListitemorig"/>
        <w:ind w:left="1440"/>
      </w:pPr>
      <w:r w:rsidRPr="00BC54C2">
        <w:t>(a) On and after January 1, 1978, all legal or equitable rights that are equivalent to any of the exclusive rights within the general scope of copyright as specified by section 106 in works of authorship that are fixed in a tangible medium of expression and come within the subject matter of copyright as specified by sections 102 and 103, whether created before or after that date and whether published or unpublished, are governed exclusively by this title</w:t>
      </w:r>
      <w:r w:rsidR="00BC54C2" w:rsidRPr="00BC54C2">
        <w:t>.</w:t>
      </w:r>
      <w:r w:rsidR="00BC54C2" w:rsidRPr="00BC54C2">
        <w:t xml:space="preserve"> </w:t>
      </w:r>
      <w:r w:rsidR="00BC54C2" w:rsidRPr="00BC54C2">
        <w:t>T</w:t>
      </w:r>
      <w:r w:rsidRPr="00BC54C2">
        <w:t>hereafter, no person is entitled to any such right or equivalent right in any such work under the common law or statutes of any State.</w:t>
      </w:r>
    </w:p>
    <w:p w14:paraId="6F17D204" w14:textId="3A11CA60" w:rsidR="00BC54C2" w:rsidRPr="00BC54C2" w:rsidRDefault="00EC41EE" w:rsidP="0011736D">
      <w:pPr>
        <w:pStyle w:val="BListitemorig"/>
        <w:ind w:left="1440"/>
      </w:pPr>
      <w:r w:rsidRPr="00BC54C2">
        <w:t>(b) Nothing in this title annuls or limits any rights or remedies under the common law or statutes of any State with respect to—</w:t>
      </w:r>
    </w:p>
    <w:p w14:paraId="70AA3FDD" w14:textId="578D8563" w:rsidR="00BC54C2" w:rsidRPr="00BC54C2" w:rsidRDefault="00EC41EE" w:rsidP="0011736D">
      <w:pPr>
        <w:pStyle w:val="BListitemorig"/>
        <w:ind w:left="1800"/>
      </w:pPr>
      <w:r w:rsidRPr="00BC54C2">
        <w:t>(1) subject matter that does not come within the subject matter of copyright as specified by sections 102 and 103, including works of authorship not fixed in any tangible medium of expression</w:t>
      </w:r>
      <w:r w:rsidR="00BC54C2" w:rsidRPr="00BC54C2">
        <w:t>;</w:t>
      </w:r>
      <w:r w:rsidR="00BC54C2" w:rsidRPr="00BC54C2">
        <w:t xml:space="preserve"> </w:t>
      </w:r>
      <w:r w:rsidR="00BC54C2" w:rsidRPr="00BC54C2">
        <w:t>[</w:t>
      </w:r>
      <w:r w:rsidRPr="00BC54C2">
        <w:t>or]</w:t>
      </w:r>
      <w:r w:rsidR="00BC54C2" w:rsidRPr="00BC54C2">
        <w:t xml:space="preserve"> </w:t>
      </w:r>
      <w:r w:rsidRPr="00BC54C2">
        <w:t>…</w:t>
      </w:r>
    </w:p>
    <w:p w14:paraId="77EDC7E6" w14:textId="6B430FDD" w:rsidR="00BC54C2" w:rsidRPr="00BC54C2" w:rsidRDefault="00EC41EE" w:rsidP="0011736D">
      <w:pPr>
        <w:pStyle w:val="BListitemorig"/>
        <w:ind w:left="1800"/>
      </w:pPr>
      <w:r w:rsidRPr="00BC54C2">
        <w:t>(3) activities violating legal or equitable rights that are not equivalent to any of the exclusive rights within the general scope of copyright as specified by section 106.</w:t>
      </w:r>
      <w:r w:rsidR="00BC54C2" w:rsidRPr="00BC54C2">
        <w:rPr>
          <w:vertAlign w:val="superscript"/>
        </w:rPr>
        <w:footnoteReference w:id="156"/>
      </w:r>
    </w:p>
    <w:p w14:paraId="34F9464C" w14:textId="591B585E" w:rsidR="00BC54C2" w:rsidRPr="00BC54C2" w:rsidRDefault="00EC41EE" w:rsidP="00BC54C2">
      <w:pPr>
        <w:pStyle w:val="BNormal"/>
      </w:pPr>
      <w:r w:rsidRPr="00BC54C2">
        <w:t xml:space="preserve">This section sets forth two requirements that must be satisfied before a state law </w:t>
      </w:r>
      <w:proofErr w:type="gramStart"/>
      <w:r w:rsidRPr="00BC54C2">
        <w:t>will be</w:t>
      </w:r>
      <w:proofErr w:type="gramEnd"/>
      <w:r w:rsidRPr="00BC54C2">
        <w:t xml:space="preserve"> found to be preempted</w:t>
      </w:r>
      <w:r w:rsidR="00BC54C2" w:rsidRPr="00BC54C2">
        <w:t>.</w:t>
      </w:r>
      <w:r w:rsidR="00BC54C2" w:rsidRPr="00BC54C2">
        <w:t xml:space="preserve"> </w:t>
      </w:r>
      <w:r w:rsidR="00BC54C2" w:rsidRPr="00BC54C2">
        <w:t>T</w:t>
      </w:r>
      <w:r w:rsidRPr="00BC54C2">
        <w:t>he state law must protect some right that is “equivalent to” one or more of the rights granted by the Copyright Act, and the state-law claim must be made as to something that falls within “the type of works protected by the Copyright Act under sections 102 and 103.”</w:t>
      </w:r>
      <w:r w:rsidR="00BC54C2" w:rsidRPr="00BC54C2">
        <w:rPr>
          <w:vertAlign w:val="superscript"/>
        </w:rPr>
        <w:footnoteReference w:id="157"/>
      </w:r>
    </w:p>
    <w:p w14:paraId="64FBBC7C" w14:textId="1ACDAC7E" w:rsidR="00BC54C2" w:rsidRPr="00BC54C2" w:rsidRDefault="00EC41EE" w:rsidP="00BC54C2">
      <w:pPr>
        <w:pStyle w:val="BNormal"/>
      </w:pPr>
      <w:r w:rsidRPr="00BC54C2">
        <w:t>Most trademarks and trade names, in particular word marks, do not fall within the subject matter of copyright</w:t>
      </w:r>
      <w:r w:rsidR="00BC54C2" w:rsidRPr="00BC54C2">
        <w:t>.</w:t>
      </w:r>
      <w:r w:rsidR="00BC54C2" w:rsidRPr="00BC54C2">
        <w:t xml:space="preserve"> </w:t>
      </w:r>
      <w:r w:rsidR="00BC54C2" w:rsidRPr="00BC54C2">
        <w:t>T</w:t>
      </w:r>
      <w:r w:rsidRPr="00BC54C2">
        <w:t>he regulations concerning copyright registration make clear that word marks are not registrable.</w:t>
      </w:r>
      <w:r w:rsidR="00BC54C2" w:rsidRPr="00BC54C2">
        <w:rPr>
          <w:vertAlign w:val="superscript"/>
        </w:rPr>
        <w:footnoteReference w:id="158"/>
      </w:r>
      <w:r w:rsidRPr="00BC54C2">
        <w:t xml:space="preserve"> Some trademarks, however, are original creative designs or pictures that could fall within the subject matter of copyright.</w:t>
      </w:r>
      <w:r w:rsidR="00BC54C2" w:rsidRPr="00BC54C2">
        <w:rPr>
          <w:vertAlign w:val="superscript"/>
        </w:rPr>
        <w:footnoteReference w:id="159"/>
      </w:r>
      <w:r w:rsidRPr="00BC54C2">
        <w:t xml:space="preserve"> As to such works, a state dilution claim that essentially protects against copying could face a preemption claim on that basis.</w:t>
      </w:r>
      <w:r w:rsidR="00BC54C2" w:rsidRPr="00BC54C2">
        <w:rPr>
          <w:vertAlign w:val="superscript"/>
        </w:rPr>
        <w:footnoteReference w:id="160"/>
      </w:r>
    </w:p>
    <w:p w14:paraId="092693B5" w14:textId="14921AEF" w:rsidR="00BC54C2" w:rsidRPr="00BC54C2" w:rsidRDefault="00EC41EE" w:rsidP="00BC54C2">
      <w:pPr>
        <w:pStyle w:val="BNormal"/>
      </w:pPr>
      <w:r w:rsidRPr="00BC54C2">
        <w:t>Product packaging and product configurations, both of which are often referred to as “trade dress,” present more complex problems regarding the interaction with the Copyright Act</w:t>
      </w:r>
      <w:r w:rsidR="00BC54C2" w:rsidRPr="00BC54C2">
        <w:t>.</w:t>
      </w:r>
      <w:r w:rsidR="00BC54C2" w:rsidRPr="00BC54C2">
        <w:t xml:space="preserve"> </w:t>
      </w:r>
      <w:r w:rsidR="00BC54C2" w:rsidRPr="00BC54C2">
        <w:t>T</w:t>
      </w:r>
      <w:r w:rsidRPr="00BC54C2">
        <w:t>urning first to packaging, the initial question is whether packaging meets the “subject matter” requirement</w:t>
      </w:r>
      <w:r w:rsidR="00BC54C2" w:rsidRPr="00BC54C2">
        <w:t>.</w:t>
      </w:r>
      <w:r w:rsidR="00BC54C2" w:rsidRPr="00BC54C2">
        <w:t xml:space="preserve"> </w:t>
      </w:r>
      <w:r w:rsidR="00BC54C2" w:rsidRPr="00BC54C2">
        <w:t>I</w:t>
      </w:r>
      <w:r w:rsidRPr="00BC54C2">
        <w:t>n other words, does packaging fall “within the subject matter of copyright” as defined in the Copyright Act</w:t>
      </w:r>
      <w:r w:rsidR="00BC54C2" w:rsidRPr="00BC54C2">
        <w:t>?</w:t>
      </w:r>
      <w:r w:rsidR="00BC54C2" w:rsidRPr="00BC54C2">
        <w:t xml:space="preserve"> </w:t>
      </w:r>
      <w:r w:rsidR="00BC54C2" w:rsidRPr="00BC54C2">
        <w:t>M</w:t>
      </w:r>
      <w:r w:rsidRPr="00BC54C2">
        <w:t>ost packaging probably would be viewed as “pictorial, graphic, and sculptural works” under Section 102(a)(5) of the Copyright Act.</w:t>
      </w:r>
      <w:r w:rsidR="00BC54C2" w:rsidRPr="00BC54C2">
        <w:rPr>
          <w:vertAlign w:val="superscript"/>
        </w:rPr>
        <w:footnoteReference w:id="161"/>
      </w:r>
      <w:r w:rsidRPr="00BC54C2">
        <w:t xml:space="preserve"> This assumes that packaging is not considered a “useful article” under the Copyright Act</w:t>
      </w:r>
      <w:r w:rsidR="00BC54C2" w:rsidRPr="00BC54C2">
        <w:t>.</w:t>
      </w:r>
      <w:r w:rsidR="00BC54C2" w:rsidRPr="00BC54C2">
        <w:t xml:space="preserve"> </w:t>
      </w:r>
      <w:r w:rsidR="00BC54C2" w:rsidRPr="00BC54C2">
        <w:t>T</w:t>
      </w:r>
      <w:r w:rsidRPr="00BC54C2">
        <w:t>he definition of pictorial, graphical, and sculptural work in Section 101 includes a “useful article” only to the extent that the artistic features of the article are severable from, “and are capable of existing independently of, the utilitarian aspects of the article.”</w:t>
      </w:r>
      <w:r w:rsidR="00BC54C2" w:rsidRPr="00BC54C2">
        <w:rPr>
          <w:vertAlign w:val="superscript"/>
        </w:rPr>
        <w:footnoteReference w:id="162"/>
      </w:r>
      <w:r w:rsidRPr="00BC54C2">
        <w:t xml:space="preserve"> By itself, packaging is not a “useful article,”</w:t>
      </w:r>
      <w:r w:rsidR="00BC54C2" w:rsidRPr="00BC54C2">
        <w:rPr>
          <w:vertAlign w:val="superscript"/>
        </w:rPr>
        <w:footnoteReference w:id="163"/>
      </w:r>
      <w:r w:rsidRPr="00BC54C2">
        <w:t xml:space="preserve"> although it may be deemed utilitarian because its purpose includes enclosing and protecting the contents of the package</w:t>
      </w:r>
      <w:r w:rsidR="00BC54C2" w:rsidRPr="00BC54C2">
        <w:t>.</w:t>
      </w:r>
      <w:r w:rsidR="00BC54C2" w:rsidRPr="00BC54C2">
        <w:t xml:space="preserve"> </w:t>
      </w:r>
      <w:r w:rsidR="00BC54C2" w:rsidRPr="00BC54C2">
        <w:t>H</w:t>
      </w:r>
      <w:r w:rsidRPr="00BC54C2">
        <w:t>owever, it can be argued that the purpose of the packaging is to “portray the appearance of the article or to convey information,” thereby taking it outside of the Copyright Act’s definition of a “useful article.”</w:t>
      </w:r>
    </w:p>
    <w:p w14:paraId="38C6BA12" w14:textId="0698BFBF" w:rsidR="00BC54C2" w:rsidRPr="00BC54C2" w:rsidRDefault="00EC41EE" w:rsidP="00BC54C2">
      <w:pPr>
        <w:pStyle w:val="BNormal"/>
      </w:pPr>
      <w:r w:rsidRPr="00BC54C2">
        <w:t>Product configurations are more problematic</w:t>
      </w:r>
      <w:r w:rsidR="00BC54C2" w:rsidRPr="00BC54C2">
        <w:t>.</w:t>
      </w:r>
      <w:r w:rsidR="00BC54C2" w:rsidRPr="00BC54C2">
        <w:t xml:space="preserve"> </w:t>
      </w:r>
      <w:r w:rsidR="00BC54C2" w:rsidRPr="00BC54C2">
        <w:t>E</w:t>
      </w:r>
      <w:r w:rsidRPr="00BC54C2">
        <w:t>ven more so than with packaging, there would be a question whether product configurations would be considered “useful articles” and thus not within the subject matter of copyright</w:t>
      </w:r>
      <w:r w:rsidR="00BC54C2" w:rsidRPr="00BC54C2">
        <w:t>.</w:t>
      </w:r>
      <w:r w:rsidR="00BC54C2" w:rsidRPr="00BC54C2">
        <w:t xml:space="preserve"> </w:t>
      </w:r>
      <w:r w:rsidR="00BC54C2" w:rsidRPr="00BC54C2">
        <w:t>I</w:t>
      </w:r>
      <w:r w:rsidRPr="00BC54C2">
        <w:t>n other words, configurations would not be considered pictorial, graphic, or sculptural works, unless the “artistic” (nonutilitarian) features of the product were severable from the rest of the product.</w:t>
      </w:r>
      <w:r w:rsidR="00BC54C2" w:rsidRPr="00BC54C2">
        <w:rPr>
          <w:vertAlign w:val="superscript"/>
        </w:rPr>
        <w:footnoteReference w:id="164"/>
      </w:r>
      <w:r w:rsidRPr="00BC54C2">
        <w:t xml:space="preserve"> However, courts have held that works that do not qualify for copyright protection nevertheless fall within the </w:t>
      </w:r>
      <w:r w:rsidR="00BC54C2" w:rsidRPr="00BC54C2">
        <w:rPr>
          <w:i/>
        </w:rPr>
        <w:t>scope</w:t>
      </w:r>
      <w:r w:rsidRPr="00BC54C2">
        <w:t xml:space="preserve"> of copyright for purposes of Section 301.</w:t>
      </w:r>
      <w:r w:rsidR="00BC54C2" w:rsidRPr="00BC54C2">
        <w:rPr>
          <w:vertAlign w:val="superscript"/>
        </w:rPr>
        <w:footnoteReference w:id="165"/>
      </w:r>
      <w:r w:rsidRPr="00BC54C2">
        <w:t xml:space="preserve"> Therefore, even though the Copyright Act may not protect product configurations, they are “fixed” in the copyright sense,</w:t>
      </w:r>
      <w:r w:rsidR="00BC54C2" w:rsidRPr="00BC54C2">
        <w:rPr>
          <w:vertAlign w:val="superscript"/>
        </w:rPr>
        <w:footnoteReference w:id="166"/>
      </w:r>
      <w:r w:rsidRPr="00BC54C2">
        <w:t xml:space="preserve"> and are the type of works that </w:t>
      </w:r>
      <w:r w:rsidR="00BC54C2" w:rsidRPr="00BC54C2">
        <w:rPr>
          <w:i/>
        </w:rPr>
        <w:t>may</w:t>
      </w:r>
      <w:r w:rsidRPr="00BC54C2">
        <w:t xml:space="preserve"> be covered by copyright</w:t>
      </w:r>
      <w:r w:rsidR="00BC54C2" w:rsidRPr="00BC54C2">
        <w:t>.</w:t>
      </w:r>
      <w:r w:rsidR="00BC54C2" w:rsidRPr="00BC54C2">
        <w:t xml:space="preserve"> </w:t>
      </w:r>
      <w:r w:rsidR="00BC54C2" w:rsidRPr="00BC54C2">
        <w:t>S</w:t>
      </w:r>
      <w:r w:rsidRPr="00BC54C2">
        <w:t>ome trademarks may also fall within this category, to the extent that they constitute designs, rather than words.</w:t>
      </w:r>
      <w:r w:rsidR="00BC54C2" w:rsidRPr="00BC54C2">
        <w:rPr>
          <w:vertAlign w:val="superscript"/>
        </w:rPr>
        <w:footnoteReference w:id="167"/>
      </w:r>
    </w:p>
    <w:p w14:paraId="50A0F860" w14:textId="2D00B437" w:rsidR="00BC54C2" w:rsidRPr="00BC54C2" w:rsidRDefault="00EC41EE" w:rsidP="00BC54C2">
      <w:pPr>
        <w:pStyle w:val="BNormal"/>
      </w:pPr>
      <w:r w:rsidRPr="00BC54C2">
        <w:t>Assuming that such items are within the subject matter of copyright, the next question is whether state dilution laws grant rights that are equivalent to copyright</w:t>
      </w:r>
      <w:r w:rsidR="00BC54C2" w:rsidRPr="00BC54C2">
        <w:t>.</w:t>
      </w:r>
      <w:r w:rsidR="00BC54C2" w:rsidRPr="00BC54C2">
        <w:t xml:space="preserve"> </w:t>
      </w:r>
      <w:r w:rsidR="00BC54C2" w:rsidRPr="00BC54C2">
        <w:t>C</w:t>
      </w:r>
      <w:r w:rsidRPr="00BC54C2">
        <w:t>ourts generally have held that states may protect works from being misappropriated if there is some “extra element” required by the state law, apart from the copying or appropriation itself.</w:t>
      </w:r>
      <w:r w:rsidR="00BC54C2" w:rsidRPr="00BC54C2">
        <w:rPr>
          <w:vertAlign w:val="superscript"/>
        </w:rPr>
        <w:footnoteReference w:id="168"/>
      </w:r>
      <w:r w:rsidRPr="00BC54C2">
        <w:t xml:space="preserve"> In an ordinary trademark-infringement claim, a requirement of likelihood of confusion would satisfy the extra-element test.</w:t>
      </w:r>
      <w:r w:rsidR="00BC54C2" w:rsidRPr="00BC54C2">
        <w:rPr>
          <w:vertAlign w:val="superscript"/>
        </w:rPr>
        <w:footnoteReference w:id="169"/>
      </w:r>
      <w:r w:rsidRPr="00BC54C2">
        <w:t xml:space="preserve"> However, dilution eliminates the requirement of confusion</w:t>
      </w:r>
      <w:r w:rsidR="00BC54C2" w:rsidRPr="00BC54C2">
        <w:t>.</w:t>
      </w:r>
      <w:r w:rsidR="00BC54C2" w:rsidRPr="00BC54C2">
        <w:t xml:space="preserve"> </w:t>
      </w:r>
      <w:r w:rsidR="00BC54C2" w:rsidRPr="00BC54C2">
        <w:t>A</w:t>
      </w:r>
      <w:r w:rsidRPr="00BC54C2">
        <w:t xml:space="preserve">rguably, a </w:t>
      </w:r>
      <w:r w:rsidR="00BC54C2" w:rsidRPr="00BC54C2">
        <w:rPr>
          <w:i/>
        </w:rPr>
        <w:t>requirement</w:t>
      </w:r>
      <w:r w:rsidRPr="00BC54C2">
        <w:t xml:space="preserve"> of “predatory intent” could be the extra element.</w:t>
      </w:r>
      <w:r w:rsidR="00BC54C2" w:rsidRPr="00BC54C2">
        <w:rPr>
          <w:vertAlign w:val="superscript"/>
        </w:rPr>
        <w:footnoteReference w:id="170"/>
      </w:r>
      <w:r w:rsidRPr="00BC54C2">
        <w:t xml:space="preserve"> However, it has consistently been held that intent by itself is not an “extra element” under Section 301.</w:t>
      </w:r>
      <w:r w:rsidR="00BC54C2" w:rsidRPr="00BC54C2">
        <w:rPr>
          <w:vertAlign w:val="superscript"/>
        </w:rPr>
        <w:footnoteReference w:id="171"/>
      </w:r>
      <w:r w:rsidRPr="00BC54C2">
        <w:t xml:space="preserve"> Thus, predatory intent would have to be something other than simply a desire to copy and compete in the marketplace.</w:t>
      </w:r>
      <w:r w:rsidR="00BC54C2" w:rsidRPr="00BC54C2">
        <w:rPr>
          <w:vertAlign w:val="superscript"/>
        </w:rPr>
        <w:footnoteReference w:id="172"/>
      </w:r>
      <w:r w:rsidRPr="00BC54C2">
        <w:t xml:space="preserve"> Consequently, under some circumstances a dilution claim may be vulnerable to preemption under the Copyright Act.</w:t>
      </w:r>
      <w:r w:rsidR="00BC54C2" w:rsidRPr="00BC54C2">
        <w:rPr>
          <w:vertAlign w:val="superscript"/>
        </w:rPr>
        <w:footnoteReference w:id="173"/>
      </w:r>
    </w:p>
    <w:p w14:paraId="2BDA48E1" w14:textId="2CB393EE" w:rsidR="00BC54C2" w:rsidRPr="00BC54C2" w:rsidRDefault="00EC41EE" w:rsidP="00BC54C2">
      <w:pPr>
        <w:pStyle w:val="BNormal"/>
      </w:pPr>
      <w:r w:rsidRPr="00BC54C2">
        <w:t>A similar preemption analysis suggests that there would not be preemption under the “moral rights” provided by the Visual Artists Rights Act of 1990 (VARA),</w:t>
      </w:r>
      <w:r w:rsidR="00BC54C2" w:rsidRPr="00BC54C2">
        <w:rPr>
          <w:vertAlign w:val="superscript"/>
        </w:rPr>
        <w:footnoteReference w:id="174"/>
      </w:r>
      <w:r w:rsidRPr="00BC54C2">
        <w:t xml:space="preserve"> which is codified at Section 106A of the Copyright Act</w:t>
      </w:r>
      <w:r w:rsidR="00BC54C2" w:rsidRPr="00BC54C2">
        <w:t>.</w:t>
      </w:r>
      <w:r w:rsidR="00BC54C2" w:rsidRPr="00BC54C2">
        <w:t xml:space="preserve"> </w:t>
      </w:r>
      <w:r w:rsidR="00BC54C2" w:rsidRPr="00BC54C2">
        <w:t>S</w:t>
      </w:r>
      <w:r w:rsidRPr="00BC54C2">
        <w:t>ection 301(f) of the Copyright Act provides, in relevant part:</w:t>
      </w:r>
    </w:p>
    <w:p w14:paraId="2FAB90A2" w14:textId="06C47684" w:rsidR="00BC54C2" w:rsidRPr="00BC54C2" w:rsidRDefault="00EC41EE" w:rsidP="00BC54C2">
      <w:pPr>
        <w:pStyle w:val="BQuotelong"/>
      </w:pPr>
      <w:r w:rsidRPr="00BC54C2">
        <w:t>(1) On or after [June 1, 1991], all legal or equitable rights that are equivalent to any of the rights conferred by section 106A with respect to works of visual art to which the rights conferred by section 106A apply are governed exclusively by section 106A and section 113(d) and the provisions of this title relating to such sections</w:t>
      </w:r>
      <w:r w:rsidR="00BC54C2" w:rsidRPr="00BC54C2">
        <w:t>.</w:t>
      </w:r>
      <w:r w:rsidR="00BC54C2" w:rsidRPr="00BC54C2">
        <w:t xml:space="preserve"> </w:t>
      </w:r>
      <w:r w:rsidR="00BC54C2" w:rsidRPr="00BC54C2">
        <w:t>T</w:t>
      </w:r>
      <w:r w:rsidRPr="00BC54C2">
        <w:t>hereafter, no person is entitled to any such right or equivalent right in any work of visual art under the common law or statutes of any State.</w:t>
      </w:r>
      <w:r w:rsidR="00BC54C2" w:rsidRPr="00BC54C2">
        <w:rPr>
          <w:vertAlign w:val="superscript"/>
        </w:rPr>
        <w:footnoteReference w:id="175"/>
      </w:r>
    </w:p>
    <w:p w14:paraId="7DFE2F49" w14:textId="07FE8A20" w:rsidR="00BC54C2" w:rsidRPr="00BC54C2" w:rsidRDefault="00EC41EE" w:rsidP="00BC54C2">
      <w:pPr>
        <w:pStyle w:val="BNormal"/>
      </w:pPr>
      <w:r w:rsidRPr="00BC54C2">
        <w:t>Like Section 301(a), this section contains both an “equivalency” requirement and a “subject matter” requirement</w:t>
      </w:r>
      <w:r w:rsidR="00BC54C2" w:rsidRPr="00BC54C2">
        <w:t>.</w:t>
      </w:r>
      <w:r w:rsidR="00BC54C2" w:rsidRPr="00BC54C2">
        <w:t xml:space="preserve"> </w:t>
      </w:r>
      <w:r w:rsidR="00BC54C2" w:rsidRPr="00BC54C2">
        <w:t>W</w:t>
      </w:r>
      <w:r w:rsidRPr="00BC54C2">
        <w:t xml:space="preserve">hile some dilution claims (including claims for </w:t>
      </w:r>
      <w:proofErr w:type="spellStart"/>
      <w:r w:rsidRPr="00BC54C2">
        <w:t>tarnishment</w:t>
      </w:r>
      <w:proofErr w:type="spellEnd"/>
      <w:r w:rsidRPr="00BC54C2">
        <w:t>) could be considered to be the equivalent of the rights of attribution and integrity provided in Section 106A, the term “work of visual art” is limited to single original works of art and limited editions of 200 copies or fewer,</w:t>
      </w:r>
      <w:r w:rsidR="00BC54C2" w:rsidRPr="00BC54C2">
        <w:rPr>
          <w:vertAlign w:val="superscript"/>
        </w:rPr>
        <w:footnoteReference w:id="176"/>
      </w:r>
      <w:r w:rsidRPr="00BC54C2">
        <w:t xml:space="preserve"> and the definition expressly excludes “any merchandising item or advertising, promotional, descriptive, covering, or packaging material or container.”</w:t>
      </w:r>
      <w:r w:rsidR="00BC54C2" w:rsidRPr="00BC54C2">
        <w:rPr>
          <w:vertAlign w:val="superscript"/>
        </w:rPr>
        <w:footnoteReference w:id="177"/>
      </w:r>
      <w:r w:rsidRPr="00BC54C2">
        <w:t xml:space="preserve"> Thus, for almost all dilution claims under state law, the “subject matter” requirement of Section 301(f) will not be met, and the dilution claims will not be preempted under that section.</w:t>
      </w:r>
    </w:p>
    <w:p w14:paraId="47F07F40" w14:textId="387D66CD" w:rsidR="00BC54C2" w:rsidRPr="00BC54C2" w:rsidRDefault="00EC41EE" w:rsidP="00BC54C2">
      <w:pPr>
        <w:pStyle w:val="BNormal"/>
      </w:pPr>
      <w:r w:rsidRPr="00BC54C2">
        <w:t xml:space="preserve">A few federal district courts have discussed the issue of preemption of dilution claims under the Copyright Act, though </w:t>
      </w:r>
      <w:proofErr w:type="gramStart"/>
      <w:r w:rsidRPr="00BC54C2">
        <w:t>none</w:t>
      </w:r>
      <w:proofErr w:type="gramEnd"/>
      <w:r w:rsidRPr="00BC54C2">
        <w:t xml:space="preserve"> </w:t>
      </w:r>
      <w:proofErr w:type="gramStart"/>
      <w:r w:rsidRPr="00BC54C2">
        <w:t>have</w:t>
      </w:r>
      <w:proofErr w:type="gramEnd"/>
      <w:r w:rsidRPr="00BC54C2">
        <w:t xml:space="preserve"> discussed it extensively</w:t>
      </w:r>
      <w:r w:rsidR="00BC54C2" w:rsidRPr="00BC54C2">
        <w:t>.</w:t>
      </w:r>
      <w:r w:rsidR="00BC54C2" w:rsidRPr="00BC54C2">
        <w:t xml:space="preserve"> </w:t>
      </w:r>
      <w:r w:rsidR="00BC54C2" w:rsidRPr="00BC54C2">
        <w:t>P</w:t>
      </w:r>
      <w:r w:rsidRPr="00BC54C2">
        <w:t xml:space="preserve">erhaps the most detailed analysis is contained in </w:t>
      </w:r>
      <w:r w:rsidR="00BC54C2" w:rsidRPr="00BC54C2">
        <w:rPr>
          <w:i/>
        </w:rPr>
        <w:t>Centrix Financial LLC v</w:t>
      </w:r>
      <w:r w:rsidR="00BC54C2" w:rsidRPr="00BC54C2">
        <w:t>.</w:t>
      </w:r>
      <w:r w:rsidR="00BC54C2" w:rsidRPr="00BC54C2">
        <w:t xml:space="preserve"> </w:t>
      </w:r>
      <w:r w:rsidR="00BC54C2" w:rsidRPr="00BC54C2">
        <w:rPr>
          <w:i/>
        </w:rPr>
        <w:t>Capital Lending Strategies, LLC</w:t>
      </w:r>
      <w:r w:rsidRPr="00BC54C2">
        <w:t>.</w:t>
      </w:r>
      <w:r w:rsidR="00BC54C2" w:rsidRPr="00BC54C2">
        <w:rPr>
          <w:vertAlign w:val="superscript"/>
        </w:rPr>
        <w:footnoteReference w:id="178"/>
      </w:r>
      <w:r w:rsidRPr="00BC54C2">
        <w:t xml:space="preserve"> The court began by stating the familiar doctrine that a state law will not be preempted if it contains an “extra element” not found in the Copyright Act.</w:t>
      </w:r>
      <w:r w:rsidR="00BC54C2" w:rsidRPr="00BC54C2">
        <w:rPr>
          <w:vertAlign w:val="superscript"/>
        </w:rPr>
        <w:footnoteReference w:id="179"/>
      </w:r>
      <w:r w:rsidRPr="00BC54C2">
        <w:t xml:space="preserve"> Discussing the original Texas antidilution statute, the court noted that the law included claims for “injury to business reputation.” Such claims, it found, satisfied the “extra element” requirement (because injury to business reputation is not an element of a copyright claim).</w:t>
      </w:r>
      <w:r w:rsidR="00BC54C2" w:rsidRPr="00BC54C2">
        <w:rPr>
          <w:vertAlign w:val="superscript"/>
        </w:rPr>
        <w:footnoteReference w:id="180"/>
      </w:r>
      <w:r w:rsidRPr="00BC54C2">
        <w:t xml:space="preserve"> However, the court’s decision did not deal with the possibility that the Copyright Act might preempt a claim for dilution by blurring, for example.</w:t>
      </w:r>
    </w:p>
    <w:p w14:paraId="3DA33B33" w14:textId="0C1F7EF2" w:rsidR="00BC54C2" w:rsidRPr="00BC54C2" w:rsidRDefault="00EC41EE" w:rsidP="00BC54C2">
      <w:pPr>
        <w:pStyle w:val="BNormal"/>
      </w:pPr>
      <w:r w:rsidRPr="00BC54C2">
        <w:t xml:space="preserve">Another court held, in </w:t>
      </w:r>
      <w:proofErr w:type="gramStart"/>
      <w:r w:rsidRPr="00BC54C2">
        <w:t>fairly conclusory</w:t>
      </w:r>
      <w:proofErr w:type="gramEnd"/>
      <w:r w:rsidRPr="00BC54C2">
        <w:t xml:space="preserve"> fashion, that the Copyright Act does not preempt a state dilution claim involving apparent </w:t>
      </w:r>
      <w:proofErr w:type="spellStart"/>
      <w:r w:rsidRPr="00BC54C2">
        <w:t>tarnishment</w:t>
      </w:r>
      <w:proofErr w:type="spellEnd"/>
      <w:r w:rsidR="00BC54C2" w:rsidRPr="00BC54C2">
        <w:t>.</w:t>
      </w:r>
      <w:r w:rsidR="00BC54C2" w:rsidRPr="00BC54C2">
        <w:t xml:space="preserve"> </w:t>
      </w:r>
      <w:r w:rsidR="00BC54C2" w:rsidRPr="00BC54C2">
        <w:t>I</w:t>
      </w:r>
      <w:r w:rsidRPr="00BC54C2">
        <w:t>n that case, a competitor used humorous depictions of the plaintiff’s trademark (a Holstein cow) in an advertisement.</w:t>
      </w:r>
      <w:r w:rsidR="00BC54C2" w:rsidRPr="00BC54C2">
        <w:rPr>
          <w:vertAlign w:val="superscript"/>
        </w:rPr>
        <w:footnoteReference w:id="181"/>
      </w:r>
      <w:r w:rsidRPr="00BC54C2">
        <w:t xml:space="preserve"> A </w:t>
      </w:r>
      <w:proofErr w:type="spellStart"/>
      <w:r w:rsidRPr="00BC54C2">
        <w:t>tarnishment</w:t>
      </w:r>
      <w:proofErr w:type="spellEnd"/>
      <w:r w:rsidRPr="00BC54C2">
        <w:t xml:space="preserve"> claim, as opposed to a blurring claim, might satisfy the “extra element” requirement of Section 301</w:t>
      </w:r>
      <w:r w:rsidR="00BC54C2" w:rsidRPr="00BC54C2">
        <w:t>.</w:t>
      </w:r>
      <w:r w:rsidR="00BC54C2" w:rsidRPr="00BC54C2">
        <w:t xml:space="preserve"> </w:t>
      </w:r>
      <w:r w:rsidR="00BC54C2" w:rsidRPr="00BC54C2">
        <w:t>A</w:t>
      </w:r>
      <w:r w:rsidRPr="00BC54C2">
        <w:t xml:space="preserve">lthough blurring may be the rough equivalent to protection against copying, a </w:t>
      </w:r>
      <w:proofErr w:type="spellStart"/>
      <w:r w:rsidRPr="00BC54C2">
        <w:t>tarnishment</w:t>
      </w:r>
      <w:proofErr w:type="spellEnd"/>
      <w:r w:rsidRPr="00BC54C2">
        <w:t xml:space="preserve"> claim protects the mark only from being used in an unsavory context.</w:t>
      </w:r>
    </w:p>
    <w:p w14:paraId="6AFB89AB" w14:textId="0C64F8AC" w:rsidR="00BC54C2" w:rsidRPr="00BC54C2" w:rsidRDefault="00EC41EE" w:rsidP="00BC54C2">
      <w:pPr>
        <w:pStyle w:val="BNormal"/>
      </w:pPr>
      <w:r w:rsidRPr="00BC54C2">
        <w:t>Another district court held, with even less analysis, that a dilution claim involving alleged copying of a logo trademark was not preempted.</w:t>
      </w:r>
      <w:r w:rsidR="00BC54C2" w:rsidRPr="00BC54C2">
        <w:rPr>
          <w:vertAlign w:val="superscript"/>
        </w:rPr>
        <w:footnoteReference w:id="182"/>
      </w:r>
      <w:r w:rsidRPr="00BC54C2">
        <w:t xml:space="preserve"> However, that case incorrectly relied on a Second Circuit case, without further discussion of the issue.</w:t>
      </w:r>
      <w:r w:rsidR="00BC54C2" w:rsidRPr="00BC54C2">
        <w:rPr>
          <w:vertAlign w:val="superscript"/>
        </w:rPr>
        <w:footnoteReference w:id="183"/>
      </w:r>
      <w:r w:rsidRPr="00BC54C2">
        <w:t xml:space="preserve"> This case also did not involve </w:t>
      </w:r>
      <w:proofErr w:type="gramStart"/>
      <w:r w:rsidRPr="00BC54C2">
        <w:t>a product</w:t>
      </w:r>
      <w:proofErr w:type="gramEnd"/>
      <w:r w:rsidRPr="00BC54C2">
        <w:t xml:space="preserve"> configuration or packaging.</w:t>
      </w:r>
    </w:p>
    <w:p w14:paraId="1D2362BC" w14:textId="10F1496B" w:rsidR="00BC54C2" w:rsidRPr="00BC54C2" w:rsidRDefault="00EC41EE" w:rsidP="00BC54C2">
      <w:pPr>
        <w:pStyle w:val="BNormal"/>
      </w:pPr>
      <w:r w:rsidRPr="00BC54C2">
        <w:t>One district court did find a state dilution claim to be preempted by the Copyright Act, finding the allegations of trade dress blurring to be no more than “harm from copying.”</w:t>
      </w:r>
      <w:r w:rsidR="00BC54C2" w:rsidRPr="00BC54C2">
        <w:rPr>
          <w:vertAlign w:val="superscript"/>
        </w:rPr>
        <w:footnoteReference w:id="184"/>
      </w:r>
      <w:r w:rsidRPr="00BC54C2">
        <w:t xml:space="preserve"> The court did not engage in an extended discussion of blurring preemption, although it discussed copyright preemption in connection with several state law claims.</w:t>
      </w:r>
      <w:r w:rsidR="00BC54C2" w:rsidRPr="00BC54C2">
        <w:rPr>
          <w:vertAlign w:val="superscript"/>
        </w:rPr>
        <w:footnoteReference w:id="185"/>
      </w:r>
    </w:p>
    <w:p w14:paraId="29678548" w14:textId="04FCADAD" w:rsidR="00BC54C2" w:rsidRPr="00BC54C2" w:rsidRDefault="00EC41EE" w:rsidP="00BC54C2">
      <w:pPr>
        <w:pStyle w:val="BNormal"/>
      </w:pPr>
      <w:r w:rsidRPr="00BC54C2">
        <w:t xml:space="preserve">Most dilution claims will be blurring claims, and even those that allege </w:t>
      </w:r>
      <w:proofErr w:type="spellStart"/>
      <w:r w:rsidRPr="00BC54C2">
        <w:t>tarnishment</w:t>
      </w:r>
      <w:proofErr w:type="spellEnd"/>
      <w:r w:rsidRPr="00BC54C2">
        <w:t xml:space="preserve"> usually will involve copying, rather than serious alterations of the trademarked configuration</w:t>
      </w:r>
      <w:r w:rsidR="00BC54C2" w:rsidRPr="00BC54C2">
        <w:t>.</w:t>
      </w:r>
      <w:r w:rsidR="00BC54C2" w:rsidRPr="00BC54C2">
        <w:t xml:space="preserve"> </w:t>
      </w:r>
      <w:r w:rsidR="00BC54C2" w:rsidRPr="00BC54C2">
        <w:t>T</w:t>
      </w:r>
      <w:r w:rsidRPr="00BC54C2">
        <w:t>hose will be harder to distinguish from the type of protections offered by the Copyright Act.</w:t>
      </w:r>
    </w:p>
    <w:p w14:paraId="1F06713A" w14:textId="1DA8C7BC" w:rsidR="00BC54C2" w:rsidRPr="00BC54C2" w:rsidRDefault="00BC54C2" w:rsidP="00BC54C2">
      <w:pPr>
        <w:pStyle w:val="BHead2"/>
      </w:pPr>
      <w:r>
        <w:t>4.III.</w:t>
      </w:r>
      <w:r w:rsidR="00EC41EE" w:rsidRPr="00BC54C2">
        <w:rPr>
          <w:rStyle w:val="BBNAidChar"/>
          <w:rFonts w:eastAsiaTheme="majorEastAsia"/>
        </w:rPr>
        <w:t>D</w:t>
      </w:r>
      <w:r w:rsidRPr="00BC54C2">
        <w:t>.</w:t>
      </w:r>
      <w:r>
        <w:t> </w:t>
      </w:r>
      <w:r w:rsidRPr="00BC54C2">
        <w:t xml:space="preserve"> </w:t>
      </w:r>
      <w:r w:rsidRPr="00BC54C2">
        <w:t>P</w:t>
      </w:r>
      <w:r w:rsidR="00EC41EE" w:rsidRPr="00BC54C2">
        <w:t>reemption by the Dormant Commerce Clause</w:t>
      </w:r>
    </w:p>
    <w:p w14:paraId="0BA254E1" w14:textId="0E62D6EA" w:rsidR="00BC54C2" w:rsidRPr="00BC54C2" w:rsidRDefault="00EC41EE" w:rsidP="00BC54C2">
      <w:pPr>
        <w:pStyle w:val="BNormal"/>
      </w:pPr>
      <w:r w:rsidRPr="00BC54C2">
        <w:t>The Constitution’s commerce clause enables Congress to regulate activities constituting interstate commerce (this is, in fact, the authority that allows Congress to enact trademark laws)</w:t>
      </w:r>
      <w:r w:rsidR="00BC54C2" w:rsidRPr="00BC54C2">
        <w:t>.</w:t>
      </w:r>
      <w:r w:rsidR="00BC54C2" w:rsidRPr="00BC54C2">
        <w:t xml:space="preserve"> </w:t>
      </w:r>
      <w:r w:rsidR="00BC54C2" w:rsidRPr="00BC54C2">
        <w:t>H</w:t>
      </w:r>
      <w:r w:rsidRPr="00BC54C2">
        <w:t>owever, the Supreme Court has also held that the commerce clause acts as a limit on state power to enact laws that discriminate against, or, in some cases, impose an excess burden on, interstate commerce.</w:t>
      </w:r>
      <w:r w:rsidR="00BC54C2" w:rsidRPr="00BC54C2">
        <w:rPr>
          <w:vertAlign w:val="superscript"/>
        </w:rPr>
        <w:footnoteReference w:id="186"/>
      </w:r>
      <w:r w:rsidR="00BC54C2" w:rsidRPr="00BC54C2">
        <w:t xml:space="preserve"> </w:t>
      </w:r>
      <w:r w:rsidRPr="00BC54C2">
        <w:t>This is the so-called “dormant” commerce clause</w:t>
      </w:r>
      <w:r w:rsidR="00BC54C2" w:rsidRPr="00BC54C2">
        <w:t>.</w:t>
      </w:r>
      <w:r w:rsidR="00BC54C2" w:rsidRPr="00BC54C2">
        <w:t xml:space="preserve"> </w:t>
      </w:r>
      <w:r w:rsidR="00BC54C2" w:rsidRPr="00BC54C2">
        <w:t>I</w:t>
      </w:r>
      <w:r w:rsidRPr="00BC54C2">
        <w:t>n some cases, it has been held that injunctions issued under state laws have an extraterritorial effect that transgresses the dormant commerce clause.</w:t>
      </w:r>
      <w:r w:rsidR="00BC54C2" w:rsidRPr="00BC54C2">
        <w:rPr>
          <w:vertAlign w:val="superscript"/>
        </w:rPr>
        <w:footnoteReference w:id="187"/>
      </w:r>
      <w:r w:rsidR="00BC54C2" w:rsidRPr="00BC54C2">
        <w:t xml:space="preserve"> </w:t>
      </w:r>
      <w:r w:rsidRPr="00BC54C2">
        <w:t>However, one court has held that because New York’s dilution law does not discriminate against interstate commerce and does not directly regulate interstate commerce, it does not violate the dormant commerce clause.</w:t>
      </w:r>
      <w:r w:rsidR="00BC54C2" w:rsidRPr="00BC54C2">
        <w:rPr>
          <w:vertAlign w:val="superscript"/>
        </w:rPr>
        <w:footnoteReference w:id="188"/>
      </w:r>
    </w:p>
    <w:p w14:paraId="6523E079" w14:textId="5532743E" w:rsidR="00494245" w:rsidRPr="00BC54C2" w:rsidRDefault="00494245" w:rsidP="00BC54C2">
      <w:pPr>
        <w:pStyle w:val="BNormal"/>
      </w:pPr>
    </w:p>
    <w:sectPr w:rsidR="00494245" w:rsidRPr="00BC54C2" w:rsidSect="009A1AB3">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5070F" w14:textId="77777777" w:rsidR="00EC7A39" w:rsidRDefault="00EC7A39" w:rsidP="002A47A4">
      <w:r>
        <w:separator/>
      </w:r>
    </w:p>
    <w:p w14:paraId="2B4CA5CA" w14:textId="77777777" w:rsidR="00EC7A39" w:rsidRDefault="00EC7A39"/>
    <w:p w14:paraId="368110F9" w14:textId="77777777" w:rsidR="00EC7A39" w:rsidRDefault="00EC7A39"/>
  </w:endnote>
  <w:endnote w:type="continuationSeparator" w:id="0">
    <w:p w14:paraId="706B8188" w14:textId="77777777" w:rsidR="00EC7A39" w:rsidRDefault="00EC7A39" w:rsidP="002A47A4">
      <w:r>
        <w:continuationSeparator/>
      </w:r>
    </w:p>
    <w:p w14:paraId="675536BD" w14:textId="77777777" w:rsidR="00EC7A39" w:rsidRDefault="00EC7A39"/>
    <w:p w14:paraId="4B21E613" w14:textId="77777777" w:rsidR="00EC7A39" w:rsidRDefault="00EC7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ITC New Baskerville Std">
    <w:altName w:val="Cambria"/>
    <w:panose1 w:val="00000000000000000000"/>
    <w:charset w:val="00"/>
    <w:family w:val="roman"/>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EE1E" w14:textId="77777777" w:rsidR="00BC54C2" w:rsidRPr="00BC54C2" w:rsidRDefault="00BC54C2" w:rsidP="00BC5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1D83" w14:textId="77777777" w:rsidR="00BC54C2" w:rsidRPr="00BC54C2" w:rsidRDefault="00BC54C2" w:rsidP="00BC54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0F6E" w14:textId="77777777" w:rsidR="00BC54C2" w:rsidRPr="00BC54C2" w:rsidRDefault="00BC54C2" w:rsidP="00BC5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6B535" w14:textId="77777777" w:rsidR="00EC7A39" w:rsidRDefault="00EC7A39" w:rsidP="002A47A4">
      <w:r>
        <w:separator/>
      </w:r>
    </w:p>
    <w:p w14:paraId="3CE27504" w14:textId="77777777" w:rsidR="00EC7A39" w:rsidRDefault="00EC7A39"/>
    <w:p w14:paraId="56AFEE39" w14:textId="77777777" w:rsidR="00EC7A39" w:rsidRDefault="00EC7A39"/>
  </w:footnote>
  <w:footnote w:type="continuationSeparator" w:id="0">
    <w:p w14:paraId="2404399E" w14:textId="77777777" w:rsidR="00EC7A39" w:rsidRDefault="00EC7A39" w:rsidP="002A47A4">
      <w:r>
        <w:continuationSeparator/>
      </w:r>
    </w:p>
    <w:p w14:paraId="512338A4" w14:textId="77777777" w:rsidR="00EC7A39" w:rsidRDefault="00EC7A39"/>
    <w:p w14:paraId="4F40C80A" w14:textId="77777777" w:rsidR="00EC7A39" w:rsidRDefault="00EC7A39"/>
  </w:footnote>
  <w:footnote w:id="1">
    <w:p w14:paraId="2112788A" w14:textId="44011F82" w:rsidR="00BC54C2" w:rsidRPr="00BC54C2" w:rsidRDefault="00BC54C2" w:rsidP="00BC54C2">
      <w:pPr>
        <w:pStyle w:val="FootnoteText"/>
      </w:pPr>
      <w:r w:rsidRPr="00BC54C2">
        <w:rPr>
          <w:rStyle w:val="FootnoteReference"/>
        </w:rPr>
        <w:footnoteRef/>
      </w:r>
      <w:r w:rsidRPr="00BC54C2">
        <w:t>David Welkowitz is a Professor of Law Emeritus at Whittier Law School in Costa Mesa, California.</w:t>
      </w:r>
      <w:r w:rsidRPr="00BC54C2">
        <w:t xml:space="preserve"> </w:t>
      </w:r>
      <w:r w:rsidRPr="00BC54C2">
        <w:t>He has taught trademark law, international intellectual property law courses, and civil procedure, among other subjects.</w:t>
      </w:r>
      <w:r w:rsidRPr="00BC54C2">
        <w:t xml:space="preserve"> </w:t>
      </w:r>
      <w:r w:rsidRPr="00BC54C2">
        <w:t>He was a member of the Whittier faculty from 1983 to 2018.</w:t>
      </w:r>
      <w:r w:rsidRPr="00BC54C2">
        <w:t xml:space="preserve"> </w:t>
      </w:r>
      <w:r w:rsidRPr="00BC54C2">
        <w:t>From 2019 to 2024, he served as an attorney with the U.S.</w:t>
      </w:r>
      <w:r w:rsidRPr="00BC54C2">
        <w:t xml:space="preserve"> </w:t>
      </w:r>
      <w:r w:rsidRPr="00BC54C2">
        <w:t>Copyright Office in Washington, D.C.</w:t>
      </w:r>
      <w:r w:rsidRPr="00BC54C2">
        <w:t xml:space="preserve"> </w:t>
      </w:r>
      <w:r w:rsidRPr="00BC54C2">
        <w:t>Prior to that time, he practiced law in New York City.</w:t>
      </w:r>
    </w:p>
    <w:p w14:paraId="5CA70239" w14:textId="77777777" w:rsidR="00BC54C2" w:rsidRDefault="00BC54C2" w:rsidP="00BC54C2">
      <w:pPr>
        <w:pStyle w:val="FootnoteText"/>
      </w:pPr>
      <w:r w:rsidRPr="00BC54C2">
        <w:t>Mr.</w:t>
      </w:r>
      <w:r w:rsidRPr="00BC54C2">
        <w:t xml:space="preserve"> </w:t>
      </w:r>
      <w:r w:rsidRPr="00BC54C2">
        <w:t>Welkowitz is the author of numerous articles on trademark law and other topics, and he is the co-author of a casebook on celebrity rights.</w:t>
      </w:r>
      <w:r w:rsidRPr="00BC54C2">
        <w:t xml:space="preserve"> </w:t>
      </w:r>
      <w:r w:rsidRPr="00BC54C2">
        <w:t>He has also written several lessons in computer-assisted learning, which are used by law students in the areas of civil procedure and trademark law.</w:t>
      </w:r>
      <w:r w:rsidRPr="00BC54C2">
        <w:t xml:space="preserve"> </w:t>
      </w:r>
      <w:r w:rsidRPr="00BC54C2">
        <w:t>Professor Welkowitz received his J.D.</w:t>
      </w:r>
      <w:r w:rsidRPr="00BC54C2">
        <w:t xml:space="preserve"> </w:t>
      </w:r>
      <w:r w:rsidRPr="00BC54C2">
        <w:t>degree in 1978 from New York University Law School, where he was a member of the Law Review.</w:t>
      </w:r>
      <w:r w:rsidRPr="00BC54C2">
        <w:t xml:space="preserve"> </w:t>
      </w:r>
      <w:r w:rsidRPr="00BC54C2">
        <w:t>He received an A.B.</w:t>
      </w:r>
      <w:r w:rsidRPr="00BC54C2">
        <w:t xml:space="preserve"> </w:t>
      </w:r>
      <w:r w:rsidRPr="00BC54C2">
        <w:t>degree in 1975 from Princeton University.</w:t>
      </w:r>
      <w:r w:rsidRPr="00BC54C2">
        <w:t xml:space="preserve"> </w:t>
      </w:r>
      <w:r w:rsidRPr="00BC54C2">
        <w:t xml:space="preserve">He is a member of the New York and District of Columbia </w:t>
      </w:r>
      <w:proofErr w:type="gramStart"/>
      <w:r w:rsidRPr="00BC54C2">
        <w:t>bars, and</w:t>
      </w:r>
      <w:proofErr w:type="gramEnd"/>
      <w:r w:rsidRPr="00BC54C2">
        <w:t xml:space="preserve"> is admitted to practice before the federal courts in the Southern and Eastern Districts of New York and the Court of Appeals for the Second Circuit.</w:t>
      </w:r>
    </w:p>
  </w:footnote>
  <w:footnote w:id="2">
    <w:p w14:paraId="7CB4795B" w14:textId="2D181257" w:rsidR="00BC54C2" w:rsidRPr="00BC54C2" w:rsidRDefault="00BC54C2" w:rsidP="00BC54C2">
      <w:pPr>
        <w:pStyle w:val="FootnoteText"/>
      </w:pPr>
      <w:r w:rsidRPr="00BC54C2">
        <w:rPr>
          <w:vertAlign w:val="superscript"/>
        </w:rPr>
        <w:footnoteRef/>
      </w:r>
      <w:r w:rsidRPr="00BC54C2">
        <w:rPr>
          <w:smallCaps/>
        </w:rPr>
        <w:t>Model State Trademark Bill</w:t>
      </w:r>
      <w:r w:rsidRPr="00BC54C2">
        <w:t xml:space="preserve"> (1964) [hereinafter “1964 Model Bill”], </w:t>
      </w:r>
      <w:r w:rsidRPr="00BC54C2">
        <w:rPr>
          <w:i/>
        </w:rPr>
        <w:t xml:space="preserve">reprinted in </w:t>
      </w:r>
      <w:r w:rsidRPr="00BC54C2">
        <w:t>J</w:t>
      </w:r>
      <w:r w:rsidRPr="00BC54C2">
        <w:rPr>
          <w:smallCaps/>
        </w:rPr>
        <w:t>.</w:t>
      </w:r>
      <w:r w:rsidRPr="00BC54C2">
        <w:rPr>
          <w:smallCaps/>
        </w:rPr>
        <w:t xml:space="preserve"> </w:t>
      </w:r>
      <w:r w:rsidRPr="00BC54C2">
        <w:rPr>
          <w:smallCaps/>
        </w:rPr>
        <w:t>Thomas McCarthy</w:t>
      </w:r>
      <w:r w:rsidRPr="00BC54C2">
        <w:t xml:space="preserve">, </w:t>
      </w:r>
      <w:r w:rsidRPr="00BC54C2">
        <w:rPr>
          <w:smallCaps/>
        </w:rPr>
        <w:t xml:space="preserve">McCarthy on Trademarks and Unfair Competition </w:t>
      </w:r>
      <w:r w:rsidRPr="00BC54C2">
        <w:t>§22.8, at 22-24 to</w:t>
      </w:r>
      <w:r w:rsidRPr="00BC54C2">
        <w:rPr>
          <w:smallCaps/>
        </w:rPr>
        <w:t xml:space="preserve"> 22-32 (</w:t>
      </w:r>
      <w:r w:rsidRPr="00BC54C2">
        <w:t>4th ed</w:t>
      </w:r>
      <w:r w:rsidRPr="00BC54C2">
        <w:rPr>
          <w:smallCaps/>
        </w:rPr>
        <w:t>.</w:t>
      </w:r>
      <w:r w:rsidRPr="00BC54C2">
        <w:rPr>
          <w:smallCaps/>
        </w:rPr>
        <w:t xml:space="preserve"> </w:t>
      </w:r>
      <w:r w:rsidRPr="00BC54C2">
        <w:rPr>
          <w:smallCaps/>
        </w:rPr>
        <w:t xml:space="preserve">1998 &amp; </w:t>
      </w:r>
      <w:r w:rsidRPr="00BC54C2">
        <w:t>Supps.</w:t>
      </w:r>
      <w:r w:rsidRPr="00BC54C2">
        <w:rPr>
          <w:smallCaps/>
        </w:rPr>
        <w:t>)</w:t>
      </w:r>
      <w:r w:rsidRPr="00BC54C2">
        <w:t>.</w:t>
      </w:r>
      <w:r w:rsidRPr="00BC54C2">
        <w:t xml:space="preserve"> </w:t>
      </w:r>
      <w:r w:rsidRPr="00BC54C2">
        <w:t>The United States Trademark Association issued a series of Model State Trademark Bills, beginning in 1949.</w:t>
      </w:r>
      <w:r w:rsidRPr="00BC54C2">
        <w:t xml:space="preserve"> </w:t>
      </w:r>
      <w:r w:rsidRPr="00BC54C2">
        <w:t>The earliest model bill that contained a dilution provision was issued in 1964 (hereinafter referred to as the “1964 Model Bill”).</w:t>
      </w:r>
      <w:r w:rsidRPr="00BC54C2">
        <w:t xml:space="preserve"> </w:t>
      </w:r>
      <w:r w:rsidRPr="00BC54C2">
        <w:t>Amended model bills were issued in 1992, 1996, and 2007.</w:t>
      </w:r>
      <w:r w:rsidRPr="00BC54C2">
        <w:t xml:space="preserve"> </w:t>
      </w:r>
      <w:r w:rsidRPr="00BC54C2">
        <w:rPr>
          <w:i/>
        </w:rPr>
        <w:t>See</w:t>
      </w:r>
      <w:r w:rsidRPr="00BC54C2">
        <w:t xml:space="preserve"> Chapter 1, §II.D.</w:t>
      </w:r>
    </w:p>
    <w:p w14:paraId="32A09A49" w14:textId="77777777" w:rsidR="00BC54C2" w:rsidRPr="006C6CD8" w:rsidRDefault="00BC54C2" w:rsidP="0045768F">
      <w:pPr>
        <w:pStyle w:val="footnote"/>
      </w:pPr>
    </w:p>
  </w:footnote>
  <w:footnote w:id="3">
    <w:p w14:paraId="240420C6" w14:textId="24DD1E5B" w:rsidR="00BC54C2" w:rsidRPr="006C6CD8" w:rsidRDefault="00BC54C2" w:rsidP="00BC54C2">
      <w:pPr>
        <w:pStyle w:val="FootnoteText"/>
      </w:pPr>
      <w:r w:rsidRPr="00BC54C2">
        <w:rPr>
          <w:vertAlign w:val="superscript"/>
        </w:rPr>
        <w:footnoteRef/>
      </w:r>
      <w:r w:rsidRPr="00BC54C2">
        <w:t>This may have contributed to the proposal’s defeat.</w:t>
      </w:r>
      <w:r w:rsidRPr="00BC54C2">
        <w:t xml:space="preserve"> </w:t>
      </w:r>
      <w:r w:rsidRPr="00BC54C2">
        <w:rPr>
          <w:i/>
        </w:rPr>
        <w:t>See</w:t>
      </w:r>
      <w:r w:rsidRPr="00BC54C2">
        <w:t xml:space="preserve"> Chapter 6, §§II.B.2, II.C.</w:t>
      </w:r>
    </w:p>
  </w:footnote>
  <w:footnote w:id="4">
    <w:p w14:paraId="52DBFD0B" w14:textId="38D320E2" w:rsidR="00BC54C2" w:rsidRPr="006C6CD8" w:rsidRDefault="00BC54C2" w:rsidP="00BC54C2">
      <w:pPr>
        <w:pStyle w:val="FootnoteText"/>
      </w:pPr>
      <w:r w:rsidRPr="00BC54C2">
        <w:rPr>
          <w:vertAlign w:val="superscript"/>
        </w:rPr>
        <w:footnoteRef/>
      </w:r>
      <w:r w:rsidRPr="00BC54C2">
        <w:t>Model State Trademark Bill (1992) [hereinafter “1992 Model Bill”].</w:t>
      </w:r>
      <w:r w:rsidRPr="00BC54C2">
        <w:t xml:space="preserve"> </w:t>
      </w:r>
      <w:r w:rsidRPr="00BC54C2">
        <w:t>See §II.A, below, and Chapter 6, §§II.B.2, II.C.</w:t>
      </w:r>
    </w:p>
  </w:footnote>
  <w:footnote w:id="5">
    <w:p w14:paraId="3F767930" w14:textId="726209D0" w:rsidR="00BC54C2" w:rsidRPr="006C6CD8" w:rsidRDefault="00BC54C2" w:rsidP="00BC54C2">
      <w:pPr>
        <w:pStyle w:val="FootnoteText"/>
      </w:pPr>
      <w:r w:rsidRPr="00BC54C2">
        <w:rPr>
          <w:vertAlign w:val="superscript"/>
        </w:rPr>
        <w:footnoteRef/>
      </w:r>
      <w:r w:rsidRPr="00BC54C2">
        <w:t>Pub.</w:t>
      </w:r>
      <w:r w:rsidRPr="00BC54C2">
        <w:t xml:space="preserve"> </w:t>
      </w:r>
      <w:r w:rsidRPr="00BC54C2">
        <w:t>L.</w:t>
      </w:r>
      <w:r w:rsidRPr="00BC54C2">
        <w:t xml:space="preserve"> </w:t>
      </w:r>
      <w:r w:rsidRPr="00BC54C2">
        <w:t>No.</w:t>
      </w:r>
      <w:r w:rsidRPr="00BC54C2">
        <w:t xml:space="preserve"> </w:t>
      </w:r>
      <w:r w:rsidRPr="00BC54C2">
        <w:t>104-98, 109 Stat.</w:t>
      </w:r>
      <w:r w:rsidRPr="00BC54C2">
        <w:t xml:space="preserve"> </w:t>
      </w:r>
      <w:r w:rsidRPr="00BC54C2">
        <w:t>985 (1995).</w:t>
      </w:r>
    </w:p>
  </w:footnote>
  <w:footnote w:id="6">
    <w:p w14:paraId="7D67E780" w14:textId="5C089529" w:rsidR="00BC54C2" w:rsidRPr="006C6CD8" w:rsidRDefault="00BC54C2" w:rsidP="00BC54C2">
      <w:pPr>
        <w:pStyle w:val="FootnoteText"/>
      </w:pPr>
      <w:r w:rsidRPr="00BC54C2">
        <w:rPr>
          <w:vertAlign w:val="superscript"/>
        </w:rPr>
        <w:footnoteRef/>
      </w:r>
      <w:r w:rsidRPr="00BC54C2">
        <w:t>Lanham Act §43(c)(3)(A)–(C), 15 U.S.C.</w:t>
      </w:r>
      <w:r w:rsidRPr="00BC54C2">
        <w:t xml:space="preserve"> </w:t>
      </w:r>
      <w:r w:rsidRPr="00BC54C2">
        <w:t>§1125(c)(3)(A)–(C).</w:t>
      </w:r>
      <w:r w:rsidRPr="00BC54C2">
        <w:t xml:space="preserve"> </w:t>
      </w:r>
      <w:r w:rsidRPr="00BC54C2">
        <w:t>These exclusions apparently helped gain passage of the FTDA in 1995 after its initial failure in 1988.</w:t>
      </w:r>
      <w:r w:rsidRPr="00BC54C2">
        <w:t xml:space="preserve"> </w:t>
      </w:r>
      <w:r w:rsidRPr="00BC54C2">
        <w:t>See discussion in Chapter 6, §§II.B.2, II.C.</w:t>
      </w:r>
    </w:p>
  </w:footnote>
  <w:footnote w:id="7">
    <w:p w14:paraId="54BF16F4" w14:textId="0F845DB6" w:rsidR="00BC54C2" w:rsidRPr="006C6CD8" w:rsidRDefault="00BC54C2" w:rsidP="00BC54C2">
      <w:pPr>
        <w:pStyle w:val="FootnoteText"/>
      </w:pPr>
      <w:r w:rsidRPr="00BC54C2">
        <w:rPr>
          <w:vertAlign w:val="superscript"/>
        </w:rPr>
        <w:footnoteRef/>
      </w:r>
      <w:r w:rsidRPr="00BC54C2">
        <w:t xml:space="preserve">Model State Trademark Bill §13 (1996) [hereinafter “1996 Model Bill”], </w:t>
      </w:r>
      <w:r w:rsidRPr="00BC54C2">
        <w:rPr>
          <w:i/>
        </w:rPr>
        <w:t>reprinted in</w:t>
      </w:r>
      <w:r w:rsidRPr="00BC54C2">
        <w:t xml:space="preserve"> 1 </w:t>
      </w:r>
      <w:r w:rsidRPr="00BC54C2">
        <w:rPr>
          <w:smallCaps/>
        </w:rPr>
        <w:t>Gilson on Trademarks</w:t>
      </w:r>
      <w:r w:rsidRPr="00BC54C2">
        <w:t>, app.</w:t>
      </w:r>
      <w:r w:rsidRPr="00BC54C2">
        <w:t xml:space="preserve"> </w:t>
      </w:r>
      <w:r w:rsidRPr="00BC54C2">
        <w:t>1-A (2008).</w:t>
      </w:r>
    </w:p>
  </w:footnote>
  <w:footnote w:id="8">
    <w:p w14:paraId="167A3388" w14:textId="70195B5A" w:rsidR="00BC54C2" w:rsidRPr="006C6CD8" w:rsidRDefault="00BC54C2" w:rsidP="00BC54C2">
      <w:pPr>
        <w:pStyle w:val="FootnoteText"/>
      </w:pPr>
      <w:r w:rsidRPr="00BC54C2">
        <w:rPr>
          <w:vertAlign w:val="superscript"/>
        </w:rPr>
        <w:footnoteRef/>
      </w:r>
      <w:r w:rsidRPr="00BC54C2">
        <w:t xml:space="preserve">Model State Trademark Bill (2007) [hereinafter “2007 Model Bill”], </w:t>
      </w:r>
      <w:r w:rsidRPr="00BC54C2">
        <w:rPr>
          <w:i/>
        </w:rPr>
        <w:t xml:space="preserve">available at </w:t>
      </w:r>
      <w:r w:rsidRPr="00BC54C2">
        <w:t>http://www.inta.org/Advocacy/Pages/ModelLawsandGuidelines.aspx.</w:t>
      </w:r>
    </w:p>
  </w:footnote>
  <w:footnote w:id="9">
    <w:p w14:paraId="37E85D43" w14:textId="54CBDBE2" w:rsidR="00BC54C2" w:rsidRPr="006C6CD8" w:rsidRDefault="00BC54C2" w:rsidP="00BC54C2">
      <w:pPr>
        <w:pStyle w:val="FootnoteText"/>
      </w:pPr>
      <w:r w:rsidRPr="00BC54C2">
        <w:rPr>
          <w:vertAlign w:val="superscript"/>
        </w:rPr>
        <w:footnoteRef/>
      </w:r>
      <w:r w:rsidRPr="00BC54C2">
        <w:t>Pub.</w:t>
      </w:r>
      <w:r w:rsidRPr="00BC54C2">
        <w:t xml:space="preserve"> </w:t>
      </w:r>
      <w:r w:rsidRPr="00BC54C2">
        <w:t>L.</w:t>
      </w:r>
      <w:r w:rsidRPr="00BC54C2">
        <w:t xml:space="preserve"> </w:t>
      </w:r>
      <w:r w:rsidRPr="00BC54C2">
        <w:t>No.</w:t>
      </w:r>
      <w:r w:rsidRPr="00BC54C2">
        <w:t xml:space="preserve"> </w:t>
      </w:r>
      <w:r w:rsidRPr="00BC54C2">
        <w:t>109-312, 120 Stat.</w:t>
      </w:r>
      <w:r w:rsidRPr="00BC54C2">
        <w:t xml:space="preserve"> </w:t>
      </w:r>
      <w:r w:rsidRPr="00BC54C2">
        <w:t>1730 (2006).</w:t>
      </w:r>
    </w:p>
  </w:footnote>
  <w:footnote w:id="10">
    <w:p w14:paraId="6859A265" w14:textId="7AA36F3F" w:rsidR="00BC54C2" w:rsidRPr="006C6CD8" w:rsidRDefault="00BC54C2" w:rsidP="00BC54C2">
      <w:pPr>
        <w:pStyle w:val="FootnoteText"/>
      </w:pPr>
      <w:r w:rsidRPr="00BC54C2">
        <w:rPr>
          <w:vertAlign w:val="superscript"/>
        </w:rPr>
        <w:footnoteRef/>
      </w:r>
      <w:r w:rsidRPr="00BC54C2">
        <w:t xml:space="preserve">For a rare application, see </w:t>
      </w:r>
      <w:proofErr w:type="spellStart"/>
      <w:r w:rsidRPr="00BC54C2">
        <w:t>BidZirk</w:t>
      </w:r>
      <w:proofErr w:type="spellEnd"/>
      <w:r w:rsidRPr="00BC54C2">
        <w:t>, LLC v.</w:t>
      </w:r>
      <w:r w:rsidRPr="00BC54C2">
        <w:t xml:space="preserve"> </w:t>
      </w:r>
      <w:r w:rsidRPr="00BC54C2">
        <w:t>Smith, 2007 WL 3119445, 2007 BL 131092 (D.S.C.</w:t>
      </w:r>
      <w:r w:rsidRPr="00BC54C2">
        <w:t xml:space="preserve"> </w:t>
      </w:r>
      <w:r w:rsidRPr="00BC54C2">
        <w:t>Oct.</w:t>
      </w:r>
      <w:r w:rsidRPr="00BC54C2">
        <w:t xml:space="preserve"> </w:t>
      </w:r>
      <w:r w:rsidRPr="00BC54C2">
        <w:t>22, 2007) (blogging as news reporting).</w:t>
      </w:r>
    </w:p>
  </w:footnote>
  <w:footnote w:id="11">
    <w:p w14:paraId="5F4B133D" w14:textId="17D27CEA" w:rsidR="00BC54C2" w:rsidRPr="006C6CD8" w:rsidRDefault="00BC54C2" w:rsidP="00BC54C2">
      <w:pPr>
        <w:pStyle w:val="FootnoteText"/>
      </w:pPr>
      <w:r w:rsidRPr="00BC54C2">
        <w:rPr>
          <w:vertAlign w:val="superscript"/>
        </w:rPr>
        <w:footnoteRef/>
      </w:r>
      <w:r w:rsidRPr="00BC54C2">
        <w:rPr>
          <w:i/>
        </w:rPr>
        <w:t>See</w:t>
      </w:r>
      <w:r w:rsidRPr="00BC54C2">
        <w:t xml:space="preserve"> Universal Commc’n Sys., Inc.</w:t>
      </w:r>
      <w:r w:rsidRPr="00BC54C2">
        <w:t xml:space="preserve"> </w:t>
      </w:r>
      <w:r w:rsidRPr="00BC54C2">
        <w:t>v.</w:t>
      </w:r>
      <w:r w:rsidRPr="00BC54C2">
        <w:t xml:space="preserve"> </w:t>
      </w:r>
      <w:r w:rsidRPr="00BC54C2">
        <w:t>Lycos, Inc., 478 F.3d 413, 423–25 (1st Cir.</w:t>
      </w:r>
      <w:r w:rsidRPr="00BC54C2">
        <w:t xml:space="preserve"> </w:t>
      </w:r>
      <w:r w:rsidRPr="00BC54C2">
        <w:t>2007) (commenting on, inter alia, the noncommercial use exclusion under newly enacted Florida law).</w:t>
      </w:r>
    </w:p>
  </w:footnote>
  <w:footnote w:id="12">
    <w:p w14:paraId="28D70790" w14:textId="430B2A9B" w:rsidR="00BC54C2" w:rsidRPr="006C6CD8" w:rsidRDefault="00BC54C2" w:rsidP="00BC54C2">
      <w:pPr>
        <w:pStyle w:val="FootnoteText"/>
      </w:pPr>
      <w:r w:rsidRPr="00BC54C2">
        <w:rPr>
          <w:vertAlign w:val="superscript"/>
        </w:rPr>
        <w:footnoteRef/>
      </w:r>
      <w:r w:rsidRPr="00BC54C2">
        <w:t>Lanham Act §43(c)(4)(A), 15 U.S.C.</w:t>
      </w:r>
      <w:r w:rsidRPr="00BC54C2">
        <w:t xml:space="preserve"> </w:t>
      </w:r>
      <w:r w:rsidRPr="00BC54C2">
        <w:t>§1125(c)(4)(A), (superseded by the TDRA).</w:t>
      </w:r>
    </w:p>
  </w:footnote>
  <w:footnote w:id="13">
    <w:p w14:paraId="16E85A4C" w14:textId="010EE22C" w:rsidR="00BC54C2" w:rsidRPr="006C6CD8" w:rsidRDefault="00BC54C2" w:rsidP="00BC54C2">
      <w:pPr>
        <w:pStyle w:val="FootnoteText"/>
      </w:pPr>
      <w:r w:rsidRPr="00BC54C2">
        <w:rPr>
          <w:vertAlign w:val="superscript"/>
        </w:rPr>
        <w:footnoteRef/>
      </w:r>
      <w:r w:rsidRPr="00BC54C2">
        <w:t>1996 Model Bill §13.</w:t>
      </w:r>
      <w:r w:rsidRPr="00BC54C2">
        <w:t xml:space="preserve"> </w:t>
      </w:r>
      <w:r w:rsidRPr="00BC54C2">
        <w:rPr>
          <w:i/>
        </w:rPr>
        <w:t xml:space="preserve">See also </w:t>
      </w:r>
      <w:proofErr w:type="spellStart"/>
      <w:r w:rsidRPr="00BC54C2">
        <w:t>Pronman</w:t>
      </w:r>
      <w:proofErr w:type="spellEnd"/>
      <w:r w:rsidRPr="00BC54C2">
        <w:t xml:space="preserve"> v.</w:t>
      </w:r>
      <w:r w:rsidRPr="00BC54C2">
        <w:t xml:space="preserve"> </w:t>
      </w:r>
      <w:r w:rsidRPr="00BC54C2">
        <w:t>Styles, 2013 U.S.</w:t>
      </w:r>
      <w:r w:rsidRPr="00BC54C2">
        <w:t xml:space="preserve"> </w:t>
      </w:r>
      <w:r w:rsidRPr="00BC54C2">
        <w:t>Dist.</w:t>
      </w:r>
      <w:r w:rsidRPr="00BC54C2">
        <w:t xml:space="preserve"> </w:t>
      </w:r>
      <w:r w:rsidRPr="00BC54C2">
        <w:t>LEXIS 104995, at *13 (S.D.</w:t>
      </w:r>
      <w:r w:rsidRPr="00BC54C2">
        <w:t xml:space="preserve"> </w:t>
      </w:r>
      <w:r w:rsidRPr="00BC54C2">
        <w:t>Fla.</w:t>
      </w:r>
      <w:r w:rsidRPr="00BC54C2">
        <w:t xml:space="preserve"> </w:t>
      </w:r>
      <w:r w:rsidRPr="00BC54C2">
        <w:t xml:space="preserve">July 26, 2013) (fair use is a defense under Florida law, meaning that plaintiff’s complaint </w:t>
      </w:r>
      <w:proofErr w:type="gramStart"/>
      <w:r w:rsidRPr="00BC54C2">
        <w:t>need</w:t>
      </w:r>
      <w:proofErr w:type="gramEnd"/>
      <w:r w:rsidRPr="00BC54C2">
        <w:t xml:space="preserve"> not negate fair use).</w:t>
      </w:r>
      <w:r w:rsidRPr="00BC54C2">
        <w:t xml:space="preserve"> </w:t>
      </w:r>
      <w:r w:rsidRPr="00BC54C2">
        <w:t>The statute says that the listed categories “shall not be actionable,” which should be an exclusion, not an affirmative defense.</w:t>
      </w:r>
      <w:r w:rsidRPr="00BC54C2">
        <w:t xml:space="preserve"> </w:t>
      </w:r>
      <w:r w:rsidRPr="00BC54C2">
        <w:t>This case indicates the consequences of interpreting it as a defense rather than as an exclusion.</w:t>
      </w:r>
    </w:p>
  </w:footnote>
  <w:footnote w:id="14">
    <w:p w14:paraId="317FC597" w14:textId="456F5AC5" w:rsidR="00BC54C2" w:rsidRPr="000601A1" w:rsidRDefault="00BC54C2" w:rsidP="00BC54C2">
      <w:pPr>
        <w:pStyle w:val="FootnoteText"/>
        <w:rPr>
          <w:lang w:val="pt-BR"/>
        </w:rPr>
      </w:pPr>
      <w:r w:rsidRPr="00BC54C2">
        <w:rPr>
          <w:vertAlign w:val="superscript"/>
        </w:rPr>
        <w:footnoteRef/>
      </w:r>
      <w:r w:rsidRPr="00BC54C2">
        <w:t>Lanham Act §43(c)(3)(A)(</w:t>
      </w:r>
      <w:proofErr w:type="spellStart"/>
      <w:r w:rsidRPr="00BC54C2">
        <w:t>i</w:t>
      </w:r>
      <w:proofErr w:type="spellEnd"/>
      <w:r w:rsidRPr="00BC54C2">
        <w:t>), (ii), 15 U.S.C.</w:t>
      </w:r>
      <w:r w:rsidRPr="00BC54C2">
        <w:t xml:space="preserve"> </w:t>
      </w:r>
      <w:r w:rsidRPr="00BC54C2">
        <w:t>§1125(c)(3)(A)(</w:t>
      </w:r>
      <w:proofErr w:type="spellStart"/>
      <w:r w:rsidRPr="00BC54C2">
        <w:t>i</w:t>
      </w:r>
      <w:proofErr w:type="spellEnd"/>
      <w:r w:rsidRPr="00BC54C2">
        <w:t>), (ii).</w:t>
      </w:r>
    </w:p>
  </w:footnote>
  <w:footnote w:id="15">
    <w:p w14:paraId="0688E433" w14:textId="392C4334" w:rsidR="00BC54C2" w:rsidRPr="000601A1" w:rsidRDefault="00BC54C2" w:rsidP="00BC54C2">
      <w:pPr>
        <w:pStyle w:val="FootnoteText"/>
        <w:rPr>
          <w:lang w:val="sv-SE"/>
        </w:rPr>
      </w:pPr>
      <w:r w:rsidRPr="00BC54C2">
        <w:rPr>
          <w:vertAlign w:val="superscript"/>
        </w:rPr>
        <w:footnoteRef/>
      </w:r>
      <w:r w:rsidRPr="00BC54C2">
        <w:t>2007 Model Bill §13(d)(1).</w:t>
      </w:r>
    </w:p>
  </w:footnote>
  <w:footnote w:id="16">
    <w:p w14:paraId="76E40523" w14:textId="53FDE5CC" w:rsidR="00BC54C2" w:rsidRPr="006C6CD8" w:rsidRDefault="00BC54C2" w:rsidP="00BC54C2">
      <w:pPr>
        <w:pStyle w:val="FootnoteText"/>
      </w:pPr>
      <w:r w:rsidRPr="00BC54C2">
        <w:rPr>
          <w:vertAlign w:val="superscript"/>
        </w:rPr>
        <w:footnoteRef/>
      </w:r>
      <w:r w:rsidRPr="00BC54C2">
        <w:rPr>
          <w:smallCaps/>
        </w:rPr>
        <w:t>Ala</w:t>
      </w:r>
      <w:r w:rsidRPr="00BC54C2">
        <w:t>.</w:t>
      </w:r>
      <w:r w:rsidRPr="00BC54C2">
        <w:t xml:space="preserve"> </w:t>
      </w:r>
      <w:r w:rsidRPr="00BC54C2">
        <w:rPr>
          <w:smallCaps/>
        </w:rPr>
        <w:t>Stat.</w:t>
      </w:r>
      <w:r w:rsidRPr="00BC54C2">
        <w:rPr>
          <w:smallCaps/>
        </w:rPr>
        <w:t xml:space="preserve"> </w:t>
      </w:r>
      <w:r w:rsidRPr="00BC54C2">
        <w:t>§§8-12-17(d)(1) (2010);</w:t>
      </w:r>
      <w:r w:rsidRPr="00BC54C2">
        <w:t xml:space="preserve"> </w:t>
      </w:r>
      <w:r w:rsidRPr="00BC54C2">
        <w:rPr>
          <w:smallCaps/>
        </w:rPr>
        <w:t>Cal.</w:t>
      </w:r>
      <w:r w:rsidRPr="00BC54C2">
        <w:rPr>
          <w:smallCaps/>
        </w:rPr>
        <w:t xml:space="preserve"> </w:t>
      </w:r>
      <w:r w:rsidRPr="00BC54C2">
        <w:rPr>
          <w:smallCaps/>
        </w:rPr>
        <w:t>Bus.</w:t>
      </w:r>
      <w:r w:rsidRPr="00BC54C2">
        <w:rPr>
          <w:smallCaps/>
        </w:rPr>
        <w:t xml:space="preserve"> </w:t>
      </w:r>
      <w:r w:rsidRPr="00BC54C2">
        <w:rPr>
          <w:smallCaps/>
        </w:rPr>
        <w:t>&amp; Prof.</w:t>
      </w:r>
      <w:r w:rsidRPr="00BC54C2">
        <w:rPr>
          <w:smallCaps/>
        </w:rPr>
        <w:t xml:space="preserve"> </w:t>
      </w:r>
      <w:r w:rsidRPr="00BC54C2">
        <w:rPr>
          <w:smallCaps/>
        </w:rPr>
        <w:t>Code</w:t>
      </w:r>
      <w:r w:rsidRPr="00BC54C2">
        <w:t xml:space="preserve"> §14247(b)(1) (West 2008);</w:t>
      </w:r>
      <w:r w:rsidRPr="00BC54C2">
        <w:t xml:space="preserve"> </w:t>
      </w:r>
      <w:r w:rsidRPr="00BC54C2">
        <w:rPr>
          <w:smallCaps/>
        </w:rPr>
        <w:t>Miss.</w:t>
      </w:r>
      <w:r w:rsidRPr="00BC54C2">
        <w:rPr>
          <w:smallCaps/>
        </w:rPr>
        <w:t xml:space="preserve"> </w:t>
      </w:r>
      <w:r w:rsidRPr="00BC54C2">
        <w:rPr>
          <w:smallCaps/>
        </w:rPr>
        <w:t>Code Ann</w:t>
      </w:r>
      <w:r w:rsidRPr="00BC54C2">
        <w:t>.</w:t>
      </w:r>
      <w:r w:rsidRPr="00BC54C2">
        <w:t xml:space="preserve"> </w:t>
      </w:r>
      <w:r w:rsidRPr="00BC54C2">
        <w:t>§75-25-25(d)(2) (West Supp.</w:t>
      </w:r>
      <w:r w:rsidRPr="00BC54C2">
        <w:t xml:space="preserve"> </w:t>
      </w:r>
      <w:r w:rsidRPr="00BC54C2">
        <w:t>2011);</w:t>
      </w:r>
      <w:r w:rsidRPr="00BC54C2">
        <w:t xml:space="preserve"> </w:t>
      </w:r>
      <w:r w:rsidRPr="00BC54C2">
        <w:rPr>
          <w:smallCaps/>
        </w:rPr>
        <w:t>Or.</w:t>
      </w:r>
      <w:r w:rsidRPr="00BC54C2">
        <w:rPr>
          <w:smallCaps/>
        </w:rPr>
        <w:t xml:space="preserve"> </w:t>
      </w:r>
      <w:r w:rsidRPr="00BC54C2">
        <w:rPr>
          <w:smallCaps/>
        </w:rPr>
        <w:t>Rev.</w:t>
      </w:r>
      <w:r w:rsidRPr="00BC54C2">
        <w:rPr>
          <w:smallCaps/>
        </w:rPr>
        <w:t xml:space="preserve"> </w:t>
      </w:r>
      <w:r w:rsidRPr="00BC54C2">
        <w:rPr>
          <w:smallCaps/>
        </w:rPr>
        <w:t>Stat</w:t>
      </w:r>
      <w:r w:rsidRPr="00BC54C2">
        <w:t>.</w:t>
      </w:r>
      <w:r w:rsidRPr="00BC54C2">
        <w:t xml:space="preserve"> </w:t>
      </w:r>
      <w:r w:rsidRPr="00BC54C2">
        <w:t>§647.107(5)(b) (2012);</w:t>
      </w:r>
      <w:r w:rsidRPr="00BC54C2">
        <w:t xml:space="preserve"> </w:t>
      </w:r>
      <w:r w:rsidRPr="00BC54C2">
        <w:rPr>
          <w:smallCaps/>
        </w:rPr>
        <w:t>P.R.</w:t>
      </w:r>
      <w:r w:rsidRPr="00BC54C2">
        <w:rPr>
          <w:smallCaps/>
        </w:rPr>
        <w:t xml:space="preserve"> </w:t>
      </w:r>
      <w:r w:rsidRPr="00BC54C2">
        <w:rPr>
          <w:smallCaps/>
        </w:rPr>
        <w:t>Laws Ann.</w:t>
      </w:r>
      <w:r w:rsidRPr="00BC54C2">
        <w:rPr>
          <w:smallCaps/>
        </w:rPr>
        <w:t xml:space="preserve"> </w:t>
      </w:r>
      <w:r w:rsidRPr="00BC54C2">
        <w:t>tit.</w:t>
      </w:r>
      <w:r w:rsidRPr="00BC54C2">
        <w:t xml:space="preserve"> </w:t>
      </w:r>
      <w:r w:rsidRPr="00BC54C2">
        <w:t>10, §223y(d) (LexisNexis 2009);</w:t>
      </w:r>
      <w:r w:rsidRPr="00BC54C2">
        <w:t xml:space="preserve"> </w:t>
      </w:r>
      <w:r w:rsidRPr="00BC54C2">
        <w:rPr>
          <w:smallCaps/>
        </w:rPr>
        <w:t>Tex.</w:t>
      </w:r>
      <w:r w:rsidRPr="00BC54C2">
        <w:rPr>
          <w:smallCaps/>
        </w:rPr>
        <w:t xml:space="preserve"> </w:t>
      </w:r>
      <w:r w:rsidRPr="00BC54C2">
        <w:rPr>
          <w:smallCaps/>
        </w:rPr>
        <w:t>Bus.</w:t>
      </w:r>
      <w:r w:rsidRPr="00BC54C2">
        <w:rPr>
          <w:smallCaps/>
        </w:rPr>
        <w:t xml:space="preserve"> </w:t>
      </w:r>
      <w:r w:rsidRPr="00BC54C2">
        <w:rPr>
          <w:smallCaps/>
        </w:rPr>
        <w:t>&amp; Com.</w:t>
      </w:r>
      <w:r w:rsidRPr="00BC54C2">
        <w:rPr>
          <w:smallCaps/>
        </w:rPr>
        <w:t xml:space="preserve"> </w:t>
      </w:r>
      <w:r w:rsidRPr="00BC54C2">
        <w:rPr>
          <w:smallCaps/>
        </w:rPr>
        <w:t>Code</w:t>
      </w:r>
      <w:r w:rsidRPr="00BC54C2">
        <w:t xml:space="preserve"> §16.103(d) (2011).</w:t>
      </w:r>
      <w:r w:rsidRPr="00BC54C2">
        <w:t xml:space="preserve"> </w:t>
      </w:r>
      <w:r w:rsidRPr="00BC54C2">
        <w:t>The Puerto Rico statute has a serious apparent error in the translation from the Spanish to the English version.</w:t>
      </w:r>
      <w:r w:rsidRPr="00BC54C2">
        <w:t xml:space="preserve"> </w:t>
      </w:r>
      <w:r w:rsidRPr="00BC54C2">
        <w:t>The official English version states:</w:t>
      </w:r>
      <w:r w:rsidRPr="00BC54C2">
        <w:t xml:space="preserve"> </w:t>
      </w:r>
      <w:r w:rsidRPr="00BC54C2">
        <w:t>“The following uses of a famous mark without the consent of the owner of the famous mark shall be grounds for initiating an action.” Obviously, the statute should read “The following uses</w:t>
      </w:r>
      <w:r w:rsidRPr="00BC54C2">
        <w:t xml:space="preserve"> </w:t>
      </w:r>
      <w:r w:rsidRPr="00BC54C2">
        <w:t>…</w:t>
      </w:r>
      <w:r w:rsidRPr="00BC54C2">
        <w:t xml:space="preserve"> </w:t>
      </w:r>
      <w:r w:rsidRPr="00BC54C2">
        <w:t xml:space="preserve">shall </w:t>
      </w:r>
      <w:r w:rsidRPr="00BC54C2">
        <w:rPr>
          <w:i/>
        </w:rPr>
        <w:t>not</w:t>
      </w:r>
      <w:r w:rsidRPr="00BC54C2">
        <w:t xml:space="preserve"> be grounds</w:t>
      </w:r>
      <w:r w:rsidRPr="00BC54C2">
        <w:t xml:space="preserve"> </w:t>
      </w:r>
      <w:r w:rsidRPr="00BC54C2">
        <w:t>…” The Spanish version of the statute includes the word “not.” It appears that someone has noticed the error, because the Westlaw version of the statute now includes the “not” in brackets.</w:t>
      </w:r>
    </w:p>
  </w:footnote>
  <w:footnote w:id="17">
    <w:p w14:paraId="6D3225E2" w14:textId="4252AA05" w:rsidR="00BC54C2" w:rsidRPr="006C6CD8" w:rsidRDefault="00BC54C2" w:rsidP="00BC54C2">
      <w:pPr>
        <w:pStyle w:val="FootnoteText"/>
      </w:pPr>
      <w:r w:rsidRPr="00BC54C2">
        <w:rPr>
          <w:vertAlign w:val="superscript"/>
        </w:rPr>
        <w:footnoteRef/>
      </w:r>
      <w:r w:rsidRPr="00BC54C2">
        <w:t>The “[a]</w:t>
      </w:r>
      <w:proofErr w:type="spellStart"/>
      <w:r w:rsidRPr="00BC54C2">
        <w:t>ny</w:t>
      </w:r>
      <w:proofErr w:type="spellEnd"/>
      <w:r w:rsidRPr="00BC54C2">
        <w:t xml:space="preserve"> fair use” language is not included in all of the state statutes that purported to adopt the 2007 Model </w:t>
      </w:r>
      <w:proofErr w:type="spellStart"/>
      <w:r w:rsidRPr="00BC54C2">
        <w:t>Bill.The</w:t>
      </w:r>
      <w:proofErr w:type="spellEnd"/>
      <w:r w:rsidRPr="00BC54C2">
        <w:t xml:space="preserve"> Texas statute states the exclusion as “A fair use,” not “Any fair </w:t>
      </w:r>
      <w:proofErr w:type="spellStart"/>
      <w:r w:rsidRPr="00BC54C2">
        <w:t>use.”The</w:t>
      </w:r>
      <w:proofErr w:type="spellEnd"/>
      <w:r w:rsidRPr="00BC54C2">
        <w:t xml:space="preserve"> Puerto Rico statute does not use the phrase “fair use” at all in this (or any other) exclusion.</w:t>
      </w:r>
      <w:r w:rsidRPr="00BC54C2">
        <w:t xml:space="preserve"> </w:t>
      </w:r>
      <w:r w:rsidRPr="00BC54C2">
        <w:t>The Oregon statute only refers to “a nominative or descriptive fair use.”</w:t>
      </w:r>
    </w:p>
  </w:footnote>
  <w:footnote w:id="18">
    <w:p w14:paraId="06508887" w14:textId="3BCF686E" w:rsidR="00BC54C2" w:rsidRPr="006C6CD8" w:rsidRDefault="00BC54C2" w:rsidP="00BC54C2">
      <w:pPr>
        <w:pStyle w:val="FootnoteText"/>
      </w:pPr>
      <w:r w:rsidRPr="00BC54C2">
        <w:rPr>
          <w:vertAlign w:val="superscript"/>
        </w:rPr>
        <w:footnoteRef/>
      </w:r>
      <w:r w:rsidRPr="00BC54C2">
        <w:rPr>
          <w:i/>
        </w:rPr>
        <w:t>See</w:t>
      </w:r>
      <w:r w:rsidRPr="00BC54C2">
        <w:t xml:space="preserve"> Chapter 10, §II.A.</w:t>
      </w:r>
    </w:p>
  </w:footnote>
  <w:footnote w:id="19">
    <w:p w14:paraId="4773C5CB" w14:textId="1014B65F" w:rsidR="00BC54C2" w:rsidRPr="006C6CD8" w:rsidRDefault="00BC54C2" w:rsidP="00BC54C2">
      <w:pPr>
        <w:pStyle w:val="FootnoteText"/>
      </w:pPr>
      <w:r w:rsidRPr="00BC54C2">
        <w:rPr>
          <w:vertAlign w:val="superscript"/>
        </w:rPr>
        <w:footnoteRef/>
      </w:r>
      <w:r w:rsidRPr="00BC54C2">
        <w:t>The exclusion for comparative advertising is also discussed in Chapter 10, §II.B.</w:t>
      </w:r>
    </w:p>
  </w:footnote>
  <w:footnote w:id="20">
    <w:p w14:paraId="04C692B0" w14:textId="73BB3C2D" w:rsidR="00BC54C2" w:rsidRPr="006C6CD8" w:rsidRDefault="00BC54C2" w:rsidP="00BC54C2">
      <w:pPr>
        <w:pStyle w:val="FootnoteText"/>
      </w:pPr>
      <w:r w:rsidRPr="00BC54C2">
        <w:rPr>
          <w:vertAlign w:val="superscript"/>
        </w:rPr>
        <w:footnoteRef/>
      </w:r>
      <w:r w:rsidRPr="00BC54C2">
        <w:t>Avery Dennison Corp.</w:t>
      </w:r>
      <w:r w:rsidRPr="00BC54C2">
        <w:t xml:space="preserve"> </w:t>
      </w:r>
      <w:r w:rsidRPr="00BC54C2">
        <w:t>v.</w:t>
      </w:r>
      <w:r w:rsidRPr="00BC54C2">
        <w:t xml:space="preserve"> </w:t>
      </w:r>
      <w:r w:rsidRPr="00BC54C2">
        <w:t>Acco Brands, Inc., 1999 WL 33117262, at *9 (C.D.</w:t>
      </w:r>
      <w:r w:rsidRPr="00BC54C2">
        <w:t xml:space="preserve"> </w:t>
      </w:r>
      <w:r w:rsidRPr="00BC54C2">
        <w:t>Cal.</w:t>
      </w:r>
      <w:r w:rsidRPr="00BC54C2">
        <w:t xml:space="preserve"> </w:t>
      </w:r>
      <w:r w:rsidRPr="00BC54C2">
        <w:t>Oct.</w:t>
      </w:r>
      <w:r w:rsidRPr="00BC54C2">
        <w:t xml:space="preserve"> </w:t>
      </w:r>
      <w:r w:rsidRPr="00BC54C2">
        <w:t>12, 1999).</w:t>
      </w:r>
      <w:r w:rsidRPr="00BC54C2">
        <w:t xml:space="preserve"> </w:t>
      </w:r>
      <w:r w:rsidRPr="00BC54C2">
        <w:t>The court stated that any claim relating to false advertising would be analyzed under §43(a), not §43(c).</w:t>
      </w:r>
    </w:p>
  </w:footnote>
  <w:footnote w:id="21">
    <w:p w14:paraId="4A1DC2B1" w14:textId="131A0E09" w:rsidR="00BC54C2" w:rsidRPr="006C6CD8" w:rsidRDefault="00BC54C2" w:rsidP="00BC54C2">
      <w:pPr>
        <w:pStyle w:val="FootnoteText"/>
      </w:pPr>
      <w:r w:rsidRPr="00BC54C2">
        <w:rPr>
          <w:vertAlign w:val="superscript"/>
        </w:rPr>
        <w:footnoteRef/>
      </w:r>
      <w:r w:rsidRPr="00BC54C2">
        <w:t>Liquid Glass Enters., Inc.</w:t>
      </w:r>
      <w:r w:rsidRPr="00BC54C2">
        <w:t xml:space="preserve"> </w:t>
      </w:r>
      <w:r w:rsidRPr="00BC54C2">
        <w:t>v.</w:t>
      </w:r>
      <w:r w:rsidRPr="00BC54C2">
        <w:t xml:space="preserve"> </w:t>
      </w:r>
      <w:r w:rsidRPr="00BC54C2">
        <w:t>Dr.</w:t>
      </w:r>
      <w:r w:rsidRPr="00BC54C2">
        <w:t xml:space="preserve"> </w:t>
      </w:r>
      <w:r w:rsidRPr="00BC54C2">
        <w:t>Ing, 8 F.</w:t>
      </w:r>
      <w:r w:rsidRPr="00BC54C2">
        <w:t xml:space="preserve"> </w:t>
      </w:r>
      <w:r w:rsidRPr="00BC54C2">
        <w:t>Supp.</w:t>
      </w:r>
      <w:r w:rsidRPr="00BC54C2">
        <w:t xml:space="preserve"> </w:t>
      </w:r>
      <w:r w:rsidRPr="00BC54C2">
        <w:t>2d 398, 402–03, 405 (D.N.J.</w:t>
      </w:r>
      <w:r w:rsidRPr="00BC54C2">
        <w:t xml:space="preserve"> </w:t>
      </w:r>
      <w:r w:rsidRPr="00BC54C2">
        <w:t>1998).</w:t>
      </w:r>
    </w:p>
  </w:footnote>
  <w:footnote w:id="22">
    <w:p w14:paraId="228ACE7F" w14:textId="1EE62961" w:rsidR="00BC54C2" w:rsidRPr="006C6CD8" w:rsidRDefault="00BC54C2" w:rsidP="00BC54C2">
      <w:pPr>
        <w:pStyle w:val="FootnoteText"/>
      </w:pPr>
      <w:r w:rsidRPr="00BC54C2">
        <w:rPr>
          <w:vertAlign w:val="superscript"/>
        </w:rPr>
        <w:footnoteRef/>
      </w:r>
      <w:r w:rsidRPr="00BC54C2">
        <w:rPr>
          <w:i/>
        </w:rPr>
        <w:t>See</w:t>
      </w:r>
      <w:r w:rsidRPr="00BC54C2">
        <w:t xml:space="preserve"> Rosetta Stone, Ltd.</w:t>
      </w:r>
      <w:r w:rsidRPr="00BC54C2">
        <w:t xml:space="preserve"> </w:t>
      </w:r>
      <w:r w:rsidRPr="00BC54C2">
        <w:t>v.</w:t>
      </w:r>
      <w:r w:rsidRPr="00BC54C2">
        <w:t xml:space="preserve"> </w:t>
      </w:r>
      <w:r w:rsidRPr="00BC54C2">
        <w:t>Google, Inc., 676 F.3d 144, 169, 102 USPQ2d 1473 (4th Cir.</w:t>
      </w:r>
      <w:r w:rsidRPr="00BC54C2">
        <w:t xml:space="preserve"> </w:t>
      </w:r>
      <w:r w:rsidRPr="00BC54C2">
        <w:t>2012) (“The contours of the fair-use defense in the infringement context are therefore instructive on the classic or descriptive fair-use defense to a dilution claim.”).</w:t>
      </w:r>
    </w:p>
  </w:footnote>
  <w:footnote w:id="23">
    <w:p w14:paraId="4C4A7862" w14:textId="77CDBCFE" w:rsidR="00BC54C2" w:rsidRPr="006C6CD8" w:rsidRDefault="00BC54C2" w:rsidP="00BC54C2">
      <w:pPr>
        <w:pStyle w:val="FootnoteText"/>
      </w:pPr>
      <w:r w:rsidRPr="00BC54C2">
        <w:rPr>
          <w:vertAlign w:val="superscript"/>
        </w:rPr>
        <w:footnoteRef/>
      </w:r>
      <w:r w:rsidRPr="00BC54C2">
        <w:t>41 F.3d 39, 32 USPQ2d 1936 (2d Cir.</w:t>
      </w:r>
      <w:r w:rsidRPr="00BC54C2">
        <w:t xml:space="preserve"> </w:t>
      </w:r>
      <w:r w:rsidRPr="00BC54C2">
        <w:t>1994) (alteration of Deere logo constitutes dilution under New York law).</w:t>
      </w:r>
    </w:p>
  </w:footnote>
  <w:footnote w:id="24">
    <w:p w14:paraId="242073DB" w14:textId="07B52B8C" w:rsidR="00BC54C2" w:rsidRPr="006C6CD8" w:rsidRDefault="00BC54C2" w:rsidP="00BC54C2">
      <w:pPr>
        <w:pStyle w:val="FootnoteText"/>
      </w:pPr>
      <w:r w:rsidRPr="00BC54C2">
        <w:rPr>
          <w:vertAlign w:val="superscript"/>
        </w:rPr>
        <w:footnoteRef/>
      </w:r>
      <w:r w:rsidRPr="00BC54C2">
        <w:t>Since the humorous alteration of the Deere logo clearly pointed to Deere, the action resembles the nominative fair-use cases, where the mark is used to refer to the mark owner.</w:t>
      </w:r>
      <w:r w:rsidRPr="00BC54C2">
        <w:t xml:space="preserve"> </w:t>
      </w:r>
      <w:r w:rsidRPr="00BC54C2">
        <w:t>See §I.A.2, below.</w:t>
      </w:r>
    </w:p>
  </w:footnote>
  <w:footnote w:id="25">
    <w:p w14:paraId="73450C5A" w14:textId="34F51ACC" w:rsidR="00BC54C2" w:rsidRPr="006C6CD8" w:rsidRDefault="00BC54C2" w:rsidP="00BC54C2">
      <w:pPr>
        <w:pStyle w:val="FootnoteText"/>
      </w:pPr>
      <w:r w:rsidRPr="00BC54C2">
        <w:rPr>
          <w:vertAlign w:val="superscript"/>
        </w:rPr>
        <w:footnoteRef/>
      </w:r>
      <w:r w:rsidRPr="00BC54C2">
        <w:t>41 F.3d at 44–45.</w:t>
      </w:r>
    </w:p>
  </w:footnote>
  <w:footnote w:id="26">
    <w:p w14:paraId="26B04CF2" w14:textId="7ECE2F1F" w:rsidR="00BC54C2" w:rsidRPr="006C6CD8" w:rsidRDefault="00BC54C2" w:rsidP="00BC54C2">
      <w:pPr>
        <w:pStyle w:val="FootnoteText"/>
      </w:pPr>
      <w:r w:rsidRPr="00BC54C2">
        <w:rPr>
          <w:vertAlign w:val="superscript"/>
        </w:rPr>
        <w:footnoteRef/>
      </w:r>
      <w:r w:rsidRPr="00BC54C2">
        <w:rPr>
          <w:i/>
        </w:rPr>
        <w:t>See</w:t>
      </w:r>
      <w:r w:rsidRPr="00BC54C2">
        <w:t xml:space="preserve"> New Kids on the Block v.</w:t>
      </w:r>
      <w:r w:rsidRPr="00BC54C2">
        <w:t xml:space="preserve"> </w:t>
      </w:r>
      <w:r w:rsidRPr="00BC54C2">
        <w:t>News Publ’g Inc., 971 F.2d 302, 308 (9th Cir.</w:t>
      </w:r>
      <w:r w:rsidRPr="00BC54C2">
        <w:t xml:space="preserve"> </w:t>
      </w:r>
      <w:r w:rsidRPr="00BC54C2">
        <w:t>1992).</w:t>
      </w:r>
    </w:p>
  </w:footnote>
  <w:footnote w:id="27">
    <w:p w14:paraId="1485022F" w14:textId="6277CA10" w:rsidR="00BC54C2" w:rsidRPr="006C6CD8" w:rsidRDefault="00BC54C2" w:rsidP="00BC54C2">
      <w:pPr>
        <w:pStyle w:val="FootnoteText"/>
      </w:pPr>
      <w:r w:rsidRPr="00BC54C2">
        <w:rPr>
          <w:vertAlign w:val="superscript"/>
        </w:rPr>
        <w:footnoteRef/>
      </w:r>
      <w:r w:rsidRPr="00BC54C2">
        <w:t>Hormel Foods Corp.</w:t>
      </w:r>
      <w:r w:rsidRPr="00BC54C2">
        <w:t xml:space="preserve"> </w:t>
      </w:r>
      <w:r w:rsidRPr="00BC54C2">
        <w:t>v.</w:t>
      </w:r>
      <w:r w:rsidRPr="00BC54C2">
        <w:t xml:space="preserve"> </w:t>
      </w:r>
      <w:r w:rsidRPr="00BC54C2">
        <w:t>Jim Henson Prods., Inc., 73 F.3d 497, 37 USPQ2d 1516 (2d Cir.</w:t>
      </w:r>
      <w:r w:rsidRPr="00BC54C2">
        <w:t xml:space="preserve"> </w:t>
      </w:r>
      <w:r w:rsidRPr="00BC54C2">
        <w:t>1996).</w:t>
      </w:r>
    </w:p>
  </w:footnote>
  <w:footnote w:id="28">
    <w:p w14:paraId="1777A381" w14:textId="783D3436" w:rsidR="00BC54C2" w:rsidRPr="006C6CD8" w:rsidRDefault="00BC54C2" w:rsidP="00BC54C2">
      <w:pPr>
        <w:pStyle w:val="FootnoteText"/>
      </w:pPr>
      <w:r w:rsidRPr="00BC54C2">
        <w:rPr>
          <w:vertAlign w:val="superscript"/>
        </w:rPr>
        <w:footnoteRef/>
      </w:r>
      <w:r w:rsidRPr="00BC54C2">
        <w:t>765 F.</w:t>
      </w:r>
      <w:r w:rsidRPr="00BC54C2">
        <w:t xml:space="preserve"> </w:t>
      </w:r>
      <w:r w:rsidRPr="00BC54C2">
        <w:t>Supp.</w:t>
      </w:r>
      <w:r w:rsidRPr="00BC54C2">
        <w:t xml:space="preserve"> </w:t>
      </w:r>
      <w:r w:rsidRPr="00BC54C2">
        <w:t>440, 451, 19 USPQ2d 1265 (N.D.</w:t>
      </w:r>
      <w:r w:rsidRPr="00BC54C2">
        <w:t xml:space="preserve"> </w:t>
      </w:r>
      <w:r w:rsidRPr="00BC54C2">
        <w:t>Ill.</w:t>
      </w:r>
      <w:r w:rsidRPr="00BC54C2">
        <w:t xml:space="preserve"> </w:t>
      </w:r>
      <w:r w:rsidRPr="00BC54C2">
        <w:t>1991).</w:t>
      </w:r>
    </w:p>
  </w:footnote>
  <w:footnote w:id="29">
    <w:p w14:paraId="5FCD3EA9" w14:textId="46F2C401" w:rsidR="00BC54C2" w:rsidRPr="006C6CD8" w:rsidRDefault="00BC54C2" w:rsidP="00BC54C2">
      <w:pPr>
        <w:pStyle w:val="FootnoteText"/>
      </w:pPr>
      <w:r w:rsidRPr="00BC54C2">
        <w:rPr>
          <w:vertAlign w:val="superscript"/>
        </w:rPr>
        <w:footnoteRef/>
      </w:r>
      <w:r w:rsidRPr="00BC54C2">
        <w:rPr>
          <w:i/>
        </w:rPr>
        <w:t>Id</w:t>
      </w:r>
      <w:r w:rsidRPr="00BC54C2">
        <w:t>.</w:t>
      </w:r>
      <w:r w:rsidRPr="00BC54C2">
        <w:t xml:space="preserve"> </w:t>
      </w:r>
      <w:r w:rsidRPr="00BC54C2">
        <w:t>at 443 (describing the offending commercial).</w:t>
      </w:r>
    </w:p>
  </w:footnote>
  <w:footnote w:id="30">
    <w:p w14:paraId="12907B84" w14:textId="2EE74AAC" w:rsidR="00BC54C2" w:rsidRPr="006C6CD8" w:rsidRDefault="00BC54C2" w:rsidP="00BC54C2">
      <w:pPr>
        <w:pStyle w:val="FootnoteText"/>
      </w:pPr>
      <w:r w:rsidRPr="00BC54C2">
        <w:rPr>
          <w:vertAlign w:val="superscript"/>
        </w:rPr>
        <w:footnoteRef/>
      </w:r>
      <w:r w:rsidRPr="00BC54C2">
        <w:t xml:space="preserve">The plaintiff made </w:t>
      </w:r>
      <w:proofErr w:type="gramStart"/>
      <w:r w:rsidRPr="00BC54C2">
        <w:t>batteries</w:t>
      </w:r>
      <w:proofErr w:type="gramEnd"/>
      <w:r w:rsidRPr="00BC54C2">
        <w:t xml:space="preserve"> and the defendant made beer.</w:t>
      </w:r>
    </w:p>
  </w:footnote>
  <w:footnote w:id="31">
    <w:p w14:paraId="77347BB6" w14:textId="6A562B0F" w:rsidR="00BC54C2" w:rsidRPr="006C6CD8" w:rsidRDefault="00BC54C2" w:rsidP="00BC54C2">
      <w:pPr>
        <w:pStyle w:val="FootnoteText"/>
      </w:pPr>
      <w:r w:rsidRPr="00BC54C2">
        <w:rPr>
          <w:vertAlign w:val="superscript"/>
        </w:rPr>
        <w:footnoteRef/>
      </w:r>
      <w:r w:rsidRPr="00BC54C2">
        <w:rPr>
          <w:i/>
        </w:rPr>
        <w:t>Hormel Foods</w:t>
      </w:r>
      <w:r w:rsidRPr="00BC54C2">
        <w:t>, 73 F.3d at 507–08.</w:t>
      </w:r>
    </w:p>
  </w:footnote>
  <w:footnote w:id="32">
    <w:p w14:paraId="2F67F628" w14:textId="46A33C41" w:rsidR="00BC54C2" w:rsidRPr="006C6CD8" w:rsidRDefault="00BC54C2" w:rsidP="00BC54C2">
      <w:pPr>
        <w:pStyle w:val="FootnoteText"/>
      </w:pPr>
      <w:r w:rsidRPr="00BC54C2">
        <w:rPr>
          <w:vertAlign w:val="superscript"/>
        </w:rPr>
        <w:footnoteRef/>
      </w:r>
      <w:r w:rsidRPr="00BC54C2">
        <w:t>765 F.</w:t>
      </w:r>
      <w:r w:rsidRPr="00BC54C2">
        <w:t xml:space="preserve"> </w:t>
      </w:r>
      <w:r w:rsidRPr="00BC54C2">
        <w:t>Supp.</w:t>
      </w:r>
      <w:r w:rsidRPr="00BC54C2">
        <w:t xml:space="preserve"> </w:t>
      </w:r>
      <w:r w:rsidRPr="00BC54C2">
        <w:t>at 452 n.23.</w:t>
      </w:r>
    </w:p>
  </w:footnote>
  <w:footnote w:id="33">
    <w:p w14:paraId="47AC632F" w14:textId="614B770A" w:rsidR="00BC54C2" w:rsidRPr="006C6CD8" w:rsidRDefault="00BC54C2" w:rsidP="00BC54C2">
      <w:pPr>
        <w:pStyle w:val="FootnoteText"/>
      </w:pPr>
      <w:r w:rsidRPr="00BC54C2">
        <w:rPr>
          <w:vertAlign w:val="superscript"/>
        </w:rPr>
        <w:footnoteRef/>
      </w:r>
      <w:r w:rsidRPr="00BC54C2">
        <w:t xml:space="preserve">It should be noted that neither </w:t>
      </w:r>
      <w:r w:rsidRPr="00BC54C2">
        <w:rPr>
          <w:i/>
        </w:rPr>
        <w:t>Deere</w:t>
      </w:r>
      <w:r w:rsidRPr="00BC54C2">
        <w:t xml:space="preserve"> nor </w:t>
      </w:r>
      <w:r w:rsidRPr="00BC54C2">
        <w:rPr>
          <w:i/>
        </w:rPr>
        <w:t>Eveready</w:t>
      </w:r>
      <w:r w:rsidRPr="00BC54C2">
        <w:t xml:space="preserve"> involved a claim where the statute provided an express fair-use defense.</w:t>
      </w:r>
    </w:p>
  </w:footnote>
  <w:footnote w:id="34">
    <w:p w14:paraId="507EBF43" w14:textId="4C1C968F" w:rsidR="00BC54C2" w:rsidRPr="006C6CD8" w:rsidRDefault="00BC54C2" w:rsidP="00BC54C2">
      <w:pPr>
        <w:pStyle w:val="FootnoteText"/>
      </w:pPr>
      <w:r w:rsidRPr="00BC54C2">
        <w:rPr>
          <w:vertAlign w:val="superscript"/>
        </w:rPr>
        <w:footnoteRef/>
      </w:r>
      <w:r w:rsidRPr="00BC54C2">
        <w:rPr>
          <w:i/>
        </w:rPr>
        <w:t>E</w:t>
      </w:r>
      <w:r w:rsidRPr="00BC54C2">
        <w:t>.</w:t>
      </w:r>
      <w:r w:rsidRPr="00BC54C2">
        <w:rPr>
          <w:i/>
        </w:rPr>
        <w:t>g</w:t>
      </w:r>
      <w:r w:rsidRPr="00BC54C2">
        <w:t>., TCPIP Holding Co.</w:t>
      </w:r>
      <w:r w:rsidRPr="00BC54C2">
        <w:t xml:space="preserve"> </w:t>
      </w:r>
      <w:r w:rsidRPr="00BC54C2">
        <w:t>v.</w:t>
      </w:r>
      <w:r w:rsidRPr="00BC54C2">
        <w:t xml:space="preserve"> </w:t>
      </w:r>
      <w:r w:rsidRPr="00BC54C2">
        <w:t>Haar Commc’ns, Inc., 244 F.3d 88, 104 n.12, 57 USPQ2d 1969 (2d Cir.</w:t>
      </w:r>
      <w:r w:rsidRPr="00BC54C2">
        <w:t xml:space="preserve"> </w:t>
      </w:r>
      <w:r w:rsidRPr="00BC54C2">
        <w:t>2001).</w:t>
      </w:r>
      <w:r w:rsidRPr="00BC54C2">
        <w:t xml:space="preserve"> </w:t>
      </w:r>
      <w:r w:rsidRPr="00BC54C2">
        <w:rPr>
          <w:i/>
        </w:rPr>
        <w:t>See</w:t>
      </w:r>
      <w:r w:rsidRPr="00BC54C2">
        <w:t xml:space="preserve"> Chapter 10, §II.A.</w:t>
      </w:r>
    </w:p>
  </w:footnote>
  <w:footnote w:id="35">
    <w:p w14:paraId="56F18E30" w14:textId="7FC8CE7A" w:rsidR="00BC54C2" w:rsidRPr="006C6CD8" w:rsidRDefault="00BC54C2" w:rsidP="00BC54C2">
      <w:pPr>
        <w:pStyle w:val="FootnoteText"/>
      </w:pPr>
      <w:r w:rsidRPr="00BC54C2">
        <w:rPr>
          <w:vertAlign w:val="superscript"/>
        </w:rPr>
        <w:footnoteRef/>
      </w:r>
      <w:r w:rsidRPr="00BC54C2">
        <w:rPr>
          <w:i/>
        </w:rPr>
        <w:t>See</w:t>
      </w:r>
      <w:r w:rsidRPr="00BC54C2">
        <w:t xml:space="preserve"> Playboy Enters., Inc.</w:t>
      </w:r>
      <w:r w:rsidRPr="00BC54C2">
        <w:t xml:space="preserve"> </w:t>
      </w:r>
      <w:r w:rsidRPr="00BC54C2">
        <w:t>v.</w:t>
      </w:r>
      <w:r w:rsidRPr="00BC54C2">
        <w:t xml:space="preserve"> </w:t>
      </w:r>
      <w:r w:rsidRPr="00BC54C2">
        <w:t>Welles, 279 F.3d 796, 805, 61 USPQ2d 1508 (9th Cir.</w:t>
      </w:r>
      <w:r w:rsidRPr="00BC54C2">
        <w:t xml:space="preserve"> </w:t>
      </w:r>
      <w:r w:rsidRPr="00BC54C2">
        <w:t>2002);</w:t>
      </w:r>
      <w:r w:rsidRPr="00BC54C2">
        <w:t xml:space="preserve"> </w:t>
      </w:r>
      <w:r w:rsidRPr="00BC54C2">
        <w:t>Avery Dennison Corp.</w:t>
      </w:r>
      <w:r w:rsidRPr="00BC54C2">
        <w:t xml:space="preserve"> </w:t>
      </w:r>
      <w:r w:rsidRPr="00BC54C2">
        <w:t>v.</w:t>
      </w:r>
      <w:r w:rsidRPr="00BC54C2">
        <w:t xml:space="preserve"> </w:t>
      </w:r>
      <w:r w:rsidRPr="00BC54C2">
        <w:t>Acco Brands, Inc., 1999 WL 33117262, at *4, 9 (C.D.</w:t>
      </w:r>
      <w:r w:rsidRPr="00BC54C2">
        <w:t xml:space="preserve"> </w:t>
      </w:r>
      <w:r w:rsidRPr="00BC54C2">
        <w:t>Cal.</w:t>
      </w:r>
      <w:r w:rsidRPr="00BC54C2">
        <w:t xml:space="preserve"> </w:t>
      </w:r>
      <w:r w:rsidRPr="00BC54C2">
        <w:t>Oct.</w:t>
      </w:r>
      <w:r w:rsidRPr="00BC54C2">
        <w:t xml:space="preserve"> </w:t>
      </w:r>
      <w:r w:rsidRPr="00BC54C2">
        <w:t xml:space="preserve">12, 1999) (explaining the difference between descriptive fair use and nominative fair </w:t>
      </w:r>
      <w:proofErr w:type="gramStart"/>
      <w:r w:rsidRPr="00BC54C2">
        <w:t>use, and</w:t>
      </w:r>
      <w:proofErr w:type="gramEnd"/>
      <w:r w:rsidRPr="00BC54C2">
        <w:t xml:space="preserve"> allowing the nominative fair-use defense).</w:t>
      </w:r>
      <w:r w:rsidRPr="00BC54C2">
        <w:t xml:space="preserve"> </w:t>
      </w:r>
      <w:r w:rsidRPr="00BC54C2">
        <w:t>Descriptive and nominative fair use are discussed in Chapter 10, §II.A.</w:t>
      </w:r>
    </w:p>
  </w:footnote>
  <w:footnote w:id="36">
    <w:p w14:paraId="12CAFE8B" w14:textId="35BE504F" w:rsidR="00BC54C2" w:rsidRPr="006C6CD8" w:rsidRDefault="00BC54C2" w:rsidP="00BC54C2">
      <w:pPr>
        <w:pStyle w:val="FootnoteText"/>
      </w:pPr>
      <w:r w:rsidRPr="00BC54C2">
        <w:rPr>
          <w:vertAlign w:val="superscript"/>
        </w:rPr>
        <w:footnoteRef/>
      </w:r>
      <w:r w:rsidRPr="00BC54C2">
        <w:t>New Kids on the Block v.</w:t>
      </w:r>
      <w:r w:rsidRPr="00BC54C2">
        <w:t xml:space="preserve"> </w:t>
      </w:r>
      <w:r w:rsidRPr="00BC54C2">
        <w:t>News Am.</w:t>
      </w:r>
      <w:r w:rsidRPr="00BC54C2">
        <w:t xml:space="preserve"> </w:t>
      </w:r>
      <w:r w:rsidRPr="00BC54C2">
        <w:t>Publ’g Inc., 971 F.2d 302, 307, 23 USPQ2d 1534 (9th Cir.</w:t>
      </w:r>
      <w:r w:rsidRPr="00BC54C2">
        <w:t xml:space="preserve"> </w:t>
      </w:r>
      <w:r w:rsidRPr="00BC54C2">
        <w:t>1992).</w:t>
      </w:r>
    </w:p>
  </w:footnote>
  <w:footnote w:id="37">
    <w:p w14:paraId="76DE5A90" w14:textId="38294087" w:rsidR="00BC54C2" w:rsidRPr="006C6CD8" w:rsidRDefault="00BC54C2" w:rsidP="00BC54C2">
      <w:pPr>
        <w:pStyle w:val="FootnoteText"/>
      </w:pPr>
      <w:r w:rsidRPr="00BC54C2">
        <w:rPr>
          <w:vertAlign w:val="superscript"/>
        </w:rPr>
        <w:footnoteRef/>
      </w:r>
      <w:r w:rsidRPr="00BC54C2">
        <w:t>2007 Model Bill §13(d)(1).</w:t>
      </w:r>
    </w:p>
  </w:footnote>
  <w:footnote w:id="38">
    <w:p w14:paraId="548447E4" w14:textId="7D6CDF0E" w:rsidR="00BC54C2" w:rsidRPr="006C6CD8" w:rsidRDefault="00BC54C2" w:rsidP="00BC54C2">
      <w:pPr>
        <w:pStyle w:val="FootnoteText"/>
      </w:pPr>
      <w:r w:rsidRPr="00BC54C2">
        <w:rPr>
          <w:vertAlign w:val="superscript"/>
        </w:rPr>
        <w:footnoteRef/>
      </w:r>
      <w:proofErr w:type="spellStart"/>
      <w:r w:rsidRPr="00BC54C2">
        <w:t>Bijur</w:t>
      </w:r>
      <w:proofErr w:type="spellEnd"/>
      <w:r w:rsidRPr="00BC54C2">
        <w:t xml:space="preserve"> Lubricating Corp.</w:t>
      </w:r>
      <w:r w:rsidRPr="00BC54C2">
        <w:t xml:space="preserve"> </w:t>
      </w:r>
      <w:r w:rsidRPr="00BC54C2">
        <w:t>v.</w:t>
      </w:r>
      <w:r w:rsidRPr="00BC54C2">
        <w:t xml:space="preserve"> </w:t>
      </w:r>
      <w:proofErr w:type="spellStart"/>
      <w:r w:rsidRPr="00BC54C2">
        <w:t>Devco</w:t>
      </w:r>
      <w:proofErr w:type="spellEnd"/>
      <w:r w:rsidRPr="00BC54C2">
        <w:t xml:space="preserve"> Corp., 332 F.</w:t>
      </w:r>
      <w:r w:rsidRPr="00BC54C2">
        <w:t xml:space="preserve"> </w:t>
      </w:r>
      <w:r w:rsidRPr="00BC54C2">
        <w:t>Supp.</w:t>
      </w:r>
      <w:r w:rsidRPr="00BC54C2">
        <w:t xml:space="preserve"> </w:t>
      </w:r>
      <w:r w:rsidRPr="00BC54C2">
        <w:t>2d 722, 734, 72 USPQ2d 1180 (D.N.J.</w:t>
      </w:r>
      <w:r w:rsidRPr="00BC54C2">
        <w:t xml:space="preserve"> </w:t>
      </w:r>
      <w:r w:rsidRPr="00BC54C2">
        <w:t xml:space="preserve">2004) (applying nominative use in a claim brought under the FTDA and New Jersey law, noting that New Jersey law is </w:t>
      </w:r>
      <w:proofErr w:type="gramStart"/>
      <w:r w:rsidRPr="00BC54C2">
        <w:t>similar to</w:t>
      </w:r>
      <w:proofErr w:type="gramEnd"/>
      <w:r w:rsidRPr="00BC54C2">
        <w:t xml:space="preserve"> the FTDA).</w:t>
      </w:r>
    </w:p>
  </w:footnote>
  <w:footnote w:id="39">
    <w:p w14:paraId="1ECF926B" w14:textId="55A6190D" w:rsidR="00BC54C2" w:rsidRPr="006C6CD8" w:rsidRDefault="00BC54C2" w:rsidP="00BC54C2">
      <w:pPr>
        <w:pStyle w:val="FootnoteText"/>
      </w:pPr>
      <w:r w:rsidRPr="00BC54C2">
        <w:rPr>
          <w:vertAlign w:val="superscript"/>
        </w:rPr>
        <w:footnoteRef/>
      </w:r>
      <w:r w:rsidRPr="00BC54C2">
        <w:t>KP Permanent Make-Up, Inc.</w:t>
      </w:r>
      <w:r w:rsidRPr="00BC54C2">
        <w:t xml:space="preserve"> </w:t>
      </w:r>
      <w:r w:rsidRPr="00BC54C2">
        <w:t>v.</w:t>
      </w:r>
      <w:r w:rsidRPr="00BC54C2">
        <w:t xml:space="preserve"> </w:t>
      </w:r>
      <w:r w:rsidRPr="00BC54C2">
        <w:t>Lasting Impression I, Inc., 543 U.S.</w:t>
      </w:r>
      <w:r w:rsidRPr="00BC54C2">
        <w:t xml:space="preserve"> </w:t>
      </w:r>
      <w:r w:rsidRPr="00BC54C2">
        <w:t>111, 123 (2004);</w:t>
      </w:r>
      <w:r w:rsidRPr="00BC54C2">
        <w:rPr>
          <w:i/>
        </w:rPr>
        <w:t>see</w:t>
      </w:r>
      <w:r w:rsidRPr="00BC54C2">
        <w:t xml:space="preserve"> Rosetta Stone, Ltd.</w:t>
      </w:r>
      <w:r w:rsidRPr="00BC54C2">
        <w:t xml:space="preserve"> </w:t>
      </w:r>
      <w:r w:rsidRPr="00BC54C2">
        <w:t>v.</w:t>
      </w:r>
      <w:r w:rsidRPr="00BC54C2">
        <w:t xml:space="preserve"> </w:t>
      </w:r>
      <w:r w:rsidRPr="00BC54C2">
        <w:t>Google, Inc., 676 F.3d 144, 169, 102 USPQ2d 1473 (4th Cir.</w:t>
      </w:r>
      <w:r w:rsidRPr="00BC54C2">
        <w:t xml:space="preserve"> </w:t>
      </w:r>
      <w:r w:rsidRPr="00BC54C2">
        <w:t>2012) (“The contours of the fair-use defense in the infringement context are therefore instructive on the classic or descriptive fair-use defense to a dilution claim.”).</w:t>
      </w:r>
    </w:p>
  </w:footnote>
  <w:footnote w:id="40">
    <w:p w14:paraId="2C76C5BF" w14:textId="17A5E5A3" w:rsidR="00BC54C2" w:rsidRPr="006C6CD8" w:rsidRDefault="00BC54C2" w:rsidP="00BC54C2">
      <w:pPr>
        <w:pStyle w:val="FootnoteText"/>
      </w:pPr>
      <w:r w:rsidRPr="00BC54C2">
        <w:rPr>
          <w:vertAlign w:val="superscript"/>
        </w:rPr>
        <w:footnoteRef/>
      </w:r>
      <w:r w:rsidRPr="00BC54C2">
        <w:t>If the user intended to cause dilution, that would be relevant to the analysis of fairness.</w:t>
      </w:r>
    </w:p>
  </w:footnote>
  <w:footnote w:id="41">
    <w:p w14:paraId="0ECB8270" w14:textId="574CEC4C" w:rsidR="00BC54C2" w:rsidRPr="006C6CD8" w:rsidRDefault="00BC54C2" w:rsidP="00BC54C2">
      <w:pPr>
        <w:pStyle w:val="FootnoteText"/>
      </w:pPr>
      <w:r w:rsidRPr="00BC54C2">
        <w:rPr>
          <w:vertAlign w:val="superscript"/>
        </w:rPr>
        <w:footnoteRef/>
      </w:r>
      <w:r w:rsidRPr="00BC54C2">
        <w:t>Deere &amp; Co.</w:t>
      </w:r>
      <w:r w:rsidRPr="00BC54C2">
        <w:t xml:space="preserve"> </w:t>
      </w:r>
      <w:r w:rsidRPr="00BC54C2">
        <w:t>v.</w:t>
      </w:r>
      <w:r w:rsidRPr="00BC54C2">
        <w:t xml:space="preserve"> </w:t>
      </w:r>
      <w:r w:rsidRPr="00BC54C2">
        <w:t>MTD Prods., Inc., 41 F.3d 39, 32 USPQ2d 1936 (2d Cir.</w:t>
      </w:r>
      <w:r w:rsidRPr="00BC54C2">
        <w:t xml:space="preserve"> </w:t>
      </w:r>
      <w:r w:rsidRPr="00BC54C2">
        <w:t>1994) (alteration of Deere logo constituted dilution under New York law).</w:t>
      </w:r>
    </w:p>
  </w:footnote>
  <w:footnote w:id="42">
    <w:p w14:paraId="1C01EB83" w14:textId="601BF5F1" w:rsidR="00BC54C2" w:rsidRPr="006C6CD8" w:rsidRDefault="00BC54C2" w:rsidP="00BC54C2">
      <w:pPr>
        <w:pStyle w:val="FootnoteText"/>
      </w:pPr>
      <w:r w:rsidRPr="00BC54C2">
        <w:rPr>
          <w:vertAlign w:val="superscript"/>
        </w:rPr>
        <w:footnoteRef/>
      </w:r>
      <w:r w:rsidRPr="00BC54C2">
        <w:rPr>
          <w:i/>
        </w:rPr>
        <w:t>See</w:t>
      </w:r>
      <w:r w:rsidRPr="00BC54C2">
        <w:t xml:space="preserve"> Chapter 10, §IV.</w:t>
      </w:r>
    </w:p>
  </w:footnote>
  <w:footnote w:id="43">
    <w:p w14:paraId="635D40E3" w14:textId="26807933" w:rsidR="00BC54C2" w:rsidRPr="00BC54C2" w:rsidRDefault="00BC54C2" w:rsidP="00BC54C2">
      <w:pPr>
        <w:pStyle w:val="FootnoteText"/>
      </w:pPr>
      <w:r w:rsidRPr="00BC54C2">
        <w:rPr>
          <w:vertAlign w:val="superscript"/>
        </w:rPr>
        <w:footnoteRef/>
      </w:r>
      <w:r w:rsidRPr="00BC54C2">
        <w:rPr>
          <w:i/>
        </w:rPr>
        <w:t>See</w:t>
      </w:r>
      <w:r w:rsidRPr="00BC54C2">
        <w:t xml:space="preserve"> Chapter 10, §IV.A.</w:t>
      </w:r>
      <w:r w:rsidRPr="00BC54C2">
        <w:t xml:space="preserve"> </w:t>
      </w:r>
      <w:r w:rsidRPr="00BC54C2">
        <w:t>Parody and satire are also incorporated into the fair-use exclusion of the 2007 Model Bill.</w:t>
      </w:r>
      <w:r w:rsidRPr="00BC54C2">
        <w:t xml:space="preserve"> </w:t>
      </w:r>
      <w:r w:rsidRPr="00BC54C2">
        <w:rPr>
          <w:i/>
        </w:rPr>
        <w:t>See</w:t>
      </w:r>
      <w:r w:rsidRPr="00BC54C2">
        <w:t xml:space="preserve"> §I.A.3, above.</w:t>
      </w:r>
    </w:p>
    <w:p w14:paraId="0B8F31CA" w14:textId="77777777" w:rsidR="00BC54C2" w:rsidRPr="006C6CD8" w:rsidRDefault="00BC54C2" w:rsidP="0045768F">
      <w:pPr>
        <w:pStyle w:val="footnote"/>
      </w:pPr>
    </w:p>
  </w:footnote>
  <w:footnote w:id="44">
    <w:p w14:paraId="7D058605" w14:textId="3C8FA0A1" w:rsidR="00BC54C2" w:rsidRPr="006C6CD8" w:rsidRDefault="00BC54C2" w:rsidP="00BC54C2">
      <w:pPr>
        <w:pStyle w:val="FootnoteText"/>
      </w:pPr>
      <w:r w:rsidRPr="00BC54C2">
        <w:rPr>
          <w:vertAlign w:val="superscript"/>
        </w:rPr>
        <w:footnoteRef/>
      </w:r>
      <w:r w:rsidRPr="00BC54C2">
        <w:rPr>
          <w:i/>
        </w:rPr>
        <w:t xml:space="preserve">Compare </w:t>
      </w:r>
      <w:r w:rsidRPr="00BC54C2">
        <w:t>Mattel, Inc.</w:t>
      </w:r>
      <w:r w:rsidRPr="00BC54C2">
        <w:t xml:space="preserve"> </w:t>
      </w:r>
      <w:r w:rsidRPr="00BC54C2">
        <w:t>v.</w:t>
      </w:r>
      <w:r w:rsidRPr="00BC54C2">
        <w:t xml:space="preserve"> </w:t>
      </w:r>
      <w:r w:rsidRPr="00BC54C2">
        <w:t>MCA Records, Inc., 296 F.3d 894, 905, 63 USPQ2d 1715 (9th Cir.</w:t>
      </w:r>
      <w:r w:rsidRPr="00BC54C2">
        <w:t xml:space="preserve"> </w:t>
      </w:r>
      <w:r w:rsidRPr="00BC54C2">
        <w:t>2002) (song called “Barbie Girl” is a noncommercial use),</w:t>
      </w:r>
      <w:r w:rsidRPr="00BC54C2">
        <w:rPr>
          <w:i/>
        </w:rPr>
        <w:t xml:space="preserve"> cert</w:t>
      </w:r>
      <w:r w:rsidRPr="00BC54C2">
        <w:t>.</w:t>
      </w:r>
      <w:r w:rsidRPr="00BC54C2">
        <w:t xml:space="preserve"> </w:t>
      </w:r>
      <w:r w:rsidRPr="00BC54C2">
        <w:rPr>
          <w:i/>
        </w:rPr>
        <w:t>denied</w:t>
      </w:r>
      <w:r w:rsidRPr="00BC54C2">
        <w:t>, 537 U.S.</w:t>
      </w:r>
      <w:r w:rsidRPr="00BC54C2">
        <w:t xml:space="preserve"> </w:t>
      </w:r>
      <w:r w:rsidRPr="00BC54C2">
        <w:t>1171 (2003),</w:t>
      </w:r>
      <w:r w:rsidRPr="00BC54C2">
        <w:rPr>
          <w:i/>
        </w:rPr>
        <w:t xml:space="preserve"> with </w:t>
      </w:r>
      <w:r w:rsidRPr="00BC54C2">
        <w:t>American Dairy Queen Corp.</w:t>
      </w:r>
      <w:r w:rsidRPr="00BC54C2">
        <w:t xml:space="preserve"> </w:t>
      </w:r>
      <w:r w:rsidRPr="00BC54C2">
        <w:t>v.</w:t>
      </w:r>
      <w:r w:rsidRPr="00BC54C2">
        <w:t xml:space="preserve"> </w:t>
      </w:r>
      <w:r w:rsidRPr="00BC54C2">
        <w:t>New Line Prods., 35 F.</w:t>
      </w:r>
      <w:r w:rsidRPr="00BC54C2">
        <w:t xml:space="preserve"> </w:t>
      </w:r>
      <w:r w:rsidRPr="00BC54C2">
        <w:t>Supp.</w:t>
      </w:r>
      <w:r w:rsidRPr="00BC54C2">
        <w:t xml:space="preserve"> </w:t>
      </w:r>
      <w:r w:rsidRPr="00BC54C2">
        <w:t>2d 727, 734 (D.</w:t>
      </w:r>
      <w:r w:rsidRPr="00BC54C2">
        <w:t xml:space="preserve"> </w:t>
      </w:r>
      <w:r w:rsidRPr="00BC54C2">
        <w:t>Minn.</w:t>
      </w:r>
      <w:r w:rsidRPr="00BC54C2">
        <w:t xml:space="preserve"> </w:t>
      </w:r>
      <w:r w:rsidRPr="00BC54C2">
        <w:t xml:space="preserve">1998) (rejecting First Amendment defense to claim involving a movie entitled </w:t>
      </w:r>
      <w:r w:rsidRPr="00BC54C2">
        <w:rPr>
          <w:i/>
        </w:rPr>
        <w:t>Dairy Queens</w:t>
      </w:r>
      <w:r w:rsidRPr="00BC54C2">
        <w:t>, without any mention of former Lanham Act §43(c)(4)(B), now §43(c)(3)(C)).The cases are discussed in Chapter 3, §IV.B.3.c,</w:t>
      </w:r>
      <w:r w:rsidRPr="00BC54C2">
        <w:rPr>
          <w:b/>
        </w:rPr>
        <w:t xml:space="preserve"> </w:t>
      </w:r>
      <w:r w:rsidRPr="00BC54C2">
        <w:t>Chapter 7, §III.B, and Chapter 10, §IV.C.</w:t>
      </w:r>
    </w:p>
  </w:footnote>
  <w:footnote w:id="45">
    <w:p w14:paraId="61D8F95E" w14:textId="23A94900" w:rsidR="00BC54C2" w:rsidRPr="006C6CD8" w:rsidRDefault="00BC54C2" w:rsidP="00BC54C2">
      <w:pPr>
        <w:pStyle w:val="FootnoteText"/>
      </w:pPr>
      <w:r w:rsidRPr="00BC54C2">
        <w:rPr>
          <w:vertAlign w:val="superscript"/>
        </w:rPr>
        <w:footnoteRef/>
      </w:r>
      <w:r w:rsidRPr="00BC54C2">
        <w:rPr>
          <w:i/>
        </w:rPr>
        <w:t>Mattel</w:t>
      </w:r>
      <w:r w:rsidRPr="00BC54C2">
        <w:t>, 296 F.3d at 905.</w:t>
      </w:r>
    </w:p>
  </w:footnote>
  <w:footnote w:id="46">
    <w:p w14:paraId="671CD920" w14:textId="7C471EA2" w:rsidR="00BC54C2" w:rsidRPr="006C6CD8" w:rsidRDefault="00BC54C2" w:rsidP="00BC54C2">
      <w:pPr>
        <w:pStyle w:val="FootnoteText"/>
      </w:pPr>
      <w:r w:rsidRPr="00BC54C2">
        <w:rPr>
          <w:vertAlign w:val="superscript"/>
        </w:rPr>
        <w:footnoteRef/>
      </w:r>
      <w:r w:rsidRPr="00BC54C2">
        <w:t>See Chapter 10, §IV.D.2.</w:t>
      </w:r>
    </w:p>
  </w:footnote>
  <w:footnote w:id="47">
    <w:p w14:paraId="0EAE69F2" w14:textId="07AB8DE3" w:rsidR="00BC54C2" w:rsidRPr="006C6CD8" w:rsidRDefault="00BC54C2" w:rsidP="00BC54C2">
      <w:pPr>
        <w:pStyle w:val="FootnoteText"/>
      </w:pPr>
      <w:r w:rsidRPr="00BC54C2">
        <w:rPr>
          <w:vertAlign w:val="superscript"/>
        </w:rPr>
        <w:footnoteRef/>
      </w:r>
      <w:r w:rsidRPr="00BC54C2">
        <w:rPr>
          <w:i/>
        </w:rPr>
        <w:t>See, e</w:t>
      </w:r>
      <w:r w:rsidRPr="00BC54C2">
        <w:t>.</w:t>
      </w:r>
      <w:r w:rsidRPr="00BC54C2">
        <w:rPr>
          <w:i/>
        </w:rPr>
        <w:t>g</w:t>
      </w:r>
      <w:r w:rsidRPr="00BC54C2">
        <w:t>., Ford Motor Co.</w:t>
      </w:r>
      <w:r w:rsidRPr="00BC54C2">
        <w:t xml:space="preserve"> </w:t>
      </w:r>
      <w:r w:rsidRPr="00BC54C2">
        <w:t>v.</w:t>
      </w:r>
      <w:r w:rsidRPr="00BC54C2">
        <w:t xml:space="preserve"> </w:t>
      </w:r>
      <w:r w:rsidRPr="00BC54C2">
        <w:t>2600 Enters., 177 F.</w:t>
      </w:r>
      <w:r w:rsidRPr="00BC54C2">
        <w:t xml:space="preserve"> </w:t>
      </w:r>
      <w:r w:rsidRPr="00BC54C2">
        <w:t>Supp.</w:t>
      </w:r>
      <w:r w:rsidRPr="00BC54C2">
        <w:t xml:space="preserve"> </w:t>
      </w:r>
      <w:r w:rsidRPr="00BC54C2">
        <w:t>2d 661, 662, 61 USPQ2d 1757 (E.D.</w:t>
      </w:r>
      <w:r w:rsidRPr="00BC54C2">
        <w:t xml:space="preserve"> </w:t>
      </w:r>
      <w:r w:rsidRPr="00BC54C2">
        <w:t>Mich.</w:t>
      </w:r>
      <w:r w:rsidRPr="00BC54C2">
        <w:t xml:space="preserve"> </w:t>
      </w:r>
      <w:r w:rsidRPr="00BC54C2">
        <w:t>2001);</w:t>
      </w:r>
      <w:r w:rsidRPr="00BC54C2">
        <w:t xml:space="preserve"> </w:t>
      </w:r>
      <w:r w:rsidRPr="00BC54C2">
        <w:t>Northland Ins.</w:t>
      </w:r>
      <w:r w:rsidRPr="00BC54C2">
        <w:t xml:space="preserve"> </w:t>
      </w:r>
      <w:r w:rsidRPr="00BC54C2">
        <w:t>Cos.</w:t>
      </w:r>
      <w:r w:rsidRPr="00BC54C2">
        <w:t xml:space="preserve"> </w:t>
      </w:r>
      <w:r w:rsidRPr="00BC54C2">
        <w:t>v.</w:t>
      </w:r>
      <w:r w:rsidRPr="00BC54C2">
        <w:t xml:space="preserve"> </w:t>
      </w:r>
      <w:r w:rsidRPr="00BC54C2">
        <w:t>Blaylock, 115 F.</w:t>
      </w:r>
      <w:r w:rsidRPr="00BC54C2">
        <w:t xml:space="preserve"> </w:t>
      </w:r>
      <w:r w:rsidRPr="00BC54C2">
        <w:t>Supp.</w:t>
      </w:r>
      <w:r w:rsidRPr="00BC54C2">
        <w:t xml:space="preserve"> </w:t>
      </w:r>
      <w:r w:rsidRPr="00BC54C2">
        <w:t>2d 1108, 1114, 56 USPQ2d 1662 (D.</w:t>
      </w:r>
      <w:r w:rsidRPr="00BC54C2">
        <w:t xml:space="preserve"> </w:t>
      </w:r>
      <w:r w:rsidRPr="00BC54C2">
        <w:t>Minn.</w:t>
      </w:r>
      <w:r w:rsidRPr="00BC54C2">
        <w:t xml:space="preserve"> </w:t>
      </w:r>
      <w:r w:rsidRPr="00BC54C2">
        <w:t>2000);</w:t>
      </w:r>
      <w:r w:rsidRPr="00BC54C2">
        <w:t xml:space="preserve"> </w:t>
      </w:r>
      <w:r w:rsidRPr="00BC54C2">
        <w:t>OBH, Inc.</w:t>
      </w:r>
      <w:r w:rsidRPr="00BC54C2">
        <w:t xml:space="preserve"> </w:t>
      </w:r>
      <w:r w:rsidRPr="00BC54C2">
        <w:t>v.</w:t>
      </w:r>
      <w:r w:rsidRPr="00BC54C2">
        <w:t xml:space="preserve"> </w:t>
      </w:r>
      <w:r w:rsidRPr="00BC54C2">
        <w:t>Spotlight Magazine, Inc., 86 F.</w:t>
      </w:r>
      <w:r w:rsidRPr="00BC54C2">
        <w:t xml:space="preserve"> </w:t>
      </w:r>
      <w:r w:rsidRPr="00BC54C2">
        <w:t>Supp.</w:t>
      </w:r>
      <w:r w:rsidRPr="00BC54C2">
        <w:t xml:space="preserve"> </w:t>
      </w:r>
      <w:r w:rsidRPr="00BC54C2">
        <w:t>2d 176, 184, 54 USPQ2d 1383 (W.D.N.Y.</w:t>
      </w:r>
      <w:r w:rsidRPr="00BC54C2">
        <w:t xml:space="preserve"> </w:t>
      </w:r>
      <w:r w:rsidRPr="00BC54C2">
        <w:t>2000);</w:t>
      </w:r>
      <w:r w:rsidRPr="00BC54C2">
        <w:t xml:space="preserve"> </w:t>
      </w:r>
      <w:r w:rsidRPr="00BC54C2">
        <w:t>People for the Ethical Treatment of Animals, Inc.</w:t>
      </w:r>
      <w:r w:rsidRPr="00BC54C2">
        <w:t xml:space="preserve"> </w:t>
      </w:r>
      <w:r w:rsidRPr="00BC54C2">
        <w:t>v.</w:t>
      </w:r>
      <w:r w:rsidRPr="00BC54C2">
        <w:t xml:space="preserve"> </w:t>
      </w:r>
      <w:r w:rsidRPr="00BC54C2">
        <w:t>Doughney, 113 F.</w:t>
      </w:r>
      <w:r w:rsidRPr="00BC54C2">
        <w:t xml:space="preserve"> </w:t>
      </w:r>
      <w:r w:rsidRPr="00BC54C2">
        <w:t>Supp.</w:t>
      </w:r>
      <w:r w:rsidRPr="00BC54C2">
        <w:t xml:space="preserve"> </w:t>
      </w:r>
      <w:r w:rsidRPr="00BC54C2">
        <w:t>2d 915, 919 (E.D.</w:t>
      </w:r>
      <w:r w:rsidRPr="00BC54C2">
        <w:t xml:space="preserve"> </w:t>
      </w:r>
      <w:r w:rsidRPr="00BC54C2">
        <w:t>Va.</w:t>
      </w:r>
      <w:r w:rsidRPr="00BC54C2">
        <w:t xml:space="preserve"> </w:t>
      </w:r>
      <w:r w:rsidRPr="00BC54C2">
        <w:t xml:space="preserve">2000), </w:t>
      </w:r>
      <w:r w:rsidRPr="00BC54C2">
        <w:rPr>
          <w:i/>
        </w:rPr>
        <w:t>aff’d</w:t>
      </w:r>
      <w:r w:rsidRPr="00BC54C2">
        <w:t>, 263 F.3d 359, 60 USPQ2d 1109 (4th Cir.</w:t>
      </w:r>
      <w:r w:rsidRPr="00BC54C2">
        <w:t xml:space="preserve"> </w:t>
      </w:r>
      <w:r w:rsidRPr="00BC54C2">
        <w:t>2001);</w:t>
      </w:r>
      <w:r w:rsidRPr="00BC54C2">
        <w:t xml:space="preserve"> </w:t>
      </w:r>
      <w:r w:rsidRPr="00BC54C2">
        <w:t>Jews for Jesus v.</w:t>
      </w:r>
      <w:r w:rsidRPr="00BC54C2">
        <w:t xml:space="preserve"> </w:t>
      </w:r>
      <w:r w:rsidRPr="00BC54C2">
        <w:t>Brodsky, 993 F.</w:t>
      </w:r>
      <w:r w:rsidRPr="00BC54C2">
        <w:t xml:space="preserve"> </w:t>
      </w:r>
      <w:r w:rsidRPr="00BC54C2">
        <w:t>Supp.</w:t>
      </w:r>
      <w:r w:rsidRPr="00BC54C2">
        <w:t xml:space="preserve"> </w:t>
      </w:r>
      <w:r w:rsidRPr="00BC54C2">
        <w:t xml:space="preserve">282, 308, 46 USPQ2d 1652 (D.N.J.), </w:t>
      </w:r>
      <w:r w:rsidRPr="00BC54C2">
        <w:rPr>
          <w:i/>
        </w:rPr>
        <w:t>aff’d</w:t>
      </w:r>
      <w:r w:rsidRPr="00BC54C2">
        <w:t>, 159 F.3d 1351 (3d Cir.</w:t>
      </w:r>
      <w:r w:rsidRPr="00BC54C2">
        <w:t xml:space="preserve"> </w:t>
      </w:r>
      <w:r w:rsidRPr="00BC54C2">
        <w:t>1998);</w:t>
      </w:r>
      <w:r w:rsidRPr="00BC54C2">
        <w:t xml:space="preserve"> </w:t>
      </w:r>
      <w:r w:rsidRPr="00BC54C2">
        <w:t xml:space="preserve">Planned Parenthood </w:t>
      </w:r>
      <w:proofErr w:type="spellStart"/>
      <w:r w:rsidRPr="00BC54C2">
        <w:t>Fed’n</w:t>
      </w:r>
      <w:proofErr w:type="spellEnd"/>
      <w:r w:rsidRPr="00BC54C2">
        <w:t xml:space="preserve"> of Am., Inc.</w:t>
      </w:r>
      <w:r w:rsidRPr="00BC54C2">
        <w:t xml:space="preserve"> </w:t>
      </w:r>
      <w:r w:rsidRPr="00BC54C2">
        <w:t>v.</w:t>
      </w:r>
      <w:r w:rsidRPr="00BC54C2">
        <w:t xml:space="preserve"> </w:t>
      </w:r>
      <w:r w:rsidRPr="00BC54C2">
        <w:t>Bucci, 42 USPQ2d 1430, 1432 (S.D.N.Y.</w:t>
      </w:r>
      <w:r w:rsidRPr="00BC54C2">
        <w:t xml:space="preserve"> </w:t>
      </w:r>
      <w:r w:rsidRPr="00BC54C2">
        <w:t xml:space="preserve">1997), </w:t>
      </w:r>
      <w:r w:rsidRPr="00BC54C2">
        <w:rPr>
          <w:i/>
        </w:rPr>
        <w:t>aff’d</w:t>
      </w:r>
      <w:r w:rsidRPr="00BC54C2">
        <w:t xml:space="preserve">, 152 F.3d 920 (2d Cir.), </w:t>
      </w:r>
      <w:r w:rsidRPr="00BC54C2">
        <w:rPr>
          <w:i/>
        </w:rPr>
        <w:t>cert</w:t>
      </w:r>
      <w:r w:rsidRPr="00BC54C2">
        <w:t>.</w:t>
      </w:r>
      <w:r w:rsidRPr="00BC54C2">
        <w:t xml:space="preserve"> </w:t>
      </w:r>
      <w:r w:rsidRPr="00BC54C2">
        <w:rPr>
          <w:i/>
        </w:rPr>
        <w:t>denied</w:t>
      </w:r>
      <w:r w:rsidRPr="00BC54C2">
        <w:t>, 525 U.S.</w:t>
      </w:r>
      <w:r w:rsidRPr="00BC54C2">
        <w:t xml:space="preserve"> </w:t>
      </w:r>
      <w:r w:rsidRPr="00BC54C2">
        <w:t>834 (1998).</w:t>
      </w:r>
    </w:p>
  </w:footnote>
  <w:footnote w:id="48">
    <w:p w14:paraId="1FF0D098" w14:textId="5B6EFA61" w:rsidR="00BC54C2" w:rsidRPr="006C6CD8" w:rsidRDefault="00BC54C2" w:rsidP="00BC54C2">
      <w:pPr>
        <w:pStyle w:val="FootnoteText"/>
      </w:pPr>
      <w:r w:rsidRPr="00BC54C2">
        <w:rPr>
          <w:vertAlign w:val="superscript"/>
        </w:rPr>
        <w:footnoteRef/>
      </w:r>
      <w:r w:rsidRPr="00BC54C2">
        <w:rPr>
          <w:i/>
        </w:rPr>
        <w:t>Jews for Jesus</w:t>
      </w:r>
      <w:r w:rsidRPr="00BC54C2">
        <w:t>, 993 F.</w:t>
      </w:r>
      <w:r w:rsidRPr="00BC54C2">
        <w:t xml:space="preserve"> </w:t>
      </w:r>
      <w:r w:rsidRPr="00BC54C2">
        <w:t>Supp.</w:t>
      </w:r>
      <w:r w:rsidRPr="00BC54C2">
        <w:t xml:space="preserve"> </w:t>
      </w:r>
      <w:r w:rsidRPr="00BC54C2">
        <w:t>at 307 (citing cases).</w:t>
      </w:r>
    </w:p>
  </w:footnote>
  <w:footnote w:id="49">
    <w:p w14:paraId="69C7049A" w14:textId="199B6C7D" w:rsidR="00BC54C2" w:rsidRPr="006C6CD8" w:rsidRDefault="00BC54C2" w:rsidP="00BC54C2">
      <w:pPr>
        <w:pStyle w:val="FootnoteText"/>
      </w:pPr>
      <w:r w:rsidRPr="00BC54C2">
        <w:rPr>
          <w:vertAlign w:val="superscript"/>
        </w:rPr>
        <w:footnoteRef/>
      </w:r>
      <w:r w:rsidRPr="00BC54C2">
        <w:rPr>
          <w:i/>
        </w:rPr>
        <w:t>OBH, Inc</w:t>
      </w:r>
      <w:r w:rsidRPr="00BC54C2">
        <w:t>., 86 F.</w:t>
      </w:r>
      <w:r w:rsidRPr="00BC54C2">
        <w:t xml:space="preserve"> </w:t>
      </w:r>
      <w:r w:rsidRPr="00BC54C2">
        <w:t>Supp.</w:t>
      </w:r>
      <w:r w:rsidRPr="00BC54C2">
        <w:t xml:space="preserve"> </w:t>
      </w:r>
      <w:r w:rsidRPr="00BC54C2">
        <w:t>2d at 192;</w:t>
      </w:r>
      <w:r w:rsidRPr="00BC54C2">
        <w:t xml:space="preserve"> </w:t>
      </w:r>
      <w:r w:rsidRPr="00BC54C2">
        <w:rPr>
          <w:i/>
        </w:rPr>
        <w:t>People for the Ethical Treatment of Animals</w:t>
      </w:r>
      <w:r w:rsidRPr="00BC54C2">
        <w:t>, 113 F.</w:t>
      </w:r>
      <w:r w:rsidRPr="00BC54C2">
        <w:t xml:space="preserve"> </w:t>
      </w:r>
      <w:r w:rsidRPr="00BC54C2">
        <w:t>Supp.</w:t>
      </w:r>
      <w:r w:rsidRPr="00BC54C2">
        <w:t xml:space="preserve"> </w:t>
      </w:r>
      <w:r w:rsidRPr="00BC54C2">
        <w:t>2d at 920;</w:t>
      </w:r>
      <w:r w:rsidRPr="00BC54C2">
        <w:t xml:space="preserve"> </w:t>
      </w:r>
      <w:r w:rsidRPr="00BC54C2">
        <w:rPr>
          <w:i/>
        </w:rPr>
        <w:t>Jews for Jesus</w:t>
      </w:r>
      <w:r w:rsidRPr="00BC54C2">
        <w:t>, 993 F.</w:t>
      </w:r>
      <w:r w:rsidRPr="00BC54C2">
        <w:t xml:space="preserve"> </w:t>
      </w:r>
      <w:r w:rsidRPr="00BC54C2">
        <w:t>Supp.</w:t>
      </w:r>
      <w:r w:rsidRPr="00BC54C2">
        <w:t xml:space="preserve"> </w:t>
      </w:r>
      <w:r w:rsidRPr="00BC54C2">
        <w:t>at 308;</w:t>
      </w:r>
      <w:r w:rsidRPr="00BC54C2">
        <w:t xml:space="preserve"> </w:t>
      </w:r>
      <w:r w:rsidRPr="00BC54C2">
        <w:rPr>
          <w:i/>
        </w:rPr>
        <w:t xml:space="preserve">see Planned Parenthood </w:t>
      </w:r>
      <w:proofErr w:type="spellStart"/>
      <w:r w:rsidRPr="00BC54C2">
        <w:rPr>
          <w:i/>
        </w:rPr>
        <w:t>Fed’n</w:t>
      </w:r>
      <w:proofErr w:type="spellEnd"/>
      <w:r w:rsidRPr="00BC54C2">
        <w:t>, 42 USPQ2d at 1435.</w:t>
      </w:r>
      <w:r w:rsidRPr="00BC54C2">
        <w:t xml:space="preserve"> </w:t>
      </w:r>
      <w:r w:rsidRPr="00BC54C2">
        <w:rPr>
          <w:i/>
        </w:rPr>
        <w:t>But see Ford Motor Co</w:t>
      </w:r>
      <w:r w:rsidRPr="00BC54C2">
        <w:t>., 177 F.</w:t>
      </w:r>
      <w:r w:rsidRPr="00BC54C2">
        <w:t xml:space="preserve"> </w:t>
      </w:r>
      <w:r w:rsidRPr="00BC54C2">
        <w:t>Supp.</w:t>
      </w:r>
      <w:r w:rsidRPr="00BC54C2">
        <w:t xml:space="preserve"> </w:t>
      </w:r>
      <w:r w:rsidRPr="00BC54C2">
        <w:t>2d at 663–65 (link to “ford.com” on defendant’s “fuckgeneralmotors.com” Web site not commercial use);</w:t>
      </w:r>
      <w:r w:rsidRPr="00BC54C2">
        <w:t xml:space="preserve"> </w:t>
      </w:r>
      <w:r w:rsidRPr="00BC54C2">
        <w:rPr>
          <w:i/>
        </w:rPr>
        <w:t>Northland Ins</w:t>
      </w:r>
      <w:r w:rsidRPr="00BC54C2">
        <w:t>.</w:t>
      </w:r>
      <w:r w:rsidRPr="00BC54C2">
        <w:t xml:space="preserve"> </w:t>
      </w:r>
      <w:r w:rsidRPr="00BC54C2">
        <w:rPr>
          <w:i/>
        </w:rPr>
        <w:t>Cos</w:t>
      </w:r>
      <w:r w:rsidRPr="00BC54C2">
        <w:t>., 115 F.</w:t>
      </w:r>
      <w:r w:rsidRPr="00BC54C2">
        <w:t xml:space="preserve"> </w:t>
      </w:r>
      <w:r w:rsidRPr="00BC54C2">
        <w:t>Supp.</w:t>
      </w:r>
      <w:r w:rsidRPr="00BC54C2">
        <w:t xml:space="preserve"> </w:t>
      </w:r>
      <w:r w:rsidRPr="00BC54C2">
        <w:t>2d at 1114 (critical Web site not commercial use).</w:t>
      </w:r>
    </w:p>
  </w:footnote>
  <w:footnote w:id="50">
    <w:p w14:paraId="40835C93" w14:textId="10A2B642" w:rsidR="00BC54C2" w:rsidRPr="006C6CD8" w:rsidRDefault="00BC54C2" w:rsidP="00BC54C2">
      <w:pPr>
        <w:pStyle w:val="FootnoteText"/>
      </w:pPr>
      <w:r w:rsidRPr="00BC54C2">
        <w:rPr>
          <w:vertAlign w:val="superscript"/>
        </w:rPr>
        <w:footnoteRef/>
      </w:r>
      <w:r w:rsidRPr="00BC54C2">
        <w:t>296 F.3d 894, 905, 63 USPQ2d 1715 (9th Cir.</w:t>
      </w:r>
      <w:r w:rsidRPr="00BC54C2">
        <w:t xml:space="preserve"> </w:t>
      </w:r>
      <w:r w:rsidRPr="00BC54C2">
        <w:t xml:space="preserve">2002), </w:t>
      </w:r>
      <w:r w:rsidRPr="00BC54C2">
        <w:rPr>
          <w:i/>
        </w:rPr>
        <w:t>cert</w:t>
      </w:r>
      <w:r w:rsidRPr="00BC54C2">
        <w:t>.</w:t>
      </w:r>
      <w:r w:rsidRPr="00BC54C2">
        <w:t xml:space="preserve"> </w:t>
      </w:r>
      <w:r w:rsidRPr="00BC54C2">
        <w:rPr>
          <w:i/>
        </w:rPr>
        <w:t>denied</w:t>
      </w:r>
      <w:r w:rsidRPr="00BC54C2">
        <w:t>, 537 U.S.</w:t>
      </w:r>
      <w:r w:rsidRPr="00BC54C2">
        <w:t xml:space="preserve"> </w:t>
      </w:r>
      <w:r w:rsidRPr="00BC54C2">
        <w:t>1171 (2003).</w:t>
      </w:r>
    </w:p>
  </w:footnote>
  <w:footnote w:id="51">
    <w:p w14:paraId="7A036BE1" w14:textId="6860F437" w:rsidR="00BC54C2" w:rsidRPr="006C6CD8" w:rsidRDefault="00BC54C2" w:rsidP="00BC54C2">
      <w:pPr>
        <w:pStyle w:val="FootnoteText"/>
      </w:pPr>
      <w:r w:rsidRPr="00BC54C2">
        <w:rPr>
          <w:vertAlign w:val="superscript"/>
        </w:rPr>
        <w:footnoteRef/>
      </w:r>
      <w:r w:rsidRPr="00BC54C2">
        <w:rPr>
          <w:i/>
        </w:rPr>
        <w:t>Id</w:t>
      </w:r>
      <w:r w:rsidRPr="00BC54C2">
        <w:t>.</w:t>
      </w:r>
      <w:r w:rsidRPr="00BC54C2">
        <w:t xml:space="preserve"> </w:t>
      </w:r>
      <w:r w:rsidRPr="00BC54C2">
        <w:t>at 905–06.</w:t>
      </w:r>
      <w:r w:rsidRPr="00BC54C2">
        <w:t xml:space="preserve"> </w:t>
      </w:r>
      <w:r w:rsidRPr="00BC54C2">
        <w:t xml:space="preserve">The </w:t>
      </w:r>
      <w:r w:rsidRPr="00BC54C2">
        <w:rPr>
          <w:i/>
        </w:rPr>
        <w:t>Mattel</w:t>
      </w:r>
      <w:r w:rsidRPr="00BC54C2">
        <w:t xml:space="preserve"> decision is discussed in more detail in Chapter 10, §IV.C.</w:t>
      </w:r>
      <w:r w:rsidRPr="00BC54C2">
        <w:t xml:space="preserve"> </w:t>
      </w:r>
      <w:r w:rsidRPr="00BC54C2">
        <w:t xml:space="preserve">A similar result, interpreting the Florida dilution statute, was reached in </w:t>
      </w:r>
      <w:r w:rsidRPr="00BC54C2">
        <w:rPr>
          <w:i/>
        </w:rPr>
        <w:t>Universal Communication System, Inc</w:t>
      </w:r>
      <w:r w:rsidRPr="00BC54C2">
        <w:t>.</w:t>
      </w:r>
      <w:r w:rsidRPr="00BC54C2">
        <w:t xml:space="preserve"> </w:t>
      </w:r>
      <w:r w:rsidRPr="00BC54C2">
        <w:rPr>
          <w:i/>
        </w:rPr>
        <w:t>v</w:t>
      </w:r>
      <w:r w:rsidRPr="00BC54C2">
        <w:t>.</w:t>
      </w:r>
      <w:r w:rsidRPr="00BC54C2">
        <w:t xml:space="preserve"> </w:t>
      </w:r>
      <w:r w:rsidRPr="00BC54C2">
        <w:rPr>
          <w:i/>
        </w:rPr>
        <w:t>Lycos, Inc</w:t>
      </w:r>
      <w:r w:rsidRPr="00BC54C2">
        <w:t>., 478 F.3d 413 (1st Cir.</w:t>
      </w:r>
      <w:r w:rsidRPr="00BC54C2">
        <w:t xml:space="preserve"> </w:t>
      </w:r>
      <w:r w:rsidRPr="00BC54C2">
        <w:t>2007), where the court held that criticism of the plaintiff posted on defendant’s Web site, which was supported by advertising, did not constitute a commercial use and was protected by the First Amendment.</w:t>
      </w:r>
      <w:r w:rsidRPr="00BC54C2">
        <w:t xml:space="preserve"> </w:t>
      </w:r>
      <w:r w:rsidRPr="00BC54C2">
        <w:rPr>
          <w:i/>
        </w:rPr>
        <w:t>Id</w:t>
      </w:r>
      <w:r w:rsidRPr="00BC54C2">
        <w:t>.</w:t>
      </w:r>
      <w:r w:rsidRPr="00BC54C2">
        <w:t xml:space="preserve"> </w:t>
      </w:r>
      <w:r w:rsidRPr="00BC54C2">
        <w:t>at 423–25.</w:t>
      </w:r>
      <w:r w:rsidRPr="00BC54C2">
        <w:t xml:space="preserve"> </w:t>
      </w:r>
      <w:r w:rsidRPr="00BC54C2">
        <w:rPr>
          <w:i/>
        </w:rPr>
        <w:t>But cf</w:t>
      </w:r>
      <w:r w:rsidRPr="00BC54C2">
        <w:t>.</w:t>
      </w:r>
      <w:r w:rsidRPr="00BC54C2">
        <w:t xml:space="preserve"> </w:t>
      </w:r>
      <w:r w:rsidRPr="00BC54C2">
        <w:t>American Express Mktg.</w:t>
      </w:r>
      <w:r w:rsidRPr="00BC54C2">
        <w:t xml:space="preserve"> </w:t>
      </w:r>
      <w:r w:rsidRPr="00BC54C2">
        <w:t>&amp; Dev.</w:t>
      </w:r>
      <w:r w:rsidRPr="00BC54C2">
        <w:t xml:space="preserve"> </w:t>
      </w:r>
      <w:r w:rsidRPr="00BC54C2">
        <w:t>Corp.</w:t>
      </w:r>
      <w:r w:rsidRPr="00BC54C2">
        <w:t xml:space="preserve"> </w:t>
      </w:r>
      <w:r w:rsidRPr="00BC54C2">
        <w:t>v.</w:t>
      </w:r>
      <w:r w:rsidRPr="00BC54C2">
        <w:t xml:space="preserve"> </w:t>
      </w:r>
      <w:r w:rsidRPr="00BC54C2">
        <w:t>Gilad Dev.</w:t>
      </w:r>
      <w:r w:rsidRPr="00BC54C2">
        <w:t xml:space="preserve"> </w:t>
      </w:r>
      <w:r w:rsidRPr="00BC54C2">
        <w:t>Corp., 94 USPQ2d 1294, 1298 (TTAB 2010) (noncommercial use exclusion not available to applicant in opposition proceedings).</w:t>
      </w:r>
      <w:r w:rsidRPr="00BC54C2">
        <w:t xml:space="preserve"> </w:t>
      </w:r>
      <w:r w:rsidRPr="00BC54C2">
        <w:t>This decision is discussed in Chapter 10, §IV.G, and Chapter 13, §V.D.</w:t>
      </w:r>
      <w:proofErr w:type="gramStart"/>
      <w:r w:rsidRPr="00BC54C2">
        <w:t>2.c.</w:t>
      </w:r>
      <w:proofErr w:type="gramEnd"/>
    </w:p>
  </w:footnote>
  <w:footnote w:id="52">
    <w:p w14:paraId="1FD31E1E" w14:textId="33DB4159" w:rsidR="00BC54C2" w:rsidRDefault="00BC54C2" w:rsidP="00BC54C2">
      <w:pPr>
        <w:pStyle w:val="FootnoteText"/>
      </w:pPr>
      <w:r w:rsidRPr="00BC54C2">
        <w:rPr>
          <w:rStyle w:val="FootnoteReference"/>
          <w:rFonts w:eastAsiaTheme="majorEastAsia"/>
        </w:rPr>
        <w:footnoteRef/>
      </w:r>
      <w:r w:rsidRPr="00BC54C2">
        <w:t>599 U.S.</w:t>
      </w:r>
      <w:r w:rsidRPr="00BC54C2">
        <w:t xml:space="preserve"> </w:t>
      </w:r>
      <w:r w:rsidRPr="00BC54C2">
        <w:t>140 (2023).</w:t>
      </w:r>
    </w:p>
  </w:footnote>
  <w:footnote w:id="53">
    <w:p w14:paraId="1AC3425D" w14:textId="6A85D212" w:rsidR="00BC54C2" w:rsidRPr="00B0424B" w:rsidRDefault="00BC54C2" w:rsidP="00BC54C2">
      <w:pPr>
        <w:pStyle w:val="FootnoteText"/>
      </w:pPr>
      <w:r w:rsidRPr="00BC54C2">
        <w:rPr>
          <w:rStyle w:val="FootnoteReference"/>
          <w:rFonts w:eastAsiaTheme="majorEastAsia"/>
        </w:rPr>
        <w:footnoteRef/>
      </w:r>
      <w:r w:rsidRPr="00BC54C2">
        <w:rPr>
          <w:i/>
        </w:rPr>
        <w:t>Id</w:t>
      </w:r>
      <w:r w:rsidRPr="00BC54C2">
        <w:t>.</w:t>
      </w:r>
      <w:r w:rsidRPr="00BC54C2">
        <w:t xml:space="preserve"> </w:t>
      </w:r>
      <w:r w:rsidRPr="00BC54C2">
        <w:t>at 161-62.</w:t>
      </w:r>
    </w:p>
  </w:footnote>
  <w:footnote w:id="54">
    <w:p w14:paraId="3D5B4E9F" w14:textId="4E6597C7" w:rsidR="00BC54C2" w:rsidRPr="00A73F95" w:rsidRDefault="00BC54C2" w:rsidP="00BC54C2">
      <w:pPr>
        <w:pStyle w:val="FootnoteText"/>
      </w:pPr>
      <w:r w:rsidRPr="00BC54C2">
        <w:rPr>
          <w:vertAlign w:val="superscript"/>
        </w:rPr>
        <w:footnoteRef/>
      </w:r>
      <w:r w:rsidRPr="00BC54C2">
        <w:rPr>
          <w:smallCaps/>
        </w:rPr>
        <w:t>Nev.</w:t>
      </w:r>
      <w:r w:rsidRPr="00BC54C2">
        <w:rPr>
          <w:smallCaps/>
        </w:rPr>
        <w:t xml:space="preserve"> </w:t>
      </w:r>
      <w:r w:rsidRPr="00BC54C2">
        <w:rPr>
          <w:smallCaps/>
        </w:rPr>
        <w:t>Rev.</w:t>
      </w:r>
      <w:r w:rsidRPr="00BC54C2">
        <w:rPr>
          <w:smallCaps/>
        </w:rPr>
        <w:t xml:space="preserve"> </w:t>
      </w:r>
      <w:r w:rsidRPr="00BC54C2">
        <w:rPr>
          <w:smallCaps/>
        </w:rPr>
        <w:t>Stat.</w:t>
      </w:r>
      <w:r w:rsidRPr="00BC54C2">
        <w:rPr>
          <w:smallCaps/>
        </w:rPr>
        <w:t xml:space="preserve"> </w:t>
      </w:r>
      <w:r w:rsidRPr="00BC54C2">
        <w:rPr>
          <w:smallCaps/>
        </w:rPr>
        <w:t>Ann.</w:t>
      </w:r>
      <w:r w:rsidRPr="00BC54C2">
        <w:rPr>
          <w:smallCaps/>
        </w:rPr>
        <w:t xml:space="preserve"> </w:t>
      </w:r>
      <w:r w:rsidRPr="00BC54C2">
        <w:t>§600.435 (LexisNexis 2004).</w:t>
      </w:r>
    </w:p>
  </w:footnote>
  <w:footnote w:id="55">
    <w:p w14:paraId="6D5E00D7" w14:textId="2AD8F28E" w:rsidR="00BC54C2" w:rsidRPr="006C6CD8" w:rsidRDefault="00BC54C2" w:rsidP="00BC54C2">
      <w:pPr>
        <w:pStyle w:val="FootnoteText"/>
      </w:pPr>
      <w:r w:rsidRPr="00BC54C2">
        <w:rPr>
          <w:vertAlign w:val="superscript"/>
        </w:rPr>
        <w:footnoteRef/>
      </w:r>
      <w:r w:rsidRPr="00BC54C2">
        <w:rPr>
          <w:i/>
        </w:rPr>
        <w:t>Id</w:t>
      </w:r>
      <w:r w:rsidRPr="00BC54C2">
        <w:t>.</w:t>
      </w:r>
      <w:r w:rsidRPr="00BC54C2">
        <w:t xml:space="preserve"> </w:t>
      </w:r>
      <w:r w:rsidRPr="00BC54C2">
        <w:t>§600.435(5)(a).</w:t>
      </w:r>
    </w:p>
  </w:footnote>
  <w:footnote w:id="56">
    <w:p w14:paraId="533F5CA9" w14:textId="2936EAC6" w:rsidR="00BC54C2" w:rsidRPr="006C6CD8" w:rsidRDefault="00BC54C2" w:rsidP="00BC54C2">
      <w:pPr>
        <w:pStyle w:val="FootnoteText"/>
      </w:pPr>
      <w:r w:rsidRPr="00BC54C2">
        <w:rPr>
          <w:vertAlign w:val="superscript"/>
        </w:rPr>
        <w:footnoteRef/>
      </w:r>
      <w:r w:rsidRPr="00BC54C2">
        <w:t>2007 Model Bill §13(d)(2).</w:t>
      </w:r>
    </w:p>
  </w:footnote>
  <w:footnote w:id="57">
    <w:p w14:paraId="6943DBDA" w14:textId="2A7C90E0" w:rsidR="00BC54C2" w:rsidRPr="006C6CD8" w:rsidRDefault="00BC54C2" w:rsidP="00BC54C2">
      <w:pPr>
        <w:pStyle w:val="FootnoteText"/>
      </w:pPr>
      <w:r w:rsidRPr="00BC54C2">
        <w:rPr>
          <w:vertAlign w:val="superscript"/>
        </w:rPr>
        <w:footnoteRef/>
      </w:r>
      <w:r w:rsidRPr="00BC54C2">
        <w:rPr>
          <w:smallCaps/>
        </w:rPr>
        <w:t>Or.</w:t>
      </w:r>
      <w:r w:rsidRPr="00BC54C2">
        <w:rPr>
          <w:smallCaps/>
        </w:rPr>
        <w:t xml:space="preserve"> </w:t>
      </w:r>
      <w:r w:rsidRPr="00BC54C2">
        <w:rPr>
          <w:smallCaps/>
        </w:rPr>
        <w:t>Rev.</w:t>
      </w:r>
      <w:r w:rsidRPr="00BC54C2">
        <w:rPr>
          <w:smallCaps/>
        </w:rPr>
        <w:t xml:space="preserve"> </w:t>
      </w:r>
      <w:r w:rsidRPr="00BC54C2">
        <w:rPr>
          <w:smallCaps/>
        </w:rPr>
        <w:t>Stat</w:t>
      </w:r>
      <w:r w:rsidRPr="00BC54C2">
        <w:t>.</w:t>
      </w:r>
      <w:r w:rsidRPr="00BC54C2">
        <w:t xml:space="preserve"> </w:t>
      </w:r>
      <w:r w:rsidRPr="00BC54C2">
        <w:t>§647.107(5) (2012).</w:t>
      </w:r>
    </w:p>
  </w:footnote>
  <w:footnote w:id="58">
    <w:p w14:paraId="203730D6" w14:textId="5FDDE848" w:rsidR="00BC54C2" w:rsidRPr="006C6CD8" w:rsidRDefault="00BC54C2" w:rsidP="00BC54C2">
      <w:pPr>
        <w:pStyle w:val="FootnoteText"/>
      </w:pPr>
      <w:r w:rsidRPr="00BC54C2">
        <w:rPr>
          <w:vertAlign w:val="superscript"/>
        </w:rPr>
        <w:footnoteRef/>
      </w:r>
      <w:r w:rsidRPr="00BC54C2">
        <w:rPr>
          <w:i/>
        </w:rPr>
        <w:t>See</w:t>
      </w:r>
      <w:r w:rsidRPr="00BC54C2">
        <w:t xml:space="preserve"> Chapter 6.</w:t>
      </w:r>
      <w:r w:rsidRPr="00BC54C2">
        <w:t xml:space="preserve"> </w:t>
      </w:r>
      <w:r w:rsidRPr="00BC54C2">
        <w:t>Unlike the House bill, the Oregon alteration also captures the news reporting exclusion, making that similarly suspect.</w:t>
      </w:r>
    </w:p>
  </w:footnote>
  <w:footnote w:id="59">
    <w:p w14:paraId="13A7B9CB" w14:textId="5F2502EC" w:rsidR="00BC54C2" w:rsidRPr="006C6CD8" w:rsidRDefault="00BC54C2" w:rsidP="00BC54C2">
      <w:pPr>
        <w:pStyle w:val="FootnoteText"/>
      </w:pPr>
      <w:r w:rsidRPr="00BC54C2">
        <w:rPr>
          <w:vertAlign w:val="superscript"/>
        </w:rPr>
        <w:footnoteRef/>
      </w:r>
      <w:r w:rsidRPr="00BC54C2">
        <w:t>In</w:t>
      </w:r>
      <w:r w:rsidRPr="00BC54C2">
        <w:rPr>
          <w:rStyle w:val="BCasenamefull"/>
        </w:rPr>
        <w:t xml:space="preserve"> Jack Daniel’s Properties, Inc. v. VIP Prods. LLC</w:t>
      </w:r>
      <w:r w:rsidRPr="00BC54C2">
        <w:t>, 599 U.S.</w:t>
      </w:r>
      <w:r w:rsidRPr="00BC54C2">
        <w:t xml:space="preserve"> </w:t>
      </w:r>
      <w:r w:rsidRPr="00BC54C2">
        <w:t>140 (2023), the Supreme Court held that the federal noncommercial use exclusion did not apply to trademark uses.</w:t>
      </w:r>
      <w:r w:rsidRPr="00BC54C2">
        <w:t xml:space="preserve"> </w:t>
      </w:r>
      <w:r w:rsidRPr="00BC54C2">
        <w:rPr>
          <w:i/>
        </w:rPr>
        <w:t>See</w:t>
      </w:r>
      <w:r w:rsidRPr="00BC54C2">
        <w:t xml:space="preserve"> Chapter 10, §II.</w:t>
      </w:r>
    </w:p>
  </w:footnote>
  <w:footnote w:id="60">
    <w:p w14:paraId="08D7927F" w14:textId="77C6FFF1" w:rsidR="00BC54C2" w:rsidRPr="006C6CD8" w:rsidRDefault="00BC54C2" w:rsidP="00BC54C2">
      <w:pPr>
        <w:pStyle w:val="FootnoteText"/>
      </w:pPr>
      <w:r w:rsidRPr="00BC54C2">
        <w:rPr>
          <w:vertAlign w:val="superscript"/>
        </w:rPr>
        <w:footnoteRef/>
      </w:r>
      <w:proofErr w:type="spellStart"/>
      <w:r w:rsidRPr="00BC54C2">
        <w:t>BidZirk</w:t>
      </w:r>
      <w:proofErr w:type="spellEnd"/>
      <w:r w:rsidRPr="00BC54C2">
        <w:t>, LLC v.</w:t>
      </w:r>
      <w:r w:rsidRPr="00BC54C2">
        <w:t xml:space="preserve"> </w:t>
      </w:r>
      <w:r w:rsidRPr="00BC54C2">
        <w:t>Smith, 2007 WL 3119445, 2007 BL 131092 (D.S.C.</w:t>
      </w:r>
      <w:r w:rsidRPr="00BC54C2">
        <w:t xml:space="preserve"> </w:t>
      </w:r>
      <w:r w:rsidRPr="00BC54C2">
        <w:t>Oct.</w:t>
      </w:r>
      <w:r w:rsidRPr="00BC54C2">
        <w:t xml:space="preserve"> </w:t>
      </w:r>
      <w:r w:rsidRPr="00BC54C2">
        <w:t>22, 2007) (blogging as news reporting).</w:t>
      </w:r>
    </w:p>
  </w:footnote>
  <w:footnote w:id="61">
    <w:p w14:paraId="52695E8A" w14:textId="07CEA437" w:rsidR="00BC54C2" w:rsidRPr="006C6CD8" w:rsidRDefault="00BC54C2" w:rsidP="00BC54C2">
      <w:pPr>
        <w:pStyle w:val="FootnoteText"/>
      </w:pPr>
      <w:r w:rsidRPr="00BC54C2">
        <w:rPr>
          <w:vertAlign w:val="superscript"/>
        </w:rPr>
        <w:footnoteRef/>
      </w:r>
      <w:r w:rsidRPr="00BC54C2">
        <w:rPr>
          <w:i/>
        </w:rPr>
        <w:t>See</w:t>
      </w:r>
      <w:r w:rsidRPr="00BC54C2">
        <w:t xml:space="preserve"> Chapter 3, §IV.B.</w:t>
      </w:r>
      <w:proofErr w:type="gramStart"/>
      <w:r w:rsidRPr="00BC54C2">
        <w:t>3.c.</w:t>
      </w:r>
      <w:proofErr w:type="gramEnd"/>
      <w:r w:rsidRPr="00BC54C2">
        <w:t xml:space="preserve"> </w:t>
      </w:r>
      <w:r w:rsidRPr="00BC54C2">
        <w:t>A nominative use (although the court did not refer to it as such) was protected from a dilution claim in Massachusetts, even if it was critical of the plaintiff.</w:t>
      </w:r>
      <w:r w:rsidRPr="00BC54C2">
        <w:t xml:space="preserve"> </w:t>
      </w:r>
      <w:r w:rsidRPr="00BC54C2">
        <w:t>Jenzabar, Inc.</w:t>
      </w:r>
      <w:r w:rsidRPr="00BC54C2">
        <w:t xml:space="preserve"> </w:t>
      </w:r>
      <w:r w:rsidRPr="00BC54C2">
        <w:t>v.</w:t>
      </w:r>
      <w:r w:rsidRPr="00BC54C2">
        <w:t xml:space="preserve"> </w:t>
      </w:r>
      <w:r w:rsidRPr="00BC54C2">
        <w:t>Long Bow Group, Inc., 82 Mass.</w:t>
      </w:r>
      <w:r w:rsidRPr="00BC54C2">
        <w:t xml:space="preserve"> </w:t>
      </w:r>
      <w:r w:rsidRPr="00BC54C2">
        <w:t>App.</w:t>
      </w:r>
      <w:r w:rsidRPr="00BC54C2">
        <w:t xml:space="preserve"> </w:t>
      </w:r>
      <w:r w:rsidRPr="00BC54C2">
        <w:t>Ct.</w:t>
      </w:r>
      <w:r w:rsidRPr="00BC54C2">
        <w:t xml:space="preserve"> </w:t>
      </w:r>
      <w:r w:rsidRPr="00BC54C2">
        <w:t>648, 977 N.E.2d 75, 89-90 (2012).</w:t>
      </w:r>
      <w:r w:rsidRPr="00BC54C2">
        <w:t xml:space="preserve"> </w:t>
      </w:r>
      <w:r w:rsidRPr="00BC54C2">
        <w:t>Texas’s original dilution law was held simply to exclude commentary and parody from its ambit.</w:t>
      </w:r>
      <w:r w:rsidRPr="00BC54C2">
        <w:t xml:space="preserve"> </w:t>
      </w:r>
      <w:r w:rsidRPr="00BC54C2">
        <w:t>TMI, Inc.</w:t>
      </w:r>
      <w:r w:rsidRPr="00BC54C2">
        <w:t xml:space="preserve"> </w:t>
      </w:r>
      <w:r w:rsidRPr="00BC54C2">
        <w:t>v.</w:t>
      </w:r>
      <w:r w:rsidRPr="00BC54C2">
        <w:t xml:space="preserve"> </w:t>
      </w:r>
      <w:r w:rsidRPr="00BC54C2">
        <w:t>Maxwell, 368 F.3d 433, 440, 70 USPQ2d 1630 (5th Cir.</w:t>
      </w:r>
      <w:r w:rsidRPr="00BC54C2">
        <w:t xml:space="preserve"> </w:t>
      </w:r>
      <w:r w:rsidRPr="00BC54C2">
        <w:t>2004) (citing Express One Int’l, Inc.</w:t>
      </w:r>
      <w:r w:rsidRPr="00BC54C2">
        <w:t xml:space="preserve"> </w:t>
      </w:r>
      <w:r w:rsidRPr="00BC54C2">
        <w:t>v.</w:t>
      </w:r>
      <w:r w:rsidRPr="00BC54C2">
        <w:t xml:space="preserve"> </w:t>
      </w:r>
      <w:r w:rsidRPr="00BC54C2">
        <w:t>Steinbeck, 53 S.W.3d 895, 899 (Tex.</w:t>
      </w:r>
      <w:r w:rsidRPr="00BC54C2">
        <w:t xml:space="preserve"> </w:t>
      </w:r>
      <w:r w:rsidRPr="00BC54C2">
        <w:t>App.</w:t>
      </w:r>
      <w:r w:rsidRPr="00BC54C2">
        <w:t xml:space="preserve"> </w:t>
      </w:r>
      <w:r w:rsidRPr="00BC54C2">
        <w:t>2001)).</w:t>
      </w:r>
      <w:r w:rsidRPr="00BC54C2">
        <w:t xml:space="preserve"> </w:t>
      </w:r>
      <w:r w:rsidRPr="00BC54C2">
        <w:t xml:space="preserve">This has been interpreted to include a “fair use,” such as a descriptive use, of a mark when it implicates First Amendment concerns, even in a </w:t>
      </w:r>
      <w:proofErr w:type="spellStart"/>
      <w:r w:rsidRPr="00BC54C2">
        <w:t>nontarnishment</w:t>
      </w:r>
      <w:proofErr w:type="spellEnd"/>
      <w:r w:rsidRPr="00BC54C2">
        <w:t xml:space="preserve"> situation.</w:t>
      </w:r>
      <w:r w:rsidRPr="00BC54C2">
        <w:t xml:space="preserve"> </w:t>
      </w:r>
      <w:r w:rsidRPr="00BC54C2">
        <w:t xml:space="preserve">Rin Tin </w:t>
      </w:r>
      <w:proofErr w:type="spellStart"/>
      <w:r w:rsidRPr="00BC54C2">
        <w:t>Tin</w:t>
      </w:r>
      <w:proofErr w:type="spellEnd"/>
      <w:r w:rsidRPr="00BC54C2">
        <w:t>, Inc.</w:t>
      </w:r>
      <w:r w:rsidRPr="00BC54C2">
        <w:t xml:space="preserve"> </w:t>
      </w:r>
      <w:r w:rsidRPr="00BC54C2">
        <w:t>v.</w:t>
      </w:r>
      <w:r w:rsidRPr="00BC54C2">
        <w:t xml:space="preserve"> </w:t>
      </w:r>
      <w:r w:rsidRPr="00BC54C2">
        <w:t>First Look Studios, Inc., 671 F.</w:t>
      </w:r>
      <w:r w:rsidRPr="00BC54C2">
        <w:t xml:space="preserve"> </w:t>
      </w:r>
      <w:r w:rsidRPr="00BC54C2">
        <w:t>Supp.</w:t>
      </w:r>
      <w:r w:rsidRPr="00BC54C2">
        <w:t xml:space="preserve"> </w:t>
      </w:r>
      <w:r w:rsidRPr="00BC54C2">
        <w:t>2d 893, 902, 93 USPQ2d 1132 (S.D.</w:t>
      </w:r>
      <w:r w:rsidRPr="00BC54C2">
        <w:t xml:space="preserve"> </w:t>
      </w:r>
      <w:r w:rsidRPr="00BC54C2">
        <w:t>Tex.</w:t>
      </w:r>
      <w:r w:rsidRPr="00BC54C2">
        <w:t xml:space="preserve"> </w:t>
      </w:r>
      <w:r w:rsidRPr="00BC54C2">
        <w:t>2009).</w:t>
      </w:r>
      <w:r w:rsidRPr="00BC54C2">
        <w:t xml:space="preserve"> </w:t>
      </w:r>
      <w:r w:rsidRPr="00BC54C2">
        <w:t xml:space="preserve">A state “anti-SLAPP [Strategic Lawsuit Against Public Participation]” law was used by a district court to dismiss a state dilution claim against a </w:t>
      </w:r>
      <w:proofErr w:type="spellStart"/>
      <w:r w:rsidRPr="00BC54C2">
        <w:t>cybergriper</w:t>
      </w:r>
      <w:proofErr w:type="spellEnd"/>
      <w:r w:rsidRPr="00BC54C2">
        <w:t>, but that ruling was reversed on appeal.</w:t>
      </w:r>
      <w:r w:rsidRPr="00BC54C2">
        <w:t xml:space="preserve"> </w:t>
      </w:r>
      <w:r w:rsidRPr="00BC54C2">
        <w:t>Bosley Med.</w:t>
      </w:r>
      <w:r w:rsidRPr="00BC54C2">
        <w:t xml:space="preserve"> </w:t>
      </w:r>
      <w:r w:rsidRPr="00BC54C2">
        <w:t>Inst., Inc.</w:t>
      </w:r>
      <w:r w:rsidRPr="00BC54C2">
        <w:t xml:space="preserve"> </w:t>
      </w:r>
      <w:r w:rsidRPr="00BC54C2">
        <w:t>v.</w:t>
      </w:r>
      <w:r w:rsidRPr="00BC54C2">
        <w:t xml:space="preserve"> </w:t>
      </w:r>
      <w:r w:rsidRPr="00BC54C2">
        <w:t>Kremer, 2004 WL 964163, at *10–11, 2004 BL 3388 (S.D.</w:t>
      </w:r>
      <w:r w:rsidRPr="00BC54C2">
        <w:t xml:space="preserve"> </w:t>
      </w:r>
      <w:r w:rsidRPr="00BC54C2">
        <w:t>Cal.</w:t>
      </w:r>
      <w:r w:rsidRPr="00BC54C2">
        <w:t xml:space="preserve"> </w:t>
      </w:r>
      <w:r w:rsidRPr="00BC54C2">
        <w:t>Apr.</w:t>
      </w:r>
      <w:r w:rsidRPr="00BC54C2">
        <w:t xml:space="preserve"> </w:t>
      </w:r>
      <w:r w:rsidRPr="00BC54C2">
        <w:t xml:space="preserve">30, 2004), </w:t>
      </w:r>
      <w:r w:rsidRPr="00BC54C2">
        <w:rPr>
          <w:i/>
        </w:rPr>
        <w:t xml:space="preserve">aff’d in part, </w:t>
      </w:r>
      <w:proofErr w:type="spellStart"/>
      <w:r w:rsidRPr="00BC54C2">
        <w:rPr>
          <w:i/>
        </w:rPr>
        <w:t>rev’d</w:t>
      </w:r>
      <w:proofErr w:type="spellEnd"/>
      <w:r w:rsidRPr="00BC54C2">
        <w:rPr>
          <w:i/>
        </w:rPr>
        <w:t xml:space="preserve"> in part, &amp; remanded</w:t>
      </w:r>
      <w:r w:rsidRPr="00BC54C2">
        <w:t>, 403 F.3d 672, 682, 74 USPQ2d 1280 (9th Cir.</w:t>
      </w:r>
      <w:r w:rsidRPr="00BC54C2">
        <w:t xml:space="preserve"> </w:t>
      </w:r>
      <w:r w:rsidRPr="00BC54C2">
        <w:t>2005).</w:t>
      </w:r>
      <w:r w:rsidRPr="00BC54C2">
        <w:t xml:space="preserve"> </w:t>
      </w:r>
      <w:r w:rsidRPr="00BC54C2">
        <w:t>Though not an implied defense, the anti-SLAPP law is designed to protect free-speech interests.</w:t>
      </w:r>
      <w:r w:rsidRPr="00BC54C2">
        <w:t xml:space="preserve"> </w:t>
      </w:r>
      <w:r w:rsidRPr="00BC54C2">
        <w:rPr>
          <w:i/>
        </w:rPr>
        <w:t>See</w:t>
      </w:r>
      <w:r w:rsidRPr="00BC54C2">
        <w:t xml:space="preserve"> </w:t>
      </w:r>
      <w:r w:rsidRPr="00BC54C2">
        <w:rPr>
          <w:smallCaps/>
        </w:rPr>
        <w:t>Cal.</w:t>
      </w:r>
      <w:r w:rsidRPr="00BC54C2">
        <w:rPr>
          <w:smallCaps/>
        </w:rPr>
        <w:t xml:space="preserve"> </w:t>
      </w:r>
      <w:r w:rsidRPr="00BC54C2">
        <w:rPr>
          <w:smallCaps/>
        </w:rPr>
        <w:t>Code Civ.</w:t>
      </w:r>
      <w:r w:rsidRPr="00BC54C2">
        <w:rPr>
          <w:smallCaps/>
        </w:rPr>
        <w:t xml:space="preserve"> </w:t>
      </w:r>
      <w:r w:rsidRPr="00BC54C2">
        <w:rPr>
          <w:smallCaps/>
        </w:rPr>
        <w:t>Proc</w:t>
      </w:r>
      <w:r w:rsidRPr="00BC54C2">
        <w:t>.</w:t>
      </w:r>
      <w:r w:rsidRPr="00BC54C2">
        <w:t xml:space="preserve"> </w:t>
      </w:r>
      <w:r w:rsidRPr="00BC54C2">
        <w:t>§425.16(b) (West Supp.</w:t>
      </w:r>
      <w:r w:rsidRPr="00BC54C2">
        <w:t xml:space="preserve"> </w:t>
      </w:r>
      <w:r w:rsidRPr="00BC54C2">
        <w:t>2004).</w:t>
      </w:r>
      <w:r w:rsidRPr="00BC54C2">
        <w:t xml:space="preserve"> </w:t>
      </w:r>
      <w:r w:rsidRPr="00BC54C2">
        <w:t xml:space="preserve">However, the Ninth Circuit in </w:t>
      </w:r>
      <w:r w:rsidRPr="00BC54C2">
        <w:rPr>
          <w:i/>
        </w:rPr>
        <w:t>Bosley</w:t>
      </w:r>
      <w:r w:rsidRPr="00BC54C2">
        <w:t xml:space="preserve"> noted that trademark infringement and dilution suits do not </w:t>
      </w:r>
      <w:r w:rsidRPr="00BC54C2">
        <w:rPr>
          <w:i/>
        </w:rPr>
        <w:t>necessarily</w:t>
      </w:r>
      <w:r w:rsidRPr="00BC54C2">
        <w:t xml:space="preserve"> implicate free speech issues.</w:t>
      </w:r>
      <w:r w:rsidRPr="00BC54C2">
        <w:t xml:space="preserve"> </w:t>
      </w:r>
      <w:r w:rsidRPr="00BC54C2">
        <w:rPr>
          <w:i/>
        </w:rPr>
        <w:t>Id</w:t>
      </w:r>
      <w:r w:rsidRPr="00BC54C2">
        <w:t>.</w:t>
      </w:r>
    </w:p>
  </w:footnote>
  <w:footnote w:id="62">
    <w:p w14:paraId="4F3E28A9" w14:textId="0A51368F" w:rsidR="00BC54C2" w:rsidRDefault="00BC54C2" w:rsidP="00BC54C2">
      <w:pPr>
        <w:pStyle w:val="FootnoteText"/>
      </w:pPr>
      <w:r w:rsidRPr="00BC54C2">
        <w:rPr>
          <w:rStyle w:val="FootnoteReference"/>
          <w:rFonts w:eastAsiaTheme="majorEastAsia"/>
        </w:rPr>
        <w:footnoteRef/>
      </w:r>
      <w:r w:rsidRPr="00BC54C2">
        <w:rPr>
          <w:i/>
        </w:rPr>
        <w:t>See</w:t>
      </w:r>
      <w:r w:rsidRPr="00BC54C2">
        <w:t xml:space="preserve"> Louis Vuitton Malletier, S.A.</w:t>
      </w:r>
      <w:r w:rsidRPr="00BC54C2">
        <w:t xml:space="preserve"> </w:t>
      </w:r>
      <w:r w:rsidRPr="00BC54C2">
        <w:t>v.</w:t>
      </w:r>
      <w:r w:rsidRPr="00BC54C2">
        <w:t xml:space="preserve"> </w:t>
      </w:r>
      <w:r w:rsidRPr="00BC54C2">
        <w:t>My Other Bag, Inc., 674 F.</w:t>
      </w:r>
      <w:r w:rsidRPr="00BC54C2">
        <w:t xml:space="preserve"> </w:t>
      </w:r>
      <w:proofErr w:type="spellStart"/>
      <w:r w:rsidRPr="00BC54C2">
        <w:t>App’x</w:t>
      </w:r>
      <w:proofErr w:type="spellEnd"/>
      <w:r w:rsidRPr="00BC54C2">
        <w:t xml:space="preserve"> 16, 17 (2d Cir.</w:t>
      </w:r>
      <w:r w:rsidRPr="00BC54C2">
        <w:t xml:space="preserve"> </w:t>
      </w:r>
      <w:r w:rsidRPr="00BC54C2">
        <w:t>2016) (noting that although New York law does not have an express fair use defense, a parodic use precludes finding the uses “substantially similar”);</w:t>
      </w:r>
      <w:r w:rsidRPr="00BC54C2">
        <w:t xml:space="preserve"> </w:t>
      </w:r>
      <w:r w:rsidRPr="00BC54C2">
        <w:t>McHugh Fuller Law Grp.</w:t>
      </w:r>
      <w:r w:rsidRPr="00BC54C2">
        <w:t xml:space="preserve"> </w:t>
      </w:r>
      <w:r w:rsidRPr="00BC54C2">
        <w:t>v.</w:t>
      </w:r>
      <w:r w:rsidRPr="00BC54C2">
        <w:t xml:space="preserve"> </w:t>
      </w:r>
      <w:proofErr w:type="spellStart"/>
      <w:r w:rsidRPr="00BC54C2">
        <w:t>PruittHealth</w:t>
      </w:r>
      <w:proofErr w:type="spellEnd"/>
      <w:r w:rsidRPr="00BC54C2">
        <w:t>, Inc., 300 Ga.</w:t>
      </w:r>
      <w:r w:rsidRPr="00BC54C2">
        <w:t xml:space="preserve"> </w:t>
      </w:r>
      <w:r w:rsidRPr="00BC54C2">
        <w:t xml:space="preserve">140, 148 &amp; n.4, 794 S.E.2d 150 (2016) (declining to decide whether Georgia’s dilution statute includes “an implicit fair use defense” </w:t>
      </w:r>
      <w:proofErr w:type="gramStart"/>
      <w:r w:rsidRPr="00BC54C2">
        <w:t>in light of</w:t>
      </w:r>
      <w:proofErr w:type="gramEnd"/>
      <w:r w:rsidRPr="00BC54C2">
        <w:t xml:space="preserve"> its decision—influenced by First Amendment considerations—that the use in question, which was a nominative use, was not one prohibited by the statute).</w:t>
      </w:r>
    </w:p>
  </w:footnote>
  <w:footnote w:id="63">
    <w:p w14:paraId="4873BC12" w14:textId="68A6C006" w:rsidR="00BC54C2" w:rsidRPr="006C6CD8" w:rsidRDefault="00BC54C2" w:rsidP="00BC54C2">
      <w:pPr>
        <w:pStyle w:val="FootnoteText"/>
      </w:pPr>
      <w:r w:rsidRPr="00BC54C2">
        <w:rPr>
          <w:vertAlign w:val="superscript"/>
        </w:rPr>
        <w:footnoteRef/>
      </w:r>
      <w:r w:rsidRPr="00BC54C2">
        <w:t>In fact, the precise status of the “defenses” under the TDRA is unclear.</w:t>
      </w:r>
      <w:r w:rsidRPr="00BC54C2">
        <w:t xml:space="preserve"> </w:t>
      </w:r>
      <w:r w:rsidRPr="00BC54C2">
        <w:t xml:space="preserve">The statute </w:t>
      </w:r>
      <w:proofErr w:type="gramStart"/>
      <w:r w:rsidRPr="00BC54C2">
        <w:t>actually states</w:t>
      </w:r>
      <w:proofErr w:type="gramEnd"/>
      <w:r w:rsidRPr="00BC54C2">
        <w:t xml:space="preserve"> that “the following shall not be actionable,” not that those items are defenses, and the section is labeled “Exclusions.” 15 U.S.C.</w:t>
      </w:r>
      <w:r w:rsidRPr="00BC54C2">
        <w:t xml:space="preserve"> </w:t>
      </w:r>
      <w:r w:rsidRPr="00BC54C2">
        <w:t>§1125(c)(3).</w:t>
      </w:r>
      <w:r w:rsidRPr="00BC54C2">
        <w:t xml:space="preserve"> </w:t>
      </w:r>
      <w:r w:rsidRPr="00BC54C2">
        <w:t>The 1996 and 2007 Model Bills are similarly worded.</w:t>
      </w:r>
      <w:r w:rsidRPr="00BC54C2">
        <w:t xml:space="preserve"> </w:t>
      </w:r>
      <w:r w:rsidRPr="00BC54C2">
        <w:rPr>
          <w:i/>
        </w:rPr>
        <w:t>But see</w:t>
      </w:r>
      <w:r w:rsidRPr="00BC54C2">
        <w:t xml:space="preserve"> Rosetta Stone, Inc.</w:t>
      </w:r>
      <w:r w:rsidRPr="00BC54C2">
        <w:t xml:space="preserve"> </w:t>
      </w:r>
      <w:r w:rsidRPr="00BC54C2">
        <w:t>v.</w:t>
      </w:r>
      <w:r w:rsidRPr="00BC54C2">
        <w:t xml:space="preserve"> </w:t>
      </w:r>
      <w:r w:rsidRPr="00BC54C2">
        <w:t>Google, Inc., 676 F.3d 144, 167, 102 USPQ2d 1473 (4th Cir.</w:t>
      </w:r>
      <w:r w:rsidRPr="00BC54C2">
        <w:t xml:space="preserve"> </w:t>
      </w:r>
      <w:r w:rsidRPr="00BC54C2">
        <w:t>2012) (treating the exclusions as affirmative defenses).</w:t>
      </w:r>
    </w:p>
  </w:footnote>
  <w:footnote w:id="64">
    <w:p w14:paraId="1DF70B3C" w14:textId="38A22CA4" w:rsidR="00BC54C2" w:rsidRPr="006C6CD8" w:rsidRDefault="00BC54C2" w:rsidP="00BC54C2">
      <w:pPr>
        <w:pStyle w:val="FootnoteText"/>
      </w:pPr>
      <w:r w:rsidRPr="00BC54C2">
        <w:rPr>
          <w:vertAlign w:val="superscript"/>
        </w:rPr>
        <w:footnoteRef/>
      </w:r>
      <w:r w:rsidRPr="00BC54C2">
        <w:rPr>
          <w:i/>
        </w:rPr>
        <w:t>See, e</w:t>
      </w:r>
      <w:r w:rsidRPr="00BC54C2">
        <w:t>.</w:t>
      </w:r>
      <w:r w:rsidRPr="00BC54C2">
        <w:rPr>
          <w:i/>
        </w:rPr>
        <w:t>g</w:t>
      </w:r>
      <w:r w:rsidRPr="00BC54C2">
        <w:t>., American Family Life Ins.</w:t>
      </w:r>
      <w:r w:rsidRPr="00BC54C2">
        <w:t xml:space="preserve"> </w:t>
      </w:r>
      <w:r w:rsidRPr="00BC54C2">
        <w:t>Co.</w:t>
      </w:r>
      <w:r w:rsidRPr="00BC54C2">
        <w:t xml:space="preserve"> </w:t>
      </w:r>
      <w:r w:rsidRPr="00BC54C2">
        <w:t>v.</w:t>
      </w:r>
      <w:r w:rsidRPr="00BC54C2">
        <w:t xml:space="preserve"> </w:t>
      </w:r>
      <w:r w:rsidRPr="00BC54C2">
        <w:t>Hagan, 266 F.</w:t>
      </w:r>
      <w:r w:rsidRPr="00BC54C2">
        <w:t xml:space="preserve"> </w:t>
      </w:r>
      <w:r w:rsidRPr="00BC54C2">
        <w:t>Supp.</w:t>
      </w:r>
      <w:r w:rsidRPr="00BC54C2">
        <w:t xml:space="preserve"> </w:t>
      </w:r>
      <w:r w:rsidRPr="00BC54C2">
        <w:t>2d 682, 692, 701, 64 USPQ2d 1865 (N.D.</w:t>
      </w:r>
      <w:r w:rsidRPr="00BC54C2">
        <w:t xml:space="preserve"> </w:t>
      </w:r>
      <w:r w:rsidRPr="00BC54C2">
        <w:t>Ohio 2002) (commercial use not an element under Ohio law;</w:t>
      </w:r>
      <w:r w:rsidRPr="00BC54C2">
        <w:t xml:space="preserve"> </w:t>
      </w:r>
      <w:r w:rsidRPr="00BC54C2">
        <w:t>First Amendment provides a defense under state law);</w:t>
      </w:r>
      <w:r w:rsidRPr="00BC54C2">
        <w:t xml:space="preserve"> </w:t>
      </w:r>
      <w:r w:rsidRPr="00BC54C2">
        <w:t>E.</w:t>
      </w:r>
      <w:r w:rsidRPr="00BC54C2">
        <w:t xml:space="preserve"> </w:t>
      </w:r>
      <w:r w:rsidRPr="00BC54C2">
        <w:t>&amp; J.</w:t>
      </w:r>
      <w:r w:rsidRPr="00BC54C2">
        <w:t xml:space="preserve"> </w:t>
      </w:r>
      <w:r w:rsidRPr="00BC54C2">
        <w:t>Gallo Winery v.</w:t>
      </w:r>
      <w:r w:rsidRPr="00BC54C2">
        <w:t xml:space="preserve"> </w:t>
      </w:r>
      <w:r w:rsidRPr="00BC54C2">
        <w:t>Spider Webs Ltd., 129 F.</w:t>
      </w:r>
      <w:r w:rsidRPr="00BC54C2">
        <w:t xml:space="preserve"> </w:t>
      </w:r>
      <w:r w:rsidRPr="00BC54C2">
        <w:t>Supp.</w:t>
      </w:r>
      <w:r w:rsidRPr="00BC54C2">
        <w:t xml:space="preserve"> </w:t>
      </w:r>
      <w:r w:rsidRPr="00BC54C2">
        <w:t>2d 1033, 1037 (S.D.</w:t>
      </w:r>
      <w:r w:rsidRPr="00BC54C2">
        <w:t xml:space="preserve"> </w:t>
      </w:r>
      <w:r w:rsidRPr="00BC54C2">
        <w:t>Tex.</w:t>
      </w:r>
      <w:r w:rsidRPr="00BC54C2">
        <w:t xml:space="preserve"> </w:t>
      </w:r>
      <w:r w:rsidRPr="00BC54C2">
        <w:t xml:space="preserve">2001) (Texas law does not require commercial use), </w:t>
      </w:r>
      <w:r w:rsidRPr="00BC54C2">
        <w:rPr>
          <w:i/>
        </w:rPr>
        <w:t>aff’d</w:t>
      </w:r>
      <w:r w:rsidRPr="00BC54C2">
        <w:t>, 286 F.3d 270, 62 USPQ2d 1404 (5th Cir.</w:t>
      </w:r>
      <w:r w:rsidRPr="00BC54C2">
        <w:t xml:space="preserve"> </w:t>
      </w:r>
      <w:r w:rsidRPr="00BC54C2">
        <w:t>2002) (the Fifth Circuit declined to decide this issue);</w:t>
      </w:r>
      <w:r w:rsidRPr="00BC54C2">
        <w:t xml:space="preserve"> </w:t>
      </w:r>
      <w:r w:rsidRPr="00BC54C2">
        <w:rPr>
          <w:i/>
        </w:rPr>
        <w:t>see also</w:t>
      </w:r>
      <w:r w:rsidRPr="00BC54C2">
        <w:t xml:space="preserve"> TMI, Inc.</w:t>
      </w:r>
      <w:r w:rsidRPr="00BC54C2">
        <w:t xml:space="preserve"> </w:t>
      </w:r>
      <w:r w:rsidRPr="00BC54C2">
        <w:t>v.</w:t>
      </w:r>
      <w:r w:rsidRPr="00BC54C2">
        <w:t xml:space="preserve"> </w:t>
      </w:r>
      <w:r w:rsidRPr="00BC54C2">
        <w:t>Maxwell, 368 F.3d 433, 440, 70 USPQ2d 1630 (5th Cir.</w:t>
      </w:r>
      <w:r w:rsidRPr="00BC54C2">
        <w:t xml:space="preserve"> </w:t>
      </w:r>
      <w:r w:rsidRPr="00BC54C2">
        <w:t>2004) (Texas law does not apply to commentary).</w:t>
      </w:r>
    </w:p>
  </w:footnote>
  <w:footnote w:id="65">
    <w:p w14:paraId="06AC613A" w14:textId="40975BAB" w:rsidR="00BC54C2" w:rsidRPr="006C6CD8" w:rsidRDefault="00BC54C2" w:rsidP="00BC54C2">
      <w:pPr>
        <w:pStyle w:val="FootnoteText"/>
      </w:pPr>
      <w:r w:rsidRPr="00BC54C2">
        <w:rPr>
          <w:vertAlign w:val="superscript"/>
        </w:rPr>
        <w:footnoteRef/>
      </w:r>
      <w:r w:rsidRPr="00BC54C2">
        <w:rPr>
          <w:i/>
        </w:rPr>
        <w:t>See</w:t>
      </w:r>
      <w:r w:rsidRPr="00BC54C2">
        <w:t xml:space="preserve"> Deere &amp; Co.</w:t>
      </w:r>
      <w:r w:rsidRPr="00BC54C2">
        <w:t xml:space="preserve"> </w:t>
      </w:r>
      <w:r w:rsidRPr="00BC54C2">
        <w:t>v.</w:t>
      </w:r>
      <w:r w:rsidRPr="00BC54C2">
        <w:t xml:space="preserve"> </w:t>
      </w:r>
      <w:r w:rsidRPr="00BC54C2">
        <w:t>MTD Prods., Inc., 41 F.3d 39, 32 USPQ2d 1936 (2d Cir.</w:t>
      </w:r>
      <w:r w:rsidRPr="00BC54C2">
        <w:t xml:space="preserve"> </w:t>
      </w:r>
      <w:r w:rsidRPr="00BC54C2">
        <w:t>1994).</w:t>
      </w:r>
    </w:p>
  </w:footnote>
  <w:footnote w:id="66">
    <w:p w14:paraId="6DA2BC25" w14:textId="0A206DEB" w:rsidR="00BC54C2" w:rsidRPr="00A73F95" w:rsidRDefault="00BC54C2" w:rsidP="00BC54C2">
      <w:pPr>
        <w:pStyle w:val="FootnoteText"/>
      </w:pPr>
      <w:r w:rsidRPr="00BC54C2">
        <w:rPr>
          <w:rStyle w:val="FootnoteReference"/>
          <w:rFonts w:eastAsiaTheme="majorEastAsia"/>
        </w:rPr>
        <w:footnoteRef/>
      </w:r>
      <w:r w:rsidRPr="00BC54C2">
        <w:t xml:space="preserve">In </w:t>
      </w:r>
      <w:r w:rsidRPr="00BC54C2">
        <w:rPr>
          <w:rStyle w:val="BCasenamefull"/>
        </w:rPr>
        <w:t>Jack Daniel’s Prop., Inc. v. VIP Prods. LLC</w:t>
      </w:r>
      <w:r w:rsidRPr="00BC54C2">
        <w:t>, 599 U.S.</w:t>
      </w:r>
      <w:r w:rsidRPr="00BC54C2">
        <w:t xml:space="preserve"> </w:t>
      </w:r>
      <w:r w:rsidRPr="00BC54C2">
        <w:t>140 (2023), the Court held that the noncommercial use exclusion in the TDRA does not apply when the offending use is as a trademark.</w:t>
      </w:r>
    </w:p>
  </w:footnote>
  <w:footnote w:id="67">
    <w:p w14:paraId="22102A8B" w14:textId="76E7AA97" w:rsidR="00BC54C2" w:rsidRPr="00A73F95" w:rsidRDefault="00BC54C2" w:rsidP="00BC54C2">
      <w:pPr>
        <w:pStyle w:val="FootnoteText"/>
      </w:pPr>
      <w:r w:rsidRPr="00BC54C2">
        <w:rPr>
          <w:rStyle w:val="FootnoteReference"/>
          <w:rFonts w:eastAsiaTheme="majorEastAsia"/>
        </w:rPr>
        <w:footnoteRef/>
      </w:r>
      <w:r w:rsidRPr="00BC54C2">
        <w:t>875 F.2d 994 (2d Cir.</w:t>
      </w:r>
      <w:r w:rsidRPr="00BC54C2">
        <w:t xml:space="preserve"> </w:t>
      </w:r>
      <w:r w:rsidRPr="00BC54C2">
        <w:t>1989).</w:t>
      </w:r>
    </w:p>
  </w:footnote>
  <w:footnote w:id="68">
    <w:p w14:paraId="5C309247" w14:textId="07938BF0" w:rsidR="00BC54C2" w:rsidRPr="00BC54C2" w:rsidRDefault="00BC54C2" w:rsidP="00BC54C2">
      <w:pPr>
        <w:pStyle w:val="FootnoteText"/>
      </w:pPr>
      <w:r w:rsidRPr="00BC54C2">
        <w:rPr>
          <w:rStyle w:val="FootnoteReference"/>
          <w:rFonts w:eastAsiaTheme="majorEastAsia"/>
        </w:rPr>
        <w:footnoteRef/>
      </w:r>
      <w:r w:rsidRPr="00BC54C2">
        <w:t>Hidden City Phila.</w:t>
      </w:r>
      <w:r w:rsidRPr="00BC54C2">
        <w:t xml:space="preserve"> </w:t>
      </w:r>
      <w:r w:rsidRPr="00BC54C2">
        <w:t>v.</w:t>
      </w:r>
      <w:r w:rsidRPr="00BC54C2">
        <w:t xml:space="preserve"> </w:t>
      </w:r>
      <w:r w:rsidRPr="00BC54C2">
        <w:t>ABC, Inc., 2019 WL 1003637, 2019 BL 69908 (E.D.</w:t>
      </w:r>
      <w:r w:rsidRPr="00BC54C2">
        <w:t xml:space="preserve"> </w:t>
      </w:r>
      <w:r w:rsidRPr="00BC54C2">
        <w:t>Pa.</w:t>
      </w:r>
      <w:r w:rsidRPr="00BC54C2">
        <w:t xml:space="preserve"> </w:t>
      </w:r>
      <w:r w:rsidRPr="00BC54C2">
        <w:t>Mar.</w:t>
      </w:r>
      <w:r w:rsidRPr="00BC54C2">
        <w:t xml:space="preserve"> </w:t>
      </w:r>
      <w:r w:rsidRPr="00BC54C2">
        <w:t>1, 2019).</w:t>
      </w:r>
    </w:p>
    <w:p w14:paraId="4E689C9D" w14:textId="77777777" w:rsidR="00BC54C2" w:rsidRDefault="00BC54C2" w:rsidP="00F56F8F">
      <w:pPr>
        <w:pStyle w:val="FootnoteText"/>
      </w:pPr>
    </w:p>
  </w:footnote>
  <w:footnote w:id="69">
    <w:p w14:paraId="70181250" w14:textId="09A4873E" w:rsidR="00BC54C2" w:rsidRPr="008F678C" w:rsidRDefault="00BC54C2" w:rsidP="00BC54C2">
      <w:pPr>
        <w:pStyle w:val="FootnoteText"/>
      </w:pPr>
      <w:r w:rsidRPr="00BC54C2">
        <w:rPr>
          <w:rStyle w:val="FootnoteReference"/>
          <w:rFonts w:eastAsiaTheme="majorEastAsia"/>
        </w:rPr>
        <w:footnoteRef/>
      </w:r>
      <w:r w:rsidRPr="00BC54C2">
        <w:rPr>
          <w:i/>
        </w:rPr>
        <w:t>Id</w:t>
      </w:r>
      <w:r w:rsidRPr="00BC54C2">
        <w:t>.</w:t>
      </w:r>
      <w:r w:rsidRPr="00BC54C2">
        <w:t xml:space="preserve"> </w:t>
      </w:r>
      <w:r w:rsidRPr="00BC54C2">
        <w:t>at *5.</w:t>
      </w:r>
    </w:p>
  </w:footnote>
  <w:footnote w:id="70">
    <w:p w14:paraId="52DC914D" w14:textId="76583089" w:rsidR="00BC54C2" w:rsidRPr="006C6CD8" w:rsidRDefault="00BC54C2" w:rsidP="00BC54C2">
      <w:pPr>
        <w:pStyle w:val="FootnoteText"/>
      </w:pPr>
      <w:r w:rsidRPr="00BC54C2">
        <w:rPr>
          <w:vertAlign w:val="superscript"/>
        </w:rPr>
        <w:footnoteRef/>
      </w:r>
      <w:r w:rsidRPr="00BC54C2">
        <w:rPr>
          <w:i/>
        </w:rPr>
        <w:t>See, e</w:t>
      </w:r>
      <w:r w:rsidRPr="00BC54C2">
        <w:t>.</w:t>
      </w:r>
      <w:r w:rsidRPr="00BC54C2">
        <w:rPr>
          <w:i/>
        </w:rPr>
        <w:t>g</w:t>
      </w:r>
      <w:r w:rsidRPr="00BC54C2">
        <w:t xml:space="preserve">., </w:t>
      </w:r>
      <w:proofErr w:type="spellStart"/>
      <w:r w:rsidRPr="00BC54C2">
        <w:t>Danjaq</w:t>
      </w:r>
      <w:proofErr w:type="spellEnd"/>
      <w:r w:rsidRPr="00BC54C2">
        <w:t xml:space="preserve"> L.L.C.</w:t>
      </w:r>
      <w:r w:rsidRPr="00BC54C2">
        <w:t xml:space="preserve"> </w:t>
      </w:r>
      <w:r w:rsidRPr="00BC54C2">
        <w:t>v.</w:t>
      </w:r>
      <w:r w:rsidRPr="00BC54C2">
        <w:t xml:space="preserve"> </w:t>
      </w:r>
      <w:r w:rsidRPr="00BC54C2">
        <w:t>Sony Corp., 263 F.3d 942, 59 USPQ2d 1880 (9th Cir.</w:t>
      </w:r>
      <w:r w:rsidRPr="00BC54C2">
        <w:t xml:space="preserve"> </w:t>
      </w:r>
      <w:r w:rsidRPr="00BC54C2">
        <w:t>2001) (claims of copyright infringement).</w:t>
      </w:r>
    </w:p>
  </w:footnote>
  <w:footnote w:id="71">
    <w:p w14:paraId="4968E635" w14:textId="440FC01F" w:rsidR="00BC54C2" w:rsidRPr="006C6CD8" w:rsidRDefault="00BC54C2" w:rsidP="00BC54C2">
      <w:pPr>
        <w:pStyle w:val="FootnoteText"/>
      </w:pPr>
      <w:r w:rsidRPr="00BC54C2">
        <w:rPr>
          <w:vertAlign w:val="superscript"/>
        </w:rPr>
        <w:footnoteRef/>
      </w:r>
      <w:r w:rsidRPr="00BC54C2">
        <w:rPr>
          <w:i/>
        </w:rPr>
        <w:t>E</w:t>
      </w:r>
      <w:r w:rsidRPr="00BC54C2">
        <w:t>.</w:t>
      </w:r>
      <w:r w:rsidRPr="00BC54C2">
        <w:rPr>
          <w:i/>
        </w:rPr>
        <w:t>g</w:t>
      </w:r>
      <w:r w:rsidRPr="00BC54C2">
        <w:t>.,</w:t>
      </w:r>
      <w:r w:rsidRPr="00BC54C2">
        <w:rPr>
          <w:rFonts w:eastAsiaTheme="minorEastAsia"/>
        </w:rPr>
        <w:t xml:space="preserve"> </w:t>
      </w:r>
      <w:r w:rsidRPr="00BC54C2">
        <w:t>Yoon v.</w:t>
      </w:r>
      <w:r w:rsidRPr="00BC54C2">
        <w:t xml:space="preserve"> </w:t>
      </w:r>
      <w:r w:rsidRPr="00BC54C2">
        <w:t>Lee, 2013 WL 12131727, at *4 (C.D.</w:t>
      </w:r>
      <w:r w:rsidRPr="00BC54C2">
        <w:t xml:space="preserve"> </w:t>
      </w:r>
      <w:r w:rsidRPr="00BC54C2">
        <w:t>Cal.</w:t>
      </w:r>
      <w:r w:rsidRPr="00BC54C2">
        <w:t xml:space="preserve"> </w:t>
      </w:r>
      <w:r w:rsidRPr="00BC54C2">
        <w:t>Feb.</w:t>
      </w:r>
      <w:r w:rsidRPr="00BC54C2">
        <w:t xml:space="preserve"> </w:t>
      </w:r>
      <w:r w:rsidRPr="00BC54C2">
        <w:t>4, 2013) (laches is a defense to dilution under California law);</w:t>
      </w:r>
      <w:r w:rsidRPr="00BC54C2">
        <w:t xml:space="preserve"> </w:t>
      </w:r>
      <w:r w:rsidRPr="00BC54C2">
        <w:t>United States Playing Card Co.</w:t>
      </w:r>
      <w:r w:rsidRPr="00BC54C2">
        <w:t xml:space="preserve"> </w:t>
      </w:r>
      <w:r w:rsidRPr="00BC54C2">
        <w:t>v.</w:t>
      </w:r>
      <w:r w:rsidRPr="00BC54C2">
        <w:t xml:space="preserve"> </w:t>
      </w:r>
      <w:r w:rsidRPr="00BC54C2">
        <w:t>Bicycle Club, 695 N.E.2d 1197, 1201–03 (Ohio Ct.</w:t>
      </w:r>
      <w:r w:rsidRPr="00BC54C2">
        <w:t xml:space="preserve"> </w:t>
      </w:r>
      <w:r w:rsidRPr="00BC54C2">
        <w:t>App.</w:t>
      </w:r>
      <w:r w:rsidRPr="00BC54C2">
        <w:t xml:space="preserve"> </w:t>
      </w:r>
      <w:r w:rsidRPr="00BC54C2">
        <w:t>1997) (using both laches and estoppel to deny a claim under Ohio law);</w:t>
      </w:r>
      <w:r w:rsidRPr="00BC54C2">
        <w:t xml:space="preserve"> </w:t>
      </w:r>
      <w:r w:rsidRPr="00BC54C2">
        <w:t>Saul Zaentz Co.</w:t>
      </w:r>
      <w:r w:rsidRPr="00BC54C2">
        <w:t xml:space="preserve"> </w:t>
      </w:r>
      <w:r w:rsidRPr="00BC54C2">
        <w:t>v.</w:t>
      </w:r>
      <w:r w:rsidRPr="00BC54C2">
        <w:t xml:space="preserve"> </w:t>
      </w:r>
      <w:r w:rsidRPr="00BC54C2">
        <w:t>Wozniak Travel Inc., 627 F.</w:t>
      </w:r>
      <w:r w:rsidRPr="00BC54C2">
        <w:t xml:space="preserve"> </w:t>
      </w:r>
      <w:r w:rsidRPr="00BC54C2">
        <w:t>Supp.</w:t>
      </w:r>
      <w:r w:rsidRPr="00BC54C2">
        <w:t xml:space="preserve"> </w:t>
      </w:r>
      <w:r w:rsidRPr="00BC54C2">
        <w:t>1096, 89 USPQ2d 1665, 1674 (N.D.</w:t>
      </w:r>
      <w:r w:rsidRPr="00BC54C2">
        <w:t xml:space="preserve"> </w:t>
      </w:r>
      <w:r w:rsidRPr="00BC54C2">
        <w:t>Cal.</w:t>
      </w:r>
      <w:r w:rsidRPr="00BC54C2">
        <w:t xml:space="preserve"> </w:t>
      </w:r>
      <w:r w:rsidRPr="00BC54C2">
        <w:t>2008) (California and federal law);</w:t>
      </w:r>
      <w:r w:rsidRPr="00BC54C2">
        <w:t xml:space="preserve"> </w:t>
      </w:r>
      <w:r w:rsidRPr="00BC54C2">
        <w:t>Amicus Commc’ns, L.P.</w:t>
      </w:r>
      <w:r w:rsidRPr="00BC54C2">
        <w:t xml:space="preserve"> </w:t>
      </w:r>
      <w:r w:rsidRPr="00BC54C2">
        <w:t>v.</w:t>
      </w:r>
      <w:r w:rsidRPr="00BC54C2">
        <w:t xml:space="preserve"> </w:t>
      </w:r>
      <w:r w:rsidRPr="00BC54C2">
        <w:t>Hewlett-Packard Co., 2000 WL 33348186, at *21 (W.D.</w:t>
      </w:r>
      <w:r w:rsidRPr="00BC54C2">
        <w:t xml:space="preserve"> </w:t>
      </w:r>
      <w:r w:rsidRPr="00BC54C2">
        <w:t>Tex.</w:t>
      </w:r>
      <w:r w:rsidRPr="00BC54C2">
        <w:t xml:space="preserve"> </w:t>
      </w:r>
      <w:r w:rsidRPr="00BC54C2">
        <w:t>Jan.</w:t>
      </w:r>
      <w:r w:rsidRPr="00BC54C2">
        <w:t xml:space="preserve"> </w:t>
      </w:r>
      <w:r w:rsidRPr="00BC54C2">
        <w:t>10, 2000) (Texas law).</w:t>
      </w:r>
    </w:p>
  </w:footnote>
  <w:footnote w:id="72">
    <w:p w14:paraId="3E785672" w14:textId="5B636E9B" w:rsidR="00BC54C2" w:rsidRPr="006C6CD8" w:rsidRDefault="00BC54C2" w:rsidP="00BC54C2">
      <w:pPr>
        <w:pStyle w:val="FootnoteText"/>
      </w:pPr>
      <w:r w:rsidRPr="00BC54C2">
        <w:rPr>
          <w:vertAlign w:val="superscript"/>
        </w:rPr>
        <w:footnoteRef/>
      </w:r>
      <w:r w:rsidRPr="00BC54C2">
        <w:rPr>
          <w:i/>
        </w:rPr>
        <w:t>E</w:t>
      </w:r>
      <w:r w:rsidRPr="00BC54C2">
        <w:t>.</w:t>
      </w:r>
      <w:r w:rsidRPr="00BC54C2">
        <w:rPr>
          <w:i/>
        </w:rPr>
        <w:t>g</w:t>
      </w:r>
      <w:r w:rsidRPr="00BC54C2">
        <w:t>., 15 U.S.C.</w:t>
      </w:r>
      <w:r w:rsidRPr="00BC54C2">
        <w:t xml:space="preserve"> </w:t>
      </w:r>
      <w:r w:rsidRPr="00BC54C2">
        <w:t>§1125(c)(1);</w:t>
      </w:r>
      <w:r w:rsidRPr="00BC54C2">
        <w:t xml:space="preserve"> </w:t>
      </w:r>
      <w:r w:rsidRPr="00BC54C2">
        <w:t>2007 Model Bill §13(a).</w:t>
      </w:r>
    </w:p>
  </w:footnote>
  <w:footnote w:id="73">
    <w:p w14:paraId="0E1F1D7D" w14:textId="058028C5" w:rsidR="00BC54C2" w:rsidRPr="006C6CD8" w:rsidRDefault="00BC54C2" w:rsidP="00BC54C2">
      <w:pPr>
        <w:pStyle w:val="FootnoteText"/>
      </w:pPr>
      <w:r w:rsidRPr="00BC54C2">
        <w:rPr>
          <w:vertAlign w:val="superscript"/>
        </w:rPr>
        <w:footnoteRef/>
      </w:r>
      <w:r w:rsidRPr="00BC54C2">
        <w:rPr>
          <w:i/>
        </w:rPr>
        <w:t>Amicus Commc’ns</w:t>
      </w:r>
      <w:r w:rsidRPr="00BC54C2">
        <w:t>, 2000 WL 33348186, at *21;</w:t>
      </w:r>
      <w:r w:rsidRPr="00BC54C2">
        <w:t xml:space="preserve"> </w:t>
      </w:r>
      <w:r w:rsidRPr="00BC54C2">
        <w:rPr>
          <w:i/>
        </w:rPr>
        <w:t>United States Playing Card Co.</w:t>
      </w:r>
      <w:r w:rsidRPr="00BC54C2">
        <w:t>, 695 N.E.2d at 1201–03 (using both laches and estoppel to deny a claim under Ohio law);</w:t>
      </w:r>
      <w:r w:rsidRPr="00BC54C2">
        <w:t xml:space="preserve"> </w:t>
      </w:r>
      <w:r w:rsidRPr="00BC54C2">
        <w:rPr>
          <w:i/>
        </w:rPr>
        <w:t>see also</w:t>
      </w:r>
      <w:r w:rsidRPr="00BC54C2">
        <w:t xml:space="preserve"> Abraham v.</w:t>
      </w:r>
      <w:r w:rsidRPr="00BC54C2">
        <w:t xml:space="preserve"> </w:t>
      </w:r>
      <w:r w:rsidRPr="00BC54C2">
        <w:t>Alpha Chi Omega, 816 F.</w:t>
      </w:r>
      <w:r w:rsidRPr="00BC54C2">
        <w:t xml:space="preserve"> </w:t>
      </w:r>
      <w:r w:rsidRPr="00BC54C2">
        <w:t>Supp.</w:t>
      </w:r>
      <w:r w:rsidRPr="00BC54C2">
        <w:t xml:space="preserve"> </w:t>
      </w:r>
      <w:r w:rsidRPr="00BC54C2">
        <w:t>2d 367, 363–64 (N.D.</w:t>
      </w:r>
      <w:r w:rsidRPr="00BC54C2">
        <w:t xml:space="preserve"> </w:t>
      </w:r>
      <w:r w:rsidRPr="00BC54C2">
        <w:t>Tex.</w:t>
      </w:r>
      <w:r w:rsidRPr="00BC54C2">
        <w:t xml:space="preserve"> </w:t>
      </w:r>
      <w:r w:rsidRPr="00BC54C2">
        <w:t>2011) (relevant measuring time is from the time plaintiff knew or should have known of infringing use to the filing of the suit).</w:t>
      </w:r>
    </w:p>
  </w:footnote>
  <w:footnote w:id="74">
    <w:p w14:paraId="4A8408BE" w14:textId="1FF37EB2" w:rsidR="00BC54C2" w:rsidRPr="006C6CD8" w:rsidRDefault="00BC54C2" w:rsidP="00BC54C2">
      <w:pPr>
        <w:pStyle w:val="FootnoteText"/>
      </w:pPr>
      <w:r w:rsidRPr="00BC54C2">
        <w:rPr>
          <w:vertAlign w:val="superscript"/>
        </w:rPr>
        <w:footnoteRef/>
      </w:r>
      <w:r w:rsidRPr="00BC54C2">
        <w:t xml:space="preserve">In </w:t>
      </w:r>
      <w:proofErr w:type="spellStart"/>
      <w:r w:rsidRPr="00BC54C2">
        <w:rPr>
          <w:i/>
        </w:rPr>
        <w:t>Danjaq</w:t>
      </w:r>
      <w:proofErr w:type="spellEnd"/>
      <w:r w:rsidRPr="00BC54C2">
        <w:t>, the Ninth Circuit noted the existence of an exception to laches for “willful infringement.” 263 F.3d at 956.</w:t>
      </w:r>
      <w:r w:rsidRPr="00BC54C2">
        <w:t xml:space="preserve"> </w:t>
      </w:r>
      <w:r w:rsidRPr="00BC54C2">
        <w:t>In that case, the court applied the Copyright Act’s definition of willful infringement to the laches defense.</w:t>
      </w:r>
      <w:r w:rsidRPr="00BC54C2">
        <w:t xml:space="preserve"> </w:t>
      </w:r>
      <w:r w:rsidRPr="00BC54C2">
        <w:rPr>
          <w:i/>
        </w:rPr>
        <w:t>Id</w:t>
      </w:r>
      <w:r w:rsidRPr="00BC54C2">
        <w:t>.</w:t>
      </w:r>
      <w:r w:rsidRPr="00BC54C2">
        <w:t xml:space="preserve"> </w:t>
      </w:r>
      <w:r w:rsidRPr="00BC54C2">
        <w:t>at 957–59.</w:t>
      </w:r>
      <w:r w:rsidRPr="00BC54C2">
        <w:t xml:space="preserve"> </w:t>
      </w:r>
      <w:r w:rsidRPr="00BC54C2">
        <w:t>Precisely how that exception should apply in a dilution claim is not clear.</w:t>
      </w:r>
      <w:r w:rsidRPr="00BC54C2">
        <w:t xml:space="preserve"> </w:t>
      </w:r>
      <w:r w:rsidRPr="00BC54C2">
        <w:rPr>
          <w:i/>
        </w:rPr>
        <w:t>See</w:t>
      </w:r>
      <w:r w:rsidRPr="00BC54C2">
        <w:t xml:space="preserve"> Chapter 10, §VII.A.</w:t>
      </w:r>
    </w:p>
  </w:footnote>
  <w:footnote w:id="75">
    <w:p w14:paraId="5CD590DD" w14:textId="1D7E865C" w:rsidR="00BC54C2" w:rsidRPr="006C6CD8" w:rsidRDefault="00BC54C2" w:rsidP="00BC54C2">
      <w:pPr>
        <w:pStyle w:val="FootnoteText"/>
      </w:pPr>
      <w:r w:rsidRPr="00BC54C2">
        <w:rPr>
          <w:vertAlign w:val="superscript"/>
        </w:rPr>
        <w:footnoteRef/>
      </w:r>
      <w:r w:rsidRPr="00BC54C2">
        <w:t>U.S.</w:t>
      </w:r>
      <w:r w:rsidRPr="00BC54C2">
        <w:t xml:space="preserve"> </w:t>
      </w:r>
      <w:r w:rsidRPr="00BC54C2">
        <w:rPr>
          <w:smallCaps/>
        </w:rPr>
        <w:t>Const</w:t>
      </w:r>
      <w:r w:rsidRPr="00BC54C2">
        <w:t>.</w:t>
      </w:r>
      <w:r w:rsidRPr="00BC54C2">
        <w:t xml:space="preserve"> </w:t>
      </w:r>
      <w:r w:rsidRPr="00BC54C2">
        <w:t>art.</w:t>
      </w:r>
      <w:r w:rsidRPr="00BC54C2">
        <w:t xml:space="preserve"> </w:t>
      </w:r>
      <w:r w:rsidRPr="00BC54C2">
        <w:t>VI, cl.</w:t>
      </w:r>
      <w:r w:rsidRPr="00BC54C2">
        <w:t xml:space="preserve"> </w:t>
      </w:r>
      <w:r w:rsidRPr="00BC54C2">
        <w:t>2.</w:t>
      </w:r>
    </w:p>
  </w:footnote>
  <w:footnote w:id="76">
    <w:p w14:paraId="33C48AE1" w14:textId="31DEAAAF" w:rsidR="00BC54C2" w:rsidRPr="006C6CD8" w:rsidRDefault="00BC54C2" w:rsidP="00BC54C2">
      <w:pPr>
        <w:pStyle w:val="FootnoteText"/>
      </w:pPr>
      <w:r w:rsidRPr="00BC54C2">
        <w:rPr>
          <w:vertAlign w:val="superscript"/>
        </w:rPr>
        <w:footnoteRef/>
      </w:r>
      <w:r w:rsidRPr="00BC54C2">
        <w:rPr>
          <w:i/>
        </w:rPr>
        <w:t>See, e</w:t>
      </w:r>
      <w:r w:rsidRPr="00BC54C2">
        <w:t>.</w:t>
      </w:r>
      <w:r w:rsidRPr="00BC54C2">
        <w:rPr>
          <w:i/>
        </w:rPr>
        <w:t>g</w:t>
      </w:r>
      <w:r w:rsidRPr="00BC54C2">
        <w:t>., Gade v.</w:t>
      </w:r>
      <w:r w:rsidRPr="00BC54C2">
        <w:t xml:space="preserve"> </w:t>
      </w:r>
      <w:r w:rsidRPr="00BC54C2">
        <w:t>National Solid Wastes Mgmt.</w:t>
      </w:r>
      <w:r w:rsidRPr="00BC54C2">
        <w:t xml:space="preserve"> </w:t>
      </w:r>
      <w:proofErr w:type="spellStart"/>
      <w:r w:rsidRPr="00BC54C2">
        <w:t>Ass’n</w:t>
      </w:r>
      <w:proofErr w:type="spellEnd"/>
      <w:r w:rsidRPr="00BC54C2">
        <w:t>, 505 U.S.</w:t>
      </w:r>
      <w:r w:rsidRPr="00BC54C2">
        <w:t xml:space="preserve"> </w:t>
      </w:r>
      <w:r w:rsidRPr="00BC54C2">
        <w:t>88 (1992) (holding, 5–4, that state regulation is preempted by federal statute;</w:t>
      </w:r>
      <w:r w:rsidRPr="00BC54C2">
        <w:t xml:space="preserve"> </w:t>
      </w:r>
      <w:r w:rsidRPr="00BC54C2">
        <w:t xml:space="preserve">majority disagreed on rationale for </w:t>
      </w:r>
      <w:proofErr w:type="gramStart"/>
      <w:r w:rsidRPr="00BC54C2">
        <w:t>preemption</w:t>
      </w:r>
      <w:proofErr w:type="gramEnd"/>
      <w:r w:rsidRPr="00BC54C2">
        <w:t xml:space="preserve"> and four Justices would find no preemption).</w:t>
      </w:r>
    </w:p>
  </w:footnote>
  <w:footnote w:id="77">
    <w:p w14:paraId="70A53167" w14:textId="19F529A0" w:rsidR="00BC54C2" w:rsidRPr="006C6CD8" w:rsidRDefault="00BC54C2" w:rsidP="00BC54C2">
      <w:pPr>
        <w:pStyle w:val="FootnoteText"/>
      </w:pPr>
      <w:r w:rsidRPr="00BC54C2">
        <w:rPr>
          <w:vertAlign w:val="superscript"/>
        </w:rPr>
        <w:footnoteRef/>
      </w:r>
      <w:r w:rsidRPr="00BC54C2">
        <w:t>U.S.</w:t>
      </w:r>
      <w:r w:rsidRPr="00BC54C2">
        <w:t xml:space="preserve"> </w:t>
      </w:r>
      <w:r w:rsidRPr="00BC54C2">
        <w:rPr>
          <w:smallCaps/>
        </w:rPr>
        <w:t>Const</w:t>
      </w:r>
      <w:r w:rsidRPr="00BC54C2">
        <w:t>.</w:t>
      </w:r>
      <w:r w:rsidRPr="00BC54C2">
        <w:t xml:space="preserve"> </w:t>
      </w:r>
      <w:r w:rsidRPr="00BC54C2">
        <w:t>art.</w:t>
      </w:r>
      <w:r w:rsidRPr="00BC54C2">
        <w:t xml:space="preserve"> </w:t>
      </w:r>
      <w:r w:rsidRPr="00BC54C2">
        <w:t>I, § 8, cl.</w:t>
      </w:r>
      <w:r w:rsidRPr="00BC54C2">
        <w:t xml:space="preserve"> </w:t>
      </w:r>
      <w:r w:rsidRPr="00BC54C2">
        <w:t>8.</w:t>
      </w:r>
    </w:p>
  </w:footnote>
  <w:footnote w:id="78">
    <w:p w14:paraId="717647A3" w14:textId="4646CC0C" w:rsidR="00BC54C2" w:rsidRPr="006C6CD8" w:rsidRDefault="00BC54C2" w:rsidP="00BC54C2">
      <w:pPr>
        <w:pStyle w:val="FootnoteText"/>
      </w:pPr>
      <w:r w:rsidRPr="00BC54C2">
        <w:rPr>
          <w:vertAlign w:val="superscript"/>
        </w:rPr>
        <w:footnoteRef/>
      </w:r>
      <w:r w:rsidRPr="00BC54C2">
        <w:rPr>
          <w:i/>
        </w:rPr>
        <w:t>Id</w:t>
      </w:r>
      <w:r w:rsidRPr="00BC54C2">
        <w:t>.</w:t>
      </w:r>
      <w:r w:rsidRPr="00BC54C2">
        <w:t xml:space="preserve"> </w:t>
      </w:r>
      <w:r w:rsidRPr="00BC54C2">
        <w:t>cl.</w:t>
      </w:r>
      <w:r w:rsidRPr="00BC54C2">
        <w:t xml:space="preserve"> </w:t>
      </w:r>
      <w:r w:rsidRPr="00BC54C2">
        <w:t>3.</w:t>
      </w:r>
    </w:p>
  </w:footnote>
  <w:footnote w:id="79">
    <w:p w14:paraId="5B2F2FE5" w14:textId="42B5AAC5" w:rsidR="00BC54C2" w:rsidRPr="006C6CD8" w:rsidRDefault="00BC54C2" w:rsidP="00BC54C2">
      <w:pPr>
        <w:pStyle w:val="FootnoteText"/>
      </w:pPr>
      <w:r w:rsidRPr="00BC54C2">
        <w:rPr>
          <w:vertAlign w:val="superscript"/>
        </w:rPr>
        <w:footnoteRef/>
      </w:r>
      <w:r w:rsidRPr="00BC54C2">
        <w:rPr>
          <w:i/>
        </w:rPr>
        <w:t>See, e</w:t>
      </w:r>
      <w:r w:rsidRPr="00BC54C2">
        <w:t>.</w:t>
      </w:r>
      <w:r w:rsidRPr="00BC54C2">
        <w:rPr>
          <w:i/>
        </w:rPr>
        <w:t>g</w:t>
      </w:r>
      <w:r w:rsidRPr="00BC54C2">
        <w:t>., Western &amp; S.</w:t>
      </w:r>
      <w:r w:rsidRPr="00BC54C2">
        <w:t xml:space="preserve"> </w:t>
      </w:r>
      <w:r w:rsidRPr="00BC54C2">
        <w:t>Life Ins.</w:t>
      </w:r>
      <w:r w:rsidRPr="00BC54C2">
        <w:t xml:space="preserve"> </w:t>
      </w:r>
      <w:r w:rsidRPr="00BC54C2">
        <w:t>Co.</w:t>
      </w:r>
      <w:r w:rsidRPr="00BC54C2">
        <w:t xml:space="preserve"> </w:t>
      </w:r>
      <w:r w:rsidRPr="00BC54C2">
        <w:t>v.</w:t>
      </w:r>
      <w:r w:rsidRPr="00BC54C2">
        <w:t xml:space="preserve"> </w:t>
      </w:r>
      <w:r w:rsidRPr="00BC54C2">
        <w:t>State Bd.</w:t>
      </w:r>
      <w:r w:rsidRPr="00BC54C2">
        <w:t xml:space="preserve"> </w:t>
      </w:r>
      <w:r w:rsidRPr="00BC54C2">
        <w:t>of Equalization, 451 U.S.</w:t>
      </w:r>
      <w:r w:rsidRPr="00BC54C2">
        <w:t xml:space="preserve"> </w:t>
      </w:r>
      <w:r w:rsidRPr="00BC54C2">
        <w:t>648, 652 (1981).</w:t>
      </w:r>
    </w:p>
  </w:footnote>
  <w:footnote w:id="80">
    <w:p w14:paraId="16EDE92E" w14:textId="64D09132" w:rsidR="00BC54C2" w:rsidRPr="006C6CD8" w:rsidRDefault="00BC54C2" w:rsidP="00BC54C2">
      <w:pPr>
        <w:pStyle w:val="FootnoteText"/>
      </w:pPr>
      <w:r w:rsidRPr="00BC54C2">
        <w:rPr>
          <w:vertAlign w:val="superscript"/>
        </w:rPr>
        <w:footnoteRef/>
      </w:r>
      <w:r w:rsidRPr="00BC54C2">
        <w:t>Some interesting discussions of this issue were written before the enactment of the FTDA.</w:t>
      </w:r>
      <w:r w:rsidRPr="00BC54C2">
        <w:t xml:space="preserve"> </w:t>
      </w:r>
      <w:r w:rsidRPr="00BC54C2">
        <w:rPr>
          <w:i/>
        </w:rPr>
        <w:t>See generally</w:t>
      </w:r>
      <w:r w:rsidRPr="00BC54C2">
        <w:t xml:space="preserve"> Richard A.</w:t>
      </w:r>
      <w:r w:rsidRPr="00BC54C2">
        <w:t xml:space="preserve"> </w:t>
      </w:r>
      <w:r w:rsidRPr="00BC54C2">
        <w:t xml:space="preserve">De </w:t>
      </w:r>
      <w:proofErr w:type="spellStart"/>
      <w:r w:rsidRPr="00BC54C2">
        <w:t>Sevo</w:t>
      </w:r>
      <w:proofErr w:type="spellEnd"/>
      <w:r w:rsidRPr="00BC54C2">
        <w:t xml:space="preserve">, </w:t>
      </w:r>
      <w:r w:rsidRPr="00BC54C2">
        <w:rPr>
          <w:i/>
        </w:rPr>
        <w:t>Antidilution Laws:</w:t>
      </w:r>
      <w:r w:rsidRPr="00BC54C2">
        <w:rPr>
          <w:i/>
        </w:rPr>
        <w:t xml:space="preserve"> </w:t>
      </w:r>
      <w:r w:rsidRPr="00BC54C2">
        <w:rPr>
          <w:i/>
        </w:rPr>
        <w:t>the Unresolved Dilemma of Preemption under the Lanham Act</w:t>
      </w:r>
      <w:r w:rsidRPr="00BC54C2">
        <w:t xml:space="preserve">, 84 </w:t>
      </w:r>
      <w:r w:rsidRPr="00BC54C2">
        <w:rPr>
          <w:smallCaps/>
        </w:rPr>
        <w:t>Trademark Rep.</w:t>
      </w:r>
      <w:r w:rsidRPr="00BC54C2">
        <w:rPr>
          <w:smallCaps/>
        </w:rPr>
        <w:t xml:space="preserve"> </w:t>
      </w:r>
      <w:r w:rsidRPr="00BC54C2">
        <w:t>300 (1994);</w:t>
      </w:r>
      <w:r w:rsidRPr="00BC54C2">
        <w:t xml:space="preserve"> </w:t>
      </w:r>
      <w:r w:rsidRPr="00BC54C2">
        <w:t>Milton W.</w:t>
      </w:r>
      <w:r w:rsidRPr="00BC54C2">
        <w:t xml:space="preserve"> </w:t>
      </w:r>
      <w:r w:rsidRPr="00BC54C2">
        <w:t xml:space="preserve">Handler, </w:t>
      </w:r>
      <w:r w:rsidRPr="00BC54C2">
        <w:rPr>
          <w:i/>
        </w:rPr>
        <w:t>Are the State Antidilution Laws Compatible with the National Protection of Trademarks?</w:t>
      </w:r>
      <w:r w:rsidRPr="00BC54C2">
        <w:t xml:space="preserve">, 75 </w:t>
      </w:r>
      <w:r w:rsidRPr="00BC54C2">
        <w:rPr>
          <w:smallCaps/>
        </w:rPr>
        <w:t>Trademark Rep.</w:t>
      </w:r>
      <w:r w:rsidRPr="00BC54C2">
        <w:rPr>
          <w:smallCaps/>
        </w:rPr>
        <w:t xml:space="preserve"> </w:t>
      </w:r>
      <w:r w:rsidRPr="00BC54C2">
        <w:t>269 (1985);</w:t>
      </w:r>
      <w:r w:rsidRPr="00BC54C2">
        <w:t xml:space="preserve"> </w:t>
      </w:r>
      <w:r w:rsidRPr="00BC54C2">
        <w:t xml:space="preserve">Paul Heald, </w:t>
      </w:r>
      <w:r w:rsidRPr="00BC54C2">
        <w:rPr>
          <w:i/>
        </w:rPr>
        <w:t>Federal Intellectual Property Law and the Economics of Preemption</w:t>
      </w:r>
      <w:r w:rsidRPr="00BC54C2">
        <w:t xml:space="preserve">, 76 </w:t>
      </w:r>
      <w:r w:rsidRPr="00BC54C2">
        <w:rPr>
          <w:smallCaps/>
        </w:rPr>
        <w:t>Iowa L.</w:t>
      </w:r>
      <w:r w:rsidRPr="00BC54C2">
        <w:rPr>
          <w:smallCaps/>
        </w:rPr>
        <w:t xml:space="preserve"> </w:t>
      </w:r>
      <w:r w:rsidRPr="00BC54C2">
        <w:rPr>
          <w:smallCaps/>
        </w:rPr>
        <w:t>Rev.</w:t>
      </w:r>
      <w:r w:rsidRPr="00BC54C2">
        <w:rPr>
          <w:smallCaps/>
        </w:rPr>
        <w:t xml:space="preserve"> </w:t>
      </w:r>
      <w:r w:rsidRPr="00BC54C2">
        <w:t>959 (1991).</w:t>
      </w:r>
      <w:r w:rsidRPr="00BC54C2">
        <w:t xml:space="preserve"> </w:t>
      </w:r>
      <w:r w:rsidRPr="00BC54C2">
        <w:t>This author has commented briefly on this topic as well.</w:t>
      </w:r>
      <w:r w:rsidRPr="00BC54C2">
        <w:t xml:space="preserve"> </w:t>
      </w:r>
      <w:r w:rsidRPr="00BC54C2">
        <w:t>David S.</w:t>
      </w:r>
      <w:r w:rsidRPr="00BC54C2">
        <w:t xml:space="preserve"> </w:t>
      </w:r>
      <w:r w:rsidRPr="00BC54C2">
        <w:t xml:space="preserve">Welkowitz, </w:t>
      </w:r>
      <w:r w:rsidRPr="00BC54C2">
        <w:rPr>
          <w:i/>
        </w:rPr>
        <w:t>Preemption, Extraterritoriality and the Problem of State Antidilution Laws</w:t>
      </w:r>
      <w:r w:rsidRPr="00BC54C2">
        <w:t xml:space="preserve">, 67 </w:t>
      </w:r>
      <w:r w:rsidRPr="00BC54C2">
        <w:rPr>
          <w:smallCaps/>
        </w:rPr>
        <w:t>Tul.</w:t>
      </w:r>
      <w:r w:rsidRPr="00BC54C2">
        <w:rPr>
          <w:smallCaps/>
        </w:rPr>
        <w:t xml:space="preserve"> </w:t>
      </w:r>
      <w:r w:rsidRPr="00BC54C2">
        <w:rPr>
          <w:smallCaps/>
        </w:rPr>
        <w:t>L.</w:t>
      </w:r>
      <w:r w:rsidRPr="00BC54C2">
        <w:rPr>
          <w:smallCaps/>
        </w:rPr>
        <w:t xml:space="preserve"> </w:t>
      </w:r>
      <w:r w:rsidRPr="00BC54C2">
        <w:rPr>
          <w:smallCaps/>
        </w:rPr>
        <w:t>Rev.</w:t>
      </w:r>
      <w:r w:rsidRPr="00BC54C2">
        <w:rPr>
          <w:smallCaps/>
        </w:rPr>
        <w:t xml:space="preserve"> </w:t>
      </w:r>
      <w:r w:rsidRPr="00BC54C2">
        <w:t>1, 7–16 (1992).</w:t>
      </w:r>
    </w:p>
  </w:footnote>
  <w:footnote w:id="81">
    <w:p w14:paraId="6F0D9F61" w14:textId="021354CE" w:rsidR="00BC54C2" w:rsidRPr="006C6CD8" w:rsidRDefault="00BC54C2" w:rsidP="00BC54C2">
      <w:pPr>
        <w:pStyle w:val="FootnoteText"/>
      </w:pPr>
      <w:r w:rsidRPr="00BC54C2">
        <w:rPr>
          <w:vertAlign w:val="superscript"/>
        </w:rPr>
        <w:footnoteRef/>
      </w:r>
      <w:r w:rsidRPr="00BC54C2">
        <w:t>17 U.S.C.</w:t>
      </w:r>
      <w:r w:rsidRPr="00BC54C2">
        <w:t xml:space="preserve"> </w:t>
      </w:r>
      <w:r w:rsidRPr="00BC54C2">
        <w:t>§301(a) (prohibiting states from granting “legal or equitable rights that are equivalent to any of the exclusive rights within the general scope of copyright .</w:t>
      </w:r>
      <w:r w:rsidRPr="00BC54C2">
        <w:t xml:space="preserve"> </w:t>
      </w:r>
      <w:r w:rsidRPr="00BC54C2">
        <w:t>. .</w:t>
      </w:r>
      <w:r w:rsidRPr="00BC54C2">
        <w:t xml:space="preserve"> </w:t>
      </w:r>
      <w:r w:rsidRPr="00BC54C2">
        <w:t>and come within the subject matter of copyright”).</w:t>
      </w:r>
    </w:p>
  </w:footnote>
  <w:footnote w:id="82">
    <w:p w14:paraId="2D33D832" w14:textId="68975E93" w:rsidR="00BC54C2" w:rsidRPr="006C6CD8" w:rsidRDefault="00BC54C2" w:rsidP="00BC54C2">
      <w:pPr>
        <w:pStyle w:val="FootnoteText"/>
      </w:pPr>
      <w:r w:rsidRPr="00BC54C2">
        <w:rPr>
          <w:vertAlign w:val="superscript"/>
        </w:rPr>
        <w:footnoteRef/>
      </w:r>
      <w:r w:rsidRPr="00BC54C2">
        <w:t>Gade v.</w:t>
      </w:r>
      <w:r w:rsidRPr="00BC54C2">
        <w:t xml:space="preserve"> </w:t>
      </w:r>
      <w:r w:rsidRPr="00BC54C2">
        <w:t>National Solid Wastes Mgmt.</w:t>
      </w:r>
      <w:r w:rsidRPr="00BC54C2">
        <w:t xml:space="preserve"> </w:t>
      </w:r>
      <w:proofErr w:type="spellStart"/>
      <w:r w:rsidRPr="00BC54C2">
        <w:t>Ass’n</w:t>
      </w:r>
      <w:proofErr w:type="spellEnd"/>
      <w:r w:rsidRPr="00BC54C2">
        <w:t>, 505 U.S.</w:t>
      </w:r>
      <w:r w:rsidRPr="00BC54C2">
        <w:t xml:space="preserve"> </w:t>
      </w:r>
      <w:r w:rsidRPr="00BC54C2">
        <w:t>88, 98 (1992) (plurality opinion of O’Connor, J.) (citations omitted).</w:t>
      </w:r>
    </w:p>
  </w:footnote>
  <w:footnote w:id="83">
    <w:p w14:paraId="6C065FCF" w14:textId="305F2287" w:rsidR="00BC54C2" w:rsidRPr="006C6CD8" w:rsidRDefault="00BC54C2" w:rsidP="00BC54C2">
      <w:pPr>
        <w:pStyle w:val="FootnoteText"/>
      </w:pPr>
      <w:r w:rsidRPr="00BC54C2">
        <w:rPr>
          <w:vertAlign w:val="superscript"/>
        </w:rPr>
        <w:footnoteRef/>
      </w:r>
      <w:r w:rsidRPr="00BC54C2">
        <w:rPr>
          <w:i/>
        </w:rPr>
        <w:t>E</w:t>
      </w:r>
      <w:r w:rsidRPr="00BC54C2">
        <w:t>.</w:t>
      </w:r>
      <w:r w:rsidRPr="00BC54C2">
        <w:rPr>
          <w:i/>
        </w:rPr>
        <w:t>g</w:t>
      </w:r>
      <w:r w:rsidRPr="00BC54C2">
        <w:t>., Pennsylvania v.</w:t>
      </w:r>
      <w:r w:rsidRPr="00BC54C2">
        <w:t xml:space="preserve"> </w:t>
      </w:r>
      <w:r w:rsidRPr="00BC54C2">
        <w:t>Nelson, 350 U.S.</w:t>
      </w:r>
      <w:r w:rsidRPr="00BC54C2">
        <w:t xml:space="preserve"> </w:t>
      </w:r>
      <w:r w:rsidRPr="00BC54C2">
        <w:t>497, 502–04 (1956) (federal statute preempted the field of sedition against the United States).</w:t>
      </w:r>
      <w:r w:rsidRPr="00BC54C2">
        <w:t xml:space="preserve"> </w:t>
      </w:r>
      <w:r w:rsidRPr="00BC54C2">
        <w:t>Professor Laurence Tribe has posited a different set of preemption categories:</w:t>
      </w:r>
      <w:r w:rsidRPr="00BC54C2">
        <w:t xml:space="preserve"> </w:t>
      </w:r>
      <w:r w:rsidRPr="00BC54C2">
        <w:t xml:space="preserve">“express preemption,” “implied preemption,” and “conflict preemption.” 1 </w:t>
      </w:r>
      <w:r w:rsidRPr="00BC54C2">
        <w:rPr>
          <w:smallCaps/>
        </w:rPr>
        <w:t>Laurence H.</w:t>
      </w:r>
      <w:r w:rsidRPr="00BC54C2">
        <w:rPr>
          <w:smallCaps/>
        </w:rPr>
        <w:t xml:space="preserve"> </w:t>
      </w:r>
      <w:r w:rsidRPr="00BC54C2">
        <w:rPr>
          <w:smallCaps/>
        </w:rPr>
        <w:t>Tribe, American Constitutional Law</w:t>
      </w:r>
      <w:r w:rsidRPr="00BC54C2">
        <w:t xml:space="preserve"> §6-28, at 1176–77 (3d ed.</w:t>
      </w:r>
      <w:r w:rsidRPr="00BC54C2">
        <w:t xml:space="preserve"> </w:t>
      </w:r>
      <w:r w:rsidRPr="00BC54C2">
        <w:t>2000).</w:t>
      </w:r>
      <w:r w:rsidRPr="00BC54C2">
        <w:t xml:space="preserve"> </w:t>
      </w:r>
      <w:r w:rsidRPr="00BC54C2">
        <w:t>He believes that field preemption can occur in any of those three categories.</w:t>
      </w:r>
      <w:r w:rsidRPr="00BC54C2">
        <w:t xml:space="preserve"> </w:t>
      </w:r>
      <w:r w:rsidRPr="00BC54C2">
        <w:rPr>
          <w:i/>
        </w:rPr>
        <w:t>Id</w:t>
      </w:r>
      <w:r w:rsidRPr="00BC54C2">
        <w:t>.</w:t>
      </w:r>
      <w:r w:rsidRPr="00BC54C2">
        <w:t xml:space="preserve"> </w:t>
      </w:r>
      <w:r w:rsidRPr="00BC54C2">
        <w:t>at 1177.</w:t>
      </w:r>
    </w:p>
  </w:footnote>
  <w:footnote w:id="84">
    <w:p w14:paraId="1C6D9552" w14:textId="4D5A704B" w:rsidR="00BC54C2" w:rsidRPr="006C6CD8" w:rsidRDefault="00BC54C2" w:rsidP="00BC54C2">
      <w:pPr>
        <w:pStyle w:val="FootnoteText"/>
      </w:pPr>
      <w:r w:rsidRPr="00BC54C2">
        <w:rPr>
          <w:vertAlign w:val="superscript"/>
        </w:rPr>
        <w:footnoteRef/>
      </w:r>
      <w:r w:rsidRPr="00BC54C2">
        <w:rPr>
          <w:i/>
        </w:rPr>
        <w:t>E</w:t>
      </w:r>
      <w:r w:rsidRPr="00BC54C2">
        <w:t>.</w:t>
      </w:r>
      <w:r w:rsidRPr="00BC54C2">
        <w:rPr>
          <w:i/>
        </w:rPr>
        <w:t>g</w:t>
      </w:r>
      <w:r w:rsidRPr="00BC54C2">
        <w:t>., Free v.</w:t>
      </w:r>
      <w:r w:rsidRPr="00BC54C2">
        <w:t xml:space="preserve"> </w:t>
      </w:r>
      <w:r w:rsidRPr="00BC54C2">
        <w:t>Bland, 369 U.S.</w:t>
      </w:r>
      <w:r w:rsidRPr="00BC54C2">
        <w:t xml:space="preserve"> </w:t>
      </w:r>
      <w:r w:rsidRPr="00BC54C2">
        <w:t>663, 670 (1962) (federal regulations regarding co-ownership of U.S.</w:t>
      </w:r>
      <w:r w:rsidRPr="00BC54C2">
        <w:t xml:space="preserve"> </w:t>
      </w:r>
      <w:r w:rsidRPr="00BC54C2">
        <w:t>savings bonds preempt Texas community property laws).</w:t>
      </w:r>
    </w:p>
  </w:footnote>
  <w:footnote w:id="85">
    <w:p w14:paraId="4E56A381" w14:textId="45C9CFF1" w:rsidR="00BC54C2" w:rsidRPr="006C6CD8" w:rsidRDefault="00BC54C2" w:rsidP="00BC54C2">
      <w:pPr>
        <w:pStyle w:val="FootnoteText"/>
      </w:pPr>
      <w:r w:rsidRPr="00BC54C2">
        <w:rPr>
          <w:vertAlign w:val="superscript"/>
        </w:rPr>
        <w:footnoteRef/>
      </w:r>
      <w:r w:rsidRPr="00BC54C2">
        <w:t>Hines v.</w:t>
      </w:r>
      <w:r w:rsidRPr="00BC54C2">
        <w:t xml:space="preserve"> </w:t>
      </w:r>
      <w:r w:rsidRPr="00BC54C2">
        <w:t>Davidowitz, 312 U.S.</w:t>
      </w:r>
      <w:r w:rsidRPr="00BC54C2">
        <w:t xml:space="preserve"> </w:t>
      </w:r>
      <w:r w:rsidRPr="00BC54C2">
        <w:t>52, 67 (1941).</w:t>
      </w:r>
    </w:p>
  </w:footnote>
  <w:footnote w:id="86">
    <w:p w14:paraId="24B83B66" w14:textId="00BDB2EA" w:rsidR="00BC54C2" w:rsidRPr="006C6CD8" w:rsidRDefault="00BC54C2" w:rsidP="00BC54C2">
      <w:pPr>
        <w:pStyle w:val="FootnoteText"/>
      </w:pPr>
      <w:r w:rsidRPr="00BC54C2">
        <w:rPr>
          <w:vertAlign w:val="superscript"/>
        </w:rPr>
        <w:footnoteRef/>
      </w:r>
      <w:r w:rsidRPr="00BC54C2">
        <w:t>Maryland v.</w:t>
      </w:r>
      <w:r w:rsidRPr="00BC54C2">
        <w:t xml:space="preserve"> </w:t>
      </w:r>
      <w:r w:rsidRPr="00BC54C2">
        <w:t>Louisiana, 451 U.S.</w:t>
      </w:r>
      <w:r w:rsidRPr="00BC54C2">
        <w:t xml:space="preserve"> </w:t>
      </w:r>
      <w:r w:rsidRPr="00BC54C2">
        <w:t>725, 746 (1981).</w:t>
      </w:r>
    </w:p>
  </w:footnote>
  <w:footnote w:id="87">
    <w:p w14:paraId="18B4AD75" w14:textId="16AA4BA4" w:rsidR="00BC54C2" w:rsidRPr="006C6CD8" w:rsidRDefault="00BC54C2" w:rsidP="00BC54C2">
      <w:pPr>
        <w:pStyle w:val="FootnoteText"/>
      </w:pPr>
      <w:r w:rsidRPr="00BC54C2">
        <w:rPr>
          <w:vertAlign w:val="superscript"/>
        </w:rPr>
        <w:footnoteRef/>
      </w:r>
      <w:r w:rsidRPr="00BC54C2">
        <w:rPr>
          <w:i/>
        </w:rPr>
        <w:t>National Solid Wastes Mgmt</w:t>
      </w:r>
      <w:r w:rsidRPr="00BC54C2">
        <w:t>.</w:t>
      </w:r>
      <w:r w:rsidRPr="00BC54C2">
        <w:t xml:space="preserve"> </w:t>
      </w:r>
      <w:proofErr w:type="spellStart"/>
      <w:r w:rsidRPr="00BC54C2">
        <w:rPr>
          <w:i/>
        </w:rPr>
        <w:t>Ass’n</w:t>
      </w:r>
      <w:proofErr w:type="spellEnd"/>
      <w:r w:rsidRPr="00BC54C2">
        <w:t>, 505 U.S.</w:t>
      </w:r>
      <w:r w:rsidRPr="00BC54C2">
        <w:t xml:space="preserve"> </w:t>
      </w:r>
      <w:r w:rsidRPr="00BC54C2">
        <w:t>at 98 (plurality opinion of O’Connor, J.).</w:t>
      </w:r>
    </w:p>
  </w:footnote>
  <w:footnote w:id="88">
    <w:p w14:paraId="304FEC31" w14:textId="4CBC5615" w:rsidR="00BC54C2" w:rsidRPr="006C6CD8" w:rsidRDefault="00BC54C2" w:rsidP="00BC54C2">
      <w:pPr>
        <w:pStyle w:val="FootnoteText"/>
      </w:pPr>
      <w:r w:rsidRPr="00BC54C2">
        <w:rPr>
          <w:vertAlign w:val="superscript"/>
        </w:rPr>
        <w:footnoteRef/>
      </w:r>
      <w:r w:rsidRPr="00BC54C2">
        <w:rPr>
          <w:i/>
        </w:rPr>
        <w:t xml:space="preserve">See </w:t>
      </w:r>
      <w:r w:rsidRPr="00BC54C2">
        <w:t>Richard A.</w:t>
      </w:r>
      <w:r w:rsidRPr="00BC54C2">
        <w:t xml:space="preserve"> </w:t>
      </w:r>
      <w:r w:rsidRPr="00BC54C2">
        <w:t xml:space="preserve">De </w:t>
      </w:r>
      <w:proofErr w:type="spellStart"/>
      <w:r w:rsidRPr="00BC54C2">
        <w:t>Sevo</w:t>
      </w:r>
      <w:proofErr w:type="spellEnd"/>
      <w:r w:rsidRPr="00BC54C2">
        <w:t xml:space="preserve">, </w:t>
      </w:r>
      <w:r w:rsidRPr="00BC54C2">
        <w:rPr>
          <w:i/>
        </w:rPr>
        <w:t>Antidilution Laws:</w:t>
      </w:r>
      <w:r w:rsidRPr="00BC54C2">
        <w:rPr>
          <w:i/>
        </w:rPr>
        <w:t xml:space="preserve"> </w:t>
      </w:r>
      <w:r w:rsidRPr="00BC54C2">
        <w:rPr>
          <w:i/>
        </w:rPr>
        <w:t>the Unresolved Dilemma of Preemption under the Lanham Act</w:t>
      </w:r>
      <w:r w:rsidRPr="00BC54C2">
        <w:t xml:space="preserve">,84 </w:t>
      </w:r>
      <w:r w:rsidRPr="00BC54C2">
        <w:rPr>
          <w:smallCaps/>
        </w:rPr>
        <w:t>Trademark Rep.</w:t>
      </w:r>
      <w:r w:rsidRPr="00BC54C2">
        <w:rPr>
          <w:smallCaps/>
        </w:rPr>
        <w:t xml:space="preserve"> </w:t>
      </w:r>
      <w:r w:rsidRPr="00BC54C2">
        <w:t>300, 300 &amp; n.6 (1994) (citing articles).</w:t>
      </w:r>
    </w:p>
  </w:footnote>
  <w:footnote w:id="89">
    <w:p w14:paraId="75090083" w14:textId="3904A2DA" w:rsidR="00BC54C2" w:rsidRPr="006C6CD8" w:rsidRDefault="00BC54C2" w:rsidP="00BC54C2">
      <w:pPr>
        <w:pStyle w:val="FootnoteText"/>
      </w:pPr>
      <w:r w:rsidRPr="00BC54C2">
        <w:rPr>
          <w:vertAlign w:val="superscript"/>
        </w:rPr>
        <w:footnoteRef/>
      </w:r>
      <w:r w:rsidRPr="00BC54C2">
        <w:rPr>
          <w:i/>
        </w:rPr>
        <w:t xml:space="preserve">Compare </w:t>
      </w:r>
      <w:r w:rsidRPr="00BC54C2">
        <w:t>Nikon, Inc.</w:t>
      </w:r>
      <w:r w:rsidRPr="00BC54C2">
        <w:t xml:space="preserve"> </w:t>
      </w:r>
      <w:r w:rsidRPr="00BC54C2">
        <w:t>v.</w:t>
      </w:r>
      <w:r w:rsidRPr="00BC54C2">
        <w:t xml:space="preserve"> </w:t>
      </w:r>
      <w:r w:rsidRPr="00BC54C2">
        <w:t>Ikon Corp., 987 F.2d 91, 96, 25 USPQ2d 2021 (2d Cir.</w:t>
      </w:r>
      <w:r w:rsidRPr="00BC54C2">
        <w:t xml:space="preserve"> </w:t>
      </w:r>
      <w:r w:rsidRPr="00BC54C2">
        <w:t>1993) (state laws not preempted by Lanham Act);</w:t>
      </w:r>
      <w:r w:rsidRPr="00BC54C2">
        <w:t xml:space="preserve"> </w:t>
      </w:r>
      <w:r w:rsidRPr="00BC54C2">
        <w:t>Golden Door, Inc.</w:t>
      </w:r>
      <w:r w:rsidRPr="00BC54C2">
        <w:t xml:space="preserve"> </w:t>
      </w:r>
      <w:r w:rsidRPr="00BC54C2">
        <w:t>v.</w:t>
      </w:r>
      <w:r w:rsidRPr="00BC54C2">
        <w:t xml:space="preserve"> </w:t>
      </w:r>
      <w:r w:rsidRPr="00BC54C2">
        <w:t>Odisho, 646 F.2d 347, 351–52, 208 USPQ 638 (9th Cir.</w:t>
      </w:r>
      <w:r w:rsidRPr="00BC54C2">
        <w:t xml:space="preserve"> </w:t>
      </w:r>
      <w:r w:rsidRPr="00BC54C2">
        <w:t>1980) (same);</w:t>
      </w:r>
      <w:r w:rsidRPr="00BC54C2">
        <w:t xml:space="preserve"> </w:t>
      </w:r>
      <w:proofErr w:type="spellStart"/>
      <w:r w:rsidRPr="00BC54C2">
        <w:t>Plasticolor</w:t>
      </w:r>
      <w:proofErr w:type="spellEnd"/>
      <w:r w:rsidRPr="00BC54C2">
        <w:t xml:space="preserve"> Molded Prods.</w:t>
      </w:r>
      <w:r w:rsidRPr="00BC54C2">
        <w:t xml:space="preserve"> </w:t>
      </w:r>
      <w:r w:rsidRPr="00BC54C2">
        <w:t>v.</w:t>
      </w:r>
      <w:r w:rsidRPr="00BC54C2">
        <w:t xml:space="preserve"> </w:t>
      </w:r>
      <w:r w:rsidRPr="00BC54C2">
        <w:t>Ford Motor Co., 713 F.</w:t>
      </w:r>
      <w:r w:rsidRPr="00BC54C2">
        <w:t xml:space="preserve"> </w:t>
      </w:r>
      <w:r w:rsidRPr="00BC54C2">
        <w:t>Supp.</w:t>
      </w:r>
      <w:r w:rsidRPr="00BC54C2">
        <w:t xml:space="preserve"> </w:t>
      </w:r>
      <w:r w:rsidRPr="00BC54C2">
        <w:t>1329, 1344–46, 11 USPQ2d 1023 (C.D.</w:t>
      </w:r>
      <w:r w:rsidRPr="00BC54C2">
        <w:t xml:space="preserve"> </w:t>
      </w:r>
      <w:r w:rsidRPr="00BC54C2">
        <w:t>Cal.</w:t>
      </w:r>
      <w:r w:rsidRPr="00BC54C2">
        <w:t xml:space="preserve"> </w:t>
      </w:r>
      <w:r w:rsidRPr="00BC54C2">
        <w:t xml:space="preserve">1989) (same), </w:t>
      </w:r>
      <w:r w:rsidRPr="00BC54C2">
        <w:rPr>
          <w:i/>
        </w:rPr>
        <w:t>vacated pursuant to consent judgment</w:t>
      </w:r>
      <w:r w:rsidRPr="00BC54C2">
        <w:t>, 767 F.</w:t>
      </w:r>
      <w:r w:rsidRPr="00BC54C2">
        <w:t xml:space="preserve"> </w:t>
      </w:r>
      <w:r w:rsidRPr="00BC54C2">
        <w:t>Supp.</w:t>
      </w:r>
      <w:r w:rsidRPr="00BC54C2">
        <w:t xml:space="preserve"> </w:t>
      </w:r>
      <w:r w:rsidRPr="00BC54C2">
        <w:t>1036, 18 USPQ2d 1975 (C.D.</w:t>
      </w:r>
      <w:r w:rsidRPr="00BC54C2">
        <w:t xml:space="preserve"> </w:t>
      </w:r>
      <w:r w:rsidRPr="00BC54C2">
        <w:t>Cal.</w:t>
      </w:r>
      <w:r w:rsidRPr="00BC54C2">
        <w:t xml:space="preserve"> </w:t>
      </w:r>
      <w:r w:rsidRPr="00BC54C2">
        <w:t xml:space="preserve">1991), </w:t>
      </w:r>
      <w:r w:rsidRPr="00BC54C2">
        <w:rPr>
          <w:i/>
        </w:rPr>
        <w:t>with</w:t>
      </w:r>
      <w:r w:rsidRPr="00BC54C2">
        <w:t xml:space="preserve"> U.S.</w:t>
      </w:r>
      <w:r w:rsidRPr="00BC54C2">
        <w:t xml:space="preserve"> </w:t>
      </w:r>
      <w:r w:rsidRPr="00BC54C2">
        <w:t>Jaycees v.</w:t>
      </w:r>
      <w:r w:rsidRPr="00BC54C2">
        <w:t xml:space="preserve"> </w:t>
      </w:r>
      <w:r w:rsidRPr="00BC54C2">
        <w:t>Commodities Magazine, Inc., 661 F.</w:t>
      </w:r>
      <w:r w:rsidRPr="00BC54C2">
        <w:t xml:space="preserve"> </w:t>
      </w:r>
      <w:r w:rsidRPr="00BC54C2">
        <w:t>Supp.</w:t>
      </w:r>
      <w:r w:rsidRPr="00BC54C2">
        <w:t xml:space="preserve"> </w:t>
      </w:r>
      <w:r w:rsidRPr="00BC54C2">
        <w:t>1360, 1366–68, 2 USPQ2d 1119 (N.D.</w:t>
      </w:r>
      <w:r w:rsidRPr="00BC54C2">
        <w:t xml:space="preserve"> </w:t>
      </w:r>
      <w:r w:rsidRPr="00BC54C2">
        <w:t>Iowa 1987) (Lanham Act preempts state dilution laws).</w:t>
      </w:r>
      <w:r w:rsidRPr="00BC54C2">
        <w:t xml:space="preserve"> </w:t>
      </w:r>
      <w:r w:rsidRPr="00BC54C2">
        <w:rPr>
          <w:i/>
        </w:rPr>
        <w:t>See also</w:t>
      </w:r>
      <w:r w:rsidRPr="00BC54C2">
        <w:t xml:space="preserve"> Escada AG v.</w:t>
      </w:r>
      <w:r w:rsidRPr="00BC54C2">
        <w:t xml:space="preserve"> </w:t>
      </w:r>
      <w:r w:rsidRPr="00BC54C2">
        <w:t>Limited, Inc., 810 F.</w:t>
      </w:r>
      <w:r w:rsidRPr="00BC54C2">
        <w:t xml:space="preserve"> </w:t>
      </w:r>
      <w:r w:rsidRPr="00BC54C2">
        <w:t>Supp.</w:t>
      </w:r>
      <w:r w:rsidRPr="00BC54C2">
        <w:t xml:space="preserve"> </w:t>
      </w:r>
      <w:r w:rsidRPr="00BC54C2">
        <w:t>571, 573–74, 25 USPQ2d 1970 (S.D.N.Y.</w:t>
      </w:r>
      <w:r w:rsidRPr="00BC54C2">
        <w:t xml:space="preserve"> </w:t>
      </w:r>
      <w:r w:rsidRPr="00BC54C2">
        <w:t>1993) (protection for product configurations under state dilution laws preempted by patent laws).</w:t>
      </w:r>
    </w:p>
  </w:footnote>
  <w:footnote w:id="90">
    <w:p w14:paraId="345A1F4B" w14:textId="0106D699" w:rsidR="00BC54C2" w:rsidRPr="006C6CD8" w:rsidRDefault="00BC54C2" w:rsidP="00BC54C2">
      <w:pPr>
        <w:pStyle w:val="FootnoteText"/>
      </w:pPr>
      <w:r w:rsidRPr="00BC54C2">
        <w:rPr>
          <w:vertAlign w:val="superscript"/>
        </w:rPr>
        <w:footnoteRef/>
      </w:r>
      <w:r w:rsidRPr="00BC54C2">
        <w:t>15 U.S.C.</w:t>
      </w:r>
      <w:r w:rsidRPr="00BC54C2">
        <w:t xml:space="preserve"> </w:t>
      </w:r>
      <w:r w:rsidRPr="00BC54C2">
        <w:t>§1125(c)(6) (barring state dilution claims against a federally registered mark).</w:t>
      </w:r>
    </w:p>
  </w:footnote>
  <w:footnote w:id="91">
    <w:p w14:paraId="3D3F9E24" w14:textId="703F3094" w:rsidR="00BC54C2" w:rsidRPr="006C6CD8" w:rsidRDefault="00BC54C2" w:rsidP="00BC54C2">
      <w:pPr>
        <w:pStyle w:val="FootnoteText"/>
      </w:pPr>
      <w:r w:rsidRPr="00BC54C2">
        <w:rPr>
          <w:vertAlign w:val="superscript"/>
        </w:rPr>
        <w:footnoteRef/>
      </w:r>
      <w:r w:rsidRPr="00BC54C2">
        <w:rPr>
          <w:smallCaps/>
        </w:rPr>
        <w:t>H.R.</w:t>
      </w:r>
      <w:r w:rsidRPr="00BC54C2">
        <w:rPr>
          <w:smallCaps/>
        </w:rPr>
        <w:t xml:space="preserve"> </w:t>
      </w:r>
      <w:r w:rsidRPr="00BC54C2">
        <w:rPr>
          <w:smallCaps/>
        </w:rPr>
        <w:t>Rep.</w:t>
      </w:r>
      <w:r w:rsidRPr="00BC54C2">
        <w:rPr>
          <w:smallCaps/>
        </w:rPr>
        <w:t xml:space="preserve"> </w:t>
      </w:r>
      <w:r w:rsidRPr="00BC54C2">
        <w:rPr>
          <w:smallCaps/>
        </w:rPr>
        <w:t>No.</w:t>
      </w:r>
      <w:r w:rsidRPr="00BC54C2">
        <w:rPr>
          <w:smallCaps/>
        </w:rPr>
        <w:t xml:space="preserve"> </w:t>
      </w:r>
      <w:r w:rsidRPr="00BC54C2">
        <w:t xml:space="preserve">104-374, at 4 (1995), </w:t>
      </w:r>
      <w:r w:rsidRPr="00BC54C2">
        <w:rPr>
          <w:i/>
        </w:rPr>
        <w:t xml:space="preserve">reprinted in </w:t>
      </w:r>
      <w:r w:rsidRPr="00BC54C2">
        <w:t>1995 U.S.C.C.A.N.</w:t>
      </w:r>
      <w:r w:rsidRPr="00BC54C2">
        <w:t xml:space="preserve"> </w:t>
      </w:r>
      <w:r w:rsidRPr="00BC54C2">
        <w:t>1029, 1031 (Nov.</w:t>
      </w:r>
      <w:r w:rsidRPr="00BC54C2">
        <w:t xml:space="preserve"> </w:t>
      </w:r>
      <w:r w:rsidRPr="00BC54C2">
        <w:t>30, 1995).</w:t>
      </w:r>
      <w:r w:rsidRPr="00BC54C2">
        <w:t xml:space="preserve"> </w:t>
      </w:r>
      <w:r w:rsidRPr="00BC54C2">
        <w:t>The report noted that federal and state trademark laws have coexisted for a long time and Congress did not intend the FTDA to change that.</w:t>
      </w:r>
    </w:p>
  </w:footnote>
  <w:footnote w:id="92">
    <w:p w14:paraId="78CA92E5" w14:textId="4CBA23FD" w:rsidR="00BC54C2" w:rsidRPr="00BC54C2" w:rsidRDefault="00BC54C2" w:rsidP="00BC54C2">
      <w:pPr>
        <w:pStyle w:val="FootnoteText"/>
      </w:pPr>
      <w:r w:rsidRPr="00BC54C2">
        <w:rPr>
          <w:vertAlign w:val="superscript"/>
        </w:rPr>
        <w:footnoteRef/>
      </w:r>
      <w:r w:rsidRPr="00BC54C2">
        <w:t>The statute provides as follows:</w:t>
      </w:r>
    </w:p>
    <w:p w14:paraId="0E725481" w14:textId="4E94B7C0" w:rsidR="00BC54C2" w:rsidRPr="00BC54C2" w:rsidRDefault="00BC54C2" w:rsidP="00BC54C2">
      <w:pPr>
        <w:pStyle w:val="BQuotelong"/>
      </w:pPr>
      <w:r w:rsidRPr="00BC54C2">
        <w:t>The ownership by a person of a valid registration under the Act of March 3, 1881, or the Act of February 20, 1905, or on the principal register under this chapter shall be a complete bar to an action against that person, with respect to that mark, that—</w:t>
      </w:r>
    </w:p>
    <w:p w14:paraId="53208F56" w14:textId="3A5A1AAA" w:rsidR="00BC54C2" w:rsidRPr="00BC54C2" w:rsidRDefault="00BC54C2" w:rsidP="00BC54C2">
      <w:pPr>
        <w:pStyle w:val="BQuotelong"/>
      </w:pPr>
      <w:r w:rsidRPr="00BC54C2">
        <w:t>(A) is brought by another person under the common law or a statute of a State;</w:t>
      </w:r>
      <w:r w:rsidRPr="00BC54C2">
        <w:t xml:space="preserve"> </w:t>
      </w:r>
      <w:r w:rsidRPr="00BC54C2">
        <w:t>and</w:t>
      </w:r>
    </w:p>
    <w:p w14:paraId="2327B21B" w14:textId="2DBDC466" w:rsidR="00BC54C2" w:rsidRPr="00BC54C2" w:rsidRDefault="00BC54C2" w:rsidP="00BC54C2">
      <w:pPr>
        <w:pStyle w:val="BQuotelong"/>
      </w:pPr>
      <w:r w:rsidRPr="00BC54C2">
        <w:t>(B)(</w:t>
      </w:r>
      <w:proofErr w:type="spellStart"/>
      <w:r w:rsidRPr="00BC54C2">
        <w:t>i</w:t>
      </w:r>
      <w:proofErr w:type="spellEnd"/>
      <w:r w:rsidRPr="00BC54C2">
        <w:t xml:space="preserve">) seeks to prevent dilution by blurring or dilution by </w:t>
      </w:r>
      <w:proofErr w:type="spellStart"/>
      <w:r w:rsidRPr="00BC54C2">
        <w:t>tarnishment</w:t>
      </w:r>
      <w:proofErr w:type="spellEnd"/>
      <w:r w:rsidRPr="00BC54C2">
        <w:t>;</w:t>
      </w:r>
      <w:r w:rsidRPr="00BC54C2">
        <w:t xml:space="preserve"> </w:t>
      </w:r>
      <w:r w:rsidRPr="00BC54C2">
        <w:t>or</w:t>
      </w:r>
    </w:p>
    <w:p w14:paraId="44E883CF" w14:textId="64245252" w:rsidR="00BC54C2" w:rsidRPr="00BC54C2" w:rsidRDefault="00BC54C2" w:rsidP="00BC54C2">
      <w:pPr>
        <w:pStyle w:val="BQuotelong"/>
      </w:pPr>
      <w:r w:rsidRPr="00BC54C2">
        <w:t>(ii) asserts any claim of actual or likely damage or harm to the distinctiveness or reputation of a mark, label, or form of advertisement.</w:t>
      </w:r>
    </w:p>
    <w:p w14:paraId="27157969" w14:textId="77777777" w:rsidR="00BC54C2" w:rsidRPr="006C6CD8" w:rsidRDefault="00BC54C2" w:rsidP="00BC54C2">
      <w:pPr>
        <w:pStyle w:val="FootnoteText"/>
      </w:pPr>
      <w:r w:rsidRPr="00BC54C2">
        <w:t>15 U.S.C.</w:t>
      </w:r>
      <w:r w:rsidRPr="00BC54C2">
        <w:t xml:space="preserve"> </w:t>
      </w:r>
      <w:r w:rsidRPr="00BC54C2">
        <w:t>§1125(c)(6).</w:t>
      </w:r>
      <w:r w:rsidRPr="00BC54C2">
        <w:t xml:space="preserve"> </w:t>
      </w:r>
      <w:r w:rsidRPr="00BC54C2">
        <w:t>Marks registered on the supplemental register, which are ordinarily descriptive marks and therefore presumptively weak, are not covered by this provision.</w:t>
      </w:r>
    </w:p>
  </w:footnote>
  <w:footnote w:id="93">
    <w:p w14:paraId="0C230682" w14:textId="5616C1CB" w:rsidR="00BC54C2" w:rsidRPr="00BC54C2" w:rsidRDefault="00BC54C2" w:rsidP="00BC54C2">
      <w:pPr>
        <w:pStyle w:val="FootnoteText"/>
      </w:pPr>
      <w:r w:rsidRPr="00BC54C2">
        <w:rPr>
          <w:vertAlign w:val="superscript"/>
        </w:rPr>
        <w:footnoteRef/>
      </w:r>
      <w:r w:rsidRPr="00BC54C2">
        <w:t>Originally Section 43(c)(3), the FTDA provision was as follows:</w:t>
      </w:r>
    </w:p>
    <w:p w14:paraId="36BD5B6E" w14:textId="607708C0" w:rsidR="00BC54C2" w:rsidRPr="006C6CD8" w:rsidRDefault="00BC54C2" w:rsidP="00BC54C2">
      <w:pPr>
        <w:pStyle w:val="BQuotelong"/>
      </w:pPr>
      <w:r w:rsidRPr="00BC54C2">
        <w:t>The ownership by a person of a valid registration under the Act of March 3, 1881, or the Act of February 20, 1905, or on the principal register shall be a complete bar to an action against that person, with respect to that mark, that is brought by another person under the common law or a statute of a State and that seeks to prevent dilution of the distinctiveness of a mark, label, or form of advertisement.</w:t>
      </w:r>
    </w:p>
  </w:footnote>
  <w:footnote w:id="94">
    <w:p w14:paraId="3B0FDCF6" w14:textId="42E692DA" w:rsidR="00BC54C2" w:rsidRPr="006C6CD8" w:rsidRDefault="00BC54C2" w:rsidP="00BC54C2">
      <w:pPr>
        <w:pStyle w:val="FootnoteText"/>
      </w:pPr>
      <w:r w:rsidRPr="00BC54C2">
        <w:rPr>
          <w:vertAlign w:val="superscript"/>
        </w:rPr>
        <w:footnoteRef/>
      </w:r>
      <w:r w:rsidRPr="00BC54C2">
        <w:t>See Chapter 10, §V, for further discussion of this issue, particularly the effect of the changes in the wording of the defense brought about by the TDRA.</w:t>
      </w:r>
      <w:r w:rsidRPr="00BC54C2">
        <w:t xml:space="preserve"> </w:t>
      </w:r>
      <w:r w:rsidRPr="00BC54C2">
        <w:t>See Chapter 9, §II.B.2 and 3, for a discussion of the legislative history.</w:t>
      </w:r>
    </w:p>
  </w:footnote>
  <w:footnote w:id="95">
    <w:p w14:paraId="25743A20" w14:textId="7A66A3EF" w:rsidR="00BC54C2" w:rsidRPr="006C6CD8" w:rsidRDefault="00BC54C2" w:rsidP="00BC54C2">
      <w:pPr>
        <w:pStyle w:val="FootnoteText"/>
      </w:pPr>
      <w:r w:rsidRPr="00BC54C2">
        <w:rPr>
          <w:vertAlign w:val="superscript"/>
        </w:rPr>
        <w:footnoteRef/>
      </w:r>
      <w:r w:rsidRPr="00BC54C2">
        <w:t>Lanham Act §43(c)(6)(A)(ii), 15 U.S.C.</w:t>
      </w:r>
      <w:r w:rsidRPr="00BC54C2">
        <w:t xml:space="preserve"> </w:t>
      </w:r>
      <w:r w:rsidRPr="00BC54C2">
        <w:t>§1125(c)(6)(A)(ii).</w:t>
      </w:r>
    </w:p>
  </w:footnote>
  <w:footnote w:id="96">
    <w:p w14:paraId="549E11AA" w14:textId="47FD8BB0" w:rsidR="00BC54C2" w:rsidRPr="006C6CD8" w:rsidRDefault="00BC54C2" w:rsidP="00BC54C2">
      <w:pPr>
        <w:pStyle w:val="FootnoteText"/>
      </w:pPr>
      <w:r w:rsidRPr="00BC54C2">
        <w:rPr>
          <w:vertAlign w:val="superscript"/>
        </w:rPr>
        <w:footnoteRef/>
      </w:r>
      <w:r w:rsidRPr="00BC54C2">
        <w:rPr>
          <w:i/>
        </w:rPr>
        <w:t>Id</w:t>
      </w:r>
      <w:r w:rsidRPr="00BC54C2">
        <w:t>.</w:t>
      </w:r>
      <w:r w:rsidRPr="00BC54C2">
        <w:t xml:space="preserve"> </w:t>
      </w:r>
      <w:r w:rsidRPr="00BC54C2">
        <w:t>§43(c)(2)(C), 15 U.S.C.</w:t>
      </w:r>
      <w:r w:rsidRPr="00BC54C2">
        <w:t xml:space="preserve"> </w:t>
      </w:r>
      <w:r w:rsidRPr="00BC54C2">
        <w:t xml:space="preserve">§1125(c)(2)(C) (defining dilution by </w:t>
      </w:r>
      <w:proofErr w:type="spellStart"/>
      <w:r w:rsidRPr="00BC54C2">
        <w:t>tarnishment</w:t>
      </w:r>
      <w:proofErr w:type="spellEnd"/>
      <w:r w:rsidRPr="00BC54C2">
        <w:t>).</w:t>
      </w:r>
    </w:p>
  </w:footnote>
  <w:footnote w:id="97">
    <w:p w14:paraId="087FBE55" w14:textId="5AF56C4A" w:rsidR="00BC54C2" w:rsidRPr="006C6CD8" w:rsidRDefault="00BC54C2" w:rsidP="00BC54C2">
      <w:pPr>
        <w:pStyle w:val="FootnoteText"/>
      </w:pPr>
      <w:r w:rsidRPr="00BC54C2">
        <w:rPr>
          <w:vertAlign w:val="superscript"/>
        </w:rPr>
        <w:footnoteRef/>
      </w:r>
      <w:r w:rsidRPr="00BC54C2">
        <w:t xml:space="preserve">In </w:t>
      </w:r>
      <w:r w:rsidRPr="00BC54C2">
        <w:rPr>
          <w:i/>
        </w:rPr>
        <w:t xml:space="preserve">Tortoise Island Homeowners </w:t>
      </w:r>
      <w:proofErr w:type="spellStart"/>
      <w:r w:rsidRPr="00BC54C2">
        <w:rPr>
          <w:i/>
        </w:rPr>
        <w:t>Ass’n</w:t>
      </w:r>
      <w:proofErr w:type="spellEnd"/>
      <w:r w:rsidRPr="00BC54C2">
        <w:rPr>
          <w:i/>
        </w:rPr>
        <w:t>, Inc</w:t>
      </w:r>
      <w:r w:rsidRPr="00BC54C2">
        <w:t>.</w:t>
      </w:r>
      <w:r w:rsidRPr="00BC54C2">
        <w:t xml:space="preserve"> </w:t>
      </w:r>
      <w:r w:rsidRPr="00BC54C2">
        <w:rPr>
          <w:i/>
        </w:rPr>
        <w:t>v</w:t>
      </w:r>
      <w:r w:rsidRPr="00BC54C2">
        <w:t>.</w:t>
      </w:r>
      <w:r w:rsidRPr="00BC54C2">
        <w:t xml:space="preserve"> </w:t>
      </w:r>
      <w:r w:rsidRPr="00BC54C2">
        <w:rPr>
          <w:i/>
        </w:rPr>
        <w:t>Tortoise Island Realty, Inc</w:t>
      </w:r>
      <w:r w:rsidRPr="00BC54C2">
        <w:t>., 790 So.2d 525 (Fla.</w:t>
      </w:r>
      <w:r w:rsidRPr="00BC54C2">
        <w:t xml:space="preserve"> </w:t>
      </w:r>
      <w:r w:rsidRPr="00BC54C2">
        <w:t>Dist.</w:t>
      </w:r>
      <w:r w:rsidRPr="00BC54C2">
        <w:t xml:space="preserve"> </w:t>
      </w:r>
      <w:r w:rsidRPr="00BC54C2">
        <w:t>Ct.</w:t>
      </w:r>
      <w:r w:rsidRPr="00BC54C2">
        <w:t xml:space="preserve"> </w:t>
      </w:r>
      <w:r w:rsidRPr="00BC54C2">
        <w:t>App.</w:t>
      </w:r>
      <w:r w:rsidRPr="00BC54C2">
        <w:t xml:space="preserve"> </w:t>
      </w:r>
      <w:r w:rsidRPr="00BC54C2">
        <w:t>2001), the defendant registered its mark in 1999, apparently after the mark, as used by the plaintiff, was considered distinctive under state law.</w:t>
      </w:r>
      <w:r w:rsidRPr="00BC54C2">
        <w:t xml:space="preserve"> </w:t>
      </w:r>
      <w:r w:rsidRPr="00BC54C2">
        <w:t>However, the court upheld the dilution claim under Florida law without even mentioning §43(c)(6) (which was then §43(c)(3)).</w:t>
      </w:r>
      <w:r w:rsidRPr="00BC54C2">
        <w:t xml:space="preserve"> </w:t>
      </w:r>
      <w:r w:rsidRPr="00BC54C2">
        <w:rPr>
          <w:i/>
        </w:rPr>
        <w:t>See also</w:t>
      </w:r>
      <w:r w:rsidRPr="00BC54C2">
        <w:t xml:space="preserve"> Viacom, Inc.</w:t>
      </w:r>
      <w:r w:rsidRPr="00BC54C2">
        <w:t xml:space="preserve"> </w:t>
      </w:r>
      <w:r w:rsidRPr="00BC54C2">
        <w:t>v.</w:t>
      </w:r>
      <w:r w:rsidRPr="00BC54C2">
        <w:t xml:space="preserve"> </w:t>
      </w:r>
      <w:r w:rsidRPr="00BC54C2">
        <w:t>Ingram Enters., Inc., 141 F.3d 886, 890, 46 USPQ2d 1473 (8th Cir.</w:t>
      </w:r>
      <w:r w:rsidRPr="00BC54C2">
        <w:t xml:space="preserve"> </w:t>
      </w:r>
      <w:r w:rsidRPr="00BC54C2">
        <w:t>1998) (FTDA defense applies even to marks registered before the enactment of the FTDA).</w:t>
      </w:r>
    </w:p>
  </w:footnote>
  <w:footnote w:id="98">
    <w:p w14:paraId="4E981477" w14:textId="2FF151C1" w:rsidR="00BC54C2" w:rsidRPr="006C6CD8" w:rsidRDefault="00BC54C2" w:rsidP="00BC54C2">
      <w:pPr>
        <w:pStyle w:val="FootnoteText"/>
      </w:pPr>
      <w:r w:rsidRPr="00BC54C2">
        <w:rPr>
          <w:vertAlign w:val="superscript"/>
        </w:rPr>
        <w:footnoteRef/>
      </w:r>
      <w:r w:rsidRPr="00BC54C2">
        <w:t>Jet, Inc.</w:t>
      </w:r>
      <w:r w:rsidRPr="00BC54C2">
        <w:t xml:space="preserve"> </w:t>
      </w:r>
      <w:r w:rsidRPr="00BC54C2">
        <w:t>v.</w:t>
      </w:r>
      <w:r w:rsidRPr="00BC54C2">
        <w:t xml:space="preserve"> </w:t>
      </w:r>
      <w:r w:rsidRPr="00BC54C2">
        <w:t>Sewage Aeration Sys., 165 F.3d 419, 424, 49 USPQ2d 1355 (6th Cir.</w:t>
      </w:r>
      <w:r w:rsidRPr="00BC54C2">
        <w:t xml:space="preserve"> </w:t>
      </w:r>
      <w:r w:rsidRPr="00BC54C2">
        <w:t>1999);</w:t>
      </w:r>
      <w:r w:rsidRPr="00BC54C2">
        <w:t xml:space="preserve"> </w:t>
      </w:r>
      <w:r w:rsidRPr="00BC54C2">
        <w:t>Viacom, Inc.</w:t>
      </w:r>
      <w:r w:rsidRPr="00BC54C2">
        <w:t xml:space="preserve"> </w:t>
      </w:r>
      <w:r w:rsidRPr="00BC54C2">
        <w:t>v.</w:t>
      </w:r>
      <w:r w:rsidRPr="00BC54C2">
        <w:t xml:space="preserve"> </w:t>
      </w:r>
      <w:r w:rsidRPr="00BC54C2">
        <w:t>Ingram Enters., Inc., 141 F.3d 886, 891 n.8, 46 USPQ2d 1473 (8th Cir.</w:t>
      </w:r>
      <w:r w:rsidRPr="00BC54C2">
        <w:t xml:space="preserve"> </w:t>
      </w:r>
      <w:r w:rsidRPr="00BC54C2">
        <w:t>1998);</w:t>
      </w:r>
      <w:r w:rsidRPr="00BC54C2">
        <w:t xml:space="preserve"> </w:t>
      </w:r>
      <w:r w:rsidRPr="00BC54C2">
        <w:t>Adidas America, Inc.</w:t>
      </w:r>
      <w:r w:rsidRPr="00BC54C2">
        <w:t xml:space="preserve"> </w:t>
      </w:r>
      <w:r w:rsidRPr="00BC54C2">
        <w:t>v.</w:t>
      </w:r>
      <w:r w:rsidRPr="00BC54C2">
        <w:t xml:space="preserve"> </w:t>
      </w:r>
      <w:r w:rsidRPr="00BC54C2">
        <w:t>TRB Acquisitions, LLC, 2018 WL 10335661, at *3-4, 2018 BL 535600 (D.</w:t>
      </w:r>
      <w:r w:rsidRPr="00BC54C2">
        <w:t xml:space="preserve"> </w:t>
      </w:r>
      <w:r w:rsidRPr="00BC54C2">
        <w:t>Or.</w:t>
      </w:r>
      <w:r w:rsidRPr="00BC54C2">
        <w:t xml:space="preserve"> </w:t>
      </w:r>
      <w:r w:rsidRPr="00BC54C2">
        <w:t>Dec.</w:t>
      </w:r>
      <w:r w:rsidRPr="00BC54C2">
        <w:t xml:space="preserve"> </w:t>
      </w:r>
      <w:r w:rsidRPr="00BC54C2">
        <w:t>13, 2018);</w:t>
      </w:r>
      <w:r w:rsidRPr="00BC54C2">
        <w:t xml:space="preserve"> </w:t>
      </w:r>
      <w:r w:rsidRPr="00BC54C2">
        <w:t>Buc-ee’s, Ltd.</w:t>
      </w:r>
      <w:r w:rsidRPr="00BC54C2">
        <w:t xml:space="preserve"> </w:t>
      </w:r>
      <w:r w:rsidRPr="00BC54C2">
        <w:t>v.</w:t>
      </w:r>
      <w:r w:rsidRPr="00BC54C2">
        <w:t xml:space="preserve"> </w:t>
      </w:r>
      <w:r w:rsidRPr="00BC54C2">
        <w:t>Panjwani, 2017 WL 4221461, at *3 (S.D.</w:t>
      </w:r>
      <w:r w:rsidRPr="00BC54C2">
        <w:t xml:space="preserve"> </w:t>
      </w:r>
      <w:r w:rsidRPr="00BC54C2">
        <w:t>Tex.</w:t>
      </w:r>
      <w:r w:rsidRPr="00BC54C2">
        <w:t xml:space="preserve"> </w:t>
      </w:r>
      <w:r w:rsidRPr="00BC54C2">
        <w:t>Sept.</w:t>
      </w:r>
      <w:r w:rsidRPr="00BC54C2">
        <w:t xml:space="preserve"> </w:t>
      </w:r>
      <w:r w:rsidRPr="00BC54C2">
        <w:t>21, 2017).</w:t>
      </w:r>
      <w:r w:rsidRPr="00BC54C2">
        <w:t xml:space="preserve"> </w:t>
      </w:r>
      <w:r w:rsidRPr="00BC54C2">
        <w:rPr>
          <w:i/>
        </w:rPr>
        <w:t>See</w:t>
      </w:r>
      <w:r w:rsidRPr="00BC54C2">
        <w:t xml:space="preserve"> Chapter 10, §V.</w:t>
      </w:r>
      <w:r w:rsidRPr="00BC54C2">
        <w:t xml:space="preserve"> </w:t>
      </w:r>
      <w:r w:rsidRPr="00BC54C2">
        <w:t xml:space="preserve">However, one cannot challenge an application for federal registration based on a potential </w:t>
      </w:r>
      <w:r w:rsidRPr="00BC54C2">
        <w:rPr>
          <w:i/>
        </w:rPr>
        <w:t>state</w:t>
      </w:r>
      <w:r w:rsidRPr="00BC54C2">
        <w:t xml:space="preserve"> law claim for dilution.</w:t>
      </w:r>
      <w:r w:rsidRPr="00BC54C2">
        <w:t xml:space="preserve"> </w:t>
      </w:r>
      <w:r w:rsidRPr="00BC54C2">
        <w:rPr>
          <w:i/>
        </w:rPr>
        <w:t>See</w:t>
      </w:r>
      <w:r w:rsidRPr="00BC54C2">
        <w:t xml:space="preserve"> Chapter 13, §III.</w:t>
      </w:r>
    </w:p>
  </w:footnote>
  <w:footnote w:id="99">
    <w:p w14:paraId="1123EDE3" w14:textId="57DA1E59" w:rsidR="00BC54C2" w:rsidRDefault="00BC54C2" w:rsidP="00BC54C2">
      <w:pPr>
        <w:pStyle w:val="FootnoteText"/>
      </w:pPr>
      <w:r w:rsidRPr="00BC54C2">
        <w:rPr>
          <w:vertAlign w:val="superscript"/>
        </w:rPr>
        <w:footnoteRef/>
      </w:r>
      <w:r w:rsidRPr="00BC54C2">
        <w:t>Global Brand Holdings, LLC v.</w:t>
      </w:r>
      <w:r w:rsidRPr="00BC54C2">
        <w:t xml:space="preserve"> </w:t>
      </w:r>
      <w:r w:rsidRPr="00BC54C2">
        <w:t>Church &amp; Dwight Co., 2017 WL 6515419, at *6, 2017 BL 454444 (S.D.N.Y.</w:t>
      </w:r>
      <w:r w:rsidRPr="00BC54C2">
        <w:t xml:space="preserve"> </w:t>
      </w:r>
      <w:r w:rsidRPr="00BC54C2">
        <w:t>Dec.</w:t>
      </w:r>
      <w:r w:rsidRPr="00BC54C2">
        <w:t xml:space="preserve"> </w:t>
      </w:r>
      <w:r w:rsidRPr="00BC54C2">
        <w:t>19, 2017).</w:t>
      </w:r>
      <w:r w:rsidRPr="00BC54C2">
        <w:t xml:space="preserve"> </w:t>
      </w:r>
      <w:r w:rsidRPr="00BC54C2">
        <w:rPr>
          <w:i/>
        </w:rPr>
        <w:t>But see</w:t>
      </w:r>
      <w:r w:rsidRPr="00BC54C2">
        <w:t xml:space="preserve"> </w:t>
      </w:r>
      <w:proofErr w:type="spellStart"/>
      <w:r w:rsidRPr="00BC54C2">
        <w:t>Lovetap</w:t>
      </w:r>
      <w:proofErr w:type="spellEnd"/>
      <w:r w:rsidRPr="00BC54C2">
        <w:t>, LLC v.</w:t>
      </w:r>
      <w:r w:rsidRPr="00BC54C2">
        <w:t xml:space="preserve"> </w:t>
      </w:r>
      <w:r w:rsidRPr="00BC54C2">
        <w:t>CVS Health Corp., 2017 WL 3250374, at *2–4, 2017 BL 265114 (N.D.</w:t>
      </w:r>
      <w:r w:rsidRPr="00BC54C2">
        <w:t xml:space="preserve"> </w:t>
      </w:r>
      <w:r w:rsidRPr="00BC54C2">
        <w:t>Ga.</w:t>
      </w:r>
      <w:r w:rsidRPr="00BC54C2">
        <w:t xml:space="preserve"> </w:t>
      </w:r>
      <w:r w:rsidRPr="00BC54C2">
        <w:t>July 31, 2017) (denying dismissal under Section 43(c)(6) where plaintiff pleaded invalidity of defendant’s registration).</w:t>
      </w:r>
    </w:p>
  </w:footnote>
  <w:footnote w:id="100">
    <w:p w14:paraId="005F8BEA" w14:textId="65CB0FE0" w:rsidR="00BC54C2" w:rsidRDefault="00BC54C2" w:rsidP="00BC54C2">
      <w:pPr>
        <w:pStyle w:val="FootnoteText"/>
      </w:pPr>
      <w:r w:rsidRPr="00BC54C2">
        <w:rPr>
          <w:vertAlign w:val="superscript"/>
        </w:rPr>
        <w:footnoteRef/>
      </w:r>
      <w:r w:rsidRPr="00BC54C2">
        <w:rPr>
          <w:i/>
        </w:rPr>
        <w:t>Global Brand</w:t>
      </w:r>
      <w:r w:rsidRPr="00BC54C2">
        <w:t>, 2017 WL 6515419, at *6, 2017 BL 454444.</w:t>
      </w:r>
    </w:p>
  </w:footnote>
  <w:footnote w:id="101">
    <w:p w14:paraId="3F7B1C5C" w14:textId="75F87CE7" w:rsidR="00BC54C2" w:rsidRPr="006C6CD8" w:rsidRDefault="00BC54C2" w:rsidP="00BC54C2">
      <w:pPr>
        <w:pStyle w:val="FootnoteText"/>
      </w:pPr>
      <w:r w:rsidRPr="00BC54C2">
        <w:rPr>
          <w:vertAlign w:val="superscript"/>
        </w:rPr>
        <w:footnoteRef/>
      </w:r>
      <w:r w:rsidRPr="00BC54C2">
        <w:t>Academy of Motion Picture Arts &amp; Sci.</w:t>
      </w:r>
      <w:r w:rsidRPr="00BC54C2">
        <w:t xml:space="preserve"> </w:t>
      </w:r>
      <w:r w:rsidRPr="00BC54C2">
        <w:t>v.</w:t>
      </w:r>
      <w:r w:rsidRPr="00BC54C2">
        <w:t xml:space="preserve"> </w:t>
      </w:r>
      <w:r w:rsidRPr="00BC54C2">
        <w:t>Alliance of Professionals &amp; Consultants, 104 USPQ2d 1234, 1236-37 (T.T.A.B.</w:t>
      </w:r>
      <w:r w:rsidRPr="00BC54C2">
        <w:t xml:space="preserve"> </w:t>
      </w:r>
      <w:r w:rsidRPr="00BC54C2">
        <w:t>2012).</w:t>
      </w:r>
    </w:p>
  </w:footnote>
  <w:footnote w:id="102">
    <w:p w14:paraId="0F8C3260" w14:textId="3CE3B34E" w:rsidR="00BC54C2" w:rsidRPr="006C6CD8" w:rsidRDefault="00BC54C2" w:rsidP="00BC54C2">
      <w:pPr>
        <w:pStyle w:val="FootnoteText"/>
      </w:pPr>
      <w:r w:rsidRPr="00BC54C2">
        <w:rPr>
          <w:vertAlign w:val="superscript"/>
        </w:rPr>
        <w:footnoteRef/>
      </w:r>
      <w:r w:rsidRPr="00BC54C2">
        <w:t>One caveat should be noted.</w:t>
      </w:r>
      <w:r w:rsidRPr="00BC54C2">
        <w:t xml:space="preserve"> </w:t>
      </w:r>
      <w:r w:rsidRPr="00BC54C2">
        <w:t>The statute only applies to cases filed on or after the date it was enacted, which is October 5, 2012 (the date it was signed by the President).</w:t>
      </w:r>
      <w:r w:rsidRPr="00BC54C2">
        <w:t xml:space="preserve"> </w:t>
      </w:r>
      <w:r w:rsidRPr="00BC54C2">
        <w:t>Thus, cases already pending on that date would be subject to the prior wording, with its potentially more expansive preemption provision.</w:t>
      </w:r>
    </w:p>
  </w:footnote>
  <w:footnote w:id="103">
    <w:p w14:paraId="7A86DB3E" w14:textId="43378C83" w:rsidR="00BC54C2" w:rsidRPr="006C6CD8" w:rsidRDefault="00BC54C2" w:rsidP="00BC54C2">
      <w:pPr>
        <w:pStyle w:val="FootnoteText"/>
      </w:pPr>
      <w:r w:rsidRPr="00BC54C2">
        <w:rPr>
          <w:vertAlign w:val="superscript"/>
        </w:rPr>
        <w:footnoteRef/>
      </w:r>
      <w:r w:rsidRPr="00BC54C2">
        <w:rPr>
          <w:smallCaps/>
        </w:rPr>
        <w:t>H.R.</w:t>
      </w:r>
      <w:r w:rsidRPr="00BC54C2">
        <w:rPr>
          <w:smallCaps/>
        </w:rPr>
        <w:t xml:space="preserve"> </w:t>
      </w:r>
      <w:r w:rsidRPr="00BC54C2">
        <w:rPr>
          <w:smallCaps/>
        </w:rPr>
        <w:t>Rep.</w:t>
      </w:r>
      <w:r w:rsidRPr="00BC54C2">
        <w:rPr>
          <w:smallCaps/>
        </w:rPr>
        <w:t xml:space="preserve"> </w:t>
      </w:r>
      <w:r w:rsidRPr="00BC54C2">
        <w:rPr>
          <w:smallCaps/>
        </w:rPr>
        <w:t>No.</w:t>
      </w:r>
      <w:r w:rsidRPr="00BC54C2">
        <w:rPr>
          <w:smallCaps/>
        </w:rPr>
        <w:t xml:space="preserve"> </w:t>
      </w:r>
      <w:r w:rsidRPr="00BC54C2">
        <w:t xml:space="preserve">104-374, at 4 (1995), </w:t>
      </w:r>
      <w:r w:rsidRPr="00BC54C2">
        <w:rPr>
          <w:i/>
        </w:rPr>
        <w:t xml:space="preserve">reprinted in </w:t>
      </w:r>
      <w:r w:rsidRPr="00BC54C2">
        <w:t>1995 U.S.C.C.A.N.</w:t>
      </w:r>
      <w:r w:rsidRPr="00BC54C2">
        <w:t xml:space="preserve"> </w:t>
      </w:r>
      <w:r w:rsidRPr="00BC54C2">
        <w:t>1029, 1031 (Nov.</w:t>
      </w:r>
      <w:r w:rsidRPr="00BC54C2">
        <w:t xml:space="preserve"> </w:t>
      </w:r>
      <w:r w:rsidRPr="00BC54C2">
        <w:t>30, 1995) (footnote omitted).</w:t>
      </w:r>
    </w:p>
  </w:footnote>
  <w:footnote w:id="104">
    <w:p w14:paraId="08491535" w14:textId="6D122604" w:rsidR="00BC54C2" w:rsidRPr="00BC54C2" w:rsidRDefault="00BC54C2" w:rsidP="00BC54C2">
      <w:pPr>
        <w:pStyle w:val="FootnoteText"/>
        <w:rPr>
          <w:b/>
        </w:rPr>
      </w:pPr>
      <w:r w:rsidRPr="00BC54C2">
        <w:rPr>
          <w:vertAlign w:val="superscript"/>
        </w:rPr>
        <w:footnoteRef/>
      </w:r>
      <w:r w:rsidRPr="00BC54C2">
        <w:t xml:space="preserve">The United States Trademark Association Trademark Review Commission Report and Recommendations to USTA President and Board of Directors, 77 </w:t>
      </w:r>
      <w:r w:rsidRPr="00BC54C2">
        <w:rPr>
          <w:smallCaps/>
        </w:rPr>
        <w:t>Trademark Rep.</w:t>
      </w:r>
      <w:r w:rsidRPr="00BC54C2">
        <w:rPr>
          <w:smallCaps/>
        </w:rPr>
        <w:t xml:space="preserve"> </w:t>
      </w:r>
      <w:r w:rsidRPr="00BC54C2">
        <w:t>375, 457 (1987) [hereinafter “USTA Report”].</w:t>
      </w:r>
    </w:p>
    <w:p w14:paraId="701046F1" w14:textId="220AA476" w:rsidR="00BC54C2" w:rsidRPr="006C6CD8" w:rsidRDefault="00BC54C2" w:rsidP="00BC54C2">
      <w:pPr>
        <w:pStyle w:val="FootnoteText"/>
      </w:pPr>
    </w:p>
  </w:footnote>
  <w:footnote w:id="105">
    <w:p w14:paraId="71006478" w14:textId="6960B29A" w:rsidR="00BC54C2" w:rsidRPr="006C6CD8" w:rsidRDefault="00BC54C2" w:rsidP="00BC54C2">
      <w:pPr>
        <w:pStyle w:val="FootnoteText"/>
      </w:pPr>
      <w:r w:rsidRPr="00BC54C2">
        <w:rPr>
          <w:vertAlign w:val="superscript"/>
        </w:rPr>
        <w:footnoteRef/>
      </w:r>
      <w:r w:rsidRPr="00BC54C2">
        <w:rPr>
          <w:i/>
        </w:rPr>
        <w:t>See</w:t>
      </w:r>
      <w:r w:rsidRPr="00BC54C2">
        <w:t xml:space="preserve"> Allis-Chalmers Corp.</w:t>
      </w:r>
      <w:r w:rsidRPr="00BC54C2">
        <w:t xml:space="preserve"> </w:t>
      </w:r>
      <w:r w:rsidRPr="00BC54C2">
        <w:t>v.</w:t>
      </w:r>
      <w:r w:rsidRPr="00BC54C2">
        <w:t xml:space="preserve"> </w:t>
      </w:r>
      <w:r w:rsidRPr="00BC54C2">
        <w:t>Lueck, 471 U.S.</w:t>
      </w:r>
      <w:r w:rsidRPr="00BC54C2">
        <w:t xml:space="preserve"> </w:t>
      </w:r>
      <w:r w:rsidRPr="00BC54C2">
        <w:t>202, 208 (</w:t>
      </w:r>
      <w:proofErr w:type="gramStart"/>
      <w:r w:rsidRPr="00BC54C2">
        <w:t>1985)(</w:t>
      </w:r>
      <w:proofErr w:type="gramEnd"/>
      <w:r w:rsidRPr="00BC54C2">
        <w:t>“[T]he question whether a certain state law is preempted by federal law is one of congressional intent.</w:t>
      </w:r>
      <w:r w:rsidRPr="00BC54C2">
        <w:t xml:space="preserve"> </w:t>
      </w:r>
      <w:r w:rsidRPr="00BC54C2">
        <w:t>‘The purpose of Congress is the ultimate touchstone.</w:t>
      </w:r>
      <w:proofErr w:type="gramStart"/>
      <w:r w:rsidRPr="00BC54C2">
        <w:t>’”(</w:t>
      </w:r>
      <w:proofErr w:type="gramEnd"/>
      <w:r w:rsidRPr="00BC54C2">
        <w:t>quoting Malone v.</w:t>
      </w:r>
      <w:r w:rsidRPr="00BC54C2">
        <w:t xml:space="preserve"> </w:t>
      </w:r>
      <w:r w:rsidRPr="00BC54C2">
        <w:t>White Motor Corp., 435 U.S.</w:t>
      </w:r>
      <w:r w:rsidRPr="00BC54C2">
        <w:t xml:space="preserve"> </w:t>
      </w:r>
      <w:r w:rsidRPr="00BC54C2">
        <w:t>497, 504 (1978) (internal quotes omitted))).</w:t>
      </w:r>
    </w:p>
  </w:footnote>
  <w:footnote w:id="106">
    <w:p w14:paraId="27E88BB3" w14:textId="3DB0B96D" w:rsidR="00BC54C2" w:rsidRPr="006C6CD8" w:rsidRDefault="00BC54C2" w:rsidP="00BC54C2">
      <w:pPr>
        <w:pStyle w:val="FootnoteText"/>
      </w:pPr>
      <w:r w:rsidRPr="00BC54C2">
        <w:rPr>
          <w:vertAlign w:val="superscript"/>
        </w:rPr>
        <w:footnoteRef/>
      </w:r>
      <w:r w:rsidRPr="00BC54C2">
        <w:t>15 U.S.C.</w:t>
      </w:r>
      <w:r w:rsidRPr="00BC54C2">
        <w:t xml:space="preserve"> </w:t>
      </w:r>
      <w:r w:rsidRPr="00BC54C2">
        <w:t>§1125(c)(3).</w:t>
      </w:r>
      <w:r w:rsidRPr="00BC54C2">
        <w:t xml:space="preserve"> </w:t>
      </w:r>
      <w:r w:rsidRPr="00BC54C2">
        <w:t>Originally, the FTDA’s “fair use” exclusion was limited to comparative advertising.</w:t>
      </w:r>
      <w:r w:rsidRPr="00BC54C2">
        <w:t xml:space="preserve"> </w:t>
      </w:r>
      <w:r w:rsidRPr="00BC54C2">
        <w:t>However, the TDRA expanded the coverage of this exclusion.</w:t>
      </w:r>
      <w:r w:rsidRPr="00BC54C2">
        <w:t xml:space="preserve"> </w:t>
      </w:r>
      <w:r w:rsidRPr="00BC54C2">
        <w:rPr>
          <w:i/>
        </w:rPr>
        <w:t>See</w:t>
      </w:r>
      <w:r w:rsidRPr="00BC54C2">
        <w:t xml:space="preserve"> Chapter 10, §II.</w:t>
      </w:r>
    </w:p>
  </w:footnote>
  <w:footnote w:id="107">
    <w:p w14:paraId="66FAC811" w14:textId="5B360AC0" w:rsidR="00BC54C2" w:rsidRPr="00BC54C2" w:rsidRDefault="00BC54C2" w:rsidP="00BC54C2">
      <w:pPr>
        <w:pStyle w:val="FootnoteText"/>
      </w:pPr>
      <w:r w:rsidRPr="00BC54C2">
        <w:rPr>
          <w:vertAlign w:val="superscript"/>
        </w:rPr>
        <w:footnoteRef/>
      </w:r>
      <w:r w:rsidRPr="00BC54C2">
        <w:t>Section 13 of the 1996 Model Bill contains the three original FTDA exclusions (i.e., the fair-use exclusion applies only to comparative advertising), as do many of the state statutes passed since 1995.</w:t>
      </w:r>
      <w:r w:rsidRPr="00BC54C2">
        <w:t xml:space="preserve"> </w:t>
      </w:r>
      <w:r w:rsidRPr="00BC54C2">
        <w:t>The 2007 Model Bill contains the three TDRA exclusions.</w:t>
      </w:r>
    </w:p>
    <w:p w14:paraId="3DDA27DE" w14:textId="77777777" w:rsidR="00BC54C2" w:rsidRPr="006C6CD8" w:rsidRDefault="00BC54C2" w:rsidP="0045768F">
      <w:pPr>
        <w:pStyle w:val="footnote"/>
      </w:pPr>
    </w:p>
  </w:footnote>
  <w:footnote w:id="108">
    <w:p w14:paraId="3F253C68" w14:textId="3B01D799" w:rsidR="00BC54C2" w:rsidRPr="006C6CD8" w:rsidRDefault="00BC54C2" w:rsidP="00BC54C2">
      <w:pPr>
        <w:pStyle w:val="FootnoteText"/>
      </w:pPr>
      <w:r w:rsidRPr="00BC54C2">
        <w:rPr>
          <w:vertAlign w:val="superscript"/>
        </w:rPr>
        <w:footnoteRef/>
      </w:r>
      <w:r w:rsidRPr="00BC54C2">
        <w:rPr>
          <w:i/>
        </w:rPr>
        <w:t>E</w:t>
      </w:r>
      <w:r w:rsidRPr="00BC54C2">
        <w:t>.</w:t>
      </w:r>
      <w:r w:rsidRPr="00BC54C2">
        <w:rPr>
          <w:i/>
        </w:rPr>
        <w:t>g</w:t>
      </w:r>
      <w:r w:rsidRPr="00BC54C2">
        <w:t>., Northland Ins.</w:t>
      </w:r>
      <w:r w:rsidRPr="00BC54C2">
        <w:t xml:space="preserve"> </w:t>
      </w:r>
      <w:r w:rsidRPr="00BC54C2">
        <w:t>Cos.</w:t>
      </w:r>
      <w:r w:rsidRPr="00BC54C2">
        <w:t xml:space="preserve"> </w:t>
      </w:r>
      <w:r w:rsidRPr="00BC54C2">
        <w:t>v.</w:t>
      </w:r>
      <w:r w:rsidRPr="00BC54C2">
        <w:t xml:space="preserve"> </w:t>
      </w:r>
      <w:r w:rsidRPr="00BC54C2">
        <w:t>Blaylock, 115 F.</w:t>
      </w:r>
      <w:r w:rsidRPr="00BC54C2">
        <w:t xml:space="preserve"> </w:t>
      </w:r>
      <w:r w:rsidRPr="00BC54C2">
        <w:t>Supp.</w:t>
      </w:r>
      <w:r w:rsidRPr="00BC54C2">
        <w:t xml:space="preserve"> </w:t>
      </w:r>
      <w:r w:rsidRPr="00BC54C2">
        <w:t>2d 1108, 1123, 56 USPQ2d 1662 (D.</w:t>
      </w:r>
      <w:r w:rsidRPr="00BC54C2">
        <w:t xml:space="preserve"> </w:t>
      </w:r>
      <w:r w:rsidRPr="00BC54C2">
        <w:t>Minn.</w:t>
      </w:r>
      <w:r w:rsidRPr="00BC54C2">
        <w:t xml:space="preserve"> </w:t>
      </w:r>
      <w:r w:rsidRPr="00BC54C2">
        <w:t>2000).</w:t>
      </w:r>
      <w:r w:rsidRPr="00BC54C2">
        <w:t xml:space="preserve"> </w:t>
      </w:r>
      <w:r w:rsidRPr="00BC54C2">
        <w:t>Although the TDRA does not require “commercial use” as an element of the claim, the 2007 Model Bill still contains this requirement.</w:t>
      </w:r>
    </w:p>
  </w:footnote>
  <w:footnote w:id="109">
    <w:p w14:paraId="0D662579" w14:textId="604BD579" w:rsidR="00BC54C2" w:rsidRPr="006C6CD8" w:rsidRDefault="00BC54C2" w:rsidP="00BC54C2">
      <w:pPr>
        <w:pStyle w:val="FootnoteText"/>
      </w:pPr>
      <w:r w:rsidRPr="00BC54C2">
        <w:rPr>
          <w:vertAlign w:val="superscript"/>
        </w:rPr>
        <w:footnoteRef/>
      </w:r>
      <w:r w:rsidRPr="00BC54C2">
        <w:rPr>
          <w:i/>
        </w:rPr>
        <w:t>See</w:t>
      </w:r>
      <w:r w:rsidRPr="00BC54C2">
        <w:t xml:space="preserve"> E &amp; J Gallo Winery v.</w:t>
      </w:r>
      <w:r w:rsidRPr="00BC54C2">
        <w:t xml:space="preserve"> </w:t>
      </w:r>
      <w:r w:rsidRPr="00BC54C2">
        <w:t>Spider Webs Ltd., 129 F.</w:t>
      </w:r>
      <w:r w:rsidRPr="00BC54C2">
        <w:t xml:space="preserve"> </w:t>
      </w:r>
      <w:r w:rsidRPr="00BC54C2">
        <w:t>Supp.</w:t>
      </w:r>
      <w:r w:rsidRPr="00BC54C2">
        <w:t xml:space="preserve"> </w:t>
      </w:r>
      <w:r w:rsidRPr="00BC54C2">
        <w:t>2d 1033, 1037 (S.D.</w:t>
      </w:r>
      <w:r w:rsidRPr="00BC54C2">
        <w:t xml:space="preserve"> </w:t>
      </w:r>
      <w:r w:rsidRPr="00BC54C2">
        <w:t>Tex.</w:t>
      </w:r>
      <w:r w:rsidRPr="00BC54C2">
        <w:t xml:space="preserve"> </w:t>
      </w:r>
      <w:r w:rsidRPr="00BC54C2">
        <w:t xml:space="preserve">2001) (Texas antidilution statute does not require commercial use), </w:t>
      </w:r>
      <w:r w:rsidRPr="00BC54C2">
        <w:rPr>
          <w:i/>
        </w:rPr>
        <w:t>aff’d</w:t>
      </w:r>
      <w:r w:rsidRPr="00BC54C2">
        <w:t>, 286 F.3d 270, 62 USPQ2d 1404 (5th Cir.</w:t>
      </w:r>
      <w:r w:rsidRPr="00BC54C2">
        <w:t xml:space="preserve"> </w:t>
      </w:r>
      <w:r w:rsidRPr="00BC54C2">
        <w:t>2002) (the Fifth Circuit declined to decide this issue).</w:t>
      </w:r>
    </w:p>
  </w:footnote>
  <w:footnote w:id="110">
    <w:p w14:paraId="09BDE234" w14:textId="10FBDD10" w:rsidR="00BC54C2" w:rsidRPr="006C6CD8" w:rsidRDefault="00BC54C2" w:rsidP="00BC54C2">
      <w:pPr>
        <w:pStyle w:val="FootnoteText"/>
      </w:pPr>
      <w:r w:rsidRPr="00BC54C2">
        <w:rPr>
          <w:vertAlign w:val="superscript"/>
        </w:rPr>
        <w:footnoteRef/>
      </w:r>
      <w:r w:rsidRPr="00BC54C2">
        <w:rPr>
          <w:i/>
        </w:rPr>
        <w:t>See</w:t>
      </w:r>
      <w:r w:rsidRPr="00BC54C2">
        <w:t xml:space="preserve"> L.L.</w:t>
      </w:r>
      <w:r w:rsidRPr="00BC54C2">
        <w:t xml:space="preserve"> </w:t>
      </w:r>
      <w:r w:rsidRPr="00BC54C2">
        <w:t>Bean, Inc.</w:t>
      </w:r>
      <w:r w:rsidRPr="00BC54C2">
        <w:t xml:space="preserve"> </w:t>
      </w:r>
      <w:r w:rsidRPr="00BC54C2">
        <w:t>v.</w:t>
      </w:r>
      <w:r w:rsidRPr="00BC54C2">
        <w:t xml:space="preserve"> </w:t>
      </w:r>
      <w:r w:rsidRPr="00BC54C2">
        <w:t>Drake Publ’g, Inc., 625 F.</w:t>
      </w:r>
      <w:r w:rsidRPr="00BC54C2">
        <w:t xml:space="preserve"> </w:t>
      </w:r>
      <w:r w:rsidRPr="00BC54C2">
        <w:t>Supp.</w:t>
      </w:r>
      <w:r w:rsidRPr="00BC54C2">
        <w:t xml:space="preserve"> </w:t>
      </w:r>
      <w:r w:rsidRPr="00BC54C2">
        <w:t>1531, 1536–37, 228 USPQ 733 (D.</w:t>
      </w:r>
      <w:r w:rsidRPr="00BC54C2">
        <w:t xml:space="preserve"> </w:t>
      </w:r>
      <w:r w:rsidRPr="00BC54C2">
        <w:t>Me.</w:t>
      </w:r>
      <w:r w:rsidRPr="00BC54C2">
        <w:t xml:space="preserve"> </w:t>
      </w:r>
      <w:r w:rsidRPr="00BC54C2">
        <w:t xml:space="preserve">1986) (rejecting a parody defense to dilution claim), </w:t>
      </w:r>
      <w:proofErr w:type="spellStart"/>
      <w:r w:rsidRPr="00BC54C2">
        <w:rPr>
          <w:i/>
        </w:rPr>
        <w:t>rev’d</w:t>
      </w:r>
      <w:proofErr w:type="spellEnd"/>
      <w:r w:rsidRPr="00BC54C2">
        <w:t xml:space="preserve">, 811 F.2d 26, 1 USPQ2d 1753 (1st Cir.) (reversal on First Amendment grounds, without discussing state law grounds), </w:t>
      </w:r>
      <w:r w:rsidRPr="00BC54C2">
        <w:rPr>
          <w:i/>
        </w:rPr>
        <w:t>cert</w:t>
      </w:r>
      <w:r w:rsidRPr="00BC54C2">
        <w:t>.</w:t>
      </w:r>
      <w:r w:rsidRPr="00BC54C2">
        <w:t xml:space="preserve"> </w:t>
      </w:r>
      <w:r w:rsidRPr="00BC54C2">
        <w:rPr>
          <w:i/>
        </w:rPr>
        <w:t>denied</w:t>
      </w:r>
      <w:r w:rsidRPr="00BC54C2">
        <w:t>, 483 U.S.</w:t>
      </w:r>
      <w:r w:rsidRPr="00BC54C2">
        <w:t xml:space="preserve"> </w:t>
      </w:r>
      <w:r w:rsidRPr="00BC54C2">
        <w:t>1013 (1987).</w:t>
      </w:r>
    </w:p>
  </w:footnote>
  <w:footnote w:id="111">
    <w:p w14:paraId="5FE3F609" w14:textId="0F72D969" w:rsidR="00BC54C2" w:rsidRPr="000601A1" w:rsidRDefault="00BC54C2" w:rsidP="00BC54C2">
      <w:pPr>
        <w:pStyle w:val="FootnoteText"/>
        <w:rPr>
          <w:lang w:val="es-US"/>
        </w:rPr>
      </w:pPr>
      <w:r w:rsidRPr="00BC54C2">
        <w:rPr>
          <w:vertAlign w:val="superscript"/>
        </w:rPr>
        <w:footnoteRef/>
      </w:r>
      <w:r w:rsidRPr="00BC54C2">
        <w:t>41 F.3d 39, 32 USPQ2d 1936 (2d Cir.</w:t>
      </w:r>
      <w:r w:rsidRPr="00BC54C2">
        <w:t xml:space="preserve"> </w:t>
      </w:r>
      <w:r w:rsidRPr="00BC54C2">
        <w:t>1994).</w:t>
      </w:r>
    </w:p>
  </w:footnote>
  <w:footnote w:id="112">
    <w:p w14:paraId="1464DEED" w14:textId="295C6B48" w:rsidR="00BC54C2" w:rsidRPr="006C6CD8" w:rsidRDefault="00BC54C2" w:rsidP="00BC54C2">
      <w:pPr>
        <w:pStyle w:val="FootnoteText"/>
      </w:pPr>
      <w:r w:rsidRPr="00BC54C2">
        <w:rPr>
          <w:vertAlign w:val="superscript"/>
        </w:rPr>
        <w:footnoteRef/>
      </w:r>
      <w:r w:rsidRPr="00BC54C2">
        <w:rPr>
          <w:i/>
        </w:rPr>
        <w:t>Id</w:t>
      </w:r>
      <w:r w:rsidRPr="00BC54C2">
        <w:t>.</w:t>
      </w:r>
      <w:r w:rsidRPr="00BC54C2">
        <w:t xml:space="preserve"> </w:t>
      </w:r>
      <w:r w:rsidRPr="00BC54C2">
        <w:t>at 44–45.</w:t>
      </w:r>
    </w:p>
  </w:footnote>
  <w:footnote w:id="113">
    <w:p w14:paraId="22FB520F" w14:textId="085ED597" w:rsidR="00BC54C2" w:rsidRPr="006C6CD8" w:rsidRDefault="00BC54C2" w:rsidP="00BC54C2">
      <w:pPr>
        <w:pStyle w:val="FootnoteText"/>
      </w:pPr>
      <w:r w:rsidRPr="00BC54C2">
        <w:rPr>
          <w:vertAlign w:val="superscript"/>
        </w:rPr>
        <w:footnoteRef/>
      </w:r>
      <w:r w:rsidRPr="00BC54C2">
        <w:t>See discussion in Chapter 10, §II.B.</w:t>
      </w:r>
    </w:p>
  </w:footnote>
  <w:footnote w:id="114">
    <w:p w14:paraId="2CE98A47" w14:textId="222B4F76" w:rsidR="00BC54C2" w:rsidRPr="006C6CD8" w:rsidRDefault="00BC54C2" w:rsidP="00BC54C2">
      <w:pPr>
        <w:pStyle w:val="FootnoteText"/>
      </w:pPr>
      <w:r w:rsidRPr="00BC54C2">
        <w:rPr>
          <w:vertAlign w:val="superscript"/>
        </w:rPr>
        <w:footnoteRef/>
      </w:r>
      <w:r w:rsidRPr="00BC54C2">
        <w:t>Hines v.</w:t>
      </w:r>
      <w:r w:rsidRPr="00BC54C2">
        <w:t xml:space="preserve"> </w:t>
      </w:r>
      <w:r w:rsidRPr="00BC54C2">
        <w:t>Davidowitz, 312 U.S.</w:t>
      </w:r>
      <w:r w:rsidRPr="00BC54C2">
        <w:t xml:space="preserve"> </w:t>
      </w:r>
      <w:r w:rsidRPr="00BC54C2">
        <w:t>52, 67 (1941).</w:t>
      </w:r>
    </w:p>
  </w:footnote>
  <w:footnote w:id="115">
    <w:p w14:paraId="7B2A2ABC" w14:textId="02170BD0" w:rsidR="00BC54C2" w:rsidRPr="006C6CD8" w:rsidRDefault="00BC54C2" w:rsidP="00BC54C2">
      <w:pPr>
        <w:pStyle w:val="FootnoteText"/>
      </w:pPr>
      <w:r w:rsidRPr="00BC54C2">
        <w:rPr>
          <w:vertAlign w:val="superscript"/>
        </w:rPr>
        <w:footnoteRef/>
      </w:r>
      <w:r w:rsidRPr="00BC54C2">
        <w:rPr>
          <w:i/>
        </w:rPr>
        <w:t xml:space="preserve">See </w:t>
      </w:r>
      <w:r w:rsidRPr="00BC54C2">
        <w:rPr>
          <w:smallCaps/>
        </w:rPr>
        <w:t>H.R.</w:t>
      </w:r>
      <w:r w:rsidRPr="00BC54C2">
        <w:rPr>
          <w:smallCaps/>
        </w:rPr>
        <w:t xml:space="preserve"> </w:t>
      </w:r>
      <w:r w:rsidRPr="00BC54C2">
        <w:rPr>
          <w:smallCaps/>
        </w:rPr>
        <w:t>Rep.</w:t>
      </w:r>
      <w:r w:rsidRPr="00BC54C2">
        <w:rPr>
          <w:smallCaps/>
        </w:rPr>
        <w:t xml:space="preserve"> </w:t>
      </w:r>
      <w:r w:rsidRPr="00BC54C2">
        <w:rPr>
          <w:smallCaps/>
        </w:rPr>
        <w:t>No.</w:t>
      </w:r>
      <w:r w:rsidRPr="00BC54C2">
        <w:rPr>
          <w:smallCaps/>
        </w:rPr>
        <w:t xml:space="preserve"> </w:t>
      </w:r>
      <w:r w:rsidRPr="00BC54C2">
        <w:t xml:space="preserve">104-374, at 8 (1995), </w:t>
      </w:r>
      <w:r w:rsidRPr="00BC54C2">
        <w:rPr>
          <w:i/>
        </w:rPr>
        <w:t xml:space="preserve">reprinted in </w:t>
      </w:r>
      <w:r w:rsidRPr="00BC54C2">
        <w:t>1995 U.S.C.C.A.N.</w:t>
      </w:r>
      <w:r w:rsidRPr="00BC54C2">
        <w:t xml:space="preserve"> </w:t>
      </w:r>
      <w:r w:rsidRPr="00BC54C2">
        <w:t>1029, 1031 (Nov.</w:t>
      </w:r>
      <w:r w:rsidRPr="00BC54C2">
        <w:t xml:space="preserve"> </w:t>
      </w:r>
      <w:r w:rsidRPr="00BC54C2">
        <w:t>30, 1995) (“[Section 43(c)(4)] is designed to preclude courts from enjoining speech that courts have recognized to be constitutionally protected.”).</w:t>
      </w:r>
      <w:r w:rsidRPr="00BC54C2">
        <w:t xml:space="preserve"> </w:t>
      </w:r>
      <w:r w:rsidRPr="00BC54C2">
        <w:t>Section 43(c)(4) was renumbered (and amended) by the TDRA in 2006.</w:t>
      </w:r>
      <w:r w:rsidRPr="00BC54C2">
        <w:t xml:space="preserve"> </w:t>
      </w:r>
      <w:r w:rsidRPr="00BC54C2">
        <w:t>It is now §43(c)(3).</w:t>
      </w:r>
    </w:p>
  </w:footnote>
  <w:footnote w:id="116">
    <w:p w14:paraId="673D58EE" w14:textId="7158BCB3" w:rsidR="00BC54C2" w:rsidRPr="006C6CD8" w:rsidRDefault="00BC54C2" w:rsidP="00BC54C2">
      <w:pPr>
        <w:pStyle w:val="FootnoteText"/>
      </w:pPr>
      <w:r w:rsidRPr="00BC54C2">
        <w:rPr>
          <w:vertAlign w:val="superscript"/>
        </w:rPr>
        <w:footnoteRef/>
      </w:r>
      <w:r w:rsidRPr="00BC54C2">
        <w:rPr>
          <w:i/>
        </w:rPr>
        <w:t xml:space="preserve">Compare </w:t>
      </w:r>
      <w:r w:rsidRPr="00BC54C2">
        <w:t>L.L.</w:t>
      </w:r>
      <w:r w:rsidRPr="00BC54C2">
        <w:t xml:space="preserve"> </w:t>
      </w:r>
      <w:r w:rsidRPr="00BC54C2">
        <w:t>Bean, Inc.</w:t>
      </w:r>
      <w:r w:rsidRPr="00BC54C2">
        <w:t xml:space="preserve"> </w:t>
      </w:r>
      <w:r w:rsidRPr="00BC54C2">
        <w:t>v.</w:t>
      </w:r>
      <w:r w:rsidRPr="00BC54C2">
        <w:t xml:space="preserve"> </w:t>
      </w:r>
      <w:r w:rsidRPr="00BC54C2">
        <w:t xml:space="preserve">Drake Publ’g, Inc., 811 F.2d 26, 32–33, 1 USPQ2d 1753 (1st Cir.), </w:t>
      </w:r>
      <w:r w:rsidRPr="00BC54C2">
        <w:rPr>
          <w:i/>
        </w:rPr>
        <w:t>cert</w:t>
      </w:r>
      <w:r w:rsidRPr="00BC54C2">
        <w:t>.</w:t>
      </w:r>
      <w:r w:rsidRPr="00BC54C2">
        <w:t xml:space="preserve"> </w:t>
      </w:r>
      <w:r w:rsidRPr="00BC54C2">
        <w:rPr>
          <w:i/>
        </w:rPr>
        <w:t>denied</w:t>
      </w:r>
      <w:r w:rsidRPr="00BC54C2">
        <w:t>, 483 U.S.</w:t>
      </w:r>
      <w:r w:rsidRPr="00BC54C2">
        <w:t xml:space="preserve"> </w:t>
      </w:r>
      <w:r w:rsidRPr="00BC54C2">
        <w:t xml:space="preserve">1013 (1987), </w:t>
      </w:r>
      <w:r w:rsidRPr="00BC54C2">
        <w:rPr>
          <w:i/>
        </w:rPr>
        <w:t>with</w:t>
      </w:r>
      <w:r w:rsidRPr="00BC54C2">
        <w:t xml:space="preserve"> Anheuser-Busch, Inc.</w:t>
      </w:r>
      <w:r w:rsidRPr="00BC54C2">
        <w:t xml:space="preserve"> </w:t>
      </w:r>
      <w:r w:rsidRPr="00BC54C2">
        <w:t>v.</w:t>
      </w:r>
      <w:r w:rsidRPr="00BC54C2">
        <w:t xml:space="preserve"> </w:t>
      </w:r>
      <w:r w:rsidRPr="00BC54C2">
        <w:t>Balducci Publ’ns, Inc., 28 F.3d 769, 776, 31 USPQ2d 1296 (8th Cir.</w:t>
      </w:r>
      <w:r w:rsidRPr="00BC54C2">
        <w:t xml:space="preserve"> </w:t>
      </w:r>
      <w:r w:rsidRPr="00BC54C2">
        <w:t xml:space="preserve">1994), </w:t>
      </w:r>
      <w:r w:rsidRPr="00BC54C2">
        <w:rPr>
          <w:i/>
        </w:rPr>
        <w:t>cert</w:t>
      </w:r>
      <w:r w:rsidRPr="00BC54C2">
        <w:t>.</w:t>
      </w:r>
      <w:r w:rsidRPr="00BC54C2">
        <w:t xml:space="preserve"> </w:t>
      </w:r>
      <w:r w:rsidRPr="00BC54C2">
        <w:rPr>
          <w:i/>
        </w:rPr>
        <w:t>denied</w:t>
      </w:r>
      <w:r w:rsidRPr="00BC54C2">
        <w:t>, 513 U.S.</w:t>
      </w:r>
      <w:r w:rsidRPr="00BC54C2">
        <w:t xml:space="preserve"> </w:t>
      </w:r>
      <w:r w:rsidRPr="00BC54C2">
        <w:t>1112 (1995).</w:t>
      </w:r>
    </w:p>
  </w:footnote>
  <w:footnote w:id="117">
    <w:p w14:paraId="254D27E1" w14:textId="744C1BEE" w:rsidR="00BC54C2" w:rsidRPr="006C6CD8" w:rsidRDefault="00BC54C2" w:rsidP="00BC54C2">
      <w:pPr>
        <w:pStyle w:val="FootnoteText"/>
      </w:pPr>
      <w:r w:rsidRPr="00BC54C2">
        <w:rPr>
          <w:vertAlign w:val="superscript"/>
        </w:rPr>
        <w:footnoteRef/>
      </w:r>
      <w:r w:rsidRPr="00BC54C2">
        <w:t>Ford Motor Co.</w:t>
      </w:r>
      <w:r w:rsidRPr="00BC54C2">
        <w:t xml:space="preserve"> </w:t>
      </w:r>
      <w:r w:rsidRPr="00BC54C2">
        <w:t>v.</w:t>
      </w:r>
      <w:r w:rsidRPr="00BC54C2">
        <w:t xml:space="preserve"> </w:t>
      </w:r>
      <w:r w:rsidRPr="00BC54C2">
        <w:t>2600 Enters., 177 F.</w:t>
      </w:r>
      <w:r w:rsidRPr="00BC54C2">
        <w:t xml:space="preserve"> </w:t>
      </w:r>
      <w:r w:rsidRPr="00BC54C2">
        <w:t>Supp.</w:t>
      </w:r>
      <w:r w:rsidRPr="00BC54C2">
        <w:t xml:space="preserve"> </w:t>
      </w:r>
      <w:r w:rsidRPr="00BC54C2">
        <w:t>2d 661, 663–65, 61 USPQ2d 1757 (E.D.</w:t>
      </w:r>
      <w:r w:rsidRPr="00BC54C2">
        <w:t xml:space="preserve"> </w:t>
      </w:r>
      <w:r w:rsidRPr="00BC54C2">
        <w:t>Mich.</w:t>
      </w:r>
      <w:r w:rsidRPr="00BC54C2">
        <w:t xml:space="preserve"> </w:t>
      </w:r>
      <w:r w:rsidRPr="00BC54C2">
        <w:t>2001);</w:t>
      </w:r>
      <w:r w:rsidRPr="00BC54C2">
        <w:t xml:space="preserve"> </w:t>
      </w:r>
      <w:r w:rsidRPr="00BC54C2">
        <w:t>Northland Ins.</w:t>
      </w:r>
      <w:r w:rsidRPr="00BC54C2">
        <w:t xml:space="preserve"> </w:t>
      </w:r>
      <w:r w:rsidRPr="00BC54C2">
        <w:t>Cos.</w:t>
      </w:r>
      <w:r w:rsidRPr="00BC54C2">
        <w:t xml:space="preserve"> </w:t>
      </w:r>
      <w:r w:rsidRPr="00BC54C2">
        <w:t>v.</w:t>
      </w:r>
      <w:r w:rsidRPr="00BC54C2">
        <w:t xml:space="preserve"> </w:t>
      </w:r>
      <w:r w:rsidRPr="00BC54C2">
        <w:t>Blaylock, 115 F.</w:t>
      </w:r>
      <w:r w:rsidRPr="00BC54C2">
        <w:t xml:space="preserve"> </w:t>
      </w:r>
      <w:r w:rsidRPr="00BC54C2">
        <w:t>Supp.</w:t>
      </w:r>
      <w:r w:rsidRPr="00BC54C2">
        <w:t xml:space="preserve"> </w:t>
      </w:r>
      <w:r w:rsidRPr="00BC54C2">
        <w:t>2d 1108, 1123, 56 USPQ2d 1662 (D.</w:t>
      </w:r>
      <w:r w:rsidRPr="00BC54C2">
        <w:t xml:space="preserve"> </w:t>
      </w:r>
      <w:r w:rsidRPr="00BC54C2">
        <w:t>Minn.</w:t>
      </w:r>
      <w:r w:rsidRPr="00BC54C2">
        <w:t xml:space="preserve"> </w:t>
      </w:r>
      <w:r w:rsidRPr="00BC54C2">
        <w:t>2000);</w:t>
      </w:r>
      <w:r w:rsidRPr="00BC54C2">
        <w:t xml:space="preserve"> </w:t>
      </w:r>
      <w:r w:rsidRPr="00BC54C2">
        <w:t>Lockheed Martin Corp.</w:t>
      </w:r>
      <w:r w:rsidRPr="00BC54C2">
        <w:t xml:space="preserve"> </w:t>
      </w:r>
      <w:r w:rsidRPr="00BC54C2">
        <w:t>v.</w:t>
      </w:r>
      <w:r w:rsidRPr="00BC54C2">
        <w:t xml:space="preserve"> </w:t>
      </w:r>
      <w:r w:rsidRPr="00BC54C2">
        <w:t>Network Solutions, Inc., 985 F.</w:t>
      </w:r>
      <w:r w:rsidRPr="00BC54C2">
        <w:t xml:space="preserve"> </w:t>
      </w:r>
      <w:r w:rsidRPr="00BC54C2">
        <w:t>Supp.</w:t>
      </w:r>
      <w:r w:rsidRPr="00BC54C2">
        <w:t xml:space="preserve"> </w:t>
      </w:r>
      <w:r w:rsidRPr="00BC54C2">
        <w:t>949, 959–60, 44 USPQ2d 1865 (C.D.</w:t>
      </w:r>
      <w:r w:rsidRPr="00BC54C2">
        <w:t xml:space="preserve"> </w:t>
      </w:r>
      <w:r w:rsidRPr="00BC54C2">
        <w:t>Cal.</w:t>
      </w:r>
      <w:r w:rsidRPr="00BC54C2">
        <w:t xml:space="preserve"> </w:t>
      </w:r>
      <w:r w:rsidRPr="00BC54C2">
        <w:t xml:space="preserve">1997), </w:t>
      </w:r>
      <w:r w:rsidRPr="00BC54C2">
        <w:rPr>
          <w:i/>
        </w:rPr>
        <w:t>aff’d</w:t>
      </w:r>
      <w:r w:rsidRPr="00BC54C2">
        <w:t>, 194 F.3d 980, 52 USPQ2d 1481 (9th Cir.</w:t>
      </w:r>
      <w:r w:rsidRPr="00BC54C2">
        <w:t xml:space="preserve"> </w:t>
      </w:r>
      <w:r w:rsidRPr="00BC54C2">
        <w:t>1999).</w:t>
      </w:r>
    </w:p>
  </w:footnote>
  <w:footnote w:id="118">
    <w:p w14:paraId="07F00371" w14:textId="492CE5FB" w:rsidR="00BC54C2" w:rsidRPr="006C6CD8" w:rsidRDefault="00BC54C2" w:rsidP="00BC54C2">
      <w:pPr>
        <w:pStyle w:val="FootnoteText"/>
      </w:pPr>
      <w:r w:rsidRPr="00BC54C2">
        <w:rPr>
          <w:vertAlign w:val="superscript"/>
        </w:rPr>
        <w:footnoteRef/>
      </w:r>
      <w:r w:rsidRPr="00BC54C2">
        <w:t>Milton H.</w:t>
      </w:r>
      <w:r w:rsidRPr="00BC54C2">
        <w:t xml:space="preserve"> </w:t>
      </w:r>
      <w:r w:rsidRPr="00BC54C2">
        <w:t xml:space="preserve">Handler, Are the State Antidilution Laws Compatible with the National Protection of </w:t>
      </w:r>
      <w:proofErr w:type="gramStart"/>
      <w:r w:rsidRPr="00BC54C2">
        <w:t>Trademarks?,</w:t>
      </w:r>
      <w:proofErr w:type="gramEnd"/>
      <w:r w:rsidRPr="00BC54C2">
        <w:t xml:space="preserve"> 75 </w:t>
      </w:r>
      <w:r w:rsidRPr="00BC54C2">
        <w:rPr>
          <w:smallCaps/>
        </w:rPr>
        <w:t>Trademark Rep.</w:t>
      </w:r>
      <w:r w:rsidRPr="00BC54C2">
        <w:rPr>
          <w:smallCaps/>
        </w:rPr>
        <w:t xml:space="preserve"> </w:t>
      </w:r>
      <w:r w:rsidRPr="00BC54C2">
        <w:t>269 (1985).</w:t>
      </w:r>
    </w:p>
  </w:footnote>
  <w:footnote w:id="119">
    <w:p w14:paraId="73AC88CD" w14:textId="6E9A3423" w:rsidR="00BC54C2" w:rsidRPr="006C6CD8" w:rsidRDefault="00BC54C2" w:rsidP="00BC54C2">
      <w:pPr>
        <w:pStyle w:val="FootnoteText"/>
      </w:pPr>
      <w:r w:rsidRPr="00BC54C2">
        <w:rPr>
          <w:vertAlign w:val="superscript"/>
        </w:rPr>
        <w:footnoteRef/>
      </w:r>
      <w:r w:rsidRPr="00BC54C2">
        <w:rPr>
          <w:smallCaps/>
        </w:rPr>
        <w:t>H.R.</w:t>
      </w:r>
      <w:r w:rsidRPr="00BC54C2">
        <w:rPr>
          <w:smallCaps/>
        </w:rPr>
        <w:t xml:space="preserve"> </w:t>
      </w:r>
      <w:r w:rsidRPr="00BC54C2">
        <w:rPr>
          <w:smallCaps/>
        </w:rPr>
        <w:t>Rep.</w:t>
      </w:r>
      <w:r w:rsidRPr="00BC54C2">
        <w:rPr>
          <w:smallCaps/>
        </w:rPr>
        <w:t xml:space="preserve"> </w:t>
      </w:r>
      <w:r w:rsidRPr="00BC54C2">
        <w:rPr>
          <w:smallCaps/>
        </w:rPr>
        <w:t>No.</w:t>
      </w:r>
      <w:r w:rsidRPr="00BC54C2">
        <w:rPr>
          <w:smallCaps/>
        </w:rPr>
        <w:t xml:space="preserve"> </w:t>
      </w:r>
      <w:r w:rsidRPr="00BC54C2">
        <w:t>104-374 at 3 (“A federal dilution statute is necessary because famous marks ordinarily are used on a nationwide basis and dilution protection is currently only available on a patch-quilt system of protection</w:t>
      </w:r>
      <w:r w:rsidRPr="00BC54C2">
        <w:t xml:space="preserve"> </w:t>
      </w:r>
      <w:r w:rsidRPr="00BC54C2">
        <w:t>…”);</w:t>
      </w:r>
      <w:r w:rsidRPr="00BC54C2">
        <w:t xml:space="preserve"> </w:t>
      </w:r>
      <w:r w:rsidRPr="00BC54C2">
        <w:rPr>
          <w:i/>
        </w:rPr>
        <w:t xml:space="preserve">see also </w:t>
      </w:r>
      <w:r w:rsidRPr="00BC54C2">
        <w:t xml:space="preserve">141 </w:t>
      </w:r>
      <w:r w:rsidRPr="00BC54C2">
        <w:rPr>
          <w:smallCaps/>
        </w:rPr>
        <w:t>Cong.</w:t>
      </w:r>
      <w:r w:rsidRPr="00BC54C2">
        <w:rPr>
          <w:smallCaps/>
        </w:rPr>
        <w:t xml:space="preserve"> </w:t>
      </w:r>
      <w:r w:rsidRPr="00BC54C2">
        <w:rPr>
          <w:smallCaps/>
        </w:rPr>
        <w:t>Rec.</w:t>
      </w:r>
      <w:r w:rsidRPr="00BC54C2">
        <w:rPr>
          <w:smallCaps/>
        </w:rPr>
        <w:t xml:space="preserve"> </w:t>
      </w:r>
      <w:r w:rsidRPr="00BC54C2">
        <w:t>H14317, H14318 (Dec.</w:t>
      </w:r>
      <w:r w:rsidRPr="00BC54C2">
        <w:t xml:space="preserve"> </w:t>
      </w:r>
      <w:r w:rsidRPr="00BC54C2">
        <w:t>12, 1995) (remarks of Rep.</w:t>
      </w:r>
      <w:r w:rsidRPr="00BC54C2">
        <w:t xml:space="preserve"> </w:t>
      </w:r>
      <w:r w:rsidRPr="00BC54C2">
        <w:t>Moorhead).</w:t>
      </w:r>
    </w:p>
  </w:footnote>
  <w:footnote w:id="120">
    <w:p w14:paraId="48CD758A" w14:textId="58954DF4" w:rsidR="00BC54C2" w:rsidRPr="006C6CD8" w:rsidRDefault="00BC54C2" w:rsidP="00BC54C2">
      <w:pPr>
        <w:pStyle w:val="FootnoteText"/>
      </w:pPr>
      <w:r w:rsidRPr="00BC54C2">
        <w:rPr>
          <w:vertAlign w:val="superscript"/>
        </w:rPr>
        <w:footnoteRef/>
      </w:r>
      <w:r w:rsidRPr="00BC54C2">
        <w:rPr>
          <w:i/>
        </w:rPr>
        <w:t>See</w:t>
      </w:r>
      <w:r w:rsidRPr="00BC54C2">
        <w:t xml:space="preserve"> Chapter 9, §II.E.1 (discussion of </w:t>
      </w:r>
      <w:proofErr w:type="spellStart"/>
      <w:r w:rsidRPr="00BC54C2">
        <w:t>tarnishment</w:t>
      </w:r>
      <w:proofErr w:type="spellEnd"/>
      <w:r w:rsidRPr="00BC54C2">
        <w:t xml:space="preserve"> as dilution);</w:t>
      </w:r>
      <w:r w:rsidRPr="00BC54C2">
        <w:t xml:space="preserve"> </w:t>
      </w:r>
      <w:r w:rsidRPr="00BC54C2">
        <w:t>Exxon Mobil Corp.</w:t>
      </w:r>
      <w:r w:rsidRPr="00BC54C2">
        <w:t xml:space="preserve"> </w:t>
      </w:r>
      <w:r w:rsidRPr="00BC54C2">
        <w:t>v.</w:t>
      </w:r>
      <w:r w:rsidRPr="00BC54C2">
        <w:t xml:space="preserve"> </w:t>
      </w:r>
      <w:r w:rsidRPr="00BC54C2">
        <w:t>Allapattah Servs.</w:t>
      </w:r>
      <w:r w:rsidRPr="00BC54C2">
        <w:t xml:space="preserve"> </w:t>
      </w:r>
      <w:r w:rsidRPr="00BC54C2">
        <w:t>Inc., 545 U.S.</w:t>
      </w:r>
      <w:r w:rsidRPr="00BC54C2">
        <w:t xml:space="preserve"> </w:t>
      </w:r>
      <w:r w:rsidRPr="00BC54C2">
        <w:t>546, 567–68 (2005) (rejecting clear legislative history concerning the supplemental jurisdiction statute, 28 U.S.C.</w:t>
      </w:r>
      <w:r w:rsidRPr="00BC54C2">
        <w:t xml:space="preserve"> </w:t>
      </w:r>
      <w:r w:rsidRPr="00BC54C2">
        <w:t>§1367).</w:t>
      </w:r>
    </w:p>
  </w:footnote>
  <w:footnote w:id="121">
    <w:p w14:paraId="565E1683" w14:textId="72DC7097" w:rsidR="00BC54C2" w:rsidRPr="006C6CD8" w:rsidRDefault="00BC54C2" w:rsidP="00BC54C2">
      <w:pPr>
        <w:pStyle w:val="FootnoteText"/>
      </w:pPr>
      <w:r w:rsidRPr="00BC54C2">
        <w:rPr>
          <w:vertAlign w:val="superscript"/>
        </w:rPr>
        <w:footnoteRef/>
      </w:r>
      <w:r w:rsidRPr="00BC54C2">
        <w:t>Incontestability severely limits the possible defenses available against the registrant.</w:t>
      </w:r>
      <w:r w:rsidRPr="00BC54C2">
        <w:t xml:space="preserve"> </w:t>
      </w:r>
      <w:r w:rsidRPr="00BC54C2">
        <w:rPr>
          <w:i/>
        </w:rPr>
        <w:t>See</w:t>
      </w:r>
      <w:r w:rsidRPr="00BC54C2">
        <w:t xml:space="preserve"> 15 U.S.C.</w:t>
      </w:r>
      <w:r w:rsidRPr="00BC54C2">
        <w:t xml:space="preserve"> </w:t>
      </w:r>
      <w:r w:rsidRPr="00BC54C2">
        <w:t>§§1065, 1115(b) (listing defenses surviving incontestability).</w:t>
      </w:r>
    </w:p>
  </w:footnote>
  <w:footnote w:id="122">
    <w:p w14:paraId="03F68189" w14:textId="71FB3E4A" w:rsidR="00BC54C2" w:rsidRPr="006C6CD8" w:rsidRDefault="00BC54C2" w:rsidP="00BC54C2">
      <w:pPr>
        <w:pStyle w:val="FootnoteText"/>
      </w:pPr>
      <w:r w:rsidRPr="00BC54C2">
        <w:rPr>
          <w:vertAlign w:val="superscript"/>
        </w:rPr>
        <w:footnoteRef/>
      </w:r>
      <w:r w:rsidRPr="00BC54C2">
        <w:t>15 U.S.C.</w:t>
      </w:r>
      <w:r w:rsidRPr="00BC54C2">
        <w:t xml:space="preserve"> </w:t>
      </w:r>
      <w:r w:rsidRPr="00BC54C2">
        <w:t>§1065.</w:t>
      </w:r>
    </w:p>
  </w:footnote>
  <w:footnote w:id="123">
    <w:p w14:paraId="0BD4804B" w14:textId="716C34B5" w:rsidR="00BC54C2" w:rsidRPr="006C6CD8" w:rsidRDefault="00BC54C2" w:rsidP="00BC54C2">
      <w:pPr>
        <w:pStyle w:val="FootnoteText"/>
      </w:pPr>
      <w:r w:rsidRPr="00BC54C2">
        <w:rPr>
          <w:vertAlign w:val="superscript"/>
        </w:rPr>
        <w:footnoteRef/>
      </w:r>
      <w:r w:rsidRPr="00BC54C2">
        <w:t>A junior user is one whose use began after the registrant’s use.</w:t>
      </w:r>
    </w:p>
  </w:footnote>
  <w:footnote w:id="124">
    <w:p w14:paraId="2569F35A" w14:textId="0DD840BA" w:rsidR="00BC54C2" w:rsidRPr="006C6CD8" w:rsidRDefault="00BC54C2" w:rsidP="00BC54C2">
      <w:pPr>
        <w:pStyle w:val="FootnoteText"/>
      </w:pPr>
      <w:r w:rsidRPr="00BC54C2">
        <w:rPr>
          <w:vertAlign w:val="superscript"/>
        </w:rPr>
        <w:footnoteRef/>
      </w:r>
      <w:r w:rsidRPr="00BC54C2">
        <w:t>15 U.S.C.</w:t>
      </w:r>
      <w:r w:rsidRPr="00BC54C2">
        <w:t xml:space="preserve"> </w:t>
      </w:r>
      <w:r w:rsidRPr="00BC54C2">
        <w:t>§1115(b)(5).</w:t>
      </w:r>
      <w:r w:rsidRPr="00BC54C2">
        <w:t xml:space="preserve"> </w:t>
      </w:r>
      <w:r w:rsidRPr="00BC54C2">
        <w:t xml:space="preserve">This defense is valid only </w:t>
      </w:r>
      <w:proofErr w:type="gramStart"/>
      <w:r w:rsidRPr="00BC54C2">
        <w:t>in the area of</w:t>
      </w:r>
      <w:proofErr w:type="gramEnd"/>
      <w:r w:rsidRPr="00BC54C2">
        <w:t xml:space="preserve"> the junior user’s prior use.</w:t>
      </w:r>
      <w:r w:rsidRPr="00BC54C2">
        <w:t xml:space="preserve"> </w:t>
      </w:r>
      <w:r w:rsidRPr="00BC54C2">
        <w:rPr>
          <w:i/>
        </w:rPr>
        <w:t>Id</w:t>
      </w:r>
      <w:r w:rsidRPr="00BC54C2">
        <w:t>.</w:t>
      </w:r>
    </w:p>
  </w:footnote>
  <w:footnote w:id="125">
    <w:p w14:paraId="64BDCC78" w14:textId="3C37DA64" w:rsidR="00BC54C2" w:rsidRPr="006C6CD8" w:rsidRDefault="00BC54C2" w:rsidP="00BC54C2">
      <w:pPr>
        <w:pStyle w:val="FootnoteText"/>
      </w:pPr>
      <w:r w:rsidRPr="00BC54C2">
        <w:rPr>
          <w:vertAlign w:val="superscript"/>
        </w:rPr>
        <w:footnoteRef/>
      </w:r>
      <w:r w:rsidRPr="00BC54C2">
        <w:rPr>
          <w:i/>
        </w:rPr>
        <w:t>See</w:t>
      </w:r>
      <w:r w:rsidRPr="00BC54C2">
        <w:t xml:space="preserve"> Viacom, Inc.</w:t>
      </w:r>
      <w:r w:rsidRPr="00BC54C2">
        <w:t xml:space="preserve"> </w:t>
      </w:r>
      <w:r w:rsidRPr="00BC54C2">
        <w:t>v.</w:t>
      </w:r>
      <w:r w:rsidRPr="00BC54C2">
        <w:t xml:space="preserve"> </w:t>
      </w:r>
      <w:r w:rsidRPr="00BC54C2">
        <w:t>Ingram Enters., 141 F.3d 886, 891, 46 USPQ2d 1473 (8th Cir.</w:t>
      </w:r>
      <w:r w:rsidRPr="00BC54C2">
        <w:t xml:space="preserve"> </w:t>
      </w:r>
      <w:r w:rsidRPr="00BC54C2">
        <w:t>1998) (rejecting argument that Missouri’s anti-dilution law was preempted by the Lanham Act).</w:t>
      </w:r>
    </w:p>
  </w:footnote>
  <w:footnote w:id="126">
    <w:p w14:paraId="593A141C" w14:textId="3D61A695" w:rsidR="00BC54C2" w:rsidRPr="006C6CD8" w:rsidRDefault="00BC54C2" w:rsidP="00BC54C2">
      <w:pPr>
        <w:pStyle w:val="FootnoteText"/>
      </w:pPr>
      <w:r w:rsidRPr="00BC54C2">
        <w:rPr>
          <w:vertAlign w:val="superscript"/>
        </w:rPr>
        <w:footnoteRef/>
      </w:r>
      <w:r w:rsidRPr="00BC54C2">
        <w:rPr>
          <w:i/>
        </w:rPr>
        <w:t>See</w:t>
      </w:r>
      <w:r w:rsidRPr="00BC54C2">
        <w:t xml:space="preserve"> Kewanee Oil Co.</w:t>
      </w:r>
      <w:r w:rsidRPr="00BC54C2">
        <w:t xml:space="preserve"> </w:t>
      </w:r>
      <w:r w:rsidRPr="00BC54C2">
        <w:t>v.</w:t>
      </w:r>
      <w:r w:rsidRPr="00BC54C2">
        <w:t xml:space="preserve"> </w:t>
      </w:r>
      <w:proofErr w:type="spellStart"/>
      <w:r w:rsidRPr="00BC54C2">
        <w:t>Bicron</w:t>
      </w:r>
      <w:proofErr w:type="spellEnd"/>
      <w:r w:rsidRPr="00BC54C2">
        <w:t xml:space="preserve"> Corp., 416 U.S.</w:t>
      </w:r>
      <w:r w:rsidRPr="00BC54C2">
        <w:t xml:space="preserve"> </w:t>
      </w:r>
      <w:r w:rsidRPr="00BC54C2">
        <w:t>470, 491–93, 181 USPQ 673 (1974) (upholding state trade secret laws as not preempted by patent law);</w:t>
      </w:r>
      <w:r w:rsidRPr="00BC54C2">
        <w:t xml:space="preserve"> </w:t>
      </w:r>
      <w:r w:rsidRPr="00BC54C2">
        <w:t>Goldstein v.</w:t>
      </w:r>
      <w:r w:rsidRPr="00BC54C2">
        <w:t xml:space="preserve"> </w:t>
      </w:r>
      <w:r w:rsidRPr="00BC54C2">
        <w:t>California, 412 U.S.</w:t>
      </w:r>
      <w:r w:rsidRPr="00BC54C2">
        <w:t xml:space="preserve"> </w:t>
      </w:r>
      <w:r w:rsidRPr="00BC54C2">
        <w:t>546, 563–70, 178 USPQ 129 (1973) (state antipiracy statute upheld as not preempted by Copyright Act);</w:t>
      </w:r>
      <w:r w:rsidRPr="00BC54C2">
        <w:t xml:space="preserve"> </w:t>
      </w:r>
      <w:r w:rsidRPr="00BC54C2">
        <w:rPr>
          <w:i/>
        </w:rPr>
        <w:t>see also</w:t>
      </w:r>
      <w:r w:rsidRPr="00BC54C2">
        <w:t xml:space="preserve"> Bonito Boats, Inc.</w:t>
      </w:r>
      <w:r w:rsidRPr="00BC54C2">
        <w:t xml:space="preserve"> </w:t>
      </w:r>
      <w:r w:rsidRPr="00BC54C2">
        <w:t>v.</w:t>
      </w:r>
      <w:r w:rsidRPr="00BC54C2">
        <w:t xml:space="preserve"> </w:t>
      </w:r>
      <w:r w:rsidRPr="00BC54C2">
        <w:t>Thunder Craft Boats, Inc., 489 U.S.</w:t>
      </w:r>
      <w:r w:rsidRPr="00BC54C2">
        <w:t xml:space="preserve"> </w:t>
      </w:r>
      <w:r w:rsidRPr="00BC54C2">
        <w:t>141, 155, 9 USPQ2d 1847 (1989).</w:t>
      </w:r>
    </w:p>
  </w:footnote>
  <w:footnote w:id="127">
    <w:p w14:paraId="68D60CE3" w14:textId="2CCF0F96" w:rsidR="00BC54C2" w:rsidRPr="006C6CD8" w:rsidRDefault="00BC54C2" w:rsidP="00BC54C2">
      <w:pPr>
        <w:pStyle w:val="FootnoteText"/>
      </w:pPr>
      <w:r w:rsidRPr="00BC54C2">
        <w:rPr>
          <w:vertAlign w:val="superscript"/>
        </w:rPr>
        <w:footnoteRef/>
      </w:r>
      <w:r w:rsidRPr="00BC54C2">
        <w:rPr>
          <w:i/>
        </w:rPr>
        <w:t>See</w:t>
      </w:r>
      <w:r w:rsidRPr="00BC54C2">
        <w:t xml:space="preserve"> U.S.</w:t>
      </w:r>
      <w:r w:rsidRPr="00BC54C2">
        <w:t xml:space="preserve"> </w:t>
      </w:r>
      <w:r w:rsidRPr="00BC54C2">
        <w:rPr>
          <w:smallCaps/>
        </w:rPr>
        <w:t>Const</w:t>
      </w:r>
      <w:r w:rsidRPr="00BC54C2">
        <w:t>.</w:t>
      </w:r>
      <w:r w:rsidRPr="00BC54C2">
        <w:t xml:space="preserve"> </w:t>
      </w:r>
      <w:r w:rsidRPr="00BC54C2">
        <w:t>art.</w:t>
      </w:r>
      <w:r w:rsidRPr="00BC54C2">
        <w:t xml:space="preserve"> </w:t>
      </w:r>
      <w:r w:rsidRPr="00BC54C2">
        <w:t>I, § 8, cl.</w:t>
      </w:r>
      <w:r w:rsidRPr="00BC54C2">
        <w:t xml:space="preserve"> </w:t>
      </w:r>
      <w:r w:rsidRPr="00BC54C2">
        <w:t>8 (Patent and Copyright Clause).</w:t>
      </w:r>
    </w:p>
  </w:footnote>
  <w:footnote w:id="128">
    <w:p w14:paraId="7C524FE7" w14:textId="50E3E1A8" w:rsidR="00BC54C2" w:rsidRPr="006C6CD8" w:rsidRDefault="00BC54C2" w:rsidP="00BC54C2">
      <w:pPr>
        <w:pStyle w:val="FootnoteText"/>
      </w:pPr>
      <w:r w:rsidRPr="00BC54C2">
        <w:rPr>
          <w:vertAlign w:val="superscript"/>
        </w:rPr>
        <w:footnoteRef/>
      </w:r>
      <w:r w:rsidRPr="00BC54C2">
        <w:rPr>
          <w:i/>
        </w:rPr>
        <w:t>Id</w:t>
      </w:r>
      <w:r w:rsidRPr="00BC54C2">
        <w:t>.</w:t>
      </w:r>
      <w:r w:rsidRPr="00BC54C2">
        <w:t xml:space="preserve"> </w:t>
      </w:r>
      <w:r w:rsidRPr="00BC54C2">
        <w:t>cl.</w:t>
      </w:r>
      <w:r w:rsidRPr="00BC54C2">
        <w:t xml:space="preserve"> </w:t>
      </w:r>
      <w:r w:rsidRPr="00BC54C2">
        <w:t>3.</w:t>
      </w:r>
    </w:p>
  </w:footnote>
  <w:footnote w:id="129">
    <w:p w14:paraId="22B6C68B" w14:textId="5154C3F2" w:rsidR="00BC54C2" w:rsidRPr="006C6CD8" w:rsidRDefault="00BC54C2" w:rsidP="00BC54C2">
      <w:pPr>
        <w:pStyle w:val="FootnoteText"/>
      </w:pPr>
      <w:r w:rsidRPr="00BC54C2">
        <w:rPr>
          <w:vertAlign w:val="superscript"/>
        </w:rPr>
        <w:footnoteRef/>
      </w:r>
      <w:r w:rsidRPr="00BC54C2">
        <w:t>United States v.</w:t>
      </w:r>
      <w:r w:rsidRPr="00BC54C2">
        <w:t xml:space="preserve"> </w:t>
      </w:r>
      <w:r w:rsidRPr="00BC54C2">
        <w:t>Lopez, 514 U.S.</w:t>
      </w:r>
      <w:r w:rsidRPr="00BC54C2">
        <w:t xml:space="preserve"> </w:t>
      </w:r>
      <w:r w:rsidRPr="00BC54C2">
        <w:t>549 (1995) (Congress lacked authority to enact Gun-Free School Zones Act of 1990);</w:t>
      </w:r>
      <w:r w:rsidRPr="00BC54C2">
        <w:t xml:space="preserve"> </w:t>
      </w:r>
      <w:r w:rsidRPr="00BC54C2">
        <w:rPr>
          <w:i/>
        </w:rPr>
        <w:t>see</w:t>
      </w:r>
      <w:r w:rsidRPr="00BC54C2">
        <w:t xml:space="preserve"> United States v.</w:t>
      </w:r>
      <w:r w:rsidRPr="00BC54C2">
        <w:t xml:space="preserve"> </w:t>
      </w:r>
      <w:r w:rsidRPr="00BC54C2">
        <w:t>Morrison, 529 U.S.</w:t>
      </w:r>
      <w:r w:rsidRPr="00BC54C2">
        <w:t xml:space="preserve"> </w:t>
      </w:r>
      <w:r w:rsidRPr="00BC54C2">
        <w:t>598 (2000) (Congress lacked authority to enact Violence Against Women Act).</w:t>
      </w:r>
      <w:r w:rsidRPr="00BC54C2">
        <w:t xml:space="preserve"> </w:t>
      </w:r>
      <w:r w:rsidRPr="00BC54C2">
        <w:t>The earliest attempt to pass a federal trademark law was struck down as being outside of congressional power under the Commerce Clause.</w:t>
      </w:r>
      <w:r w:rsidRPr="00BC54C2">
        <w:t xml:space="preserve"> </w:t>
      </w:r>
      <w:r w:rsidRPr="00BC54C2">
        <w:t>Trade-Mark Cases, 100 U.S.</w:t>
      </w:r>
      <w:r w:rsidRPr="00BC54C2">
        <w:t xml:space="preserve"> </w:t>
      </w:r>
      <w:r w:rsidRPr="00BC54C2">
        <w:t>82 (1879).</w:t>
      </w:r>
    </w:p>
  </w:footnote>
  <w:footnote w:id="130">
    <w:p w14:paraId="3129F5CE" w14:textId="3BEDF38E" w:rsidR="00BC54C2" w:rsidRPr="006C6CD8" w:rsidRDefault="00BC54C2" w:rsidP="00BC54C2">
      <w:pPr>
        <w:pStyle w:val="FootnoteText"/>
      </w:pPr>
      <w:r w:rsidRPr="00BC54C2">
        <w:rPr>
          <w:vertAlign w:val="superscript"/>
        </w:rPr>
        <w:footnoteRef/>
      </w:r>
      <w:r w:rsidRPr="00BC54C2">
        <w:rPr>
          <w:i/>
        </w:rPr>
        <w:t>See</w:t>
      </w:r>
      <w:r w:rsidRPr="00BC54C2">
        <w:t xml:space="preserve"> </w:t>
      </w:r>
      <w:proofErr w:type="spellStart"/>
      <w:r w:rsidRPr="00BC54C2">
        <w:t>Dastar</w:t>
      </w:r>
      <w:proofErr w:type="spellEnd"/>
      <w:r w:rsidRPr="00BC54C2">
        <w:t xml:space="preserve"> Corp.</w:t>
      </w:r>
      <w:r w:rsidRPr="00BC54C2">
        <w:t xml:space="preserve"> </w:t>
      </w:r>
      <w:r w:rsidRPr="00BC54C2">
        <w:t>v.</w:t>
      </w:r>
      <w:r w:rsidRPr="00BC54C2">
        <w:t xml:space="preserve"> </w:t>
      </w:r>
      <w:r w:rsidRPr="00BC54C2">
        <w:t>Twentieth Century Fox Film Corp., 539 U.S.</w:t>
      </w:r>
      <w:r w:rsidRPr="00BC54C2">
        <w:t xml:space="preserve"> </w:t>
      </w:r>
      <w:r w:rsidRPr="00BC54C2">
        <w:t xml:space="preserve">23, 33–34 (2003) (warning against “‘misuse or over-extension’ of trademark and related protections into areas traditionally occupied by patent or copyright” (quoting </w:t>
      </w:r>
      <w:proofErr w:type="spellStart"/>
      <w:r w:rsidRPr="00BC54C2">
        <w:t>TrafFixDevices</w:t>
      </w:r>
      <w:proofErr w:type="spellEnd"/>
      <w:r w:rsidRPr="00BC54C2">
        <w:t>, Inc.</w:t>
      </w:r>
      <w:r w:rsidRPr="00BC54C2">
        <w:t xml:space="preserve"> </w:t>
      </w:r>
      <w:r w:rsidRPr="00BC54C2">
        <w:t>v.</w:t>
      </w:r>
      <w:r w:rsidRPr="00BC54C2">
        <w:t xml:space="preserve"> </w:t>
      </w:r>
      <w:r w:rsidRPr="00BC54C2">
        <w:t>Marketing Displays, Inc., 532 U.S.</w:t>
      </w:r>
      <w:r w:rsidRPr="00BC54C2">
        <w:t xml:space="preserve"> </w:t>
      </w:r>
      <w:r w:rsidRPr="00BC54C2">
        <w:t>23, 29 (2001))).</w:t>
      </w:r>
    </w:p>
  </w:footnote>
  <w:footnote w:id="131">
    <w:p w14:paraId="3EBC20FE" w14:textId="332734DC" w:rsidR="00BC54C2" w:rsidRPr="006C6CD8" w:rsidRDefault="00BC54C2" w:rsidP="00BC54C2">
      <w:pPr>
        <w:pStyle w:val="FootnoteText"/>
      </w:pPr>
      <w:r w:rsidRPr="00BC54C2">
        <w:rPr>
          <w:vertAlign w:val="superscript"/>
        </w:rPr>
        <w:footnoteRef/>
      </w:r>
      <w:r w:rsidRPr="00BC54C2">
        <w:t>376 U.S.</w:t>
      </w:r>
      <w:r w:rsidRPr="00BC54C2">
        <w:t xml:space="preserve"> </w:t>
      </w:r>
      <w:r w:rsidRPr="00BC54C2">
        <w:t>225, 140 USPQ 524 (1964).</w:t>
      </w:r>
    </w:p>
  </w:footnote>
  <w:footnote w:id="132">
    <w:p w14:paraId="0DA12EF2" w14:textId="447E2805" w:rsidR="00BC54C2" w:rsidRPr="006C6CD8" w:rsidRDefault="00BC54C2" w:rsidP="00BC54C2">
      <w:pPr>
        <w:pStyle w:val="FootnoteText"/>
      </w:pPr>
      <w:r w:rsidRPr="00BC54C2">
        <w:rPr>
          <w:vertAlign w:val="superscript"/>
        </w:rPr>
        <w:footnoteRef/>
      </w:r>
      <w:r w:rsidRPr="00BC54C2">
        <w:t>376 U.S.</w:t>
      </w:r>
      <w:r w:rsidRPr="00BC54C2">
        <w:t xml:space="preserve"> </w:t>
      </w:r>
      <w:r w:rsidRPr="00BC54C2">
        <w:t>234, 140 USPQ 528 (1964).</w:t>
      </w:r>
    </w:p>
  </w:footnote>
  <w:footnote w:id="133">
    <w:p w14:paraId="701216CE" w14:textId="0DF49729" w:rsidR="00BC54C2" w:rsidRPr="006C6CD8" w:rsidRDefault="00BC54C2" w:rsidP="00BC54C2">
      <w:pPr>
        <w:pStyle w:val="FootnoteText"/>
      </w:pPr>
      <w:r w:rsidRPr="00BC54C2">
        <w:rPr>
          <w:vertAlign w:val="superscript"/>
        </w:rPr>
        <w:footnoteRef/>
      </w:r>
      <w:r w:rsidRPr="00BC54C2">
        <w:rPr>
          <w:i/>
        </w:rPr>
        <w:t>Sears</w:t>
      </w:r>
      <w:r w:rsidRPr="00BC54C2">
        <w:t>, 376 U.S.</w:t>
      </w:r>
      <w:r w:rsidRPr="00BC54C2">
        <w:t xml:space="preserve"> </w:t>
      </w:r>
      <w:r w:rsidRPr="00BC54C2">
        <w:t>at 230 (citations omitted);</w:t>
      </w:r>
      <w:r w:rsidRPr="00BC54C2">
        <w:t xml:space="preserve"> </w:t>
      </w:r>
      <w:r w:rsidRPr="00BC54C2">
        <w:rPr>
          <w:i/>
        </w:rPr>
        <w:t xml:space="preserve">see </w:t>
      </w:r>
      <w:proofErr w:type="spellStart"/>
      <w:r w:rsidRPr="00BC54C2">
        <w:rPr>
          <w:i/>
        </w:rPr>
        <w:t>Compco</w:t>
      </w:r>
      <w:proofErr w:type="spellEnd"/>
      <w:r w:rsidRPr="00BC54C2">
        <w:t>, 376 U.S.</w:t>
      </w:r>
      <w:r w:rsidRPr="00BC54C2">
        <w:t xml:space="preserve"> </w:t>
      </w:r>
      <w:r w:rsidRPr="00BC54C2">
        <w:t>at 238 (“[I]f the design is not entitled to a design patent or other federal statutory protection, then it can be copied at will.”).</w:t>
      </w:r>
    </w:p>
  </w:footnote>
  <w:footnote w:id="134">
    <w:p w14:paraId="2386BC3C" w14:textId="09A21350" w:rsidR="00BC54C2" w:rsidRPr="006C6CD8" w:rsidRDefault="00BC54C2" w:rsidP="00BC54C2">
      <w:pPr>
        <w:pStyle w:val="FootnoteText"/>
      </w:pPr>
      <w:r w:rsidRPr="00BC54C2">
        <w:rPr>
          <w:vertAlign w:val="superscript"/>
        </w:rPr>
        <w:footnoteRef/>
      </w:r>
      <w:r w:rsidRPr="00BC54C2">
        <w:t>489 U.S.</w:t>
      </w:r>
      <w:r w:rsidRPr="00BC54C2">
        <w:t xml:space="preserve"> </w:t>
      </w:r>
      <w:r w:rsidRPr="00BC54C2">
        <w:t>141, 9 USPQ2d 1847 (1989).</w:t>
      </w:r>
    </w:p>
  </w:footnote>
  <w:footnote w:id="135">
    <w:p w14:paraId="718438B1" w14:textId="7B57C81F" w:rsidR="00BC54C2" w:rsidRPr="006C6CD8" w:rsidRDefault="00BC54C2" w:rsidP="00BC54C2">
      <w:pPr>
        <w:pStyle w:val="FootnoteText"/>
      </w:pPr>
      <w:r w:rsidRPr="00BC54C2">
        <w:rPr>
          <w:vertAlign w:val="superscript"/>
        </w:rPr>
        <w:footnoteRef/>
      </w:r>
      <w:r w:rsidRPr="00BC54C2">
        <w:rPr>
          <w:i/>
        </w:rPr>
        <w:t>Id</w:t>
      </w:r>
      <w:r w:rsidRPr="00BC54C2">
        <w:t>.</w:t>
      </w:r>
      <w:r w:rsidRPr="00BC54C2">
        <w:t xml:space="preserve"> </w:t>
      </w:r>
      <w:r w:rsidRPr="00BC54C2">
        <w:t xml:space="preserve">at 154 (“[T]he States may place limited regulations on the circumstances in which [product] designs are used </w:t>
      </w:r>
      <w:proofErr w:type="gramStart"/>
      <w:r w:rsidRPr="00BC54C2">
        <w:t>in order to</w:t>
      </w:r>
      <w:proofErr w:type="gramEnd"/>
      <w:r w:rsidRPr="00BC54C2">
        <w:t xml:space="preserve"> prevent consumer confusion.</w:t>
      </w:r>
      <w:r w:rsidRPr="00BC54C2">
        <w:t xml:space="preserve"> </w:t>
      </w:r>
      <w:r w:rsidRPr="00BC54C2">
        <w:t>…”).</w:t>
      </w:r>
    </w:p>
  </w:footnote>
  <w:footnote w:id="136">
    <w:p w14:paraId="6D17BF86" w14:textId="71A5515C" w:rsidR="00BC54C2" w:rsidRPr="006C6CD8" w:rsidRDefault="00BC54C2" w:rsidP="00BC54C2">
      <w:pPr>
        <w:pStyle w:val="FootnoteText"/>
      </w:pPr>
      <w:r w:rsidRPr="00BC54C2">
        <w:rPr>
          <w:vertAlign w:val="superscript"/>
        </w:rPr>
        <w:footnoteRef/>
      </w:r>
      <w:r w:rsidRPr="00BC54C2">
        <w:t>“Product configuration” refers to a trademark in the design of the product itself, as opposed to its labeling or packaging.</w:t>
      </w:r>
      <w:r w:rsidRPr="00BC54C2">
        <w:t xml:space="preserve"> </w:t>
      </w:r>
      <w:r w:rsidRPr="00BC54C2">
        <w:t>Both the packaging and the product design are analyzed under the rubric of trade dress infringement.</w:t>
      </w:r>
      <w:r w:rsidRPr="00BC54C2">
        <w:t xml:space="preserve"> </w:t>
      </w:r>
      <w:r w:rsidRPr="00BC54C2">
        <w:rPr>
          <w:i/>
        </w:rPr>
        <w:t>See</w:t>
      </w:r>
      <w:r w:rsidRPr="00BC54C2">
        <w:t xml:space="preserve"> Wal-Mart Stores, Inc.</w:t>
      </w:r>
      <w:r w:rsidRPr="00BC54C2">
        <w:t xml:space="preserve"> </w:t>
      </w:r>
      <w:r w:rsidRPr="00BC54C2">
        <w:t>v.</w:t>
      </w:r>
      <w:r w:rsidRPr="00BC54C2">
        <w:t xml:space="preserve"> </w:t>
      </w:r>
      <w:r w:rsidRPr="00BC54C2">
        <w:t>Samara Bros., Inc., 529 U.S.</w:t>
      </w:r>
      <w:r w:rsidRPr="00BC54C2">
        <w:t xml:space="preserve"> </w:t>
      </w:r>
      <w:r w:rsidRPr="00BC54C2">
        <w:t>205, 209, 54 USPQ2d 1065 (2000).</w:t>
      </w:r>
      <w:r w:rsidRPr="00BC54C2">
        <w:t xml:space="preserve"> </w:t>
      </w:r>
      <w:r w:rsidRPr="00BC54C2">
        <w:t>In theory, product packaging also could be within the subject matter of patent.</w:t>
      </w:r>
      <w:r w:rsidRPr="00BC54C2">
        <w:t xml:space="preserve"> </w:t>
      </w:r>
      <w:r w:rsidRPr="00BC54C2">
        <w:t>Most of the problems involve configuration, but the analysis of packaging would be the same.</w:t>
      </w:r>
    </w:p>
  </w:footnote>
  <w:footnote w:id="137">
    <w:p w14:paraId="1982FBDC" w14:textId="7945BB60" w:rsidR="00BC54C2" w:rsidRPr="006C6CD8" w:rsidRDefault="00BC54C2" w:rsidP="00BC54C2">
      <w:pPr>
        <w:pStyle w:val="FootnoteText"/>
      </w:pPr>
      <w:r w:rsidRPr="00BC54C2">
        <w:rPr>
          <w:vertAlign w:val="superscript"/>
        </w:rPr>
        <w:footnoteRef/>
      </w:r>
      <w:r w:rsidRPr="00BC54C2">
        <w:rPr>
          <w:i/>
        </w:rPr>
        <w:t>E</w:t>
      </w:r>
      <w:r w:rsidRPr="00BC54C2">
        <w:t>.</w:t>
      </w:r>
      <w:r w:rsidRPr="00BC54C2">
        <w:rPr>
          <w:i/>
        </w:rPr>
        <w:t>g</w:t>
      </w:r>
      <w:r w:rsidRPr="00BC54C2">
        <w:t>., Sunbeam Prods., Inc.</w:t>
      </w:r>
      <w:r w:rsidRPr="00BC54C2">
        <w:t xml:space="preserve"> </w:t>
      </w:r>
      <w:r w:rsidRPr="00BC54C2">
        <w:t>v.</w:t>
      </w:r>
      <w:r w:rsidRPr="00BC54C2">
        <w:t xml:space="preserve"> </w:t>
      </w:r>
      <w:r w:rsidRPr="00BC54C2">
        <w:t>West Bend Co., 123 F.3d 246, 44 USPQ2d 1161 (5th Cir.</w:t>
      </w:r>
      <w:r w:rsidRPr="00BC54C2">
        <w:t xml:space="preserve"> </w:t>
      </w:r>
      <w:r w:rsidRPr="00BC54C2">
        <w:t xml:space="preserve">1997), </w:t>
      </w:r>
      <w:r w:rsidRPr="00BC54C2">
        <w:rPr>
          <w:i/>
        </w:rPr>
        <w:t>cert</w:t>
      </w:r>
      <w:r w:rsidRPr="00BC54C2">
        <w:t>.</w:t>
      </w:r>
      <w:r w:rsidRPr="00BC54C2">
        <w:t xml:space="preserve"> </w:t>
      </w:r>
      <w:r w:rsidRPr="00BC54C2">
        <w:rPr>
          <w:i/>
        </w:rPr>
        <w:t>denied</w:t>
      </w:r>
      <w:r w:rsidRPr="00BC54C2">
        <w:t>, 523 U.S.</w:t>
      </w:r>
      <w:r w:rsidRPr="00BC54C2">
        <w:t xml:space="preserve"> </w:t>
      </w:r>
      <w:r w:rsidRPr="00BC54C2">
        <w:t>1118 (1998);</w:t>
      </w:r>
      <w:r w:rsidRPr="00BC54C2">
        <w:t xml:space="preserve"> </w:t>
      </w:r>
      <w:proofErr w:type="spellStart"/>
      <w:r w:rsidRPr="00BC54C2">
        <w:t>Insty</w:t>
      </w:r>
      <w:proofErr w:type="spellEnd"/>
      <w:r w:rsidRPr="00BC54C2">
        <w:t>*Bit, Inc.</w:t>
      </w:r>
      <w:r w:rsidRPr="00BC54C2">
        <w:t xml:space="preserve"> </w:t>
      </w:r>
      <w:r w:rsidRPr="00BC54C2">
        <w:t>v.</w:t>
      </w:r>
      <w:r w:rsidRPr="00BC54C2">
        <w:t xml:space="preserve"> </w:t>
      </w:r>
      <w:r w:rsidRPr="00BC54C2">
        <w:t>Poly-Tech Indus., Inc., 95 F.3d 663, 39 USPQ2d 1961 (8th Cir.</w:t>
      </w:r>
      <w:r w:rsidRPr="00BC54C2">
        <w:t xml:space="preserve"> </w:t>
      </w:r>
      <w:r w:rsidRPr="00BC54C2">
        <w:t xml:space="preserve">1996), </w:t>
      </w:r>
      <w:r w:rsidRPr="00BC54C2">
        <w:rPr>
          <w:i/>
        </w:rPr>
        <w:t>cert</w:t>
      </w:r>
      <w:r w:rsidRPr="00BC54C2">
        <w:t>.</w:t>
      </w:r>
      <w:r w:rsidRPr="00BC54C2">
        <w:t xml:space="preserve"> </w:t>
      </w:r>
      <w:r w:rsidRPr="00BC54C2">
        <w:rPr>
          <w:i/>
        </w:rPr>
        <w:t>denied</w:t>
      </w:r>
      <w:r w:rsidRPr="00BC54C2">
        <w:t>, 519 U.S.</w:t>
      </w:r>
      <w:r w:rsidRPr="00BC54C2">
        <w:t xml:space="preserve"> </w:t>
      </w:r>
      <w:r w:rsidRPr="00BC54C2">
        <w:t>1151 (1997);</w:t>
      </w:r>
      <w:r w:rsidRPr="00BC54C2">
        <w:t xml:space="preserve"> </w:t>
      </w:r>
      <w:r w:rsidRPr="00BC54C2">
        <w:t>W.T.</w:t>
      </w:r>
      <w:r w:rsidRPr="00BC54C2">
        <w:t xml:space="preserve"> </w:t>
      </w:r>
      <w:r w:rsidRPr="00BC54C2">
        <w:t>Rogers Co.</w:t>
      </w:r>
      <w:r w:rsidRPr="00BC54C2">
        <w:t xml:space="preserve"> </w:t>
      </w:r>
      <w:r w:rsidRPr="00BC54C2">
        <w:t>v.</w:t>
      </w:r>
      <w:r w:rsidRPr="00BC54C2">
        <w:t xml:space="preserve"> </w:t>
      </w:r>
      <w:r w:rsidRPr="00BC54C2">
        <w:t>Keene, 778 F.2d 334, 228 USPQ 145 (7th Cir.</w:t>
      </w:r>
      <w:r w:rsidRPr="00BC54C2">
        <w:t xml:space="preserve"> </w:t>
      </w:r>
      <w:r w:rsidRPr="00BC54C2">
        <w:t>1985).</w:t>
      </w:r>
    </w:p>
  </w:footnote>
  <w:footnote w:id="138">
    <w:p w14:paraId="2B5C3050" w14:textId="2DC78C99" w:rsidR="00BC54C2" w:rsidRPr="006C6CD8" w:rsidRDefault="00BC54C2" w:rsidP="00BC54C2">
      <w:pPr>
        <w:pStyle w:val="FootnoteText"/>
      </w:pPr>
      <w:r w:rsidRPr="00BC54C2">
        <w:rPr>
          <w:vertAlign w:val="superscript"/>
        </w:rPr>
        <w:footnoteRef/>
      </w:r>
      <w:r w:rsidRPr="00BC54C2">
        <w:rPr>
          <w:i/>
        </w:rPr>
        <w:t>E</w:t>
      </w:r>
      <w:r w:rsidRPr="00BC54C2">
        <w:t>.</w:t>
      </w:r>
      <w:r w:rsidRPr="00BC54C2">
        <w:rPr>
          <w:i/>
        </w:rPr>
        <w:t>g</w:t>
      </w:r>
      <w:r w:rsidRPr="00BC54C2">
        <w:t>., Elmer v.</w:t>
      </w:r>
      <w:r w:rsidRPr="00BC54C2">
        <w:t xml:space="preserve"> </w:t>
      </w:r>
      <w:r w:rsidRPr="00BC54C2">
        <w:t>ICC Fabricating, Inc., 67 F.3d 1571, 36 USPQ2d 1417 (Fed.</w:t>
      </w:r>
      <w:r w:rsidRPr="00BC54C2">
        <w:t xml:space="preserve"> </w:t>
      </w:r>
      <w:r w:rsidRPr="00BC54C2">
        <w:t>Cir.</w:t>
      </w:r>
      <w:r w:rsidRPr="00BC54C2">
        <w:t xml:space="preserve"> </w:t>
      </w:r>
      <w:r w:rsidRPr="00BC54C2">
        <w:t>1995);</w:t>
      </w:r>
      <w:r w:rsidRPr="00BC54C2">
        <w:t xml:space="preserve"> </w:t>
      </w:r>
      <w:r w:rsidRPr="00BC54C2">
        <w:t>Payless Shoesource, Inc.</w:t>
      </w:r>
      <w:r w:rsidRPr="00BC54C2">
        <w:t xml:space="preserve"> </w:t>
      </w:r>
      <w:r w:rsidRPr="00BC54C2">
        <w:t>v.</w:t>
      </w:r>
      <w:r w:rsidRPr="00BC54C2">
        <w:t xml:space="preserve"> </w:t>
      </w:r>
      <w:r w:rsidRPr="00BC54C2">
        <w:t>Reebok Int’l, Ltd., 998 F.2d 985, 27 USPQ2d 1516 (Fed.</w:t>
      </w:r>
      <w:r w:rsidRPr="00BC54C2">
        <w:t xml:space="preserve"> </w:t>
      </w:r>
      <w:r w:rsidRPr="00BC54C2">
        <w:t>Cir.</w:t>
      </w:r>
      <w:r w:rsidRPr="00BC54C2">
        <w:t xml:space="preserve"> </w:t>
      </w:r>
      <w:r w:rsidRPr="00BC54C2">
        <w:t>1993);</w:t>
      </w:r>
      <w:r w:rsidRPr="00BC54C2">
        <w:t xml:space="preserve"> </w:t>
      </w:r>
      <w:r w:rsidRPr="00BC54C2">
        <w:t>L.A.</w:t>
      </w:r>
      <w:r w:rsidRPr="00BC54C2">
        <w:t xml:space="preserve"> </w:t>
      </w:r>
      <w:r w:rsidRPr="00BC54C2">
        <w:t>Gear, Inc.</w:t>
      </w:r>
      <w:r w:rsidRPr="00BC54C2">
        <w:t xml:space="preserve"> </w:t>
      </w:r>
      <w:r w:rsidRPr="00BC54C2">
        <w:t>v.</w:t>
      </w:r>
      <w:r w:rsidRPr="00BC54C2">
        <w:t xml:space="preserve"> </w:t>
      </w:r>
      <w:r w:rsidRPr="00BC54C2">
        <w:t xml:space="preserve">Thom </w:t>
      </w:r>
      <w:proofErr w:type="spellStart"/>
      <w:r w:rsidRPr="00BC54C2">
        <w:t>McAn</w:t>
      </w:r>
      <w:proofErr w:type="spellEnd"/>
      <w:r w:rsidRPr="00BC54C2">
        <w:t xml:space="preserve"> Shoe Co., 988 F.2d 1117, 25 USPQ2d 1913 (Fed.</w:t>
      </w:r>
      <w:r w:rsidRPr="00BC54C2">
        <w:t xml:space="preserve"> </w:t>
      </w:r>
      <w:r w:rsidRPr="00BC54C2">
        <w:t xml:space="preserve">Cir.), </w:t>
      </w:r>
      <w:r w:rsidRPr="00BC54C2">
        <w:rPr>
          <w:i/>
        </w:rPr>
        <w:t>cert</w:t>
      </w:r>
      <w:r w:rsidRPr="00BC54C2">
        <w:t>.</w:t>
      </w:r>
      <w:r w:rsidRPr="00BC54C2">
        <w:t xml:space="preserve"> </w:t>
      </w:r>
      <w:r w:rsidRPr="00BC54C2">
        <w:rPr>
          <w:i/>
        </w:rPr>
        <w:t>denied</w:t>
      </w:r>
      <w:r w:rsidRPr="00BC54C2">
        <w:t>, 510 U.S.</w:t>
      </w:r>
      <w:r w:rsidRPr="00BC54C2">
        <w:t xml:space="preserve"> </w:t>
      </w:r>
      <w:r w:rsidRPr="00BC54C2">
        <w:t>908 (1993);</w:t>
      </w:r>
      <w:r w:rsidRPr="00BC54C2">
        <w:t xml:space="preserve"> </w:t>
      </w:r>
      <w:r w:rsidRPr="00BC54C2">
        <w:t>Braun, Inc.</w:t>
      </w:r>
      <w:r w:rsidRPr="00BC54C2">
        <w:t xml:space="preserve"> </w:t>
      </w:r>
      <w:r w:rsidRPr="00BC54C2">
        <w:t>v.</w:t>
      </w:r>
      <w:r w:rsidRPr="00BC54C2">
        <w:t xml:space="preserve"> </w:t>
      </w:r>
      <w:r w:rsidRPr="00BC54C2">
        <w:t>Dynamics Corp.</w:t>
      </w:r>
      <w:r w:rsidRPr="00BC54C2">
        <w:t xml:space="preserve"> </w:t>
      </w:r>
      <w:r w:rsidRPr="00BC54C2">
        <w:t>of Am., 975 F.2d 815, 24 USPQ2d 1121 (Fed.</w:t>
      </w:r>
      <w:r w:rsidRPr="00BC54C2">
        <w:t xml:space="preserve"> </w:t>
      </w:r>
      <w:r w:rsidRPr="00BC54C2">
        <w:t>Cir.</w:t>
      </w:r>
      <w:r w:rsidRPr="00BC54C2">
        <w:t xml:space="preserve"> </w:t>
      </w:r>
      <w:r w:rsidRPr="00BC54C2">
        <w:t>1992).</w:t>
      </w:r>
    </w:p>
  </w:footnote>
  <w:footnote w:id="139">
    <w:p w14:paraId="1D0C65E7" w14:textId="0D3B6AEE" w:rsidR="00BC54C2" w:rsidRPr="006C6CD8" w:rsidRDefault="00BC54C2" w:rsidP="00BC54C2">
      <w:pPr>
        <w:pStyle w:val="FootnoteText"/>
      </w:pPr>
      <w:r w:rsidRPr="00BC54C2">
        <w:rPr>
          <w:vertAlign w:val="superscript"/>
        </w:rPr>
        <w:footnoteRef/>
      </w:r>
      <w:r w:rsidRPr="00BC54C2">
        <w:t xml:space="preserve">The Supreme Court has explained that a product design “‘is functional,’ and cannot serve as a trademark, ‘if it is essential to the use or purpose of the article or if it affects the cost or quality of the article,’ that is, if exclusive use of the feature would put competitors at a significant non-reputation-related disadvantage.” </w:t>
      </w:r>
      <w:proofErr w:type="spellStart"/>
      <w:r w:rsidRPr="00BC54C2">
        <w:t>Qualitex</w:t>
      </w:r>
      <w:proofErr w:type="spellEnd"/>
      <w:r w:rsidRPr="00BC54C2">
        <w:t xml:space="preserve"> Co.</w:t>
      </w:r>
      <w:r w:rsidRPr="00BC54C2">
        <w:t xml:space="preserve"> </w:t>
      </w:r>
      <w:r w:rsidRPr="00BC54C2">
        <w:t>v.</w:t>
      </w:r>
      <w:r w:rsidRPr="00BC54C2">
        <w:t xml:space="preserve"> </w:t>
      </w:r>
      <w:r w:rsidRPr="00BC54C2">
        <w:t>Jacobson Prods.</w:t>
      </w:r>
      <w:r w:rsidRPr="00BC54C2">
        <w:t xml:space="preserve"> </w:t>
      </w:r>
      <w:r w:rsidRPr="00BC54C2">
        <w:t>Co., 514 U.S.</w:t>
      </w:r>
      <w:r w:rsidRPr="00BC54C2">
        <w:t xml:space="preserve"> </w:t>
      </w:r>
      <w:r w:rsidRPr="00BC54C2">
        <w:t>159, 165, 34 USPQ2d 1161 (</w:t>
      </w:r>
      <w:proofErr w:type="gramStart"/>
      <w:r w:rsidRPr="00BC54C2">
        <w:t>1995)(</w:t>
      </w:r>
      <w:proofErr w:type="gramEnd"/>
      <w:r w:rsidRPr="00BC54C2">
        <w:t>quoting Inwood Labs., Inc.</w:t>
      </w:r>
      <w:r w:rsidRPr="00BC54C2">
        <w:t xml:space="preserve"> </w:t>
      </w:r>
      <w:r w:rsidRPr="00BC54C2">
        <w:t>v.</w:t>
      </w:r>
      <w:r w:rsidRPr="00BC54C2">
        <w:t xml:space="preserve"> </w:t>
      </w:r>
      <w:r w:rsidRPr="00BC54C2">
        <w:t>Ives Labs., Inc., 456 U.S.</w:t>
      </w:r>
      <w:r w:rsidRPr="00BC54C2">
        <w:t xml:space="preserve"> </w:t>
      </w:r>
      <w:r w:rsidRPr="00BC54C2">
        <w:t>844, 850 n.10, 214 USPQ 1 (1982)).</w:t>
      </w:r>
      <w:r w:rsidRPr="00BC54C2">
        <w:t xml:space="preserve"> </w:t>
      </w:r>
      <w:r w:rsidRPr="00BC54C2">
        <w:t>Congress has recognized the functionality doctrine by making it a defense to the otherwise incontestable rights of the federal trademark registrant.</w:t>
      </w:r>
      <w:r w:rsidRPr="00BC54C2">
        <w:t xml:space="preserve"> </w:t>
      </w:r>
      <w:r w:rsidRPr="00BC54C2">
        <w:t>15 U.S.C.</w:t>
      </w:r>
      <w:r w:rsidRPr="00BC54C2">
        <w:t xml:space="preserve"> </w:t>
      </w:r>
      <w:r w:rsidRPr="00BC54C2">
        <w:t>§1115(b)(8).</w:t>
      </w:r>
    </w:p>
  </w:footnote>
  <w:footnote w:id="140">
    <w:p w14:paraId="3DBD6CB5" w14:textId="7E4D7C4D" w:rsidR="00BC54C2" w:rsidRPr="006C6CD8" w:rsidRDefault="00BC54C2" w:rsidP="00BC54C2">
      <w:pPr>
        <w:pStyle w:val="FootnoteText"/>
      </w:pPr>
      <w:r w:rsidRPr="00BC54C2">
        <w:rPr>
          <w:vertAlign w:val="superscript"/>
        </w:rPr>
        <w:footnoteRef/>
      </w:r>
      <w:proofErr w:type="spellStart"/>
      <w:r w:rsidRPr="00BC54C2">
        <w:t>TrafFix</w:t>
      </w:r>
      <w:proofErr w:type="spellEnd"/>
      <w:r w:rsidRPr="00BC54C2">
        <w:t xml:space="preserve"> Devices, Inc.</w:t>
      </w:r>
      <w:r w:rsidRPr="00BC54C2">
        <w:t xml:space="preserve"> </w:t>
      </w:r>
      <w:r w:rsidRPr="00BC54C2">
        <w:t>v.</w:t>
      </w:r>
      <w:r w:rsidRPr="00BC54C2">
        <w:t xml:space="preserve"> </w:t>
      </w:r>
      <w:r w:rsidRPr="00BC54C2">
        <w:t>Mktg.</w:t>
      </w:r>
      <w:r w:rsidRPr="00BC54C2">
        <w:t xml:space="preserve"> </w:t>
      </w:r>
      <w:r w:rsidRPr="00BC54C2">
        <w:t>Displays, Inc., 532 U.S.</w:t>
      </w:r>
      <w:r w:rsidRPr="00BC54C2">
        <w:t xml:space="preserve"> </w:t>
      </w:r>
      <w:r w:rsidRPr="00BC54C2">
        <w:t>23, 29–30, 58 USPQ2d 1001 (2001).</w:t>
      </w:r>
      <w:r w:rsidRPr="00BC54C2">
        <w:t xml:space="preserve"> </w:t>
      </w:r>
      <w:r w:rsidRPr="00BC54C2">
        <w:t xml:space="preserve">In </w:t>
      </w:r>
      <w:proofErr w:type="spellStart"/>
      <w:r w:rsidRPr="00BC54C2">
        <w:rPr>
          <w:i/>
        </w:rPr>
        <w:t>TrafFix</w:t>
      </w:r>
      <w:proofErr w:type="spellEnd"/>
      <w:r w:rsidRPr="00BC54C2">
        <w:t xml:space="preserve">, the utility patent was held to satisfy the first of the possible definitions expressed in </w:t>
      </w:r>
      <w:proofErr w:type="spellStart"/>
      <w:r w:rsidRPr="00BC54C2">
        <w:rPr>
          <w:i/>
        </w:rPr>
        <w:t>Qualitex</w:t>
      </w:r>
      <w:proofErr w:type="spellEnd"/>
      <w:r w:rsidRPr="00BC54C2">
        <w:t>.</w:t>
      </w:r>
      <w:r w:rsidRPr="00BC54C2">
        <w:t xml:space="preserve"> </w:t>
      </w:r>
      <w:r w:rsidRPr="00BC54C2">
        <w:t>532 U.S.</w:t>
      </w:r>
      <w:r w:rsidRPr="00BC54C2">
        <w:t xml:space="preserve"> </w:t>
      </w:r>
      <w:r w:rsidRPr="00BC54C2">
        <w:t>at 33–34.</w:t>
      </w:r>
    </w:p>
  </w:footnote>
  <w:footnote w:id="141">
    <w:p w14:paraId="088C906F" w14:textId="1E95C47C" w:rsidR="00BC54C2" w:rsidRPr="006C6CD8" w:rsidRDefault="00BC54C2" w:rsidP="00BC54C2">
      <w:pPr>
        <w:pStyle w:val="FootnoteText"/>
      </w:pPr>
      <w:r w:rsidRPr="00BC54C2">
        <w:rPr>
          <w:vertAlign w:val="superscript"/>
        </w:rPr>
        <w:footnoteRef/>
      </w:r>
      <w:r w:rsidRPr="00BC54C2">
        <w:rPr>
          <w:i/>
        </w:rPr>
        <w:t>See</w:t>
      </w:r>
      <w:r w:rsidRPr="00BC54C2">
        <w:t xml:space="preserve"> Wallace Int’l Silversmiths, Inc.</w:t>
      </w:r>
      <w:r w:rsidRPr="00BC54C2">
        <w:t xml:space="preserve"> </w:t>
      </w:r>
      <w:r w:rsidRPr="00BC54C2">
        <w:t>v.</w:t>
      </w:r>
      <w:r w:rsidRPr="00BC54C2">
        <w:t xml:space="preserve"> </w:t>
      </w:r>
      <w:proofErr w:type="spellStart"/>
      <w:r w:rsidRPr="00BC54C2">
        <w:t>Godinger</w:t>
      </w:r>
      <w:proofErr w:type="spellEnd"/>
      <w:r w:rsidRPr="00BC54C2">
        <w:t xml:space="preserve"> Silver Art Co., 916 F.2d 76, 80–81, 16 USPQ2d 1555 (2d Cir.</w:t>
      </w:r>
      <w:r w:rsidRPr="00BC54C2">
        <w:t xml:space="preserve"> </w:t>
      </w:r>
      <w:r w:rsidRPr="00BC54C2">
        <w:t xml:space="preserve">1990), </w:t>
      </w:r>
      <w:r w:rsidRPr="00BC54C2">
        <w:rPr>
          <w:i/>
        </w:rPr>
        <w:t>cert</w:t>
      </w:r>
      <w:r w:rsidRPr="00BC54C2">
        <w:t>.</w:t>
      </w:r>
      <w:r w:rsidRPr="00BC54C2">
        <w:t xml:space="preserve"> </w:t>
      </w:r>
      <w:r w:rsidRPr="00BC54C2">
        <w:rPr>
          <w:i/>
        </w:rPr>
        <w:t>denied</w:t>
      </w:r>
      <w:r w:rsidRPr="00BC54C2">
        <w:t>, 499 U.S.</w:t>
      </w:r>
      <w:r w:rsidRPr="00BC54C2">
        <w:t xml:space="preserve"> </w:t>
      </w:r>
      <w:r w:rsidRPr="00BC54C2">
        <w:t>976 (1991).</w:t>
      </w:r>
      <w:r w:rsidRPr="00BC54C2">
        <w:t xml:space="preserve"> </w:t>
      </w:r>
      <w:r w:rsidRPr="00BC54C2">
        <w:rPr>
          <w:i/>
        </w:rPr>
        <w:t xml:space="preserve">See also </w:t>
      </w:r>
      <w:proofErr w:type="spellStart"/>
      <w:r w:rsidRPr="00BC54C2">
        <w:rPr>
          <w:i/>
        </w:rPr>
        <w:t>TrafFix</w:t>
      </w:r>
      <w:proofErr w:type="spellEnd"/>
      <w:r w:rsidRPr="00BC54C2">
        <w:rPr>
          <w:i/>
        </w:rPr>
        <w:t xml:space="preserve"> Devices</w:t>
      </w:r>
      <w:r w:rsidRPr="00BC54C2">
        <w:t>, 532 U.S.</w:t>
      </w:r>
      <w:r w:rsidRPr="00BC54C2">
        <w:t xml:space="preserve"> </w:t>
      </w:r>
      <w:r w:rsidRPr="00BC54C2">
        <w:t>at 33 (“It is proper to inquire into a ‘significant non-reputation-related disadvantage’ in cases of aesthetic functionality”).</w:t>
      </w:r>
      <w:r w:rsidRPr="00BC54C2">
        <w:t xml:space="preserve"> </w:t>
      </w:r>
      <w:r w:rsidRPr="00BC54C2">
        <w:t>The “relevant market” usually means something broader than the market for exact copies of the article.</w:t>
      </w:r>
      <w:r w:rsidRPr="00BC54C2">
        <w:t xml:space="preserve"> </w:t>
      </w:r>
      <w:r w:rsidRPr="00BC54C2">
        <w:rPr>
          <w:i/>
        </w:rPr>
        <w:t>See</w:t>
      </w:r>
      <w:r w:rsidRPr="00BC54C2">
        <w:t xml:space="preserve"> David S.</w:t>
      </w:r>
      <w:r w:rsidRPr="00BC54C2">
        <w:t xml:space="preserve"> </w:t>
      </w:r>
      <w:r w:rsidRPr="00BC54C2">
        <w:t xml:space="preserve">Welkowitz, </w:t>
      </w:r>
      <w:r w:rsidRPr="00BC54C2">
        <w:rPr>
          <w:i/>
        </w:rPr>
        <w:t>Trade Dress and Patent—the Dilemma of Confusion</w:t>
      </w:r>
      <w:r w:rsidRPr="00BC54C2">
        <w:t xml:space="preserve">, 30 </w:t>
      </w:r>
      <w:r w:rsidRPr="00BC54C2">
        <w:rPr>
          <w:smallCaps/>
        </w:rPr>
        <w:t>Rutgers L.J.</w:t>
      </w:r>
      <w:r w:rsidRPr="00BC54C2">
        <w:rPr>
          <w:smallCaps/>
        </w:rPr>
        <w:t xml:space="preserve"> </w:t>
      </w:r>
      <w:r w:rsidRPr="00BC54C2">
        <w:t>289, 331–43 (1999) (discussing functionality).</w:t>
      </w:r>
    </w:p>
  </w:footnote>
  <w:footnote w:id="142">
    <w:p w14:paraId="4E07A8B6" w14:textId="67EA13D8" w:rsidR="00BC54C2" w:rsidRPr="006C6CD8" w:rsidRDefault="00BC54C2" w:rsidP="00BC54C2">
      <w:pPr>
        <w:pStyle w:val="FootnoteText"/>
      </w:pPr>
      <w:r w:rsidRPr="00BC54C2">
        <w:rPr>
          <w:vertAlign w:val="superscript"/>
        </w:rPr>
        <w:footnoteRef/>
      </w:r>
      <w:r w:rsidRPr="00BC54C2">
        <w:t>A discussion of the tests for dilution under state laws is contained in Chapter 3, §IV.</w:t>
      </w:r>
      <w:r w:rsidRPr="00BC54C2">
        <w:t xml:space="preserve"> </w:t>
      </w:r>
      <w:r w:rsidRPr="00BC54C2">
        <w:t>For a discussion of dilution under the TDRA, see generally Chapter 9.</w:t>
      </w:r>
    </w:p>
  </w:footnote>
  <w:footnote w:id="143">
    <w:p w14:paraId="0D4575C9" w14:textId="16687625" w:rsidR="00BC54C2" w:rsidRPr="006C6CD8" w:rsidRDefault="00BC54C2" w:rsidP="00BC54C2">
      <w:pPr>
        <w:pStyle w:val="FootnoteText"/>
      </w:pPr>
      <w:r w:rsidRPr="00BC54C2">
        <w:rPr>
          <w:vertAlign w:val="superscript"/>
        </w:rPr>
        <w:footnoteRef/>
      </w:r>
      <w:r w:rsidRPr="00BC54C2">
        <w:rPr>
          <w:i/>
        </w:rPr>
        <w:t>E</w:t>
      </w:r>
      <w:r w:rsidRPr="00BC54C2">
        <w:t>.</w:t>
      </w:r>
      <w:r w:rsidRPr="00BC54C2">
        <w:rPr>
          <w:i/>
        </w:rPr>
        <w:t>g</w:t>
      </w:r>
      <w:r w:rsidRPr="00BC54C2">
        <w:t>., Freedom Sav.</w:t>
      </w:r>
      <w:r w:rsidRPr="00BC54C2">
        <w:t xml:space="preserve"> </w:t>
      </w:r>
      <w:r w:rsidRPr="00BC54C2">
        <w:t xml:space="preserve">&amp; Loan </w:t>
      </w:r>
      <w:proofErr w:type="spellStart"/>
      <w:r w:rsidRPr="00BC54C2">
        <w:t>Ass’n</w:t>
      </w:r>
      <w:proofErr w:type="spellEnd"/>
      <w:r w:rsidRPr="00BC54C2">
        <w:t xml:space="preserve"> v.</w:t>
      </w:r>
      <w:r w:rsidRPr="00BC54C2">
        <w:t xml:space="preserve"> </w:t>
      </w:r>
      <w:r w:rsidRPr="00BC54C2">
        <w:t xml:space="preserve">Way, 757 F.2d 1176, 1186, 226 USPQ 123 (11th Cir.), </w:t>
      </w:r>
      <w:r w:rsidRPr="00BC54C2">
        <w:rPr>
          <w:i/>
        </w:rPr>
        <w:t>cert</w:t>
      </w:r>
      <w:r w:rsidRPr="00BC54C2">
        <w:t>.</w:t>
      </w:r>
      <w:r w:rsidRPr="00BC54C2">
        <w:t xml:space="preserve"> </w:t>
      </w:r>
      <w:r w:rsidRPr="00BC54C2">
        <w:rPr>
          <w:i/>
        </w:rPr>
        <w:t>denied</w:t>
      </w:r>
      <w:r w:rsidRPr="00BC54C2">
        <w:t>, 474 U.S.</w:t>
      </w:r>
      <w:r w:rsidRPr="00BC54C2">
        <w:t xml:space="preserve"> </w:t>
      </w:r>
      <w:r w:rsidRPr="00BC54C2">
        <w:t>845 (1985) (“significant use of a very similar mark” as dilution);</w:t>
      </w:r>
      <w:r w:rsidRPr="00BC54C2">
        <w:t xml:space="preserve"> </w:t>
      </w:r>
      <w:r w:rsidRPr="00BC54C2">
        <w:t>Bellsouth Corp.</w:t>
      </w:r>
      <w:r w:rsidRPr="00BC54C2">
        <w:t xml:space="preserve"> </w:t>
      </w:r>
      <w:r w:rsidRPr="00BC54C2">
        <w:t>v.</w:t>
      </w:r>
      <w:r w:rsidRPr="00BC54C2">
        <w:t xml:space="preserve"> </w:t>
      </w:r>
      <w:r w:rsidRPr="00BC54C2">
        <w:t>Internet Classifieds of Ohio, 1997 WL 33107251, at *23 (N.D.</w:t>
      </w:r>
      <w:r w:rsidRPr="00BC54C2">
        <w:t xml:space="preserve"> </w:t>
      </w:r>
      <w:r w:rsidRPr="00BC54C2">
        <w:t>Ga.</w:t>
      </w:r>
      <w:r w:rsidRPr="00BC54C2">
        <w:t xml:space="preserve"> </w:t>
      </w:r>
      <w:r w:rsidRPr="00BC54C2">
        <w:t>Nov.</w:t>
      </w:r>
      <w:r w:rsidRPr="00BC54C2">
        <w:t xml:space="preserve"> </w:t>
      </w:r>
      <w:r w:rsidRPr="00BC54C2">
        <w:t>12, 1997) (same).)</w:t>
      </w:r>
    </w:p>
  </w:footnote>
  <w:footnote w:id="144">
    <w:p w14:paraId="0C663933" w14:textId="0E3B41F4" w:rsidR="00BC54C2" w:rsidRPr="006C6CD8" w:rsidRDefault="00BC54C2" w:rsidP="00BC54C2">
      <w:pPr>
        <w:pStyle w:val="FootnoteText"/>
      </w:pPr>
      <w:r w:rsidRPr="00BC54C2">
        <w:rPr>
          <w:vertAlign w:val="superscript"/>
        </w:rPr>
        <w:footnoteRef/>
      </w:r>
      <w:r w:rsidRPr="00BC54C2">
        <w:t>Mead Data Cent., Inc.</w:t>
      </w:r>
      <w:r w:rsidRPr="00BC54C2">
        <w:t xml:space="preserve"> </w:t>
      </w:r>
      <w:r w:rsidRPr="00BC54C2">
        <w:t>v.</w:t>
      </w:r>
      <w:r w:rsidRPr="00BC54C2">
        <w:t xml:space="preserve"> </w:t>
      </w:r>
      <w:r w:rsidRPr="00BC54C2">
        <w:t>Toyota Motor Sales, U.S.A., 875 F.2d 1026, 1035, 10 USPQ2d 1961 (2d Cir.</w:t>
      </w:r>
      <w:r w:rsidRPr="00BC54C2">
        <w:t xml:space="preserve"> </w:t>
      </w:r>
      <w:r w:rsidRPr="00BC54C2">
        <w:t>1989) (Sweet, J., concurring).</w:t>
      </w:r>
    </w:p>
  </w:footnote>
  <w:footnote w:id="145">
    <w:p w14:paraId="0935752E" w14:textId="38998E50" w:rsidR="00BC54C2" w:rsidRPr="006C6CD8" w:rsidRDefault="00BC54C2" w:rsidP="00BC54C2">
      <w:pPr>
        <w:pStyle w:val="FootnoteText"/>
      </w:pPr>
      <w:r w:rsidRPr="00BC54C2">
        <w:rPr>
          <w:vertAlign w:val="superscript"/>
        </w:rPr>
        <w:footnoteRef/>
      </w:r>
      <w:r w:rsidRPr="00BC54C2">
        <w:rPr>
          <w:i/>
        </w:rPr>
        <w:t>See</w:t>
      </w:r>
      <w:r w:rsidRPr="00BC54C2">
        <w:t xml:space="preserve"> Landscape Forms, Inc.</w:t>
      </w:r>
      <w:r w:rsidRPr="00BC54C2">
        <w:t xml:space="preserve"> </w:t>
      </w:r>
      <w:r w:rsidRPr="00BC54C2">
        <w:t>v.</w:t>
      </w:r>
      <w:r w:rsidRPr="00BC54C2">
        <w:t xml:space="preserve"> </w:t>
      </w:r>
      <w:r w:rsidRPr="00BC54C2">
        <w:t>Columbia Cascade Co., 117 F.</w:t>
      </w:r>
      <w:r w:rsidRPr="00BC54C2">
        <w:t xml:space="preserve"> </w:t>
      </w:r>
      <w:r w:rsidRPr="00BC54C2">
        <w:t>Supp.</w:t>
      </w:r>
      <w:r w:rsidRPr="00BC54C2">
        <w:t xml:space="preserve"> </w:t>
      </w:r>
      <w:r w:rsidRPr="00BC54C2">
        <w:t>2d 360, 370, 56 USPQ2d 1613 (S.D.N.Y.</w:t>
      </w:r>
      <w:r w:rsidRPr="00BC54C2">
        <w:t xml:space="preserve"> </w:t>
      </w:r>
      <w:r w:rsidRPr="00BC54C2">
        <w:t>2000) (denying relief under New York dilution law in large part because the customers were sophisticated).</w:t>
      </w:r>
      <w:r w:rsidRPr="00BC54C2">
        <w:t xml:space="preserve"> </w:t>
      </w:r>
      <w:r w:rsidRPr="00BC54C2">
        <w:t xml:space="preserve">The </w:t>
      </w:r>
      <w:r w:rsidRPr="00BC54C2">
        <w:rPr>
          <w:i/>
        </w:rPr>
        <w:t>Landscape</w:t>
      </w:r>
      <w:r w:rsidRPr="00BC54C2">
        <w:t xml:space="preserve"> court expressly declined to decide whether the law was preempted.</w:t>
      </w:r>
      <w:r w:rsidRPr="00BC54C2">
        <w:t xml:space="preserve"> </w:t>
      </w:r>
      <w:r w:rsidRPr="00BC54C2">
        <w:rPr>
          <w:i/>
        </w:rPr>
        <w:t>Id</w:t>
      </w:r>
      <w:r w:rsidRPr="00BC54C2">
        <w:t>.</w:t>
      </w:r>
      <w:r w:rsidRPr="00BC54C2">
        <w:t xml:space="preserve"> </w:t>
      </w:r>
      <w:r w:rsidRPr="00BC54C2">
        <w:t>at 369 n.8.</w:t>
      </w:r>
    </w:p>
  </w:footnote>
  <w:footnote w:id="146">
    <w:p w14:paraId="426EB968" w14:textId="7E93EA8E" w:rsidR="00BC54C2" w:rsidRPr="00BC54C2" w:rsidRDefault="00BC54C2" w:rsidP="00BC54C2">
      <w:pPr>
        <w:pStyle w:val="FootnoteText"/>
      </w:pPr>
      <w:r w:rsidRPr="00BC54C2">
        <w:rPr>
          <w:vertAlign w:val="superscript"/>
        </w:rPr>
        <w:footnoteRef/>
      </w:r>
      <w:r w:rsidRPr="00BC54C2">
        <w:t xml:space="preserve">The TDRA includes six (nonmandatory, nonexclusive) factors to consider when analyzing blurring, which are not included in the 2007 Model </w:t>
      </w:r>
      <w:proofErr w:type="spellStart"/>
      <w:r w:rsidRPr="00BC54C2">
        <w:t>Bill.Those</w:t>
      </w:r>
      <w:proofErr w:type="spellEnd"/>
      <w:r w:rsidRPr="00BC54C2">
        <w:t xml:space="preserve"> factors are:</w:t>
      </w:r>
    </w:p>
    <w:p w14:paraId="2CCBA6B9" w14:textId="51979C58" w:rsidR="00BC54C2" w:rsidRPr="00BC54C2" w:rsidRDefault="00BC54C2" w:rsidP="00BC54C2">
      <w:pPr>
        <w:pStyle w:val="BQuotelong"/>
      </w:pPr>
      <w:r w:rsidRPr="00BC54C2">
        <w:t>(</w:t>
      </w:r>
      <w:proofErr w:type="spellStart"/>
      <w:r w:rsidRPr="00BC54C2">
        <w:t>i</w:t>
      </w:r>
      <w:proofErr w:type="spellEnd"/>
      <w:r w:rsidRPr="00BC54C2">
        <w:t>) The degree of similarity between the mark or trade name and the famous mark.</w:t>
      </w:r>
    </w:p>
    <w:p w14:paraId="1BC7C147" w14:textId="4055B9B4" w:rsidR="00BC54C2" w:rsidRPr="00BC54C2" w:rsidRDefault="00BC54C2" w:rsidP="00BC54C2">
      <w:pPr>
        <w:pStyle w:val="BQuotelong"/>
      </w:pPr>
      <w:r w:rsidRPr="00BC54C2">
        <w:t>(ii) The degree of inherent or acquired distinctiveness of the famous mark.</w:t>
      </w:r>
    </w:p>
    <w:p w14:paraId="594E91DD" w14:textId="33C21126" w:rsidR="00BC54C2" w:rsidRPr="00BC54C2" w:rsidRDefault="00BC54C2" w:rsidP="00BC54C2">
      <w:pPr>
        <w:pStyle w:val="BQuotelong"/>
      </w:pPr>
      <w:r w:rsidRPr="00BC54C2">
        <w:t>(iii) The extent to which the owner of the famous mark is engaging in substantially exclusive use of the mark.</w:t>
      </w:r>
    </w:p>
    <w:p w14:paraId="363EB9A8" w14:textId="3718A1B7" w:rsidR="00BC54C2" w:rsidRPr="00BC54C2" w:rsidRDefault="00BC54C2" w:rsidP="00BC54C2">
      <w:pPr>
        <w:pStyle w:val="BQuotelong"/>
      </w:pPr>
      <w:r w:rsidRPr="00BC54C2">
        <w:t>(iv) The degree of recognition of the famous mark.</w:t>
      </w:r>
    </w:p>
    <w:p w14:paraId="1F652ADD" w14:textId="4700CB30" w:rsidR="00BC54C2" w:rsidRPr="00BC54C2" w:rsidRDefault="00BC54C2" w:rsidP="00BC54C2">
      <w:pPr>
        <w:pStyle w:val="BQuotelong"/>
      </w:pPr>
      <w:r w:rsidRPr="00BC54C2">
        <w:t>(v) Whether the user of the mark or trade name intended to create an association with the famous mark.</w:t>
      </w:r>
    </w:p>
    <w:p w14:paraId="072A290B" w14:textId="047FC4E3" w:rsidR="00BC54C2" w:rsidRPr="00BC54C2" w:rsidRDefault="00BC54C2" w:rsidP="00BC54C2">
      <w:pPr>
        <w:pStyle w:val="BQuotelong"/>
      </w:pPr>
      <w:r w:rsidRPr="00BC54C2">
        <w:t>(vi) Any actual association between the mark or trade name and the famous mark.</w:t>
      </w:r>
    </w:p>
    <w:p w14:paraId="77754CC8" w14:textId="77777777" w:rsidR="00BC54C2" w:rsidRPr="006C6CD8" w:rsidRDefault="00BC54C2" w:rsidP="00BC54C2">
      <w:pPr>
        <w:pStyle w:val="FootnoteText"/>
      </w:pPr>
      <w:r w:rsidRPr="00BC54C2">
        <w:t>Lanham Act §43(c)(2)(B)(</w:t>
      </w:r>
      <w:proofErr w:type="spellStart"/>
      <w:r w:rsidRPr="00BC54C2">
        <w:t>i</w:t>
      </w:r>
      <w:proofErr w:type="spellEnd"/>
      <w:r w:rsidRPr="00BC54C2">
        <w:t>)–(vi), 15 U.S.C.</w:t>
      </w:r>
      <w:r w:rsidRPr="00BC54C2">
        <w:t xml:space="preserve"> </w:t>
      </w:r>
      <w:r w:rsidRPr="00BC54C2">
        <w:t>§1125(c)(2)(B)(</w:t>
      </w:r>
      <w:proofErr w:type="spellStart"/>
      <w:r w:rsidRPr="00BC54C2">
        <w:t>i</w:t>
      </w:r>
      <w:proofErr w:type="spellEnd"/>
      <w:r w:rsidRPr="00BC54C2">
        <w:t>)–(vi).</w:t>
      </w:r>
    </w:p>
  </w:footnote>
  <w:footnote w:id="147">
    <w:p w14:paraId="5501A6EE" w14:textId="3ACCC581" w:rsidR="00BC54C2" w:rsidRPr="006C6CD8" w:rsidRDefault="00BC54C2" w:rsidP="00BC54C2">
      <w:pPr>
        <w:pStyle w:val="FootnoteText"/>
      </w:pPr>
      <w:r w:rsidRPr="00BC54C2">
        <w:rPr>
          <w:vertAlign w:val="superscript"/>
        </w:rPr>
        <w:footnoteRef/>
      </w:r>
      <w:r w:rsidRPr="00BC54C2">
        <w:t>Bonito Boats, Inc.</w:t>
      </w:r>
      <w:r w:rsidRPr="00BC54C2">
        <w:t xml:space="preserve"> </w:t>
      </w:r>
      <w:r w:rsidRPr="00BC54C2">
        <w:t>v.</w:t>
      </w:r>
      <w:r w:rsidRPr="00BC54C2">
        <w:t xml:space="preserve"> </w:t>
      </w:r>
      <w:r w:rsidRPr="00BC54C2">
        <w:t>Thunder Craft Boats, Inc., 489 U.S.</w:t>
      </w:r>
      <w:r w:rsidRPr="00BC54C2">
        <w:t xml:space="preserve"> </w:t>
      </w:r>
      <w:r w:rsidRPr="00BC54C2">
        <w:t>141, 160–61, 9 USPQ2d 1847 (1989).</w:t>
      </w:r>
    </w:p>
  </w:footnote>
  <w:footnote w:id="148">
    <w:p w14:paraId="57DEBE0E" w14:textId="642322CB" w:rsidR="00BC54C2" w:rsidRPr="006C6CD8" w:rsidRDefault="00BC54C2" w:rsidP="00BC54C2">
      <w:pPr>
        <w:pStyle w:val="FootnoteText"/>
      </w:pPr>
      <w:r w:rsidRPr="00BC54C2">
        <w:rPr>
          <w:vertAlign w:val="superscript"/>
        </w:rPr>
        <w:footnoteRef/>
      </w:r>
      <w:r w:rsidRPr="00BC54C2">
        <w:t>Kewanee Oil Co.</w:t>
      </w:r>
      <w:r w:rsidRPr="00BC54C2">
        <w:t xml:space="preserve"> </w:t>
      </w:r>
      <w:r w:rsidRPr="00BC54C2">
        <w:t>v.</w:t>
      </w:r>
      <w:r w:rsidRPr="00BC54C2">
        <w:t xml:space="preserve"> </w:t>
      </w:r>
      <w:proofErr w:type="spellStart"/>
      <w:r w:rsidRPr="00BC54C2">
        <w:t>Bicron</w:t>
      </w:r>
      <w:proofErr w:type="spellEnd"/>
      <w:r w:rsidRPr="00BC54C2">
        <w:t xml:space="preserve"> Corp., 416 U.S.</w:t>
      </w:r>
      <w:r w:rsidRPr="00BC54C2">
        <w:t xml:space="preserve"> </w:t>
      </w:r>
      <w:r w:rsidRPr="00BC54C2">
        <w:t>470, 491–92, 181 USPQ 673 (1974).</w:t>
      </w:r>
      <w:r w:rsidRPr="00BC54C2">
        <w:t xml:space="preserve"> </w:t>
      </w:r>
      <w:r w:rsidRPr="00BC54C2">
        <w:rPr>
          <w:i/>
        </w:rPr>
        <w:t>Kewanee</w:t>
      </w:r>
      <w:r w:rsidRPr="00BC54C2">
        <w:t xml:space="preserve"> was reaffirmed in </w:t>
      </w:r>
      <w:r w:rsidRPr="00BC54C2">
        <w:rPr>
          <w:i/>
        </w:rPr>
        <w:t>Bonito Boats</w:t>
      </w:r>
      <w:r w:rsidRPr="00BC54C2">
        <w:t>.</w:t>
      </w:r>
      <w:r w:rsidRPr="00BC54C2">
        <w:t xml:space="preserve"> </w:t>
      </w:r>
      <w:r w:rsidRPr="00BC54C2">
        <w:t>489 U.S.</w:t>
      </w:r>
      <w:r w:rsidRPr="00BC54C2">
        <w:t xml:space="preserve"> </w:t>
      </w:r>
      <w:r w:rsidRPr="00BC54C2">
        <w:t>at 155.</w:t>
      </w:r>
    </w:p>
  </w:footnote>
  <w:footnote w:id="149">
    <w:p w14:paraId="0AD98A89" w14:textId="32FAB9F6" w:rsidR="00BC54C2" w:rsidRPr="006C6CD8" w:rsidRDefault="00BC54C2" w:rsidP="00BC54C2">
      <w:pPr>
        <w:pStyle w:val="FootnoteText"/>
      </w:pPr>
      <w:r w:rsidRPr="00BC54C2">
        <w:rPr>
          <w:vertAlign w:val="superscript"/>
        </w:rPr>
        <w:footnoteRef/>
      </w:r>
      <w:r w:rsidRPr="00BC54C2">
        <w:rPr>
          <w:i/>
        </w:rPr>
        <w:t>Kewanee</w:t>
      </w:r>
      <w:r w:rsidRPr="00BC54C2">
        <w:t>, 416 U.S.</w:t>
      </w:r>
      <w:r w:rsidRPr="00BC54C2">
        <w:t xml:space="preserve"> </w:t>
      </w:r>
      <w:r w:rsidRPr="00BC54C2">
        <w:t>at 484–90.</w:t>
      </w:r>
    </w:p>
  </w:footnote>
  <w:footnote w:id="150">
    <w:p w14:paraId="06C43595" w14:textId="0429312A" w:rsidR="00BC54C2" w:rsidRPr="006C6CD8" w:rsidRDefault="00BC54C2" w:rsidP="00BC54C2">
      <w:pPr>
        <w:pStyle w:val="FootnoteText"/>
      </w:pPr>
      <w:r w:rsidRPr="00BC54C2">
        <w:rPr>
          <w:vertAlign w:val="superscript"/>
        </w:rPr>
        <w:footnoteRef/>
      </w:r>
      <w:r w:rsidRPr="00BC54C2">
        <w:rPr>
          <w:i/>
        </w:rPr>
        <w:t>Id</w:t>
      </w:r>
      <w:r w:rsidRPr="00BC54C2">
        <w:t>.</w:t>
      </w:r>
      <w:r w:rsidRPr="00BC54C2">
        <w:t xml:space="preserve"> </w:t>
      </w:r>
      <w:r w:rsidRPr="00BC54C2">
        <w:t>at 490;</w:t>
      </w:r>
      <w:r w:rsidRPr="00BC54C2">
        <w:t xml:space="preserve"> </w:t>
      </w:r>
      <w:r w:rsidRPr="00BC54C2">
        <w:rPr>
          <w:i/>
        </w:rPr>
        <w:t>Bonito Boats</w:t>
      </w:r>
      <w:r w:rsidRPr="00BC54C2">
        <w:t>, 489 U.S.</w:t>
      </w:r>
      <w:r w:rsidRPr="00BC54C2">
        <w:t xml:space="preserve"> </w:t>
      </w:r>
      <w:r w:rsidRPr="00BC54C2">
        <w:t>at 160–61.</w:t>
      </w:r>
    </w:p>
  </w:footnote>
  <w:footnote w:id="151">
    <w:p w14:paraId="0C589205" w14:textId="507D6C1A" w:rsidR="00BC54C2" w:rsidRPr="006C6CD8" w:rsidRDefault="00BC54C2" w:rsidP="00BC54C2">
      <w:pPr>
        <w:pStyle w:val="FootnoteText"/>
      </w:pPr>
      <w:r w:rsidRPr="00BC54C2">
        <w:rPr>
          <w:vertAlign w:val="superscript"/>
        </w:rPr>
        <w:footnoteRef/>
      </w:r>
      <w:r w:rsidRPr="00BC54C2">
        <w:t>810 F.</w:t>
      </w:r>
      <w:r w:rsidRPr="00BC54C2">
        <w:t xml:space="preserve"> </w:t>
      </w:r>
      <w:r w:rsidRPr="00BC54C2">
        <w:t>Supp.</w:t>
      </w:r>
      <w:r w:rsidRPr="00BC54C2">
        <w:t xml:space="preserve"> </w:t>
      </w:r>
      <w:r w:rsidRPr="00BC54C2">
        <w:t>571, 25 USPQ2d 1970 (S.D.N.Y.</w:t>
      </w:r>
      <w:r w:rsidRPr="00BC54C2">
        <w:t xml:space="preserve"> </w:t>
      </w:r>
      <w:r w:rsidRPr="00BC54C2">
        <w:t>1993).</w:t>
      </w:r>
    </w:p>
  </w:footnote>
  <w:footnote w:id="152">
    <w:p w14:paraId="15601E98" w14:textId="3723D9F1" w:rsidR="00BC54C2" w:rsidRPr="006C6CD8" w:rsidRDefault="00BC54C2" w:rsidP="00BC54C2">
      <w:pPr>
        <w:pStyle w:val="FootnoteText"/>
      </w:pPr>
      <w:r w:rsidRPr="00BC54C2">
        <w:rPr>
          <w:vertAlign w:val="superscript"/>
        </w:rPr>
        <w:footnoteRef/>
      </w:r>
      <w:r w:rsidRPr="00BC54C2">
        <w:rPr>
          <w:i/>
        </w:rPr>
        <w:t>Id</w:t>
      </w:r>
      <w:r w:rsidRPr="00BC54C2">
        <w:t>.</w:t>
      </w:r>
      <w:r w:rsidRPr="00BC54C2">
        <w:t xml:space="preserve"> </w:t>
      </w:r>
      <w:r w:rsidRPr="00BC54C2">
        <w:t>at 573.</w:t>
      </w:r>
      <w:r w:rsidRPr="00BC54C2">
        <w:t xml:space="preserve"> </w:t>
      </w:r>
      <w:r w:rsidRPr="00BC54C2">
        <w:t xml:space="preserve">Technically, </w:t>
      </w:r>
      <w:r w:rsidRPr="00BC54C2">
        <w:rPr>
          <w:i/>
        </w:rPr>
        <w:t>Escada</w:t>
      </w:r>
      <w:r w:rsidRPr="00BC54C2">
        <w:t xml:space="preserve"> involved packaging (the bottle containing the perfume) rather than the product design.</w:t>
      </w:r>
      <w:r w:rsidRPr="00BC54C2">
        <w:t xml:space="preserve"> </w:t>
      </w:r>
      <w:r w:rsidRPr="00BC54C2">
        <w:t xml:space="preserve">Although this has significance in determining whether the bottle can be given any trademark protection, </w:t>
      </w:r>
      <w:r w:rsidRPr="00BC54C2">
        <w:rPr>
          <w:i/>
        </w:rPr>
        <w:t>see</w:t>
      </w:r>
      <w:r w:rsidRPr="00BC54C2">
        <w:t xml:space="preserve"> Wal-Mart Stores, Inc.</w:t>
      </w:r>
      <w:r w:rsidRPr="00BC54C2">
        <w:t xml:space="preserve"> </w:t>
      </w:r>
      <w:r w:rsidRPr="00BC54C2">
        <w:t>v.</w:t>
      </w:r>
      <w:r w:rsidRPr="00BC54C2">
        <w:t xml:space="preserve"> </w:t>
      </w:r>
      <w:r w:rsidRPr="00BC54C2">
        <w:t>Samara Bros., Inc., 529 U.S.</w:t>
      </w:r>
      <w:r w:rsidRPr="00BC54C2">
        <w:t xml:space="preserve"> </w:t>
      </w:r>
      <w:r w:rsidRPr="00BC54C2">
        <w:t>205, 215–16 (2000) (product configuration must have secondary meaning to be protected, while product packaging can be protected if inherently distinctive), it does not alter the preemption issue.</w:t>
      </w:r>
    </w:p>
  </w:footnote>
  <w:footnote w:id="153">
    <w:p w14:paraId="35AC4544" w14:textId="664C6147" w:rsidR="00BC54C2" w:rsidRPr="006C6CD8" w:rsidRDefault="00BC54C2" w:rsidP="00BC54C2">
      <w:pPr>
        <w:pStyle w:val="FootnoteText"/>
      </w:pPr>
      <w:r w:rsidRPr="00BC54C2">
        <w:rPr>
          <w:vertAlign w:val="superscript"/>
        </w:rPr>
        <w:footnoteRef/>
      </w:r>
      <w:r w:rsidRPr="00BC54C2">
        <w:rPr>
          <w:i/>
        </w:rPr>
        <w:t>Id</w:t>
      </w:r>
      <w:r w:rsidRPr="00BC54C2">
        <w:t>.</w:t>
      </w:r>
      <w:r w:rsidRPr="00BC54C2">
        <w:t xml:space="preserve"> </w:t>
      </w:r>
      <w:r w:rsidRPr="00BC54C2">
        <w:t xml:space="preserve">(citing </w:t>
      </w:r>
      <w:r w:rsidRPr="00BC54C2">
        <w:rPr>
          <w:i/>
        </w:rPr>
        <w:t>Bonito Boats</w:t>
      </w:r>
      <w:r w:rsidRPr="00BC54C2">
        <w:t>, 489 U.S.</w:t>
      </w:r>
      <w:r w:rsidRPr="00BC54C2">
        <w:t xml:space="preserve"> </w:t>
      </w:r>
      <w:r w:rsidRPr="00BC54C2">
        <w:t>at 152).</w:t>
      </w:r>
    </w:p>
  </w:footnote>
  <w:footnote w:id="154">
    <w:p w14:paraId="61606C58" w14:textId="1B3CD336" w:rsidR="00BC54C2" w:rsidRPr="00BC54C2" w:rsidRDefault="00BC54C2" w:rsidP="00BC54C2">
      <w:pPr>
        <w:pStyle w:val="FootnoteText"/>
      </w:pPr>
      <w:r w:rsidRPr="00BC54C2">
        <w:rPr>
          <w:vertAlign w:val="superscript"/>
        </w:rPr>
        <w:footnoteRef/>
      </w:r>
      <w:r w:rsidRPr="00BC54C2">
        <w:rPr>
          <w:i/>
        </w:rPr>
        <w:t>Id</w:t>
      </w:r>
      <w:r w:rsidRPr="00BC54C2">
        <w:t>.</w:t>
      </w:r>
    </w:p>
    <w:p w14:paraId="4B2954B8" w14:textId="77777777" w:rsidR="00BC54C2" w:rsidRPr="006C6CD8" w:rsidRDefault="00BC54C2" w:rsidP="0045768F">
      <w:pPr>
        <w:pStyle w:val="footnote"/>
      </w:pPr>
    </w:p>
  </w:footnote>
  <w:footnote w:id="155">
    <w:p w14:paraId="713F6832" w14:textId="6CC56E5E" w:rsidR="00BC54C2" w:rsidRPr="00A80834" w:rsidRDefault="00BC54C2" w:rsidP="00BC54C2">
      <w:pPr>
        <w:pStyle w:val="FootnoteText"/>
      </w:pPr>
      <w:r w:rsidRPr="00BC54C2">
        <w:rPr>
          <w:vertAlign w:val="superscript"/>
        </w:rPr>
        <w:footnoteRef/>
      </w:r>
      <w:r w:rsidRPr="00BC54C2">
        <w:t>Schutte Bagclosures, Inc.</w:t>
      </w:r>
      <w:r w:rsidRPr="00BC54C2">
        <w:t xml:space="preserve"> </w:t>
      </w:r>
      <w:r w:rsidRPr="00BC54C2">
        <w:t>v.</w:t>
      </w:r>
      <w:r w:rsidRPr="00BC54C2">
        <w:t xml:space="preserve"> </w:t>
      </w:r>
      <w:r w:rsidRPr="00BC54C2">
        <w:t>Kwik Lok Corp., 193 F.</w:t>
      </w:r>
      <w:r w:rsidRPr="00BC54C2">
        <w:t xml:space="preserve"> </w:t>
      </w:r>
      <w:r w:rsidRPr="00BC54C2">
        <w:t>Supp.</w:t>
      </w:r>
      <w:r w:rsidRPr="00BC54C2">
        <w:t xml:space="preserve"> </w:t>
      </w:r>
      <w:r w:rsidRPr="00BC54C2">
        <w:t>3d 245, 285 (S.D.N.Y.</w:t>
      </w:r>
      <w:r w:rsidRPr="00BC54C2">
        <w:t xml:space="preserve"> </w:t>
      </w:r>
      <w:r w:rsidRPr="00BC54C2">
        <w:t xml:space="preserve">2016) (New York dilution law preempted with regard to shape of plastic bag closures), </w:t>
      </w:r>
      <w:r w:rsidRPr="00BC54C2">
        <w:rPr>
          <w:i/>
        </w:rPr>
        <w:t>aff’d</w:t>
      </w:r>
      <w:r w:rsidRPr="00BC54C2">
        <w:t>, 699 F.</w:t>
      </w:r>
      <w:r w:rsidRPr="00BC54C2">
        <w:t xml:space="preserve"> </w:t>
      </w:r>
      <w:proofErr w:type="spellStart"/>
      <w:r w:rsidRPr="00BC54C2">
        <w:t>App’x</w:t>
      </w:r>
      <w:proofErr w:type="spellEnd"/>
      <w:r w:rsidRPr="00BC54C2">
        <w:t xml:space="preserve"> 93 (2d Cir.</w:t>
      </w:r>
      <w:r w:rsidRPr="00BC54C2">
        <w:t xml:space="preserve"> </w:t>
      </w:r>
      <w:r w:rsidRPr="00BC54C2">
        <w:t>2017);</w:t>
      </w:r>
      <w:r w:rsidRPr="00BC54C2">
        <w:t xml:space="preserve"> </w:t>
      </w:r>
      <w:r w:rsidRPr="00BC54C2">
        <w:t>Luv N’ Care, Ltd.</w:t>
      </w:r>
      <w:r w:rsidRPr="00BC54C2">
        <w:t xml:space="preserve"> </w:t>
      </w:r>
      <w:r w:rsidRPr="00BC54C2">
        <w:t>v.</w:t>
      </w:r>
      <w:r w:rsidRPr="00BC54C2">
        <w:t xml:space="preserve"> </w:t>
      </w:r>
      <w:r w:rsidRPr="00BC54C2">
        <w:t>Regent Baby Prods.</w:t>
      </w:r>
      <w:r w:rsidRPr="00BC54C2">
        <w:t xml:space="preserve"> </w:t>
      </w:r>
      <w:r w:rsidRPr="00BC54C2">
        <w:t>Corp., 841 F.</w:t>
      </w:r>
      <w:r w:rsidRPr="00BC54C2">
        <w:t xml:space="preserve"> </w:t>
      </w:r>
      <w:r w:rsidRPr="00BC54C2">
        <w:t>Supp.</w:t>
      </w:r>
      <w:r w:rsidRPr="00BC54C2">
        <w:t xml:space="preserve"> </w:t>
      </w:r>
      <w:r w:rsidRPr="00BC54C2">
        <w:t>2d 753, 759–62, 103 USPQ2d 1243 (S.D.N.Y.</w:t>
      </w:r>
      <w:r w:rsidRPr="00BC54C2">
        <w:t xml:space="preserve"> </w:t>
      </w:r>
      <w:r w:rsidRPr="00BC54C2">
        <w:t>2012);</w:t>
      </w:r>
      <w:r w:rsidRPr="00BC54C2">
        <w:t xml:space="preserve"> </w:t>
      </w:r>
      <w:r w:rsidRPr="00BC54C2">
        <w:t>adidas Am., Inc.</w:t>
      </w:r>
      <w:r w:rsidRPr="00BC54C2">
        <w:t xml:space="preserve"> </w:t>
      </w:r>
      <w:r w:rsidRPr="00BC54C2">
        <w:t>v.</w:t>
      </w:r>
      <w:r w:rsidRPr="00BC54C2">
        <w:t xml:space="preserve"> </w:t>
      </w:r>
      <w:r w:rsidRPr="00BC54C2">
        <w:t>Payless Shoesource, Inc., 546 F.</w:t>
      </w:r>
      <w:r w:rsidRPr="00BC54C2">
        <w:t xml:space="preserve"> </w:t>
      </w:r>
      <w:r w:rsidRPr="00BC54C2">
        <w:t>Supp.</w:t>
      </w:r>
      <w:r w:rsidRPr="00BC54C2">
        <w:t xml:space="preserve"> </w:t>
      </w:r>
      <w:r w:rsidRPr="00BC54C2">
        <w:t>2d 1029, 1067–68 (</w:t>
      </w:r>
      <w:r w:rsidRPr="00BC54C2">
        <w:rPr>
          <w:i/>
        </w:rPr>
        <w:t>redacted opinion and order</w:t>
      </w:r>
      <w:r w:rsidRPr="00BC54C2">
        <w:t>) (D.</w:t>
      </w:r>
      <w:r w:rsidRPr="00BC54C2">
        <w:t xml:space="preserve"> </w:t>
      </w:r>
      <w:r w:rsidRPr="00BC54C2">
        <w:t>Or.</w:t>
      </w:r>
      <w:r w:rsidRPr="00BC54C2">
        <w:t xml:space="preserve"> </w:t>
      </w:r>
      <w:r w:rsidRPr="00BC54C2">
        <w:t>2008);</w:t>
      </w:r>
      <w:r w:rsidRPr="00BC54C2">
        <w:t xml:space="preserve"> </w:t>
      </w:r>
      <w:r w:rsidRPr="00BC54C2">
        <w:t>Eastern Am.</w:t>
      </w:r>
      <w:r w:rsidRPr="00BC54C2">
        <w:t xml:space="preserve"> </w:t>
      </w:r>
      <w:r w:rsidRPr="00BC54C2">
        <w:t>Trio Prods., Inc.</w:t>
      </w:r>
      <w:r w:rsidRPr="00BC54C2">
        <w:t xml:space="preserve"> </w:t>
      </w:r>
      <w:r w:rsidRPr="00BC54C2">
        <w:t>v.</w:t>
      </w:r>
      <w:r w:rsidRPr="00BC54C2">
        <w:t xml:space="preserve"> </w:t>
      </w:r>
      <w:r w:rsidRPr="00BC54C2">
        <w:t>Tang Elec.</w:t>
      </w:r>
      <w:r w:rsidRPr="00BC54C2">
        <w:t xml:space="preserve"> </w:t>
      </w:r>
      <w:r w:rsidRPr="00BC54C2">
        <w:t>Corp., 97 F.</w:t>
      </w:r>
      <w:r w:rsidRPr="00BC54C2">
        <w:t xml:space="preserve"> </w:t>
      </w:r>
      <w:r w:rsidRPr="00BC54C2">
        <w:t>Supp.</w:t>
      </w:r>
      <w:r w:rsidRPr="00BC54C2">
        <w:t xml:space="preserve"> </w:t>
      </w:r>
      <w:r w:rsidRPr="00BC54C2">
        <w:t>2d 395, 424 &amp; n.199, 54 USPQ2d 1776 (S.D.N.Y.</w:t>
      </w:r>
      <w:r w:rsidRPr="00BC54C2">
        <w:t xml:space="preserve"> </w:t>
      </w:r>
      <w:r w:rsidRPr="00BC54C2">
        <w:t>2000);</w:t>
      </w:r>
      <w:r w:rsidRPr="00BC54C2">
        <w:t xml:space="preserve"> </w:t>
      </w:r>
      <w:r w:rsidRPr="00BC54C2">
        <w:t>Reebok Int’l Ltd.</w:t>
      </w:r>
      <w:r w:rsidRPr="00BC54C2">
        <w:t xml:space="preserve"> </w:t>
      </w:r>
      <w:r w:rsidRPr="00BC54C2">
        <w:t>v.</w:t>
      </w:r>
      <w:r w:rsidRPr="00BC54C2">
        <w:t xml:space="preserve"> </w:t>
      </w:r>
      <w:r w:rsidRPr="00BC54C2">
        <w:t>Kmart Corp., 849 F.</w:t>
      </w:r>
      <w:r w:rsidRPr="00BC54C2">
        <w:t xml:space="preserve"> </w:t>
      </w:r>
      <w:r w:rsidRPr="00BC54C2">
        <w:t>Supp.</w:t>
      </w:r>
      <w:r w:rsidRPr="00BC54C2">
        <w:t xml:space="preserve"> </w:t>
      </w:r>
      <w:r w:rsidRPr="00BC54C2">
        <w:t xml:space="preserve">252, 275, </w:t>
      </w:r>
      <w:r w:rsidRPr="00BC54C2">
        <w:rPr>
          <w:i/>
        </w:rPr>
        <w:t>vacated by consent judgment</w:t>
      </w:r>
      <w:r w:rsidRPr="00BC54C2">
        <w:t>, 33 USPQ2d 1863 (S.D.N.Y.</w:t>
      </w:r>
      <w:r w:rsidRPr="00BC54C2">
        <w:t xml:space="preserve"> </w:t>
      </w:r>
      <w:r w:rsidRPr="00BC54C2">
        <w:t>1994).</w:t>
      </w:r>
      <w:r w:rsidRPr="00BC54C2">
        <w:t xml:space="preserve"> </w:t>
      </w:r>
      <w:r w:rsidRPr="00BC54C2">
        <w:rPr>
          <w:i/>
        </w:rPr>
        <w:t>But see</w:t>
      </w:r>
      <w:r w:rsidRPr="00BC54C2">
        <w:t xml:space="preserve"> </w:t>
      </w:r>
      <w:proofErr w:type="spellStart"/>
      <w:r w:rsidRPr="00BC54C2">
        <w:t>Flocast</w:t>
      </w:r>
      <w:proofErr w:type="spellEnd"/>
      <w:r w:rsidRPr="00BC54C2">
        <w:t xml:space="preserve"> LLV v.</w:t>
      </w:r>
      <w:r w:rsidRPr="00BC54C2">
        <w:t xml:space="preserve"> </w:t>
      </w:r>
      <w:proofErr w:type="spellStart"/>
      <w:r w:rsidRPr="00BC54C2">
        <w:t>Movi</w:t>
      </w:r>
      <w:proofErr w:type="spellEnd"/>
      <w:r w:rsidRPr="00BC54C2">
        <w:t xml:space="preserve"> Family LLC, 2024 WL 3163485, at *11, 2024 BL 215964 (N.D.N.Y.</w:t>
      </w:r>
      <w:r w:rsidRPr="00BC54C2">
        <w:t xml:space="preserve"> </w:t>
      </w:r>
      <w:r w:rsidRPr="00BC54C2">
        <w:t>June 24, 2024) (finding no preemption by design patent, stating that “[P]</w:t>
      </w:r>
      <w:proofErr w:type="spellStart"/>
      <w:r w:rsidRPr="00BC54C2">
        <w:t>atent</w:t>
      </w:r>
      <w:proofErr w:type="spellEnd"/>
      <w:r w:rsidRPr="00BC54C2">
        <w:t xml:space="preserve"> law will not preempt state law claims if such claims ‘include additional elements not found in the federal patent law cause of action and if they are not an impermissible attempt to offer patent-like protection to a subject matter addressed by federal law.’ ” </w:t>
      </w:r>
      <w:hyperlink r:id="rId1" w:history="1">
        <w:r w:rsidRPr="00BC54C2">
          <w:rPr>
            <w:rStyle w:val="Hyperlink"/>
            <w:lang w:bidi="en-US"/>
          </w:rPr>
          <w:t>Carson Optical, Inc.</w:t>
        </w:r>
        <w:r w:rsidRPr="00BC54C2">
          <w:rPr>
            <w:rStyle w:val="Hyperlink"/>
            <w:lang w:bidi="en-US"/>
          </w:rPr>
          <w:t xml:space="preserve"> </w:t>
        </w:r>
        <w:r w:rsidRPr="00BC54C2">
          <w:rPr>
            <w:rStyle w:val="Hyperlink"/>
            <w:lang w:bidi="en-US"/>
          </w:rPr>
          <w:t>v.</w:t>
        </w:r>
        <w:r w:rsidRPr="00BC54C2">
          <w:rPr>
            <w:rStyle w:val="Hyperlink"/>
            <w:lang w:bidi="en-US"/>
          </w:rPr>
          <w:t xml:space="preserve"> </w:t>
        </w:r>
        <w:r w:rsidRPr="00BC54C2">
          <w:rPr>
            <w:rStyle w:val="Hyperlink"/>
            <w:lang w:bidi="en-US"/>
          </w:rPr>
          <w:t>Prym Consumer USA, Inc., 11 F.</w:t>
        </w:r>
        <w:r w:rsidRPr="00BC54C2">
          <w:rPr>
            <w:rStyle w:val="Hyperlink"/>
            <w:lang w:bidi="en-US"/>
          </w:rPr>
          <w:t xml:space="preserve"> </w:t>
        </w:r>
        <w:r w:rsidRPr="00BC54C2">
          <w:rPr>
            <w:rStyle w:val="Hyperlink"/>
            <w:lang w:bidi="en-US"/>
          </w:rPr>
          <w:t>Supp.</w:t>
        </w:r>
        <w:r w:rsidRPr="00BC54C2">
          <w:rPr>
            <w:rStyle w:val="Hyperlink"/>
            <w:lang w:bidi="en-US"/>
          </w:rPr>
          <w:t xml:space="preserve"> </w:t>
        </w:r>
        <w:r w:rsidRPr="00BC54C2">
          <w:rPr>
            <w:rStyle w:val="Hyperlink"/>
            <w:lang w:bidi="en-US"/>
          </w:rPr>
          <w:t>3d 317, 328 (E.D.N.Y.</w:t>
        </w:r>
        <w:r w:rsidRPr="00BC54C2">
          <w:rPr>
            <w:rStyle w:val="Hyperlink"/>
            <w:lang w:bidi="en-US"/>
          </w:rPr>
          <w:t xml:space="preserve"> </w:t>
        </w:r>
        <w:r w:rsidRPr="00BC54C2">
          <w:rPr>
            <w:rStyle w:val="Hyperlink"/>
            <w:lang w:bidi="en-US"/>
          </w:rPr>
          <w:t>2014)</w:t>
        </w:r>
      </w:hyperlink>
      <w:r w:rsidRPr="00BC54C2">
        <w:t xml:space="preserve"> (quoting </w:t>
      </w:r>
      <w:hyperlink r:id="rId2" w:history="1">
        <w:proofErr w:type="spellStart"/>
        <w:r w:rsidRPr="00BC54C2">
          <w:rPr>
            <w:rStyle w:val="Hyperlink"/>
            <w:lang w:bidi="en-US"/>
          </w:rPr>
          <w:t>Rodime</w:t>
        </w:r>
        <w:proofErr w:type="spellEnd"/>
        <w:r w:rsidRPr="00BC54C2">
          <w:rPr>
            <w:rStyle w:val="Hyperlink"/>
            <w:lang w:bidi="en-US"/>
          </w:rPr>
          <w:t xml:space="preserve"> PLC v.</w:t>
        </w:r>
        <w:r w:rsidRPr="00BC54C2">
          <w:rPr>
            <w:rStyle w:val="Hyperlink"/>
            <w:lang w:bidi="en-US"/>
          </w:rPr>
          <w:t xml:space="preserve"> </w:t>
        </w:r>
        <w:r w:rsidRPr="00BC54C2">
          <w:rPr>
            <w:rStyle w:val="Hyperlink"/>
            <w:lang w:bidi="en-US"/>
          </w:rPr>
          <w:t>Seagate Tech., Inc., 174 F.3d 1294, 1306 (Fed.</w:t>
        </w:r>
        <w:r w:rsidRPr="00BC54C2">
          <w:rPr>
            <w:rStyle w:val="Hyperlink"/>
            <w:lang w:bidi="en-US"/>
          </w:rPr>
          <w:t xml:space="preserve"> </w:t>
        </w:r>
        <w:r w:rsidRPr="00BC54C2">
          <w:rPr>
            <w:rStyle w:val="Hyperlink"/>
            <w:lang w:bidi="en-US"/>
          </w:rPr>
          <w:t>Cir.</w:t>
        </w:r>
        <w:r w:rsidRPr="00BC54C2">
          <w:rPr>
            <w:rStyle w:val="Hyperlink"/>
            <w:lang w:bidi="en-US"/>
          </w:rPr>
          <w:t xml:space="preserve"> </w:t>
        </w:r>
        <w:r w:rsidRPr="00BC54C2">
          <w:rPr>
            <w:rStyle w:val="Hyperlink"/>
            <w:lang w:bidi="en-US"/>
          </w:rPr>
          <w:t>1999)</w:t>
        </w:r>
      </w:hyperlink>
      <w:r w:rsidRPr="00BC54C2">
        <w:t>).</w:t>
      </w:r>
      <w:r w:rsidRPr="00BC54C2">
        <w:t xml:space="preserve"> </w:t>
      </w:r>
      <w:r w:rsidRPr="00BC54C2">
        <w:t>This result is odd in that the court found plaintiff’s state law claims for unfair competition and trademark infringement preempted, but felt that the dilution claim, which alleged injury to the company’s reputation from confusion of source, was not preempted.</w:t>
      </w:r>
      <w:r w:rsidRPr="00BC54C2">
        <w:t xml:space="preserve"> </w:t>
      </w:r>
      <w:r w:rsidRPr="00BC54C2">
        <w:rPr>
          <w:i/>
        </w:rPr>
        <w:t>Id</w:t>
      </w:r>
      <w:r w:rsidRPr="00BC54C2">
        <w:t>.</w:t>
      </w:r>
      <w:r w:rsidRPr="00BC54C2">
        <w:t xml:space="preserve"> </w:t>
      </w:r>
      <w:r w:rsidRPr="00BC54C2">
        <w:t>at *12–13.</w:t>
      </w:r>
    </w:p>
  </w:footnote>
  <w:footnote w:id="156">
    <w:p w14:paraId="5EE03439" w14:textId="57283E75" w:rsidR="00BC54C2" w:rsidRPr="006C6CD8" w:rsidRDefault="00BC54C2" w:rsidP="00BC54C2">
      <w:pPr>
        <w:pStyle w:val="FootnoteText"/>
      </w:pPr>
      <w:r w:rsidRPr="00BC54C2">
        <w:rPr>
          <w:vertAlign w:val="superscript"/>
        </w:rPr>
        <w:footnoteRef/>
      </w:r>
      <w:r w:rsidRPr="00BC54C2">
        <w:t>17 U.S.C.</w:t>
      </w:r>
      <w:r w:rsidRPr="00BC54C2">
        <w:t xml:space="preserve"> </w:t>
      </w:r>
      <w:r w:rsidRPr="00BC54C2">
        <w:t>§301.</w:t>
      </w:r>
    </w:p>
  </w:footnote>
  <w:footnote w:id="157">
    <w:p w14:paraId="0919F089" w14:textId="6D27F499" w:rsidR="00BC54C2" w:rsidRPr="006C6CD8" w:rsidRDefault="00BC54C2" w:rsidP="00BC54C2">
      <w:pPr>
        <w:pStyle w:val="FootnoteText"/>
      </w:pPr>
      <w:r w:rsidRPr="00BC54C2">
        <w:rPr>
          <w:vertAlign w:val="superscript"/>
        </w:rPr>
        <w:footnoteRef/>
      </w:r>
      <w:r w:rsidRPr="00BC54C2">
        <w:t xml:space="preserve">National Basketball </w:t>
      </w:r>
      <w:proofErr w:type="spellStart"/>
      <w:r w:rsidRPr="00BC54C2">
        <w:t>Ass’n</w:t>
      </w:r>
      <w:proofErr w:type="spellEnd"/>
      <w:r w:rsidRPr="00BC54C2">
        <w:t xml:space="preserve"> v.</w:t>
      </w:r>
      <w:r w:rsidRPr="00BC54C2">
        <w:t xml:space="preserve"> </w:t>
      </w:r>
      <w:r w:rsidRPr="00BC54C2">
        <w:t>Motorola, Inc., 105 F.3d 841, 848, 41 USPQ2d 1585 (2d Cir.</w:t>
      </w:r>
      <w:r w:rsidRPr="00BC54C2">
        <w:t xml:space="preserve"> </w:t>
      </w:r>
      <w:r w:rsidRPr="00BC54C2">
        <w:t>1997).</w:t>
      </w:r>
      <w:r w:rsidRPr="00BC54C2">
        <w:t xml:space="preserve"> </w:t>
      </w:r>
      <w:r w:rsidRPr="00BC54C2">
        <w:t xml:space="preserve">The Second Circuit described these as the “general scope requirement” and the “subject matter requirement.” </w:t>
      </w:r>
      <w:r w:rsidRPr="00BC54C2">
        <w:rPr>
          <w:i/>
        </w:rPr>
        <w:t>Id</w:t>
      </w:r>
      <w:r w:rsidRPr="00BC54C2">
        <w:t>.</w:t>
      </w:r>
    </w:p>
  </w:footnote>
  <w:footnote w:id="158">
    <w:p w14:paraId="60290DD6" w14:textId="30DF7384" w:rsidR="00BC54C2" w:rsidRPr="006C6CD8" w:rsidRDefault="00BC54C2" w:rsidP="00BC54C2">
      <w:pPr>
        <w:pStyle w:val="FootnoteText"/>
      </w:pPr>
      <w:r w:rsidRPr="00BC54C2">
        <w:rPr>
          <w:vertAlign w:val="superscript"/>
        </w:rPr>
        <w:footnoteRef/>
      </w:r>
      <w:r w:rsidRPr="00BC54C2">
        <w:t>37 C.F.R.</w:t>
      </w:r>
      <w:r w:rsidRPr="00BC54C2">
        <w:t xml:space="preserve"> </w:t>
      </w:r>
      <w:r w:rsidRPr="00BC54C2">
        <w:t>§202.1(a) (“[w]</w:t>
      </w:r>
      <w:proofErr w:type="spellStart"/>
      <w:r w:rsidRPr="00BC54C2">
        <w:t>ords</w:t>
      </w:r>
      <w:proofErr w:type="spellEnd"/>
      <w:r w:rsidRPr="00BC54C2">
        <w:t xml:space="preserve"> and short phrases such as names, titles, and slogans” and “familiar symbols or designs” are “not subject to copyright”</w:t>
      </w:r>
      <w:proofErr w:type="gramStart"/>
      <w:r w:rsidRPr="00BC54C2">
        <w:t>);</w:t>
      </w:r>
      <w:proofErr w:type="gramEnd"/>
      <w:r w:rsidRPr="00BC54C2">
        <w:t xml:space="preserve"> </w:t>
      </w:r>
      <w:r w:rsidRPr="00BC54C2">
        <w:rPr>
          <w:i/>
        </w:rPr>
        <w:t>id</w:t>
      </w:r>
      <w:r w:rsidRPr="00BC54C2">
        <w:t>.</w:t>
      </w:r>
      <w:r w:rsidRPr="00BC54C2">
        <w:t xml:space="preserve"> </w:t>
      </w:r>
      <w:r w:rsidRPr="00BC54C2">
        <w:t>§202.10(b) (“A claim to copyright cannot be registered in a print or label consisting solely of trademark subject matter and lacking copyrightable matter.”).</w:t>
      </w:r>
    </w:p>
  </w:footnote>
  <w:footnote w:id="159">
    <w:p w14:paraId="6372D57F" w14:textId="075F5205" w:rsidR="00BC54C2" w:rsidRPr="006C6CD8" w:rsidRDefault="00BC54C2" w:rsidP="00BC54C2">
      <w:pPr>
        <w:pStyle w:val="FootnoteText"/>
      </w:pPr>
      <w:r w:rsidRPr="00BC54C2">
        <w:rPr>
          <w:vertAlign w:val="superscript"/>
        </w:rPr>
        <w:footnoteRef/>
      </w:r>
      <w:r w:rsidRPr="00BC54C2">
        <w:rPr>
          <w:i/>
        </w:rPr>
        <w:t>See</w:t>
      </w:r>
      <w:r w:rsidRPr="00BC54C2">
        <w:t xml:space="preserve"> 17 U.S.C.</w:t>
      </w:r>
      <w:r w:rsidRPr="00BC54C2">
        <w:t xml:space="preserve"> </w:t>
      </w:r>
      <w:r w:rsidRPr="00BC54C2">
        <w:t>§101 (definition of “pictorial, graphic, and sculptural works”);</w:t>
      </w:r>
      <w:r w:rsidRPr="00BC54C2">
        <w:t xml:space="preserve"> </w:t>
      </w:r>
      <w:r w:rsidRPr="00BC54C2">
        <w:t>37 C.F.R.</w:t>
      </w:r>
      <w:r w:rsidRPr="00BC54C2">
        <w:t xml:space="preserve"> </w:t>
      </w:r>
      <w:r w:rsidRPr="00BC54C2">
        <w:t>§202.10(a).</w:t>
      </w:r>
    </w:p>
  </w:footnote>
  <w:footnote w:id="160">
    <w:p w14:paraId="5F5F2C12" w14:textId="6EDA2CBB" w:rsidR="00BC54C2" w:rsidRPr="006C6CD8" w:rsidRDefault="00BC54C2" w:rsidP="00BC54C2">
      <w:pPr>
        <w:pStyle w:val="FootnoteText"/>
      </w:pPr>
      <w:r w:rsidRPr="00BC54C2">
        <w:rPr>
          <w:vertAlign w:val="superscript"/>
        </w:rPr>
        <w:footnoteRef/>
      </w:r>
      <w:r w:rsidRPr="00BC54C2">
        <w:rPr>
          <w:i/>
        </w:rPr>
        <w:t>But see</w:t>
      </w:r>
      <w:r w:rsidRPr="00BC54C2">
        <w:t xml:space="preserve"> Gateway 2000, Inc.</w:t>
      </w:r>
      <w:r w:rsidRPr="00BC54C2">
        <w:t xml:space="preserve"> </w:t>
      </w:r>
      <w:r w:rsidRPr="00BC54C2">
        <w:t>v.</w:t>
      </w:r>
      <w:r w:rsidRPr="00BC54C2">
        <w:t xml:space="preserve"> </w:t>
      </w:r>
      <w:r w:rsidRPr="00BC54C2">
        <w:t>Cyrix Corp., 942 F.</w:t>
      </w:r>
      <w:r w:rsidRPr="00BC54C2">
        <w:t xml:space="preserve"> </w:t>
      </w:r>
      <w:r w:rsidRPr="00BC54C2">
        <w:t>Supp.</w:t>
      </w:r>
      <w:r w:rsidRPr="00BC54C2">
        <w:t xml:space="preserve"> </w:t>
      </w:r>
      <w:r w:rsidRPr="00BC54C2">
        <w:t>985, 994–95 (D.N.J.</w:t>
      </w:r>
      <w:r w:rsidRPr="00BC54C2">
        <w:t xml:space="preserve"> </w:t>
      </w:r>
      <w:r w:rsidRPr="00BC54C2">
        <w:t>1996) (finding no preemption of dilution claim based on humorous depictions of plaintiff’s Holstein cow logo in competitor’s advertisements).</w:t>
      </w:r>
    </w:p>
  </w:footnote>
  <w:footnote w:id="161">
    <w:p w14:paraId="4F646ECA" w14:textId="47378F53" w:rsidR="00BC54C2" w:rsidRPr="006C6CD8" w:rsidRDefault="00BC54C2" w:rsidP="00BC54C2">
      <w:pPr>
        <w:pStyle w:val="FootnoteText"/>
      </w:pPr>
      <w:r w:rsidRPr="00BC54C2">
        <w:rPr>
          <w:vertAlign w:val="superscript"/>
        </w:rPr>
        <w:footnoteRef/>
      </w:r>
      <w:r w:rsidRPr="00BC54C2">
        <w:t>17 U.S.C.</w:t>
      </w:r>
      <w:r w:rsidRPr="00BC54C2">
        <w:t xml:space="preserve"> </w:t>
      </w:r>
      <w:r w:rsidRPr="00BC54C2">
        <w:t>§102(a)(5).</w:t>
      </w:r>
    </w:p>
  </w:footnote>
  <w:footnote w:id="162">
    <w:p w14:paraId="489561AC" w14:textId="7D9AA1FF" w:rsidR="00BC54C2" w:rsidRPr="006C6CD8" w:rsidRDefault="00BC54C2" w:rsidP="00BC54C2">
      <w:pPr>
        <w:pStyle w:val="FootnoteText"/>
      </w:pPr>
      <w:r w:rsidRPr="00BC54C2">
        <w:rPr>
          <w:vertAlign w:val="superscript"/>
        </w:rPr>
        <w:footnoteRef/>
      </w:r>
      <w:r w:rsidRPr="00BC54C2">
        <w:rPr>
          <w:i/>
        </w:rPr>
        <w:t>Id</w:t>
      </w:r>
      <w:r w:rsidRPr="00BC54C2">
        <w:t>.</w:t>
      </w:r>
      <w:r w:rsidRPr="00BC54C2">
        <w:t xml:space="preserve"> </w:t>
      </w:r>
      <w:r w:rsidRPr="00BC54C2">
        <w:t>§101 (definition of “pictorial, graphic, and sculptural works”).</w:t>
      </w:r>
      <w:r w:rsidRPr="00BC54C2">
        <w:t xml:space="preserve"> </w:t>
      </w:r>
      <w:r w:rsidRPr="00BC54C2">
        <w:t xml:space="preserve">Useful articles are those “having an intrinsic utilitarian function that is not merely to portray the appearance of the article or to convey information.” </w:t>
      </w:r>
      <w:r w:rsidRPr="00BC54C2">
        <w:rPr>
          <w:i/>
        </w:rPr>
        <w:t>Id</w:t>
      </w:r>
      <w:r w:rsidRPr="00BC54C2">
        <w:t>.</w:t>
      </w:r>
      <w:r w:rsidRPr="00BC54C2">
        <w:t xml:space="preserve"> </w:t>
      </w:r>
      <w:r w:rsidRPr="00BC54C2">
        <w:t>(definition of “useful article”).</w:t>
      </w:r>
    </w:p>
  </w:footnote>
  <w:footnote w:id="163">
    <w:p w14:paraId="441FEF1B" w14:textId="3045A920" w:rsidR="00BC54C2" w:rsidRPr="006C6CD8" w:rsidRDefault="00BC54C2" w:rsidP="00BC54C2">
      <w:pPr>
        <w:pStyle w:val="FootnoteText"/>
      </w:pPr>
      <w:r w:rsidRPr="00BC54C2">
        <w:rPr>
          <w:vertAlign w:val="superscript"/>
        </w:rPr>
        <w:footnoteRef/>
      </w:r>
      <w:r w:rsidRPr="00BC54C2">
        <w:rPr>
          <w:i/>
        </w:rPr>
        <w:t>See</w:t>
      </w:r>
      <w:r w:rsidRPr="00BC54C2">
        <w:t xml:space="preserve"> Parfums Givenchy, Inc.</w:t>
      </w:r>
      <w:r w:rsidRPr="00BC54C2">
        <w:t xml:space="preserve"> </w:t>
      </w:r>
      <w:r w:rsidRPr="00BC54C2">
        <w:t>v.</w:t>
      </w:r>
      <w:r w:rsidRPr="00BC54C2">
        <w:t xml:space="preserve"> </w:t>
      </w:r>
      <w:r w:rsidRPr="00BC54C2">
        <w:t>C &amp; C Beauty Sales, Inc., 832 F.</w:t>
      </w:r>
      <w:r w:rsidRPr="00BC54C2">
        <w:t xml:space="preserve"> </w:t>
      </w:r>
      <w:r w:rsidRPr="00BC54C2">
        <w:t>Supp.</w:t>
      </w:r>
      <w:r w:rsidRPr="00BC54C2">
        <w:t xml:space="preserve"> </w:t>
      </w:r>
      <w:r w:rsidRPr="00BC54C2">
        <w:t>1378, 1391, 29 USPQ2d 1026 (C.D.</w:t>
      </w:r>
      <w:r w:rsidRPr="00BC54C2">
        <w:t xml:space="preserve"> </w:t>
      </w:r>
      <w:r w:rsidRPr="00BC54C2">
        <w:t>Cal.</w:t>
      </w:r>
      <w:r w:rsidRPr="00BC54C2">
        <w:t xml:space="preserve"> </w:t>
      </w:r>
      <w:r w:rsidRPr="00BC54C2">
        <w:t>1993) (“It is well established that an artistic packaging design or label is entitled to copyright protection.”);</w:t>
      </w:r>
      <w:r w:rsidRPr="00BC54C2">
        <w:t xml:space="preserve"> </w:t>
      </w:r>
      <w:r w:rsidRPr="00BC54C2">
        <w:t>Gemini Indus., Inc.</w:t>
      </w:r>
      <w:r w:rsidRPr="00BC54C2">
        <w:t xml:space="preserve"> </w:t>
      </w:r>
      <w:r w:rsidRPr="00BC54C2">
        <w:t>v.</w:t>
      </w:r>
      <w:r w:rsidRPr="00BC54C2">
        <w:t xml:space="preserve"> </w:t>
      </w:r>
      <w:proofErr w:type="spellStart"/>
      <w:r w:rsidRPr="00BC54C2">
        <w:t>Labtec</w:t>
      </w:r>
      <w:proofErr w:type="spellEnd"/>
      <w:r w:rsidRPr="00BC54C2">
        <w:t xml:space="preserve"> Enters., Inc., 31 USPQ2d 1776 (W.D.</w:t>
      </w:r>
      <w:r w:rsidRPr="00BC54C2">
        <w:t xml:space="preserve"> </w:t>
      </w:r>
      <w:r w:rsidRPr="00BC54C2">
        <w:t>Wash.</w:t>
      </w:r>
      <w:r w:rsidRPr="00BC54C2">
        <w:t xml:space="preserve"> </w:t>
      </w:r>
      <w:r w:rsidRPr="00BC54C2">
        <w:t>1993) (packaging for electronic accessories is copyrightable).</w:t>
      </w:r>
    </w:p>
  </w:footnote>
  <w:footnote w:id="164">
    <w:p w14:paraId="754996EF" w14:textId="79685550" w:rsidR="00BC54C2" w:rsidRPr="006C6CD8" w:rsidRDefault="00BC54C2" w:rsidP="00BC54C2">
      <w:pPr>
        <w:pStyle w:val="FootnoteText"/>
      </w:pPr>
      <w:r w:rsidRPr="00BC54C2">
        <w:rPr>
          <w:vertAlign w:val="superscript"/>
        </w:rPr>
        <w:footnoteRef/>
      </w:r>
      <w:r w:rsidRPr="00BC54C2">
        <w:t>Esquire v.</w:t>
      </w:r>
      <w:r w:rsidRPr="00BC54C2">
        <w:t xml:space="preserve"> </w:t>
      </w:r>
      <w:r w:rsidRPr="00BC54C2">
        <w:t>Ringer, 591 F.2d 796, 807, 199 USPQ 1 (D.C.</w:t>
      </w:r>
      <w:r w:rsidRPr="00BC54C2">
        <w:t xml:space="preserve"> </w:t>
      </w:r>
      <w:r w:rsidRPr="00BC54C2">
        <w:t>Cir.</w:t>
      </w:r>
      <w:r w:rsidRPr="00BC54C2">
        <w:t xml:space="preserve"> </w:t>
      </w:r>
      <w:r w:rsidRPr="00BC54C2">
        <w:t>1978) (lamp:</w:t>
      </w:r>
      <w:r w:rsidRPr="00BC54C2">
        <w:t xml:space="preserve"> </w:t>
      </w:r>
      <w:r w:rsidRPr="00BC54C2">
        <w:t xml:space="preserve">not severable), </w:t>
      </w:r>
      <w:r w:rsidRPr="00BC54C2">
        <w:rPr>
          <w:i/>
        </w:rPr>
        <w:t>cert</w:t>
      </w:r>
      <w:r w:rsidRPr="00BC54C2">
        <w:t>.</w:t>
      </w:r>
      <w:r w:rsidRPr="00BC54C2">
        <w:t xml:space="preserve"> </w:t>
      </w:r>
      <w:r w:rsidRPr="00BC54C2">
        <w:rPr>
          <w:i/>
        </w:rPr>
        <w:t>denied</w:t>
      </w:r>
      <w:r w:rsidRPr="00BC54C2">
        <w:t>, 440 U.S.</w:t>
      </w:r>
      <w:r w:rsidRPr="00BC54C2">
        <w:t xml:space="preserve"> </w:t>
      </w:r>
      <w:r w:rsidRPr="00BC54C2">
        <w:t>908 (1979);</w:t>
      </w:r>
      <w:r w:rsidRPr="00BC54C2">
        <w:t xml:space="preserve"> </w:t>
      </w:r>
      <w:r w:rsidRPr="00BC54C2">
        <w:t>Kieselstein-Cord v.</w:t>
      </w:r>
      <w:r w:rsidRPr="00BC54C2">
        <w:t xml:space="preserve"> </w:t>
      </w:r>
      <w:r w:rsidRPr="00BC54C2">
        <w:t>Accessories by Pearl, Inc., 632 F.2d 989, 993, 208 USPQ 1 (2d Cir.</w:t>
      </w:r>
      <w:r w:rsidRPr="00BC54C2">
        <w:t xml:space="preserve"> </w:t>
      </w:r>
      <w:r w:rsidRPr="00BC54C2">
        <w:t>1980) (belt buckle:</w:t>
      </w:r>
      <w:r w:rsidRPr="00BC54C2">
        <w:t xml:space="preserve"> </w:t>
      </w:r>
      <w:r w:rsidRPr="00BC54C2">
        <w:t>severability found);</w:t>
      </w:r>
      <w:r w:rsidRPr="00BC54C2">
        <w:t xml:space="preserve"> </w:t>
      </w:r>
      <w:r w:rsidRPr="00BC54C2">
        <w:t>Carol Barnhart Inc.</w:t>
      </w:r>
      <w:r w:rsidRPr="00BC54C2">
        <w:t xml:space="preserve"> </w:t>
      </w:r>
      <w:r w:rsidRPr="00BC54C2">
        <w:t>v.</w:t>
      </w:r>
      <w:r w:rsidRPr="00BC54C2">
        <w:t xml:space="preserve"> </w:t>
      </w:r>
      <w:r w:rsidRPr="00BC54C2">
        <w:t>Economy Cover Corp., 773 F.2d 411, 421–22, 228 USPQ 385 (2d Cir.</w:t>
      </w:r>
      <w:r w:rsidRPr="00BC54C2">
        <w:t xml:space="preserve"> </w:t>
      </w:r>
      <w:r w:rsidRPr="00BC54C2">
        <w:t>1985) (torso mannequin:</w:t>
      </w:r>
      <w:r w:rsidRPr="00BC54C2">
        <w:t xml:space="preserve"> </w:t>
      </w:r>
      <w:r w:rsidRPr="00BC54C2">
        <w:t>not severable);</w:t>
      </w:r>
      <w:r w:rsidRPr="00BC54C2">
        <w:t xml:space="preserve"> </w:t>
      </w:r>
      <w:r w:rsidRPr="00BC54C2">
        <w:t>Brandir Int’l, Inc.</w:t>
      </w:r>
      <w:r w:rsidRPr="00BC54C2">
        <w:t xml:space="preserve"> </w:t>
      </w:r>
      <w:r w:rsidRPr="00BC54C2">
        <w:t>v.</w:t>
      </w:r>
      <w:r w:rsidRPr="00BC54C2">
        <w:t xml:space="preserve"> </w:t>
      </w:r>
      <w:r w:rsidRPr="00BC54C2">
        <w:t>Cascade Pac.</w:t>
      </w:r>
      <w:r w:rsidRPr="00BC54C2">
        <w:t xml:space="preserve"> </w:t>
      </w:r>
      <w:r w:rsidRPr="00BC54C2">
        <w:t>Lumber Co., 834 F.2d 1142, 1145 (2d Cir.</w:t>
      </w:r>
      <w:r w:rsidRPr="00BC54C2">
        <w:t xml:space="preserve"> </w:t>
      </w:r>
      <w:r w:rsidRPr="00BC54C2">
        <w:t>1987) (bicycle rack:</w:t>
      </w:r>
      <w:r w:rsidRPr="00BC54C2">
        <w:t xml:space="preserve"> </w:t>
      </w:r>
      <w:r w:rsidRPr="00BC54C2">
        <w:t>not severable).</w:t>
      </w:r>
    </w:p>
  </w:footnote>
  <w:footnote w:id="165">
    <w:p w14:paraId="614EF101" w14:textId="7C87AB13" w:rsidR="00BC54C2" w:rsidRPr="006C6CD8" w:rsidRDefault="00BC54C2" w:rsidP="00BC54C2">
      <w:pPr>
        <w:pStyle w:val="FootnoteText"/>
      </w:pPr>
      <w:r w:rsidRPr="00BC54C2">
        <w:rPr>
          <w:vertAlign w:val="superscript"/>
        </w:rPr>
        <w:footnoteRef/>
      </w:r>
      <w:r w:rsidRPr="00BC54C2">
        <w:rPr>
          <w:i/>
        </w:rPr>
        <w:t>E</w:t>
      </w:r>
      <w:r w:rsidRPr="00BC54C2">
        <w:t>.</w:t>
      </w:r>
      <w:r w:rsidRPr="00BC54C2">
        <w:rPr>
          <w:i/>
        </w:rPr>
        <w:t>g</w:t>
      </w:r>
      <w:r w:rsidRPr="00BC54C2">
        <w:t>., Lipscher v.</w:t>
      </w:r>
      <w:r w:rsidRPr="00BC54C2">
        <w:t xml:space="preserve"> </w:t>
      </w:r>
      <w:r w:rsidRPr="00BC54C2">
        <w:t xml:space="preserve">LRP </w:t>
      </w:r>
      <w:proofErr w:type="spellStart"/>
      <w:r w:rsidRPr="00BC54C2">
        <w:t>Publ’ns</w:t>
      </w:r>
      <w:proofErr w:type="spellEnd"/>
      <w:r w:rsidRPr="00BC54C2">
        <w:t>, Inc., 266 F.3d 1305, 1311 (11th Cir.</w:t>
      </w:r>
      <w:r w:rsidRPr="00BC54C2">
        <w:t xml:space="preserve"> </w:t>
      </w:r>
      <w:r w:rsidRPr="00BC54C2">
        <w:t>2001) (jury verdict reporter not copyrightable but within the scope of copyright);</w:t>
      </w:r>
      <w:r w:rsidRPr="00BC54C2">
        <w:t xml:space="preserve"> </w:t>
      </w:r>
      <w:r w:rsidRPr="00BC54C2">
        <w:t xml:space="preserve">National Basketball </w:t>
      </w:r>
      <w:proofErr w:type="spellStart"/>
      <w:r w:rsidRPr="00BC54C2">
        <w:t>Ass’n</w:t>
      </w:r>
      <w:proofErr w:type="spellEnd"/>
      <w:r w:rsidRPr="00BC54C2">
        <w:t xml:space="preserve"> v.</w:t>
      </w:r>
      <w:r w:rsidRPr="00BC54C2">
        <w:t xml:space="preserve"> </w:t>
      </w:r>
      <w:r w:rsidRPr="00BC54C2">
        <w:t>Motorola, Inc., 105 F.3d 841, 848–49, 41 USPQ2d 1585 (2d Cir.</w:t>
      </w:r>
      <w:r w:rsidRPr="00BC54C2">
        <w:t xml:space="preserve"> </w:t>
      </w:r>
      <w:r w:rsidRPr="00BC54C2">
        <w:t>1997) (facts about basketball games, as opposed to the games themselves, are within the scope of copyright though not protected by copyright).</w:t>
      </w:r>
      <w:r w:rsidRPr="00BC54C2">
        <w:t xml:space="preserve"> </w:t>
      </w:r>
      <w:r w:rsidRPr="00BC54C2">
        <w:rPr>
          <w:i/>
        </w:rPr>
        <w:t>See</w:t>
      </w:r>
      <w:r w:rsidRPr="00BC54C2">
        <w:t xml:space="preserve"> </w:t>
      </w:r>
      <w:proofErr w:type="spellStart"/>
      <w:r w:rsidRPr="00BC54C2">
        <w:t>ProCD</w:t>
      </w:r>
      <w:proofErr w:type="spellEnd"/>
      <w:r w:rsidRPr="00BC54C2">
        <w:t>, Inc.</w:t>
      </w:r>
      <w:r w:rsidRPr="00BC54C2">
        <w:t xml:space="preserve"> </w:t>
      </w:r>
      <w:r w:rsidRPr="00BC54C2">
        <w:t>v.</w:t>
      </w:r>
      <w:r w:rsidRPr="00BC54C2">
        <w:t xml:space="preserve"> </w:t>
      </w:r>
      <w:proofErr w:type="spellStart"/>
      <w:r w:rsidRPr="00BC54C2">
        <w:t>Zeidenberg</w:t>
      </w:r>
      <w:proofErr w:type="spellEnd"/>
      <w:r w:rsidRPr="00BC54C2">
        <w:t>, 86 F.3d 1447, 1453, 39 USPQ2d 1161 (7th Cir.</w:t>
      </w:r>
      <w:r w:rsidRPr="00BC54C2">
        <w:t xml:space="preserve"> </w:t>
      </w:r>
      <w:r w:rsidRPr="00BC54C2">
        <w:t>1996) (facts in database within the subject matter of copyright).</w:t>
      </w:r>
    </w:p>
  </w:footnote>
  <w:footnote w:id="166">
    <w:p w14:paraId="088FDDEA" w14:textId="4F796DCC" w:rsidR="00BC54C2" w:rsidRPr="006C6CD8" w:rsidRDefault="00BC54C2" w:rsidP="00BC54C2">
      <w:pPr>
        <w:pStyle w:val="FootnoteText"/>
      </w:pPr>
      <w:r w:rsidRPr="00BC54C2">
        <w:rPr>
          <w:vertAlign w:val="superscript"/>
        </w:rPr>
        <w:footnoteRef/>
      </w:r>
      <w:r w:rsidRPr="00BC54C2">
        <w:rPr>
          <w:i/>
        </w:rPr>
        <w:t>See</w:t>
      </w:r>
      <w:r w:rsidRPr="00BC54C2">
        <w:t xml:space="preserve"> 17 U.S.C.</w:t>
      </w:r>
      <w:r w:rsidRPr="00BC54C2">
        <w:t xml:space="preserve"> </w:t>
      </w:r>
      <w:r w:rsidRPr="00BC54C2">
        <w:t>§101 (definition of “fixed”</w:t>
      </w:r>
      <w:proofErr w:type="gramStart"/>
      <w:r w:rsidRPr="00BC54C2">
        <w:t>);</w:t>
      </w:r>
      <w:proofErr w:type="gramEnd"/>
      <w:r w:rsidRPr="00BC54C2">
        <w:t xml:space="preserve"> </w:t>
      </w:r>
      <w:r w:rsidRPr="00BC54C2">
        <w:rPr>
          <w:i/>
        </w:rPr>
        <w:t>id</w:t>
      </w:r>
      <w:r w:rsidRPr="00BC54C2">
        <w:t>.</w:t>
      </w:r>
      <w:r w:rsidRPr="00BC54C2">
        <w:t xml:space="preserve"> </w:t>
      </w:r>
      <w:r w:rsidRPr="00BC54C2">
        <w:t>§102(a) (requiring “fixation”).</w:t>
      </w:r>
    </w:p>
  </w:footnote>
  <w:footnote w:id="167">
    <w:p w14:paraId="4208CBC9" w14:textId="729F9E76" w:rsidR="00BC54C2" w:rsidRPr="006C6CD8" w:rsidRDefault="00BC54C2" w:rsidP="00BC54C2">
      <w:pPr>
        <w:pStyle w:val="FootnoteText"/>
      </w:pPr>
      <w:r w:rsidRPr="00BC54C2">
        <w:rPr>
          <w:vertAlign w:val="superscript"/>
        </w:rPr>
        <w:footnoteRef/>
      </w:r>
      <w:r w:rsidRPr="00BC54C2">
        <w:rPr>
          <w:i/>
        </w:rPr>
        <w:t>See</w:t>
      </w:r>
      <w:r w:rsidRPr="00BC54C2">
        <w:t xml:space="preserve"> 1 </w:t>
      </w:r>
      <w:r w:rsidRPr="00BC54C2">
        <w:rPr>
          <w:smallCaps/>
        </w:rPr>
        <w:t>Nimmer on Copyright</w:t>
      </w:r>
      <w:r w:rsidRPr="00BC54C2">
        <w:t xml:space="preserve"> §2.08[G] (2012).</w:t>
      </w:r>
    </w:p>
  </w:footnote>
  <w:footnote w:id="168">
    <w:p w14:paraId="6B2BDE65" w14:textId="36E65B6D" w:rsidR="00BC54C2" w:rsidRPr="006C6CD8" w:rsidRDefault="00BC54C2" w:rsidP="00BC54C2">
      <w:pPr>
        <w:pStyle w:val="FootnoteText"/>
      </w:pPr>
      <w:r w:rsidRPr="00BC54C2">
        <w:rPr>
          <w:vertAlign w:val="superscript"/>
        </w:rPr>
        <w:footnoteRef/>
      </w:r>
      <w:r w:rsidRPr="00BC54C2">
        <w:rPr>
          <w:i/>
        </w:rPr>
        <w:t>E</w:t>
      </w:r>
      <w:r w:rsidRPr="00BC54C2">
        <w:t>.</w:t>
      </w:r>
      <w:r w:rsidRPr="00BC54C2">
        <w:rPr>
          <w:i/>
        </w:rPr>
        <w:t>g</w:t>
      </w:r>
      <w:r w:rsidRPr="00BC54C2">
        <w:t>., Selby v.</w:t>
      </w:r>
      <w:r w:rsidRPr="00BC54C2">
        <w:t xml:space="preserve"> </w:t>
      </w:r>
      <w:r w:rsidRPr="00BC54C2">
        <w:t>New Line Cinema, Inc., 96 F.</w:t>
      </w:r>
      <w:r w:rsidRPr="00BC54C2">
        <w:t xml:space="preserve"> </w:t>
      </w:r>
      <w:r w:rsidRPr="00BC54C2">
        <w:t>Supp.</w:t>
      </w:r>
      <w:r w:rsidRPr="00BC54C2">
        <w:t xml:space="preserve"> </w:t>
      </w:r>
      <w:r w:rsidRPr="00BC54C2">
        <w:t>2d 1053, 1059, 54 USPQ2d 1827 (C.D.</w:t>
      </w:r>
      <w:r w:rsidRPr="00BC54C2">
        <w:t xml:space="preserve"> </w:t>
      </w:r>
      <w:r w:rsidRPr="00BC54C2">
        <w:t>Cal.</w:t>
      </w:r>
      <w:r w:rsidRPr="00BC54C2">
        <w:t xml:space="preserve"> </w:t>
      </w:r>
      <w:r w:rsidRPr="00BC54C2">
        <w:t>2000);</w:t>
      </w:r>
      <w:r w:rsidRPr="00BC54C2">
        <w:t xml:space="preserve"> </w:t>
      </w:r>
      <w:r w:rsidRPr="00BC54C2">
        <w:rPr>
          <w:i/>
        </w:rPr>
        <w:t xml:space="preserve">National Basketball </w:t>
      </w:r>
      <w:proofErr w:type="spellStart"/>
      <w:r w:rsidRPr="00BC54C2">
        <w:rPr>
          <w:i/>
        </w:rPr>
        <w:t>Ass’n</w:t>
      </w:r>
      <w:proofErr w:type="spellEnd"/>
      <w:r w:rsidRPr="00BC54C2">
        <w:t>, 105 F.3d at 850(quoting Computer Assocs.</w:t>
      </w:r>
      <w:r w:rsidRPr="00BC54C2">
        <w:t xml:space="preserve"> </w:t>
      </w:r>
      <w:r w:rsidRPr="00BC54C2">
        <w:t>Int’l, Inc.</w:t>
      </w:r>
      <w:r w:rsidRPr="00BC54C2">
        <w:t xml:space="preserve"> </w:t>
      </w:r>
      <w:r w:rsidRPr="00BC54C2">
        <w:t>v.</w:t>
      </w:r>
      <w:r w:rsidRPr="00BC54C2">
        <w:t xml:space="preserve"> </w:t>
      </w:r>
      <w:r w:rsidRPr="00BC54C2">
        <w:t>Altai, Inc., 982 F.2d 693, 716 (2d Cir.</w:t>
      </w:r>
      <w:r w:rsidRPr="00BC54C2">
        <w:t xml:space="preserve"> </w:t>
      </w:r>
      <w:r w:rsidRPr="00BC54C2">
        <w:t>1992)).</w:t>
      </w:r>
    </w:p>
  </w:footnote>
  <w:footnote w:id="169">
    <w:p w14:paraId="19CE2CC5" w14:textId="708F17C4" w:rsidR="00BC54C2" w:rsidRPr="006C6CD8" w:rsidRDefault="00BC54C2" w:rsidP="00BC54C2">
      <w:pPr>
        <w:pStyle w:val="FootnoteText"/>
      </w:pPr>
      <w:r w:rsidRPr="00BC54C2">
        <w:rPr>
          <w:vertAlign w:val="superscript"/>
        </w:rPr>
        <w:footnoteRef/>
      </w:r>
      <w:r w:rsidRPr="00BC54C2">
        <w:rPr>
          <w:i/>
        </w:rPr>
        <w:t>See</w:t>
      </w:r>
      <w:r w:rsidRPr="00BC54C2">
        <w:t xml:space="preserve"> 1 </w:t>
      </w:r>
      <w:r w:rsidRPr="00BC54C2">
        <w:rPr>
          <w:smallCaps/>
        </w:rPr>
        <w:t>Nimmer on Copyright</w:t>
      </w:r>
      <w:r w:rsidRPr="00BC54C2">
        <w:t xml:space="preserve"> §1.01[B][1][</w:t>
      </w:r>
      <w:proofErr w:type="gramStart"/>
      <w:r w:rsidRPr="00BC54C2">
        <w:t>e](</w:t>
      </w:r>
      <w:proofErr w:type="gramEnd"/>
      <w:r w:rsidRPr="00BC54C2">
        <w:t>2012);</w:t>
      </w:r>
      <w:r w:rsidRPr="00BC54C2">
        <w:t xml:space="preserve"> </w:t>
      </w:r>
      <w:r w:rsidRPr="00BC54C2">
        <w:rPr>
          <w:i/>
        </w:rPr>
        <w:t xml:space="preserve">see also </w:t>
      </w:r>
      <w:proofErr w:type="spellStart"/>
      <w:r w:rsidRPr="00BC54C2">
        <w:t>ProCD</w:t>
      </w:r>
      <w:proofErr w:type="spellEnd"/>
      <w:r w:rsidRPr="00BC54C2">
        <w:t>, Inc.</w:t>
      </w:r>
      <w:r w:rsidRPr="00BC54C2">
        <w:t xml:space="preserve"> </w:t>
      </w:r>
      <w:r w:rsidRPr="00BC54C2">
        <w:t>v.</w:t>
      </w:r>
      <w:r w:rsidRPr="00BC54C2">
        <w:t xml:space="preserve"> </w:t>
      </w:r>
      <w:proofErr w:type="spellStart"/>
      <w:r w:rsidRPr="00BC54C2">
        <w:t>Zeidenberg</w:t>
      </w:r>
      <w:proofErr w:type="spellEnd"/>
      <w:r w:rsidRPr="00BC54C2">
        <w:t>, 86 F.3d 1447, 1454–55, 39 USPQ2d 1161 (7th Cir.</w:t>
      </w:r>
      <w:r w:rsidRPr="00BC54C2">
        <w:t xml:space="preserve"> </w:t>
      </w:r>
      <w:r w:rsidRPr="00BC54C2">
        <w:t>1996) (holding breach-of-contract claims not within rights under the Copyright Act and noting that trade-secret protection appears not to be preempted).</w:t>
      </w:r>
    </w:p>
  </w:footnote>
  <w:footnote w:id="170">
    <w:p w14:paraId="72399241" w14:textId="69273744" w:rsidR="00BC54C2" w:rsidRPr="006C6CD8" w:rsidRDefault="00BC54C2" w:rsidP="00BC54C2">
      <w:pPr>
        <w:pStyle w:val="FootnoteText"/>
      </w:pPr>
      <w:r w:rsidRPr="00BC54C2">
        <w:rPr>
          <w:vertAlign w:val="superscript"/>
        </w:rPr>
        <w:footnoteRef/>
      </w:r>
      <w:r w:rsidRPr="00BC54C2">
        <w:rPr>
          <w:i/>
        </w:rPr>
        <w:t>See</w:t>
      </w:r>
      <w:r w:rsidRPr="00BC54C2">
        <w:t xml:space="preserve"> Mead Data Cent., Inc.</w:t>
      </w:r>
      <w:r w:rsidRPr="00BC54C2">
        <w:t xml:space="preserve"> </w:t>
      </w:r>
      <w:r w:rsidRPr="00BC54C2">
        <w:t>v.</w:t>
      </w:r>
      <w:r w:rsidRPr="00BC54C2">
        <w:t xml:space="preserve"> </w:t>
      </w:r>
      <w:r w:rsidRPr="00BC54C2">
        <w:t>Toyota Motor Sales, U.S.A., Inc., 875 F.2d 1026, 1037, 10 USPQ2d 1961 (2d Cir.</w:t>
      </w:r>
      <w:r w:rsidRPr="00BC54C2">
        <w:t xml:space="preserve"> </w:t>
      </w:r>
      <w:r w:rsidRPr="00BC54C2">
        <w:t>1989) (Sweet, J., concurring).</w:t>
      </w:r>
    </w:p>
  </w:footnote>
  <w:footnote w:id="171">
    <w:p w14:paraId="084FCFFD" w14:textId="6ADD119B" w:rsidR="00BC54C2" w:rsidRPr="006C6CD8" w:rsidRDefault="00BC54C2" w:rsidP="00BC54C2">
      <w:pPr>
        <w:pStyle w:val="FootnoteText"/>
      </w:pPr>
      <w:r w:rsidRPr="00BC54C2">
        <w:rPr>
          <w:vertAlign w:val="superscript"/>
        </w:rPr>
        <w:footnoteRef/>
      </w:r>
      <w:proofErr w:type="spellStart"/>
      <w:r w:rsidRPr="00BC54C2">
        <w:t>Rosciszewski</w:t>
      </w:r>
      <w:proofErr w:type="spellEnd"/>
      <w:r w:rsidRPr="00BC54C2">
        <w:t xml:space="preserve"> v.</w:t>
      </w:r>
      <w:r w:rsidRPr="00BC54C2">
        <w:t xml:space="preserve"> </w:t>
      </w:r>
      <w:r w:rsidRPr="00BC54C2">
        <w:t>Arete Assocs., Inc., 1 F.3d 225, 230, 27 USPQ2d 1678 (4th Cir.</w:t>
      </w:r>
      <w:r w:rsidRPr="00BC54C2">
        <w:t xml:space="preserve"> </w:t>
      </w:r>
      <w:r w:rsidRPr="00BC54C2">
        <w:t>1993) (claim pursuant to Virginia Computer Crimes Act preempted despite intent requirement);</w:t>
      </w:r>
      <w:r w:rsidRPr="00BC54C2">
        <w:t xml:space="preserve"> </w:t>
      </w:r>
      <w:r w:rsidRPr="00BC54C2">
        <w:rPr>
          <w:i/>
        </w:rPr>
        <w:t>Computer Assocs</w:t>
      </w:r>
      <w:r w:rsidRPr="00BC54C2">
        <w:t>.</w:t>
      </w:r>
      <w:r w:rsidRPr="00BC54C2">
        <w:t xml:space="preserve"> </w:t>
      </w:r>
      <w:r w:rsidRPr="00BC54C2">
        <w:rPr>
          <w:i/>
        </w:rPr>
        <w:t>Int’l</w:t>
      </w:r>
      <w:r w:rsidRPr="00BC54C2">
        <w:t>, 982 F.2d at 716;</w:t>
      </w:r>
      <w:r w:rsidRPr="00BC54C2">
        <w:t xml:space="preserve"> </w:t>
      </w:r>
      <w:r w:rsidRPr="00BC54C2">
        <w:t>Mayer v.</w:t>
      </w:r>
      <w:r w:rsidRPr="00BC54C2">
        <w:t xml:space="preserve"> </w:t>
      </w:r>
      <w:r w:rsidRPr="00BC54C2">
        <w:t>Josiah Wedgwood &amp; Sons, Ltd., 601 F.</w:t>
      </w:r>
      <w:r w:rsidRPr="00BC54C2">
        <w:t xml:space="preserve"> </w:t>
      </w:r>
      <w:r w:rsidRPr="00BC54C2">
        <w:t>Supp.</w:t>
      </w:r>
      <w:r w:rsidRPr="00BC54C2">
        <w:t xml:space="preserve"> </w:t>
      </w:r>
      <w:r w:rsidRPr="00BC54C2">
        <w:t>1523, 1535, 225 USPQ 776 (S.D.N.Y.</w:t>
      </w:r>
      <w:r w:rsidRPr="00BC54C2">
        <w:t xml:space="preserve"> </w:t>
      </w:r>
      <w:r w:rsidRPr="00BC54C2">
        <w:t>1985) (“commercial immorality” involving allegations of intentional action preempted).</w:t>
      </w:r>
    </w:p>
  </w:footnote>
  <w:footnote w:id="172">
    <w:p w14:paraId="2D0F33DC" w14:textId="46F7EF0C" w:rsidR="00BC54C2" w:rsidRPr="006C6CD8" w:rsidRDefault="00BC54C2" w:rsidP="00BC54C2">
      <w:pPr>
        <w:pStyle w:val="FootnoteText"/>
      </w:pPr>
      <w:r w:rsidRPr="00BC54C2">
        <w:rPr>
          <w:vertAlign w:val="superscript"/>
        </w:rPr>
        <w:footnoteRef/>
      </w:r>
      <w:r w:rsidRPr="00BC54C2">
        <w:t xml:space="preserve">Most states do not require predatory intent </w:t>
      </w:r>
      <w:proofErr w:type="gramStart"/>
      <w:r w:rsidRPr="00BC54C2">
        <w:t>in order to</w:t>
      </w:r>
      <w:proofErr w:type="gramEnd"/>
      <w:r w:rsidRPr="00BC54C2">
        <w:t xml:space="preserve"> prove dilution, although it may be a factor in the decision-making process.</w:t>
      </w:r>
      <w:r w:rsidRPr="00BC54C2">
        <w:t xml:space="preserve"> </w:t>
      </w:r>
      <w:r w:rsidRPr="00BC54C2">
        <w:rPr>
          <w:i/>
        </w:rPr>
        <w:t>See</w:t>
      </w:r>
      <w:r w:rsidRPr="00BC54C2">
        <w:t xml:space="preserve"> Deere &amp; Co.</w:t>
      </w:r>
      <w:r w:rsidRPr="00BC54C2">
        <w:t xml:space="preserve"> </w:t>
      </w:r>
      <w:r w:rsidRPr="00BC54C2">
        <w:t>v.</w:t>
      </w:r>
      <w:r w:rsidRPr="00BC54C2">
        <w:t xml:space="preserve"> </w:t>
      </w:r>
      <w:r w:rsidRPr="00BC54C2">
        <w:t>MTD Prods., Inc., 41 F.3d 39, 45–46, 32 USPQ2d 1936 (2d Cir.</w:t>
      </w:r>
      <w:r w:rsidRPr="00BC54C2">
        <w:t xml:space="preserve"> </w:t>
      </w:r>
      <w:r w:rsidRPr="00BC54C2">
        <w:t>1994);</w:t>
      </w:r>
      <w:r w:rsidRPr="00BC54C2">
        <w:t xml:space="preserve"> </w:t>
      </w:r>
      <w:r w:rsidRPr="00BC54C2">
        <w:rPr>
          <w:i/>
        </w:rPr>
        <w:t>see also</w:t>
      </w:r>
      <w:r w:rsidRPr="00BC54C2">
        <w:t xml:space="preserve"> A &amp; H Sportswear Co.</w:t>
      </w:r>
      <w:r w:rsidRPr="00BC54C2">
        <w:t xml:space="preserve"> </w:t>
      </w:r>
      <w:r w:rsidRPr="00BC54C2">
        <w:t>v.</w:t>
      </w:r>
      <w:r w:rsidRPr="00BC54C2">
        <w:t xml:space="preserve"> </w:t>
      </w:r>
      <w:r w:rsidRPr="00BC54C2">
        <w:t>Victoria’s Secret Stores, Inc., 926 F.</w:t>
      </w:r>
      <w:r w:rsidRPr="00BC54C2">
        <w:t xml:space="preserve"> </w:t>
      </w:r>
      <w:r w:rsidRPr="00BC54C2">
        <w:t>Supp.</w:t>
      </w:r>
      <w:r w:rsidRPr="00BC54C2">
        <w:t xml:space="preserve"> </w:t>
      </w:r>
      <w:r w:rsidRPr="00BC54C2">
        <w:t>1233, 1265 (E.D.</w:t>
      </w:r>
      <w:r w:rsidRPr="00BC54C2">
        <w:t xml:space="preserve"> </w:t>
      </w:r>
      <w:r w:rsidRPr="00BC54C2">
        <w:t>Pa.</w:t>
      </w:r>
      <w:r w:rsidRPr="00BC54C2">
        <w:t xml:space="preserve"> </w:t>
      </w:r>
      <w:r w:rsidRPr="00BC54C2">
        <w:t xml:space="preserve">1996) (indicating that predatory intent may be an element), </w:t>
      </w:r>
      <w:r w:rsidRPr="00BC54C2">
        <w:rPr>
          <w:i/>
        </w:rPr>
        <w:t>aff’d</w:t>
      </w:r>
      <w:r w:rsidRPr="00BC54C2">
        <w:t>, 166 F.3d 191, 49 USPQ2d 1493 (3d Cir.</w:t>
      </w:r>
      <w:r w:rsidRPr="00BC54C2">
        <w:t xml:space="preserve"> </w:t>
      </w:r>
      <w:r w:rsidRPr="00BC54C2">
        <w:t>1999).</w:t>
      </w:r>
      <w:r w:rsidRPr="00BC54C2">
        <w:t xml:space="preserve"> </w:t>
      </w:r>
      <w:r w:rsidRPr="00BC54C2">
        <w:t>The TDRA includes a kind of predatory intent—intent to create an association between the second user’s mark and the famous mark—as a factor in its test for blurring.</w:t>
      </w:r>
      <w:r w:rsidRPr="00BC54C2">
        <w:t xml:space="preserve"> </w:t>
      </w:r>
      <w:r w:rsidRPr="00BC54C2">
        <w:t>Lanham Act §43(c)(2)(B)(v), 15 U.S.C.</w:t>
      </w:r>
      <w:r w:rsidRPr="00BC54C2">
        <w:t xml:space="preserve"> </w:t>
      </w:r>
      <w:r w:rsidRPr="00BC54C2">
        <w:t>§1125(c)(2)(B)(v).</w:t>
      </w:r>
    </w:p>
  </w:footnote>
  <w:footnote w:id="173">
    <w:p w14:paraId="1AD43FC6" w14:textId="2A489281" w:rsidR="00BC54C2" w:rsidRPr="006C6CD8" w:rsidRDefault="00BC54C2" w:rsidP="00BC54C2">
      <w:pPr>
        <w:pStyle w:val="FootnoteText"/>
      </w:pPr>
      <w:r w:rsidRPr="00BC54C2">
        <w:rPr>
          <w:vertAlign w:val="superscript"/>
        </w:rPr>
        <w:footnoteRef/>
      </w:r>
      <w:r w:rsidRPr="00BC54C2">
        <w:rPr>
          <w:i/>
        </w:rPr>
        <w:t>See National Basketball Ass’n</w:t>
      </w:r>
      <w:r w:rsidRPr="00BC54C2">
        <w:t>,105 F.3d at 852 (state misappropriation claims preempted, except for “hot news”);</w:t>
      </w:r>
      <w:r w:rsidRPr="00BC54C2">
        <w:t xml:space="preserve"> </w:t>
      </w:r>
      <w:r w:rsidRPr="00BC54C2">
        <w:rPr>
          <w:i/>
        </w:rPr>
        <w:t>Selby</w:t>
      </w:r>
      <w:r w:rsidRPr="00BC54C2">
        <w:t>, 96 F.</w:t>
      </w:r>
      <w:r w:rsidRPr="00BC54C2">
        <w:t xml:space="preserve"> </w:t>
      </w:r>
      <w:r w:rsidRPr="00BC54C2">
        <w:t>Supp.</w:t>
      </w:r>
      <w:r w:rsidRPr="00BC54C2">
        <w:t xml:space="preserve"> </w:t>
      </w:r>
      <w:r w:rsidRPr="00BC54C2">
        <w:t>2d at 1061 (implied contract claim regarding ideas in the script preempted);</w:t>
      </w:r>
      <w:r w:rsidRPr="00BC54C2">
        <w:t xml:space="preserve"> </w:t>
      </w:r>
      <w:r w:rsidRPr="00BC54C2">
        <w:t>Hartman v.</w:t>
      </w:r>
      <w:r w:rsidRPr="00BC54C2">
        <w:t xml:space="preserve"> </w:t>
      </w:r>
      <w:r w:rsidRPr="00BC54C2">
        <w:t>Hallmark Cards, Inc., 833 F.2d 117, 121, 4 USPQ2d 1864 (8th Cir.</w:t>
      </w:r>
      <w:r w:rsidRPr="00BC54C2">
        <w:t xml:space="preserve"> </w:t>
      </w:r>
      <w:r w:rsidRPr="00BC54C2">
        <w:t>1987) (misappropriation claim regarding graphics used in defendants’ greeting cards held preempted).</w:t>
      </w:r>
      <w:r w:rsidRPr="00BC54C2">
        <w:t xml:space="preserve"> </w:t>
      </w:r>
      <w:r w:rsidRPr="00BC54C2">
        <w:rPr>
          <w:i/>
        </w:rPr>
        <w:t xml:space="preserve">But see </w:t>
      </w:r>
      <w:proofErr w:type="spellStart"/>
      <w:r w:rsidRPr="00BC54C2">
        <w:rPr>
          <w:i/>
        </w:rPr>
        <w:t>ProCD</w:t>
      </w:r>
      <w:proofErr w:type="spellEnd"/>
      <w:r w:rsidRPr="00BC54C2">
        <w:rPr>
          <w:i/>
        </w:rPr>
        <w:t>, Inc</w:t>
      </w:r>
      <w:r w:rsidRPr="00BC54C2">
        <w:t>., 86 F.3d at 1454 (breach-of-contract claim relating to shrink-wrap license not preempted);</w:t>
      </w:r>
      <w:r w:rsidRPr="00BC54C2">
        <w:t xml:space="preserve"> </w:t>
      </w:r>
      <w:r w:rsidRPr="00BC54C2">
        <w:t>Lennon v.</w:t>
      </w:r>
      <w:r w:rsidRPr="00BC54C2">
        <w:t xml:space="preserve"> </w:t>
      </w:r>
      <w:r w:rsidRPr="00BC54C2">
        <w:t>Seaman, 63 F.</w:t>
      </w:r>
      <w:r w:rsidRPr="00BC54C2">
        <w:t xml:space="preserve"> </w:t>
      </w:r>
      <w:r w:rsidRPr="00BC54C2">
        <w:t>Supp.</w:t>
      </w:r>
      <w:r w:rsidRPr="00BC54C2">
        <w:t xml:space="preserve"> </w:t>
      </w:r>
      <w:r w:rsidRPr="00BC54C2">
        <w:t>2d 428, 436 (S.D.N.Y.</w:t>
      </w:r>
      <w:r w:rsidRPr="00BC54C2">
        <w:t xml:space="preserve"> </w:t>
      </w:r>
      <w:r w:rsidRPr="00BC54C2">
        <w:t>1999) (claim for interference with tangible property not preempted).</w:t>
      </w:r>
    </w:p>
  </w:footnote>
  <w:footnote w:id="174">
    <w:p w14:paraId="003EE875" w14:textId="79A3293B" w:rsidR="00BC54C2" w:rsidRPr="006C6CD8" w:rsidRDefault="00BC54C2" w:rsidP="00BC54C2">
      <w:pPr>
        <w:pStyle w:val="FootnoteText"/>
      </w:pPr>
      <w:r w:rsidRPr="00BC54C2">
        <w:rPr>
          <w:vertAlign w:val="superscript"/>
        </w:rPr>
        <w:footnoteRef/>
      </w:r>
      <w:r w:rsidRPr="00BC54C2">
        <w:t>Pub.</w:t>
      </w:r>
      <w:r w:rsidRPr="00BC54C2">
        <w:t xml:space="preserve"> </w:t>
      </w:r>
      <w:r w:rsidRPr="00BC54C2">
        <w:t>L.</w:t>
      </w:r>
      <w:r w:rsidRPr="00BC54C2">
        <w:t xml:space="preserve"> </w:t>
      </w:r>
      <w:r w:rsidRPr="00BC54C2">
        <w:t>No.</w:t>
      </w:r>
      <w:r w:rsidRPr="00BC54C2">
        <w:t xml:space="preserve"> </w:t>
      </w:r>
      <w:r w:rsidRPr="00BC54C2">
        <w:t>101-650 §§601–610, 104 Stat.</w:t>
      </w:r>
      <w:r w:rsidRPr="00BC54C2">
        <w:t xml:space="preserve"> </w:t>
      </w:r>
      <w:r w:rsidRPr="00BC54C2">
        <w:t>5089, 5128–33 (1990).</w:t>
      </w:r>
    </w:p>
  </w:footnote>
  <w:footnote w:id="175">
    <w:p w14:paraId="5DAE7726" w14:textId="6C9A1488" w:rsidR="00BC54C2" w:rsidRPr="006C6CD8" w:rsidRDefault="00BC54C2" w:rsidP="00BC54C2">
      <w:pPr>
        <w:pStyle w:val="FootnoteText"/>
      </w:pPr>
      <w:r w:rsidRPr="00BC54C2">
        <w:rPr>
          <w:vertAlign w:val="superscript"/>
        </w:rPr>
        <w:footnoteRef/>
      </w:r>
      <w:r w:rsidRPr="00BC54C2">
        <w:t>17 U.S.C.</w:t>
      </w:r>
      <w:r w:rsidRPr="00BC54C2">
        <w:t xml:space="preserve"> </w:t>
      </w:r>
      <w:r w:rsidRPr="00BC54C2">
        <w:t>§301(f)(1).</w:t>
      </w:r>
    </w:p>
  </w:footnote>
  <w:footnote w:id="176">
    <w:p w14:paraId="1BA2D875" w14:textId="3D292226" w:rsidR="00BC54C2" w:rsidRPr="006C6CD8" w:rsidRDefault="00BC54C2" w:rsidP="00BC54C2">
      <w:pPr>
        <w:pStyle w:val="FootnoteText"/>
      </w:pPr>
      <w:r w:rsidRPr="00BC54C2">
        <w:rPr>
          <w:vertAlign w:val="superscript"/>
        </w:rPr>
        <w:footnoteRef/>
      </w:r>
      <w:r w:rsidRPr="00BC54C2">
        <w:rPr>
          <w:i/>
        </w:rPr>
        <w:t>Id</w:t>
      </w:r>
      <w:r w:rsidRPr="00BC54C2">
        <w:t>.</w:t>
      </w:r>
      <w:r w:rsidRPr="00BC54C2">
        <w:t xml:space="preserve"> </w:t>
      </w:r>
      <w:r w:rsidRPr="00BC54C2">
        <w:t>§101 (definition of “work of visual art”).</w:t>
      </w:r>
    </w:p>
  </w:footnote>
  <w:footnote w:id="177">
    <w:p w14:paraId="4B05AD50" w14:textId="6E0FE9FD" w:rsidR="00BC54C2" w:rsidRPr="006C6CD8" w:rsidRDefault="00BC54C2" w:rsidP="00BC54C2">
      <w:pPr>
        <w:pStyle w:val="FootnoteText"/>
      </w:pPr>
      <w:r w:rsidRPr="00BC54C2">
        <w:rPr>
          <w:vertAlign w:val="superscript"/>
        </w:rPr>
        <w:footnoteRef/>
      </w:r>
      <w:r w:rsidRPr="00BC54C2">
        <w:rPr>
          <w:i/>
        </w:rPr>
        <w:t>Id</w:t>
      </w:r>
      <w:r w:rsidRPr="00BC54C2">
        <w:t>.</w:t>
      </w:r>
      <w:r w:rsidRPr="00BC54C2">
        <w:t xml:space="preserve"> </w:t>
      </w:r>
      <w:r w:rsidRPr="00BC54C2">
        <w:t>(§(A)(ii) of the definition).</w:t>
      </w:r>
    </w:p>
  </w:footnote>
  <w:footnote w:id="178">
    <w:p w14:paraId="5AFD3D09" w14:textId="1C38763C" w:rsidR="00BC54C2" w:rsidRPr="000601A1" w:rsidRDefault="00BC54C2" w:rsidP="00BC54C2">
      <w:pPr>
        <w:pStyle w:val="FootnoteText"/>
        <w:rPr>
          <w:lang w:val="da-DK"/>
        </w:rPr>
      </w:pPr>
      <w:r w:rsidRPr="00BC54C2">
        <w:rPr>
          <w:vertAlign w:val="superscript"/>
        </w:rPr>
        <w:footnoteRef/>
      </w:r>
      <w:r w:rsidRPr="00BC54C2">
        <w:t>2004 WL 1932872 (N.D.</w:t>
      </w:r>
      <w:r w:rsidRPr="00BC54C2">
        <w:t xml:space="preserve"> </w:t>
      </w:r>
      <w:r w:rsidRPr="00BC54C2">
        <w:t>Tex.</w:t>
      </w:r>
      <w:r w:rsidRPr="00BC54C2">
        <w:t xml:space="preserve"> </w:t>
      </w:r>
      <w:r w:rsidRPr="00BC54C2">
        <w:t>Aug.</w:t>
      </w:r>
      <w:r w:rsidRPr="00BC54C2">
        <w:t xml:space="preserve"> </w:t>
      </w:r>
      <w:r w:rsidRPr="00BC54C2">
        <w:t>30, 2004).</w:t>
      </w:r>
    </w:p>
  </w:footnote>
  <w:footnote w:id="179">
    <w:p w14:paraId="78A632C2" w14:textId="7390751C" w:rsidR="00BC54C2" w:rsidRPr="000601A1" w:rsidRDefault="00BC54C2" w:rsidP="00BC54C2">
      <w:pPr>
        <w:pStyle w:val="FootnoteText"/>
        <w:rPr>
          <w:lang w:val="da-DK"/>
        </w:rPr>
      </w:pPr>
      <w:r w:rsidRPr="00BC54C2">
        <w:rPr>
          <w:vertAlign w:val="superscript"/>
        </w:rPr>
        <w:footnoteRef/>
      </w:r>
      <w:r w:rsidRPr="00BC54C2">
        <w:rPr>
          <w:i/>
        </w:rPr>
        <w:t>Id</w:t>
      </w:r>
      <w:r w:rsidRPr="00BC54C2">
        <w:t>.</w:t>
      </w:r>
      <w:r w:rsidRPr="00BC54C2">
        <w:t xml:space="preserve"> </w:t>
      </w:r>
      <w:r w:rsidRPr="00BC54C2">
        <w:t>at *1.</w:t>
      </w:r>
    </w:p>
  </w:footnote>
  <w:footnote w:id="180">
    <w:p w14:paraId="478860C4" w14:textId="07E9AA16" w:rsidR="00BC54C2" w:rsidRPr="006C6CD8" w:rsidRDefault="00BC54C2" w:rsidP="00BC54C2">
      <w:pPr>
        <w:pStyle w:val="FootnoteText"/>
      </w:pPr>
      <w:r w:rsidRPr="00BC54C2">
        <w:rPr>
          <w:vertAlign w:val="superscript"/>
        </w:rPr>
        <w:footnoteRef/>
      </w:r>
      <w:r w:rsidRPr="00BC54C2">
        <w:rPr>
          <w:i/>
        </w:rPr>
        <w:t>Id</w:t>
      </w:r>
      <w:r w:rsidRPr="00BC54C2">
        <w:t>.</w:t>
      </w:r>
      <w:r w:rsidRPr="00BC54C2">
        <w:t xml:space="preserve"> </w:t>
      </w:r>
      <w:r w:rsidRPr="00BC54C2">
        <w:t>at *2.</w:t>
      </w:r>
      <w:r w:rsidRPr="00BC54C2">
        <w:t xml:space="preserve"> </w:t>
      </w:r>
      <w:r w:rsidRPr="00BC54C2">
        <w:t xml:space="preserve">The current Texas statute does not include a claim for “injury to business reputation,” but does include a claim for dilution by </w:t>
      </w:r>
      <w:proofErr w:type="spellStart"/>
      <w:r w:rsidRPr="00BC54C2">
        <w:t>tarnishment</w:t>
      </w:r>
      <w:proofErr w:type="spellEnd"/>
      <w:r w:rsidRPr="00BC54C2">
        <w:t>, which may also satisfy the extra-element requirement.</w:t>
      </w:r>
    </w:p>
  </w:footnote>
  <w:footnote w:id="181">
    <w:p w14:paraId="2F55B260" w14:textId="2A2ECBA9" w:rsidR="00BC54C2" w:rsidRPr="006C6CD8" w:rsidRDefault="00BC54C2" w:rsidP="00BC54C2">
      <w:pPr>
        <w:pStyle w:val="FootnoteText"/>
      </w:pPr>
      <w:r w:rsidRPr="00BC54C2">
        <w:rPr>
          <w:vertAlign w:val="superscript"/>
        </w:rPr>
        <w:footnoteRef/>
      </w:r>
      <w:r w:rsidRPr="00BC54C2">
        <w:t>Gateway 2000, Inc.</w:t>
      </w:r>
      <w:r w:rsidRPr="00BC54C2">
        <w:t xml:space="preserve"> </w:t>
      </w:r>
      <w:r w:rsidRPr="00BC54C2">
        <w:t>v.</w:t>
      </w:r>
      <w:r w:rsidRPr="00BC54C2">
        <w:t xml:space="preserve"> </w:t>
      </w:r>
      <w:r w:rsidRPr="00BC54C2">
        <w:t>Cyrix Corp., 942 F.</w:t>
      </w:r>
      <w:r w:rsidRPr="00BC54C2">
        <w:t xml:space="preserve"> </w:t>
      </w:r>
      <w:r w:rsidRPr="00BC54C2">
        <w:t>Supp.</w:t>
      </w:r>
      <w:r w:rsidRPr="00BC54C2">
        <w:t xml:space="preserve"> </w:t>
      </w:r>
      <w:r w:rsidRPr="00BC54C2">
        <w:t>985, 988 n.2 (D.N.J.</w:t>
      </w:r>
      <w:r w:rsidRPr="00BC54C2">
        <w:t xml:space="preserve"> </w:t>
      </w:r>
      <w:r w:rsidRPr="00BC54C2">
        <w:t>1996);</w:t>
      </w:r>
      <w:r w:rsidRPr="00BC54C2">
        <w:t xml:space="preserve"> </w:t>
      </w:r>
      <w:r w:rsidRPr="00BC54C2">
        <w:rPr>
          <w:i/>
        </w:rPr>
        <w:t>cf</w:t>
      </w:r>
      <w:r w:rsidRPr="00BC54C2">
        <w:t>.</w:t>
      </w:r>
      <w:r w:rsidRPr="00BC54C2">
        <w:t xml:space="preserve"> </w:t>
      </w:r>
      <w:r w:rsidRPr="00BC54C2">
        <w:t>Deere &amp; Co.</w:t>
      </w:r>
      <w:r w:rsidRPr="00BC54C2">
        <w:t xml:space="preserve"> </w:t>
      </w:r>
      <w:r w:rsidRPr="00BC54C2">
        <w:t>v.</w:t>
      </w:r>
      <w:r w:rsidRPr="00BC54C2">
        <w:t xml:space="preserve"> </w:t>
      </w:r>
      <w:r w:rsidRPr="00BC54C2">
        <w:t>MTD Prods., Inc., 41 F.3d 39, 32 USPQ2d 1936 (2d Cir.</w:t>
      </w:r>
      <w:r w:rsidRPr="00BC54C2">
        <w:t xml:space="preserve"> </w:t>
      </w:r>
      <w:r w:rsidRPr="00BC54C2">
        <w:t>1994) (finding defendant’s animated alteration of plaintiff’s logo violated New York’s dilution law).</w:t>
      </w:r>
    </w:p>
  </w:footnote>
  <w:footnote w:id="182">
    <w:p w14:paraId="5D1D704E" w14:textId="6C94121F" w:rsidR="00BC54C2" w:rsidRPr="006C6CD8" w:rsidRDefault="00BC54C2" w:rsidP="00BC54C2">
      <w:pPr>
        <w:pStyle w:val="FootnoteText"/>
      </w:pPr>
      <w:r w:rsidRPr="00BC54C2">
        <w:rPr>
          <w:vertAlign w:val="superscript"/>
        </w:rPr>
        <w:footnoteRef/>
      </w:r>
      <w:r w:rsidRPr="00BC54C2">
        <w:t>Tracy v.</w:t>
      </w:r>
      <w:r w:rsidRPr="00BC54C2">
        <w:t xml:space="preserve"> </w:t>
      </w:r>
      <w:r w:rsidRPr="00BC54C2">
        <w:t>Skate Key, Inc., 697 F.</w:t>
      </w:r>
      <w:r w:rsidRPr="00BC54C2">
        <w:t xml:space="preserve"> </w:t>
      </w:r>
      <w:r w:rsidRPr="00BC54C2">
        <w:t>Supp.</w:t>
      </w:r>
      <w:r w:rsidRPr="00BC54C2">
        <w:t xml:space="preserve"> </w:t>
      </w:r>
      <w:r w:rsidRPr="00BC54C2">
        <w:t>748, 750–51, 9 USPQ2d 1155 (S.D.N.Y.</w:t>
      </w:r>
      <w:r w:rsidRPr="00BC54C2">
        <w:t xml:space="preserve"> </w:t>
      </w:r>
      <w:r w:rsidRPr="00BC54C2">
        <w:t>1988).</w:t>
      </w:r>
    </w:p>
  </w:footnote>
  <w:footnote w:id="183">
    <w:p w14:paraId="18A486E9" w14:textId="10C9F3DA" w:rsidR="00BC54C2" w:rsidRPr="006C6CD8" w:rsidRDefault="00BC54C2" w:rsidP="00BC54C2">
      <w:pPr>
        <w:pStyle w:val="FootnoteText"/>
      </w:pPr>
      <w:r w:rsidRPr="00BC54C2">
        <w:rPr>
          <w:vertAlign w:val="superscript"/>
        </w:rPr>
        <w:footnoteRef/>
      </w:r>
      <w:r w:rsidRPr="00BC54C2">
        <w:rPr>
          <w:i/>
        </w:rPr>
        <w:t>Id</w:t>
      </w:r>
      <w:r w:rsidRPr="00BC54C2">
        <w:t>.</w:t>
      </w:r>
      <w:r w:rsidRPr="00BC54C2">
        <w:t xml:space="preserve"> </w:t>
      </w:r>
      <w:r w:rsidRPr="00BC54C2">
        <w:t>at 751(citing Warner Bros.</w:t>
      </w:r>
      <w:r w:rsidRPr="00BC54C2">
        <w:t xml:space="preserve"> </w:t>
      </w:r>
      <w:r w:rsidRPr="00BC54C2">
        <w:t>v.</w:t>
      </w:r>
      <w:r w:rsidRPr="00BC54C2">
        <w:t xml:space="preserve"> </w:t>
      </w:r>
      <w:r w:rsidRPr="00BC54C2">
        <w:t>American Broad.</w:t>
      </w:r>
      <w:r w:rsidRPr="00BC54C2">
        <w:t xml:space="preserve"> </w:t>
      </w:r>
      <w:r w:rsidRPr="00BC54C2">
        <w:t>Cos., 720 F.2d 231, 247, 222 USPQ 101 (2d Cir.</w:t>
      </w:r>
      <w:r w:rsidRPr="00BC54C2">
        <w:t xml:space="preserve"> </w:t>
      </w:r>
      <w:r w:rsidRPr="00BC54C2">
        <w:t>1983)).</w:t>
      </w:r>
      <w:r w:rsidRPr="00BC54C2">
        <w:t xml:space="preserve"> </w:t>
      </w:r>
      <w:r w:rsidRPr="00BC54C2">
        <w:t xml:space="preserve">The </w:t>
      </w:r>
      <w:r w:rsidRPr="00BC54C2">
        <w:rPr>
          <w:i/>
        </w:rPr>
        <w:t xml:space="preserve">Warner Brothers </w:t>
      </w:r>
      <w:r w:rsidRPr="00BC54C2">
        <w:t>court held only that claims for “passing off,” which require confusion, are not preempted.</w:t>
      </w:r>
      <w:r w:rsidRPr="00BC54C2">
        <w:t xml:space="preserve"> </w:t>
      </w:r>
      <w:r w:rsidRPr="00BC54C2">
        <w:rPr>
          <w:i/>
        </w:rPr>
        <w:t>Id</w:t>
      </w:r>
      <w:r w:rsidRPr="00BC54C2">
        <w:t>.</w:t>
      </w:r>
      <w:r w:rsidRPr="00BC54C2">
        <w:t xml:space="preserve"> </w:t>
      </w:r>
      <w:r w:rsidRPr="00BC54C2">
        <w:t>at 247.</w:t>
      </w:r>
      <w:r w:rsidRPr="00BC54C2">
        <w:t xml:space="preserve"> </w:t>
      </w:r>
      <w:r w:rsidRPr="00BC54C2">
        <w:t xml:space="preserve">The Second Circuit decided that the dilution claims failed on the merits “to whatever extent [they] do not involve rights equivalent to those protected by copyright.” </w:t>
      </w:r>
      <w:r w:rsidRPr="00BC54C2">
        <w:rPr>
          <w:i/>
        </w:rPr>
        <w:t>Id</w:t>
      </w:r>
      <w:r w:rsidRPr="00BC54C2">
        <w:t>.</w:t>
      </w:r>
      <w:r w:rsidRPr="00BC54C2">
        <w:t xml:space="preserve"> </w:t>
      </w:r>
      <w:r w:rsidRPr="00BC54C2">
        <w:t>at 248.</w:t>
      </w:r>
      <w:r w:rsidRPr="00BC54C2">
        <w:t xml:space="preserve"> </w:t>
      </w:r>
      <w:r w:rsidRPr="00BC54C2">
        <w:t>The Second Circuit, therefore, assumed, arguendo, the possibility of preemption (with some skepticism) before finding no dilution on the merits.</w:t>
      </w:r>
    </w:p>
  </w:footnote>
  <w:footnote w:id="184">
    <w:p w14:paraId="7E7C9AA9" w14:textId="2E9CBC60" w:rsidR="00BC54C2" w:rsidRPr="006C6CD8" w:rsidRDefault="00BC54C2" w:rsidP="00BC54C2">
      <w:pPr>
        <w:pStyle w:val="FootnoteText"/>
      </w:pPr>
      <w:r w:rsidRPr="00BC54C2">
        <w:rPr>
          <w:vertAlign w:val="superscript"/>
        </w:rPr>
        <w:footnoteRef/>
      </w:r>
      <w:r w:rsidRPr="00BC54C2">
        <w:t>Eyal R.D.</w:t>
      </w:r>
      <w:r w:rsidRPr="00BC54C2">
        <w:t xml:space="preserve"> </w:t>
      </w:r>
      <w:r w:rsidRPr="00BC54C2">
        <w:t>Corp.</w:t>
      </w:r>
      <w:r w:rsidRPr="00BC54C2">
        <w:t xml:space="preserve"> </w:t>
      </w:r>
      <w:r w:rsidRPr="00BC54C2">
        <w:t>v.</w:t>
      </w:r>
      <w:r w:rsidRPr="00BC54C2">
        <w:t xml:space="preserve"> </w:t>
      </w:r>
      <w:proofErr w:type="spellStart"/>
      <w:r w:rsidRPr="00BC54C2">
        <w:t>Jewelex</w:t>
      </w:r>
      <w:proofErr w:type="spellEnd"/>
      <w:r w:rsidRPr="00BC54C2">
        <w:t xml:space="preserve"> N.Y.</w:t>
      </w:r>
      <w:r w:rsidRPr="00BC54C2">
        <w:t xml:space="preserve"> </w:t>
      </w:r>
      <w:r w:rsidRPr="00BC54C2">
        <w:t>Ltd., 784 F.</w:t>
      </w:r>
      <w:r w:rsidRPr="00BC54C2">
        <w:t xml:space="preserve"> </w:t>
      </w:r>
      <w:r w:rsidRPr="00BC54C2">
        <w:t>Supp.</w:t>
      </w:r>
      <w:r w:rsidRPr="00BC54C2">
        <w:t xml:space="preserve"> </w:t>
      </w:r>
      <w:r w:rsidRPr="00BC54C2">
        <w:t>2d 441, 449 (S.D.N.Y.</w:t>
      </w:r>
      <w:r w:rsidRPr="00BC54C2">
        <w:t xml:space="preserve"> </w:t>
      </w:r>
      <w:r w:rsidRPr="00BC54C2">
        <w:t>2011).</w:t>
      </w:r>
      <w:r w:rsidRPr="00BC54C2">
        <w:t xml:space="preserve"> </w:t>
      </w:r>
      <w:r w:rsidRPr="00BC54C2">
        <w:t xml:space="preserve">Although it was not clear whether the opinion was based on patent or copyright law, a district court cited </w:t>
      </w:r>
      <w:r w:rsidRPr="00BC54C2">
        <w:rPr>
          <w:i/>
        </w:rPr>
        <w:t>Eyal</w:t>
      </w:r>
      <w:r w:rsidRPr="00BC54C2">
        <w:t xml:space="preserve"> when dismissing a New York dilution claim relating to trade dress on the grounds of preemption.</w:t>
      </w:r>
      <w:r w:rsidRPr="00BC54C2">
        <w:t xml:space="preserve"> </w:t>
      </w:r>
      <w:r w:rsidRPr="00BC54C2">
        <w:t>Bubble Genius LLC v.</w:t>
      </w:r>
      <w:r w:rsidRPr="00BC54C2">
        <w:t xml:space="preserve"> </w:t>
      </w:r>
      <w:r w:rsidRPr="00BC54C2">
        <w:t>Smith, 239 F.</w:t>
      </w:r>
      <w:r w:rsidRPr="00BC54C2">
        <w:t xml:space="preserve"> </w:t>
      </w:r>
      <w:r w:rsidRPr="00BC54C2">
        <w:t>Supp.</w:t>
      </w:r>
      <w:r w:rsidRPr="00BC54C2">
        <w:t xml:space="preserve"> </w:t>
      </w:r>
      <w:r w:rsidRPr="00BC54C2">
        <w:t>3d 586, 603–04 (E.D.N.Y.</w:t>
      </w:r>
      <w:r w:rsidRPr="00BC54C2">
        <w:t xml:space="preserve"> </w:t>
      </w:r>
      <w:r w:rsidRPr="00BC54C2">
        <w:t>2017).</w:t>
      </w:r>
      <w:r w:rsidRPr="00BC54C2">
        <w:t xml:space="preserve"> </w:t>
      </w:r>
      <w:r w:rsidRPr="00BC54C2">
        <w:t xml:space="preserve">A similar result, </w:t>
      </w:r>
      <w:proofErr w:type="gramStart"/>
      <w:r w:rsidRPr="00BC54C2">
        <w:t>similarly</w:t>
      </w:r>
      <w:proofErr w:type="gramEnd"/>
      <w:r w:rsidRPr="00BC54C2">
        <w:t xml:space="preserve"> ambiguous as to the exact source of preemption, was reached in </w:t>
      </w:r>
      <w:r w:rsidRPr="00BC54C2">
        <w:rPr>
          <w:rStyle w:val="BCasenamefull"/>
        </w:rPr>
        <w:t xml:space="preserve">Diamond Collection, LLC v. </w:t>
      </w:r>
      <w:proofErr w:type="spellStart"/>
      <w:r w:rsidRPr="00BC54C2">
        <w:rPr>
          <w:rStyle w:val="BCasenamefull"/>
        </w:rPr>
        <w:t>Underwraps</w:t>
      </w:r>
      <w:proofErr w:type="spellEnd"/>
      <w:r w:rsidRPr="00BC54C2">
        <w:rPr>
          <w:rStyle w:val="BCasenamefull"/>
        </w:rPr>
        <w:t xml:space="preserve"> Costume Corp.</w:t>
      </w:r>
      <w:r w:rsidRPr="00BC54C2">
        <w:t>, 2018 WL 1832928, at *8 (E.D.N.Y.</w:t>
      </w:r>
      <w:r w:rsidRPr="00BC54C2">
        <w:t xml:space="preserve"> </w:t>
      </w:r>
      <w:r w:rsidRPr="00BC54C2">
        <w:t>Apr.</w:t>
      </w:r>
      <w:r w:rsidRPr="00BC54C2">
        <w:t xml:space="preserve"> </w:t>
      </w:r>
      <w:r w:rsidRPr="00BC54C2">
        <w:t>16, 2018).</w:t>
      </w:r>
    </w:p>
  </w:footnote>
  <w:footnote w:id="185">
    <w:p w14:paraId="139A3D27" w14:textId="4DF381F8" w:rsidR="00BC54C2" w:rsidRPr="006C6CD8" w:rsidRDefault="00BC54C2" w:rsidP="00BC54C2">
      <w:pPr>
        <w:pStyle w:val="FootnoteText"/>
      </w:pPr>
      <w:r w:rsidRPr="00BC54C2">
        <w:rPr>
          <w:vertAlign w:val="superscript"/>
        </w:rPr>
        <w:footnoteRef/>
      </w:r>
      <w:r w:rsidRPr="00BC54C2">
        <w:rPr>
          <w:i/>
        </w:rPr>
        <w:t>Id</w:t>
      </w:r>
      <w:r w:rsidRPr="00BC54C2">
        <w:t>.</w:t>
      </w:r>
      <w:r w:rsidRPr="00BC54C2">
        <w:t xml:space="preserve"> </w:t>
      </w:r>
      <w:r w:rsidRPr="00BC54C2">
        <w:t>at 446–48.</w:t>
      </w:r>
    </w:p>
  </w:footnote>
  <w:footnote w:id="186">
    <w:p w14:paraId="5DAEB170" w14:textId="11CDF1CB" w:rsidR="00BC54C2" w:rsidRPr="00435C61" w:rsidRDefault="00BC54C2" w:rsidP="00BC54C2">
      <w:pPr>
        <w:pStyle w:val="FootnoteText"/>
      </w:pPr>
      <w:r w:rsidRPr="00BC54C2">
        <w:rPr>
          <w:rStyle w:val="FootnoteReference"/>
          <w:rFonts w:eastAsiaTheme="majorEastAsia"/>
        </w:rPr>
        <w:footnoteRef/>
      </w:r>
      <w:r w:rsidRPr="00BC54C2">
        <w:rPr>
          <w:i/>
        </w:rPr>
        <w:t>E.g.</w:t>
      </w:r>
      <w:r w:rsidRPr="00BC54C2">
        <w:t xml:space="preserve">, </w:t>
      </w:r>
      <w:proofErr w:type="spellStart"/>
      <w:r w:rsidRPr="00BC54C2">
        <w:t>Nat’l</w:t>
      </w:r>
      <w:proofErr w:type="spellEnd"/>
      <w:r w:rsidRPr="00BC54C2">
        <w:t xml:space="preserve"> Pork Producers Council v.</w:t>
      </w:r>
      <w:r w:rsidRPr="00BC54C2">
        <w:t xml:space="preserve"> </w:t>
      </w:r>
      <w:r w:rsidRPr="00BC54C2">
        <w:t>Ross, 598 U.S.</w:t>
      </w:r>
      <w:r w:rsidRPr="00BC54C2">
        <w:t xml:space="preserve"> </w:t>
      </w:r>
      <w:r w:rsidRPr="00BC54C2">
        <w:t>356, 368 (2023).</w:t>
      </w:r>
    </w:p>
  </w:footnote>
  <w:footnote w:id="187">
    <w:p w14:paraId="44ACDA3E" w14:textId="674836F0" w:rsidR="00BC54C2" w:rsidRPr="00772F5D" w:rsidRDefault="00BC54C2" w:rsidP="00BC54C2">
      <w:pPr>
        <w:pStyle w:val="FootnoteText"/>
      </w:pPr>
      <w:r w:rsidRPr="00BC54C2">
        <w:rPr>
          <w:rStyle w:val="FootnoteReference"/>
          <w:rFonts w:eastAsiaTheme="majorEastAsia"/>
        </w:rPr>
        <w:footnoteRef/>
      </w:r>
      <w:r w:rsidRPr="00BC54C2">
        <w:t>See Chapter 5, Section II.B.2.</w:t>
      </w:r>
    </w:p>
  </w:footnote>
  <w:footnote w:id="188">
    <w:p w14:paraId="00DB7D3E" w14:textId="42182D6E" w:rsidR="00BC54C2" w:rsidRDefault="00BC54C2" w:rsidP="00BC54C2">
      <w:pPr>
        <w:pStyle w:val="FootnoteText"/>
      </w:pPr>
      <w:r w:rsidRPr="00BC54C2">
        <w:rPr>
          <w:rStyle w:val="FootnoteReference"/>
          <w:rFonts w:eastAsiaTheme="majorEastAsia"/>
        </w:rPr>
        <w:footnoteRef/>
      </w:r>
      <w:r w:rsidRPr="00BC54C2">
        <w:t>New York Times Co.</w:t>
      </w:r>
      <w:r w:rsidRPr="00BC54C2">
        <w:t xml:space="preserve"> </w:t>
      </w:r>
      <w:r w:rsidRPr="00BC54C2">
        <w:t>v.</w:t>
      </w:r>
      <w:r w:rsidRPr="00BC54C2">
        <w:t xml:space="preserve"> </w:t>
      </w:r>
      <w:r w:rsidRPr="00BC54C2">
        <w:t>Microsoft Corp., 777 F.</w:t>
      </w:r>
      <w:r w:rsidRPr="00BC54C2">
        <w:t xml:space="preserve"> </w:t>
      </w:r>
      <w:r w:rsidRPr="00BC54C2">
        <w:t>Supp.</w:t>
      </w:r>
      <w:r w:rsidRPr="00BC54C2">
        <w:t xml:space="preserve"> </w:t>
      </w:r>
      <w:r w:rsidRPr="00BC54C2">
        <w:t>3d 283, 325-27, 2025 BL 114980 (S.D.N.Y.</w:t>
      </w:r>
      <w:r w:rsidRPr="00BC54C2">
        <w:t xml:space="preserve"> </w:t>
      </w:r>
      <w:r w:rsidRPr="00BC54C2">
        <w:t>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4E30" w14:textId="77777777" w:rsidR="00BC54C2" w:rsidRPr="00BC54C2" w:rsidRDefault="00BC54C2" w:rsidP="00BC5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7745" w14:textId="77777777" w:rsidR="00BC54C2" w:rsidRPr="00BC54C2" w:rsidRDefault="00BC54C2" w:rsidP="00BC54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B624" w14:textId="77777777" w:rsidR="00BC54C2" w:rsidRPr="00BC54C2" w:rsidRDefault="00BC54C2" w:rsidP="00BC5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2"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2"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7"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2"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36"/>
  </w:num>
  <w:num w:numId="2" w16cid:durableId="1796212711">
    <w:abstractNumId w:val="40"/>
  </w:num>
  <w:num w:numId="3" w16cid:durableId="560215516">
    <w:abstractNumId w:val="10"/>
  </w:num>
  <w:num w:numId="4" w16cid:durableId="127167174">
    <w:abstractNumId w:val="15"/>
  </w:num>
  <w:num w:numId="5" w16cid:durableId="530146565">
    <w:abstractNumId w:val="16"/>
  </w:num>
  <w:num w:numId="6" w16cid:durableId="1308701023">
    <w:abstractNumId w:val="14"/>
  </w:num>
  <w:num w:numId="7" w16cid:durableId="1164586576">
    <w:abstractNumId w:val="24"/>
  </w:num>
  <w:num w:numId="8" w16cid:durableId="390078248">
    <w:abstractNumId w:val="38"/>
  </w:num>
  <w:num w:numId="9" w16cid:durableId="1709836850">
    <w:abstractNumId w:val="30"/>
  </w:num>
  <w:num w:numId="10" w16cid:durableId="1514031139">
    <w:abstractNumId w:val="8"/>
  </w:num>
  <w:num w:numId="11" w16cid:durableId="439372092">
    <w:abstractNumId w:val="17"/>
  </w:num>
  <w:num w:numId="12" w16cid:durableId="1176964315">
    <w:abstractNumId w:val="11"/>
  </w:num>
  <w:num w:numId="13" w16cid:durableId="57481982">
    <w:abstractNumId w:val="35"/>
  </w:num>
  <w:num w:numId="14" w16cid:durableId="616182069">
    <w:abstractNumId w:val="33"/>
  </w:num>
  <w:num w:numId="15" w16cid:durableId="1331370395">
    <w:abstractNumId w:val="32"/>
  </w:num>
  <w:num w:numId="16" w16cid:durableId="2048220565">
    <w:abstractNumId w:val="18"/>
  </w:num>
  <w:num w:numId="17" w16cid:durableId="1376926949">
    <w:abstractNumId w:val="39"/>
  </w:num>
  <w:num w:numId="18" w16cid:durableId="353920111">
    <w:abstractNumId w:val="19"/>
  </w:num>
  <w:num w:numId="19" w16cid:durableId="1125343429">
    <w:abstractNumId w:val="27"/>
  </w:num>
  <w:num w:numId="20" w16cid:durableId="72313112">
    <w:abstractNumId w:val="21"/>
  </w:num>
  <w:num w:numId="21" w16cid:durableId="1413089690">
    <w:abstractNumId w:val="23"/>
  </w:num>
  <w:num w:numId="22" w16cid:durableId="1946451628">
    <w:abstractNumId w:val="28"/>
  </w:num>
  <w:num w:numId="23" w16cid:durableId="1714229662">
    <w:abstractNumId w:val="29"/>
  </w:num>
  <w:num w:numId="24" w16cid:durableId="1864049548">
    <w:abstractNumId w:val="40"/>
  </w:num>
  <w:num w:numId="25" w16cid:durableId="1312754695">
    <w:abstractNumId w:val="40"/>
  </w:num>
  <w:num w:numId="26" w16cid:durableId="1166363704">
    <w:abstractNumId w:val="20"/>
  </w:num>
  <w:num w:numId="27" w16cid:durableId="789670048">
    <w:abstractNumId w:val="26"/>
  </w:num>
  <w:num w:numId="28" w16cid:durableId="971784460">
    <w:abstractNumId w:val="31"/>
  </w:num>
  <w:num w:numId="29" w16cid:durableId="1803688727">
    <w:abstractNumId w:val="13"/>
  </w:num>
  <w:num w:numId="30" w16cid:durableId="154415689">
    <w:abstractNumId w:val="34"/>
  </w:num>
  <w:num w:numId="31" w16cid:durableId="109083732">
    <w:abstractNumId w:val="9"/>
  </w:num>
  <w:num w:numId="32" w16cid:durableId="1136098287">
    <w:abstractNumId w:val="25"/>
  </w:num>
  <w:num w:numId="33" w16cid:durableId="329909884">
    <w:abstractNumId w:val="22"/>
  </w:num>
  <w:num w:numId="34" w16cid:durableId="1326783886">
    <w:abstractNumId w:val="37"/>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removePersonalInformation/>
  <w:removeDateAndTime/>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A39"/>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36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CF9"/>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7B4"/>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B7EC4"/>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25B0"/>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8DD"/>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22E4"/>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1D58"/>
    <w:rsid w:val="00B323B3"/>
    <w:rsid w:val="00B32731"/>
    <w:rsid w:val="00B32A1B"/>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4C2"/>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6D08"/>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7A1"/>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0A21"/>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207"/>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1EE"/>
    <w:rsid w:val="00EC4A0A"/>
    <w:rsid w:val="00EC4D9D"/>
    <w:rsid w:val="00EC6558"/>
    <w:rsid w:val="00EC675A"/>
    <w:rsid w:val="00EC6DBE"/>
    <w:rsid w:val="00EC6EA9"/>
    <w:rsid w:val="00EC7A3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3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rsid w:val="000E1CF7"/>
    <w:rPr>
      <w:rFonts w:eastAsia="Times New Roman"/>
      <w:sz w:val="20"/>
      <w:szCs w:val="20"/>
      <w:lang w:bidi="ar-SA"/>
    </w:rPr>
  </w:style>
  <w:style w:type="character" w:styleId="FootnoteReference">
    <w:name w:val="footnote reference"/>
    <w:basedOn w:val="DefaultParagraphFont"/>
    <w:rsid w:val="00311088"/>
    <w:rPr>
      <w:vertAlign w:val="superscript"/>
    </w:rPr>
  </w:style>
  <w:style w:type="paragraph" w:styleId="FootnoteText">
    <w:name w:val="footnote text"/>
    <w:basedOn w:val="Normal"/>
    <w:link w:val="FootnoteTextChar"/>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text">
    <w:name w:val="text"/>
    <w:basedOn w:val="Normal"/>
    <w:uiPriority w:val="99"/>
    <w:qFormat/>
    <w:rsid w:val="00EC41EE"/>
    <w:pPr>
      <w:widowControl w:val="0"/>
      <w:spacing w:before="0" w:after="0"/>
      <w:ind w:firstLine="360"/>
    </w:pPr>
    <w:rPr>
      <w:kern w:val="0"/>
      <w:lang w:bidi="ar-SA"/>
    </w:rPr>
  </w:style>
  <w:style w:type="paragraph" w:customStyle="1" w:styleId="footnote">
    <w:name w:val="footnote"/>
    <w:basedOn w:val="text"/>
    <w:autoRedefine/>
    <w:uiPriority w:val="99"/>
    <w:qFormat/>
    <w:rsid w:val="00EC41EE"/>
    <w:rPr>
      <w:sz w:val="20"/>
    </w:rPr>
  </w:style>
  <w:style w:type="paragraph" w:customStyle="1" w:styleId="blockquote">
    <w:name w:val="block quote"/>
    <w:basedOn w:val="Normal"/>
    <w:autoRedefine/>
    <w:qFormat/>
    <w:rsid w:val="00EC41EE"/>
    <w:pPr>
      <w:spacing w:after="240"/>
      <w:ind w:left="720"/>
    </w:pPr>
    <w:rPr>
      <w:kern w:val="0"/>
      <w:sz w:val="20"/>
      <w:lang w:bidi="ar-SA"/>
    </w:rPr>
  </w:style>
  <w:style w:type="paragraph" w:customStyle="1" w:styleId="footnoteflush">
    <w:name w:val="footnote flush"/>
    <w:basedOn w:val="Normal"/>
    <w:uiPriority w:val="99"/>
    <w:rsid w:val="00EC41EE"/>
    <w:pPr>
      <w:autoSpaceDE w:val="0"/>
      <w:autoSpaceDN w:val="0"/>
      <w:adjustRightInd w:val="0"/>
      <w:spacing w:before="0" w:after="0"/>
      <w:jc w:val="both"/>
      <w:textAlignment w:val="center"/>
    </w:pPr>
    <w:rPr>
      <w:rFonts w:eastAsiaTheme="minorEastAsia" w:cs="ITC New Baskerville Std"/>
      <w:color w:val="000000"/>
      <w:kern w:val="0"/>
      <w:sz w:val="20"/>
      <w:szCs w:val="18"/>
      <w:lang w:bidi="ar-SA"/>
    </w:rPr>
  </w:style>
  <w:style w:type="paragraph" w:customStyle="1" w:styleId="textflush">
    <w:name w:val="text flush"/>
    <w:basedOn w:val="text"/>
    <w:autoRedefine/>
    <w:uiPriority w:val="99"/>
    <w:qFormat/>
    <w:rsid w:val="00EC41EE"/>
    <w:pPr>
      <w:ind w:firstLine="0"/>
    </w:pPr>
  </w:style>
  <w:style w:type="paragraph" w:customStyle="1" w:styleId="Blockquoteflush">
    <w:name w:val="Block quote flush"/>
    <w:basedOn w:val="Normal"/>
    <w:autoRedefine/>
    <w:uiPriority w:val="99"/>
    <w:qFormat/>
    <w:rsid w:val="00EC41EE"/>
    <w:pPr>
      <w:widowControl w:val="0"/>
      <w:spacing w:after="240"/>
      <w:ind w:left="720"/>
    </w:pPr>
    <w:rPr>
      <w:kern w:val="0"/>
      <w:sz w:val="20"/>
      <w:lang w:bidi="ar-SA"/>
    </w:rPr>
  </w:style>
  <w:style w:type="paragraph" w:customStyle="1" w:styleId="2ndLevel1">
    <w:name w:val="2nd Level /1"/>
    <w:basedOn w:val="2ndLevelHeadA"/>
    <w:autoRedefine/>
    <w:uiPriority w:val="99"/>
    <w:rsid w:val="00EC41EE"/>
    <w:pPr>
      <w:spacing w:before="0"/>
    </w:pPr>
    <w:rPr>
      <w:iCs w:val="0"/>
    </w:rPr>
  </w:style>
  <w:style w:type="paragraph" w:customStyle="1" w:styleId="3rdLevel2">
    <w:name w:val="3rd Level / 2"/>
    <w:basedOn w:val="Normal"/>
    <w:autoRedefine/>
    <w:uiPriority w:val="99"/>
    <w:rsid w:val="00EC41EE"/>
    <w:pPr>
      <w:keepNext/>
      <w:widowControl w:val="0"/>
      <w:tabs>
        <w:tab w:val="left" w:pos="360"/>
      </w:tabs>
      <w:suppressAutoHyphens/>
      <w:autoSpaceDE w:val="0"/>
      <w:autoSpaceDN w:val="0"/>
      <w:adjustRightInd w:val="0"/>
      <w:spacing w:before="0" w:after="240"/>
      <w:ind w:left="360" w:hanging="360"/>
      <w:textAlignment w:val="center"/>
    </w:pPr>
    <w:rPr>
      <w:rFonts w:eastAsiaTheme="minorEastAsia" w:cs="ITC New Baskerville Std"/>
      <w:b/>
      <w:bCs/>
      <w:i/>
      <w:iCs/>
      <w:color w:val="000000"/>
      <w:kern w:val="0"/>
      <w:szCs w:val="22"/>
      <w:lang w:bidi="ar-SA"/>
    </w:rPr>
  </w:style>
  <w:style w:type="paragraph" w:customStyle="1" w:styleId="4thLevel3">
    <w:name w:val="4th Level / 3"/>
    <w:basedOn w:val="4thLevelHeada"/>
    <w:autoRedefine/>
    <w:uiPriority w:val="99"/>
    <w:rsid w:val="00EC41EE"/>
    <w:pPr>
      <w:spacing w:before="0"/>
      <w:ind w:left="360"/>
    </w:pPr>
    <w:rPr>
      <w:bCs/>
      <w:iCs w:val="0"/>
    </w:rPr>
  </w:style>
  <w:style w:type="paragraph" w:customStyle="1" w:styleId="1stLevelHeadII">
    <w:name w:val="1st Level Head II."/>
    <w:basedOn w:val="Normal"/>
    <w:autoRedefine/>
    <w:uiPriority w:val="99"/>
    <w:rsid w:val="00EC41EE"/>
    <w:pPr>
      <w:keepNext/>
      <w:widowControl w:val="0"/>
      <w:suppressAutoHyphens/>
      <w:autoSpaceDE w:val="0"/>
      <w:autoSpaceDN w:val="0"/>
      <w:adjustRightInd w:val="0"/>
      <w:spacing w:before="480" w:after="360"/>
      <w:jc w:val="center"/>
      <w:textAlignment w:val="center"/>
    </w:pPr>
    <w:rPr>
      <w:rFonts w:eastAsiaTheme="minorEastAsia" w:cs="ITC New Baskerville Std"/>
      <w:b/>
      <w:bCs/>
      <w:smallCaps/>
      <w:color w:val="000000"/>
      <w:kern w:val="0"/>
      <w:lang w:bidi="ar-SA"/>
    </w:rPr>
  </w:style>
  <w:style w:type="paragraph" w:customStyle="1" w:styleId="3rdLevelHead1">
    <w:name w:val="3rd Level Head 1."/>
    <w:basedOn w:val="Normal"/>
    <w:autoRedefine/>
    <w:uiPriority w:val="99"/>
    <w:rsid w:val="00EC41EE"/>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
      <w:iCs/>
      <w:color w:val="000000"/>
      <w:kern w:val="0"/>
      <w:szCs w:val="22"/>
      <w:lang w:bidi="ar-SA"/>
    </w:rPr>
  </w:style>
  <w:style w:type="paragraph" w:customStyle="1" w:styleId="footnoteindent">
    <w:name w:val="footnote indent"/>
    <w:basedOn w:val="footnote"/>
    <w:autoRedefine/>
    <w:uiPriority w:val="99"/>
    <w:rsid w:val="00EC41EE"/>
    <w:pPr>
      <w:autoSpaceDE w:val="0"/>
      <w:autoSpaceDN w:val="0"/>
      <w:adjustRightInd w:val="0"/>
      <w:spacing w:before="40"/>
      <w:ind w:left="360" w:firstLine="0"/>
      <w:jc w:val="both"/>
      <w:textAlignment w:val="center"/>
    </w:pPr>
    <w:rPr>
      <w:rFonts w:eastAsiaTheme="minorEastAsia" w:cs="ITC New Baskerville Std"/>
      <w:color w:val="000000"/>
      <w:szCs w:val="18"/>
    </w:rPr>
  </w:style>
  <w:style w:type="paragraph" w:customStyle="1" w:styleId="4thLevelHeada">
    <w:name w:val="4th Level Head a."/>
    <w:basedOn w:val="Normal"/>
    <w:autoRedefine/>
    <w:uiPriority w:val="99"/>
    <w:rsid w:val="00EC41EE"/>
    <w:pPr>
      <w:keepNext/>
      <w:widowControl w:val="0"/>
      <w:tabs>
        <w:tab w:val="left" w:pos="360"/>
      </w:tabs>
      <w:suppressAutoHyphens/>
      <w:autoSpaceDE w:val="0"/>
      <w:autoSpaceDN w:val="0"/>
      <w:adjustRightInd w:val="0"/>
      <w:spacing w:after="240"/>
      <w:ind w:left="799" w:hanging="360"/>
      <w:textAlignment w:val="center"/>
    </w:pPr>
    <w:rPr>
      <w:rFonts w:eastAsiaTheme="minorEastAsia" w:cs="ITC New Baskerville Std"/>
      <w:i/>
      <w:iCs/>
      <w:color w:val="000000"/>
      <w:kern w:val="0"/>
      <w:szCs w:val="22"/>
      <w:lang w:bidi="ar-SA"/>
    </w:rPr>
  </w:style>
  <w:style w:type="paragraph" w:customStyle="1" w:styleId="2ndLevelHeadA">
    <w:name w:val="2nd Level Head A."/>
    <w:basedOn w:val="Normal"/>
    <w:autoRedefine/>
    <w:uiPriority w:val="99"/>
    <w:rsid w:val="00EC41EE"/>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Cs/>
      <w:color w:val="000000"/>
      <w:kern w:val="0"/>
      <w:lang w:bidi="ar-SA"/>
    </w:rPr>
  </w:style>
  <w:style w:type="paragraph" w:customStyle="1" w:styleId="chapternumber">
    <w:name w:val="chapter number"/>
    <w:basedOn w:val="Normal"/>
    <w:uiPriority w:val="99"/>
    <w:rsid w:val="00EC41EE"/>
    <w:pPr>
      <w:widowControl w:val="0"/>
      <w:suppressAutoHyphens/>
      <w:autoSpaceDE w:val="0"/>
      <w:autoSpaceDN w:val="0"/>
      <w:adjustRightInd w:val="0"/>
      <w:spacing w:before="0" w:after="240" w:line="560" w:lineRule="atLeast"/>
      <w:textAlignment w:val="center"/>
    </w:pPr>
    <w:rPr>
      <w:rFonts w:ascii="ITC New Baskerville Std" w:eastAsiaTheme="minorEastAsia" w:hAnsi="ITC New Baskerville Std" w:cs="ITC New Baskerville Std"/>
      <w:b/>
      <w:bCs/>
      <w:color w:val="000000"/>
      <w:kern w:val="0"/>
      <w:sz w:val="56"/>
      <w:szCs w:val="56"/>
      <w:lang w:bidi="ar-SA"/>
    </w:rPr>
  </w:style>
  <w:style w:type="paragraph" w:customStyle="1" w:styleId="chaptertitle">
    <w:name w:val="chapter title"/>
    <w:basedOn w:val="Normal"/>
    <w:uiPriority w:val="99"/>
    <w:rsid w:val="00EC41EE"/>
    <w:pPr>
      <w:widowControl w:val="0"/>
      <w:suppressAutoHyphens/>
      <w:autoSpaceDE w:val="0"/>
      <w:autoSpaceDN w:val="0"/>
      <w:adjustRightInd w:val="0"/>
      <w:spacing w:before="0" w:after="240" w:line="440" w:lineRule="atLeast"/>
      <w:textAlignment w:val="center"/>
    </w:pPr>
    <w:rPr>
      <w:rFonts w:ascii="ITC New Baskerville Std" w:eastAsiaTheme="minorEastAsia" w:hAnsi="ITC New Baskerville Std" w:cs="ITC New Baskerville Std"/>
      <w:color w:val="000000"/>
      <w:kern w:val="0"/>
      <w:sz w:val="40"/>
      <w:szCs w:val="40"/>
      <w:lang w:bidi="ar-SA"/>
    </w:rPr>
  </w:style>
  <w:style w:type="paragraph" w:customStyle="1" w:styleId="block2ndindent-6">
    <w:name w:val="block 2nd indent -/+ 6"/>
    <w:basedOn w:val="Normal"/>
    <w:uiPriority w:val="99"/>
    <w:rsid w:val="00EC41EE"/>
    <w:pPr>
      <w:widowControl w:val="0"/>
      <w:autoSpaceDE w:val="0"/>
      <w:autoSpaceDN w:val="0"/>
      <w:adjustRightInd w:val="0"/>
      <w:spacing w:before="0" w:line="200" w:lineRule="atLeast"/>
      <w:ind w:left="880"/>
      <w:jc w:val="both"/>
      <w:textAlignment w:val="center"/>
    </w:pPr>
    <w:rPr>
      <w:rFonts w:ascii="ITC New Baskerville Std" w:eastAsiaTheme="minorEastAsia" w:hAnsi="ITC New Baskerville Std" w:cs="ITC New Baskerville Std"/>
      <w:color w:val="000000"/>
      <w:kern w:val="0"/>
      <w:sz w:val="20"/>
      <w:szCs w:val="20"/>
      <w:lang w:bidi="ar-SA"/>
    </w:rPr>
  </w:style>
  <w:style w:type="paragraph" w:customStyle="1" w:styleId="blockquote16pt">
    <w:name w:val="block quote 1/6 pt"/>
    <w:basedOn w:val="Normal"/>
    <w:uiPriority w:val="99"/>
    <w:rsid w:val="00EC41EE"/>
    <w:pPr>
      <w:widowControl w:val="0"/>
      <w:autoSpaceDE w:val="0"/>
      <w:autoSpaceDN w:val="0"/>
      <w:adjustRightInd w:val="0"/>
      <w:spacing w:line="200" w:lineRule="atLeast"/>
      <w:ind w:left="440"/>
      <w:jc w:val="both"/>
      <w:textAlignment w:val="center"/>
    </w:pPr>
    <w:rPr>
      <w:rFonts w:ascii="ITC New Baskerville Std" w:eastAsiaTheme="minorEastAsia" w:hAnsi="ITC New Baskerville Std" w:cs="ITC New Baskerville Std"/>
      <w:color w:val="000000"/>
      <w:kern w:val="0"/>
      <w:sz w:val="20"/>
      <w:szCs w:val="20"/>
      <w:lang w:bidi="ar-SA"/>
    </w:rPr>
  </w:style>
  <w:style w:type="paragraph" w:customStyle="1" w:styleId="blockquote-6pt">
    <w:name w:val="block quote -/+ 6 pt"/>
    <w:basedOn w:val="Blockquoteflush"/>
    <w:uiPriority w:val="99"/>
    <w:rsid w:val="00EC41EE"/>
    <w:pPr>
      <w:autoSpaceDE w:val="0"/>
      <w:autoSpaceDN w:val="0"/>
      <w:adjustRightInd w:val="0"/>
      <w:spacing w:before="0" w:after="120" w:line="200" w:lineRule="atLeast"/>
      <w:ind w:left="440"/>
      <w:jc w:val="both"/>
      <w:textAlignment w:val="center"/>
    </w:pPr>
    <w:rPr>
      <w:rFonts w:ascii="ITC New Baskerville Std" w:eastAsiaTheme="minorEastAsia" w:hAnsi="ITC New Baskerville Std" w:cs="ITC New Baskerville Std"/>
      <w:color w:val="000000"/>
      <w:szCs w:val="20"/>
    </w:rPr>
  </w:style>
  <w:style w:type="paragraph" w:customStyle="1" w:styleId="blockquote-">
    <w:name w:val="block quote -/+"/>
    <w:basedOn w:val="Blockquoteflush"/>
    <w:uiPriority w:val="99"/>
    <w:rsid w:val="00EC41EE"/>
    <w:pPr>
      <w:autoSpaceDE w:val="0"/>
      <w:autoSpaceDN w:val="0"/>
      <w:adjustRightInd w:val="0"/>
      <w:spacing w:before="0" w:line="200" w:lineRule="atLeast"/>
      <w:ind w:left="440"/>
      <w:jc w:val="both"/>
      <w:textAlignment w:val="center"/>
    </w:pPr>
    <w:rPr>
      <w:rFonts w:ascii="ITC New Baskerville Std" w:eastAsiaTheme="minorEastAsia" w:hAnsi="ITC New Baskerville Std" w:cs="ITC New Baskerville Std"/>
      <w:color w:val="000000"/>
      <w:szCs w:val="20"/>
    </w:rPr>
  </w:style>
  <w:style w:type="paragraph" w:customStyle="1" w:styleId="blockquote2ndlevel">
    <w:name w:val="block quote 2nd level"/>
    <w:basedOn w:val="blockquote"/>
    <w:autoRedefine/>
    <w:qFormat/>
    <w:rsid w:val="00EC41EE"/>
    <w:pPr>
      <w:ind w:left="1200"/>
    </w:pPr>
  </w:style>
  <w:style w:type="paragraph" w:customStyle="1" w:styleId="ChapterNum">
    <w:name w:val="ChapterNum"/>
    <w:basedOn w:val="Normal"/>
    <w:link w:val="ChapterNumChar"/>
    <w:rsid w:val="00EC41EE"/>
    <w:pPr>
      <w:widowControl w:val="0"/>
      <w:tabs>
        <w:tab w:val="left" w:pos="0"/>
        <w:tab w:val="right" w:pos="600"/>
        <w:tab w:val="left" w:pos="720"/>
        <w:tab w:val="right" w:leader="dot" w:pos="5520"/>
        <w:tab w:val="right" w:pos="6120"/>
        <w:tab w:val="right" w:pos="6956"/>
      </w:tabs>
      <w:spacing w:before="0" w:after="0" w:line="240" w:lineRule="atLeast"/>
      <w:ind w:firstLine="720"/>
    </w:pPr>
    <w:rPr>
      <w:rFonts w:eastAsia="Times New Roman"/>
      <w:kern w:val="0"/>
      <w:sz w:val="56"/>
      <w:szCs w:val="56"/>
      <w:lang w:bidi="ar-SA"/>
    </w:rPr>
  </w:style>
  <w:style w:type="character" w:customStyle="1" w:styleId="ChapterNumChar">
    <w:name w:val="ChapterNum Char"/>
    <w:link w:val="ChapterNum"/>
    <w:rsid w:val="00EC41EE"/>
    <w:rPr>
      <w:rFonts w:eastAsia="Times New Roman"/>
      <w:kern w:val="0"/>
      <w:sz w:val="56"/>
      <w:szCs w:val="5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bna.sharepoint.com/sites/Pride3_bna3_books1/Shared%20Documents/GROUPS/Books/ARCHIVES/TMD2%20NEW%20EDITION%20-%20Trademark%20Dilution/TM24/1.%20Orig/David%20Welkowit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westlaw.com/Link/Document/FullText?findType=Y&amp;serNum=1999101877&amp;pubNum=0000506&amp;originatingDoc=I2f2a8b4033b111ef8ce8e479429fdb64&amp;refType=RP&amp;fi=co_pp_sp_506_1306&amp;originationContext=document&amp;vr=3.0&amp;rs=cblt1.0&amp;transitionType=DocumentItem&amp;contextData=(sc.AlertsResultHistory)#co_pp_sp_506_1306" TargetMode="External"/><Relationship Id="rId1" Type="http://schemas.openxmlformats.org/officeDocument/2006/relationships/hyperlink" Target="https://www.westlaw.com/Link/Document/FullText?findType=Y&amp;serNum=2033081630&amp;pubNum=0007903&amp;originatingDoc=I2f2a8b4033b111ef8ce8e479429fdb64&amp;refType=RP&amp;fi=co_pp_sp_7903_328&amp;originationContext=document&amp;vr=3.0&amp;rs=cblt1.0&amp;transitionType=DocumentItem&amp;contextData=(sc.AlertsResultHistory)#co_pp_sp_7903_3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7BAE5AF-08B8-486E-901A-A3F435B40FC3}"/>
      </w:docPartPr>
      <w:docPartBody>
        <w:p w:rsidR="00F8571D" w:rsidRDefault="00F8571D">
          <w:r w:rsidRPr="007E4A7E">
            <w:rPr>
              <w:rStyle w:val="PlaceholderText"/>
            </w:rPr>
            <w:t>Click or tap here to enter text.</w:t>
          </w:r>
        </w:p>
      </w:docPartBody>
    </w:docPart>
    <w:docPart>
      <w:docPartPr>
        <w:name w:val="76A355CD91FD4ADEAE01A7A3D08C023D"/>
        <w:category>
          <w:name w:val="General"/>
          <w:gallery w:val="placeholder"/>
        </w:category>
        <w:types>
          <w:type w:val="bbPlcHdr"/>
        </w:types>
        <w:behaviors>
          <w:behavior w:val="content"/>
        </w:behaviors>
        <w:guid w:val="{51F9A04D-2340-4582-973A-74F966225CA2}"/>
      </w:docPartPr>
      <w:docPartBody>
        <w:p w:rsidR="00F8571D" w:rsidRDefault="00F8571D">
          <w:r w:rsidRPr="007E4A7E">
            <w:rPr>
              <w:rStyle w:val="PlaceholderText"/>
            </w:rPr>
            <w:t>Unit.Start</w:t>
          </w:r>
        </w:p>
      </w:docPartBody>
    </w:docPart>
    <w:docPart>
      <w:docPartPr>
        <w:name w:val="239B83E598384ACFADE92D381F7A00CD"/>
        <w:category>
          <w:name w:val="General"/>
          <w:gallery w:val="placeholder"/>
        </w:category>
        <w:types>
          <w:type w:val="bbPlcHdr"/>
        </w:types>
        <w:behaviors>
          <w:behavior w:val="content"/>
        </w:behaviors>
        <w:guid w:val="{96E8365B-7425-43F4-86A1-57AAF98071A3}"/>
      </w:docPartPr>
      <w:docPartBody>
        <w:p w:rsidR="00F8571D" w:rsidRDefault="00F8571D">
          <w:r w:rsidRPr="007E4A7E">
            <w:rPr>
              <w:rStyle w:val="PlaceholderText"/>
            </w:rPr>
            <w:t>Document</w:t>
          </w:r>
        </w:p>
      </w:docPartBody>
    </w:docPart>
    <w:docPart>
      <w:docPartPr>
        <w:name w:val="1AFC54E238114D7480E15B4F322E3303"/>
        <w:category>
          <w:name w:val="General"/>
          <w:gallery w:val="placeholder"/>
        </w:category>
        <w:types>
          <w:type w:val="bbPlcHdr"/>
        </w:types>
        <w:behaviors>
          <w:behavior w:val="content"/>
        </w:behaviors>
        <w:guid w:val="{C6AC62BD-BC3E-4998-B12F-A4C997D5B16F}"/>
      </w:docPartPr>
      <w:docPartBody>
        <w:p w:rsidR="00F8571D" w:rsidRDefault="00F8571D">
          <w:r w:rsidRPr="007E4A7E">
            <w:rPr>
              <w:rStyle w:val="PlaceholderText"/>
            </w:rPr>
            <w:t>enter text</w:t>
          </w:r>
        </w:p>
      </w:docPartBody>
    </w:docPart>
    <w:docPart>
      <w:docPartPr>
        <w:name w:val="FB2275C724DA45DD845A61D44ADC6459"/>
        <w:category>
          <w:name w:val="General"/>
          <w:gallery w:val="placeholder"/>
        </w:category>
        <w:types>
          <w:type w:val="bbPlcHdr"/>
        </w:types>
        <w:behaviors>
          <w:behavior w:val="content"/>
        </w:behaviors>
        <w:guid w:val="{D843A679-EB37-49BD-94A2-CE03832FC811}"/>
      </w:docPartPr>
      <w:docPartBody>
        <w:p w:rsidR="00F8571D" w:rsidRDefault="00F8571D">
          <w:r w:rsidRPr="007E4A7E">
            <w:rPr>
              <w:rStyle w:val="PlaceholderText"/>
            </w:rPr>
            <w:t>enter text</w:t>
          </w:r>
        </w:p>
      </w:docPartBody>
    </w:docPart>
    <w:docPart>
      <w:docPartPr>
        <w:name w:val="0EB05747745D42F8A845DCC3FC0A9BF2"/>
        <w:category>
          <w:name w:val="General"/>
          <w:gallery w:val="placeholder"/>
        </w:category>
        <w:types>
          <w:type w:val="bbPlcHdr"/>
        </w:types>
        <w:behaviors>
          <w:behavior w:val="content"/>
        </w:behaviors>
        <w:guid w:val="{A766FC1A-A2E2-4764-9DF8-CA152E75B34F}"/>
      </w:docPartPr>
      <w:docPartBody>
        <w:p w:rsidR="00F8571D" w:rsidRDefault="00F8571D">
          <w:r w:rsidRPr="007E4A7E">
            <w:rPr>
              <w:rStyle w:val="PlaceholderText"/>
            </w:rPr>
            <w:t>enter REQUIRED text</w:t>
          </w:r>
        </w:p>
      </w:docPartBody>
    </w:docPart>
    <w:docPart>
      <w:docPartPr>
        <w:name w:val="66422E7CC92D4106B4BCFDF127EF2D26"/>
        <w:category>
          <w:name w:val="General"/>
          <w:gallery w:val="placeholder"/>
        </w:category>
        <w:types>
          <w:type w:val="bbPlcHdr"/>
        </w:types>
        <w:behaviors>
          <w:behavior w:val="content"/>
        </w:behaviors>
        <w:guid w:val="{8F7FB4B3-1C06-4879-9429-2821D1519A98}"/>
      </w:docPartPr>
      <w:docPartBody>
        <w:p w:rsidR="00F8571D" w:rsidRDefault="00F8571D">
          <w:r w:rsidRPr="007E4A7E">
            <w:rPr>
              <w:rStyle w:val="PlaceholderText"/>
            </w:rPr>
            <w:t>enter REQUIRED text</w:t>
          </w:r>
        </w:p>
      </w:docPartBody>
    </w:docPart>
    <w:docPart>
      <w:docPartPr>
        <w:name w:val="DD75C45CB80144AEA7E05C4654927B81"/>
        <w:category>
          <w:name w:val="General"/>
          <w:gallery w:val="placeholder"/>
        </w:category>
        <w:types>
          <w:type w:val="bbPlcHdr"/>
        </w:types>
        <w:behaviors>
          <w:behavior w:val="content"/>
        </w:behaviors>
        <w:guid w:val="{561D6CB2-5447-4801-B3FF-DF76A3525802}"/>
      </w:docPartPr>
      <w:docPartBody>
        <w:p w:rsidR="00F8571D" w:rsidRDefault="00F8571D">
          <w:r w:rsidRPr="007E4A7E">
            <w:rPr>
              <w:rStyle w:val="PlaceholderText"/>
            </w:rPr>
            <w:t>enter text</w:t>
          </w:r>
        </w:p>
      </w:docPartBody>
    </w:docPart>
    <w:docPart>
      <w:docPartPr>
        <w:name w:val="92E4F7B4DBA146FB9B9917C197770F8E"/>
        <w:category>
          <w:name w:val="General"/>
          <w:gallery w:val="placeholder"/>
        </w:category>
        <w:types>
          <w:type w:val="bbPlcHdr"/>
        </w:types>
        <w:behaviors>
          <w:behavior w:val="content"/>
        </w:behaviors>
        <w:guid w:val="{DE61C7C9-E410-4E43-A24D-1782E1037CDC}"/>
      </w:docPartPr>
      <w:docPartBody>
        <w:p w:rsidR="00F8571D" w:rsidRDefault="00F8571D">
          <w:r w:rsidRPr="007E4A7E">
            <w:rPr>
              <w:rStyle w:val="PlaceholderText"/>
            </w:rPr>
            <w:t>enter text</w:t>
          </w:r>
        </w:p>
      </w:docPartBody>
    </w:docPart>
    <w:docPart>
      <w:docPartPr>
        <w:name w:val="D661023121EE4EFBA09859729A59732E"/>
        <w:category>
          <w:name w:val="General"/>
          <w:gallery w:val="placeholder"/>
        </w:category>
        <w:types>
          <w:type w:val="bbPlcHdr"/>
        </w:types>
        <w:behaviors>
          <w:behavior w:val="content"/>
        </w:behaviors>
        <w:guid w:val="{62406AA1-66E9-4528-B0B6-3EBEB9823113}"/>
      </w:docPartPr>
      <w:docPartBody>
        <w:p w:rsidR="00F8571D" w:rsidRDefault="00F8571D">
          <w:r w:rsidRPr="007E4A7E">
            <w:rPr>
              <w:rStyle w:val="PlaceholderText"/>
            </w:rPr>
            <w:t>enter text</w:t>
          </w:r>
        </w:p>
      </w:docPartBody>
    </w:docPart>
    <w:docPart>
      <w:docPartPr>
        <w:name w:val="CEF5F02096F54C938465B6A5F73E00C1"/>
        <w:category>
          <w:name w:val="General"/>
          <w:gallery w:val="placeholder"/>
        </w:category>
        <w:types>
          <w:type w:val="bbPlcHdr"/>
        </w:types>
        <w:behaviors>
          <w:behavior w:val="content"/>
        </w:behaviors>
        <w:guid w:val="{C36301C9-2A85-45EB-B782-5EB30AED775B}"/>
      </w:docPartPr>
      <w:docPartBody>
        <w:p w:rsidR="00F8571D" w:rsidRDefault="00F8571D">
          <w:r w:rsidRPr="007E4A7E">
            <w:rPr>
              <w:rStyle w:val="PlaceholderText"/>
            </w:rPr>
            <w:t>enter text</w:t>
          </w:r>
        </w:p>
      </w:docPartBody>
    </w:docPart>
    <w:docPart>
      <w:docPartPr>
        <w:name w:val="7804FA357E6444549BBEACEAAC01C0CD"/>
        <w:category>
          <w:name w:val="General"/>
          <w:gallery w:val="placeholder"/>
        </w:category>
        <w:types>
          <w:type w:val="bbPlcHdr"/>
        </w:types>
        <w:behaviors>
          <w:behavior w:val="content"/>
        </w:behaviors>
        <w:guid w:val="{B874CC85-7A51-4993-8F16-F8997BA06DB8}"/>
      </w:docPartPr>
      <w:docPartBody>
        <w:p w:rsidR="00F8571D" w:rsidRDefault="00F8571D">
          <w:r w:rsidRPr="007E4A7E">
            <w:rPr>
              <w:rStyle w:val="PlaceholderText"/>
            </w:rPr>
            <w:t>enter text</w:t>
          </w:r>
        </w:p>
      </w:docPartBody>
    </w:docPart>
    <w:docPart>
      <w:docPartPr>
        <w:name w:val="14BEC8CB038248E6996A01262DCED41A"/>
        <w:category>
          <w:name w:val="General"/>
          <w:gallery w:val="placeholder"/>
        </w:category>
        <w:types>
          <w:type w:val="bbPlcHdr"/>
        </w:types>
        <w:behaviors>
          <w:behavior w:val="content"/>
        </w:behaviors>
        <w:guid w:val="{4F96B8B0-B142-4270-86D9-2B00DA67BE25}"/>
      </w:docPartPr>
      <w:docPartBody>
        <w:p w:rsidR="00F8571D" w:rsidRDefault="00F8571D">
          <w:r w:rsidRPr="007E4A7E">
            <w:rPr>
              <w:rStyle w:val="PlaceholderText"/>
            </w:rPr>
            <w:t>enter text</w:t>
          </w:r>
        </w:p>
      </w:docPartBody>
    </w:docPart>
    <w:docPart>
      <w:docPartPr>
        <w:name w:val="A62B3ADFA8AC47C5BE0C559ED35558C4"/>
        <w:category>
          <w:name w:val="General"/>
          <w:gallery w:val="placeholder"/>
        </w:category>
        <w:types>
          <w:type w:val="bbPlcHdr"/>
        </w:types>
        <w:behaviors>
          <w:behavior w:val="content"/>
        </w:behaviors>
        <w:guid w:val="{3EB6DBF7-9E69-42D4-AA1D-912C11D58FAC}"/>
      </w:docPartPr>
      <w:docPartBody>
        <w:p w:rsidR="00F8571D" w:rsidRDefault="00F8571D">
          <w:r w:rsidRPr="007E4A7E">
            <w:rPr>
              <w:rStyle w:val="PlaceholderText"/>
            </w:rPr>
            <w:t>enter text</w:t>
          </w:r>
        </w:p>
      </w:docPartBody>
    </w:docPart>
    <w:docPart>
      <w:docPartPr>
        <w:name w:val="1CC15FE1AA714220B609B117BB49799C"/>
        <w:category>
          <w:name w:val="General"/>
          <w:gallery w:val="placeholder"/>
        </w:category>
        <w:types>
          <w:type w:val="bbPlcHdr"/>
        </w:types>
        <w:behaviors>
          <w:behavior w:val="content"/>
        </w:behaviors>
        <w:guid w:val="{828B03A6-326A-4202-B80C-0F31EE56E3E4}"/>
      </w:docPartPr>
      <w:docPartBody>
        <w:p w:rsidR="00F8571D" w:rsidRDefault="00F8571D">
          <w:r w:rsidRPr="007E4A7E">
            <w:rPr>
              <w:rStyle w:val="PlaceholderText"/>
            </w:rPr>
            <w:t>enter text</w:t>
          </w:r>
        </w:p>
      </w:docPartBody>
    </w:docPart>
    <w:docPart>
      <w:docPartPr>
        <w:name w:val="4EC46F764BED4DEA92BD75EDC023FA86"/>
        <w:category>
          <w:name w:val="General"/>
          <w:gallery w:val="placeholder"/>
        </w:category>
        <w:types>
          <w:type w:val="bbPlcHdr"/>
        </w:types>
        <w:behaviors>
          <w:behavior w:val="content"/>
        </w:behaviors>
        <w:guid w:val="{1A0D322D-5235-4BDF-B481-1865431064F0}"/>
      </w:docPartPr>
      <w:docPartBody>
        <w:p w:rsidR="00F8571D" w:rsidRDefault="00F8571D">
          <w:r w:rsidRPr="007E4A7E">
            <w:rPr>
              <w:rStyle w:val="PlaceholderText"/>
            </w:rPr>
            <w:t>choose an item (REQUIRED)</w:t>
          </w:r>
        </w:p>
      </w:docPartBody>
    </w:docPart>
    <w:docPart>
      <w:docPartPr>
        <w:name w:val="BD337364F50844369238DC159D84E82C"/>
        <w:category>
          <w:name w:val="General"/>
          <w:gallery w:val="placeholder"/>
        </w:category>
        <w:types>
          <w:type w:val="bbPlcHdr"/>
        </w:types>
        <w:behaviors>
          <w:behavior w:val="content"/>
        </w:behaviors>
        <w:guid w:val="{EA8FF3ED-C07B-425E-853C-096DE060B536}"/>
      </w:docPartPr>
      <w:docPartBody>
        <w:p w:rsidR="00F8571D" w:rsidRDefault="00F8571D">
          <w:r w:rsidRPr="007E4A7E">
            <w:rPr>
              <w:rStyle w:val="PlaceholderText"/>
            </w:rPr>
            <w:t>enter text</w:t>
          </w:r>
        </w:p>
      </w:docPartBody>
    </w:docPart>
    <w:docPart>
      <w:docPartPr>
        <w:name w:val="766768D6C302468FBB3AF19C7EACC67A"/>
        <w:category>
          <w:name w:val="General"/>
          <w:gallery w:val="placeholder"/>
        </w:category>
        <w:types>
          <w:type w:val="bbPlcHdr"/>
        </w:types>
        <w:behaviors>
          <w:behavior w:val="content"/>
        </w:behaviors>
        <w:guid w:val="{9652AADC-C9B4-4B44-9F64-37E2A3B4EB0B}"/>
      </w:docPartPr>
      <w:docPartBody>
        <w:p w:rsidR="00F8571D" w:rsidRDefault="00F8571D">
          <w:r w:rsidRPr="007E4A7E">
            <w:rPr>
              <w:rStyle w:val="PlaceholderText"/>
            </w:rPr>
            <w:t>enter text</w:t>
          </w:r>
        </w:p>
      </w:docPartBody>
    </w:docPart>
    <w:docPart>
      <w:docPartPr>
        <w:name w:val="A3DAB64D4EA54A73A782012AB50042AF"/>
        <w:category>
          <w:name w:val="General"/>
          <w:gallery w:val="placeholder"/>
        </w:category>
        <w:types>
          <w:type w:val="bbPlcHdr"/>
        </w:types>
        <w:behaviors>
          <w:behavior w:val="content"/>
        </w:behaviors>
        <w:guid w:val="{752B145F-5D0B-4D4B-91C2-E1577C6762AB}"/>
      </w:docPartPr>
      <w:docPartBody>
        <w:p w:rsidR="00F8571D" w:rsidRDefault="00F8571D">
          <w:r w:rsidRPr="007E4A7E">
            <w:rPr>
              <w:rStyle w:val="PlaceholderText"/>
            </w:rPr>
            <w:t>enter REQUIRED text</w:t>
          </w:r>
        </w:p>
      </w:docPartBody>
    </w:docPart>
    <w:docPart>
      <w:docPartPr>
        <w:name w:val="1FEFE78530B14217B67FA4C9557CC4C6"/>
        <w:category>
          <w:name w:val="General"/>
          <w:gallery w:val="placeholder"/>
        </w:category>
        <w:types>
          <w:type w:val="bbPlcHdr"/>
        </w:types>
        <w:behaviors>
          <w:behavior w:val="content"/>
        </w:behaviors>
        <w:guid w:val="{1A2E5781-39ED-4F50-BA5E-79A9E7E57EE8}"/>
      </w:docPartPr>
      <w:docPartBody>
        <w:p w:rsidR="00F8571D" w:rsidRDefault="00F8571D">
          <w:r w:rsidRPr="007E4A7E">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ITC New Baskerville Std">
    <w:altName w:val="Cambria"/>
    <w:panose1 w:val="00000000000000000000"/>
    <w:charset w:val="00"/>
    <w:family w:val="roman"/>
    <w:notTrueType/>
    <w:pitch w:val="variable"/>
    <w:sig w:usb0="800000AF" w:usb1="5000204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71D"/>
    <w:rsid w:val="00802714"/>
    <w:rsid w:val="00C26D08"/>
    <w:rsid w:val="00EB2207"/>
    <w:rsid w:val="00F85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71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2.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glf-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lbs1500-book"/>
    <listitem value="hlbs2100-book"/>
    <listitem value="hlbs2300-book"/>
    <listitem value="hlbs2400-book"/>
    <listitem value="hlbs2600-book"/>
    <listitem value="hlbs2650-book"/>
    <listitem value="hlbs2800-book"/>
    <listitem value="hlbs2900-book"/>
    <listitem value="hlbs3300-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vvp-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3.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conversion.options xmlns="http://www.bna.com/gateway/conversion.options">
  <ns0:tables xmlns:ns0="http://www.bna.com/gateway/conversion.options" tag="smart"/>
</conversion.options>
</file>

<file path=customXml/item6.xml><?xml version="1.0" encoding="utf-8"?>
<document xmlns="http://www.bna.com/gateway/unit.start">
  <ns0:unit.start xmlns:ns0="http://www.bna.com/gateway/unit.start" copyright.owner="enter text" subpart.name="enter text" unit.code="main0004" unit.name="Chapter 4. Defenses to, and Exclusions From, State Dilution Claims" folio="173" class.code="A" class.name="Book Body" bna.id.prefix="4" pdm.name="Chap04" part.num="1" part.name="Part I. General Principles And State Law Applications" publication.name="Trademark Dilution - Federal, State, and International Law, Second Edition" acct.code="TD2M20" date="2025-09-25" supplement="0" volume.num="1" service.code="td-book"/>
</document>
</file>

<file path=customXml/itemProps1.xml><?xml version="1.0" encoding="utf-8"?>
<ds:datastoreItem xmlns:ds="http://schemas.openxmlformats.org/officeDocument/2006/customXml" ds:itemID="{88E47CC7-89B1-4334-9439-A1F1C1083F4F}">
  <ds:schemaRefs>
    <ds:schemaRef ds:uri="ReferenceServiceCodes"/>
  </ds:schemaRefs>
</ds:datastoreItem>
</file>

<file path=customXml/itemProps2.xml><?xml version="1.0" encoding="utf-8"?>
<ds:datastoreItem xmlns:ds="http://schemas.openxmlformats.org/officeDocument/2006/customXml" ds:itemID="{438364F0-8022-49DD-ACD0-F4F06AB21D4B}">
  <ds:schemaRefs>
    <ds:schemaRef ds:uri="BookServiceCodes"/>
  </ds:schemaRefs>
</ds:datastoreItem>
</file>

<file path=customXml/itemProps3.xml><?xml version="1.0" encoding="utf-8"?>
<ds:datastoreItem xmlns:ds="http://schemas.openxmlformats.org/officeDocument/2006/customXml" ds:itemID="{25203738-0C39-41F2-B232-E9DAD00FD52D}">
  <ds:schemaRefs>
    <ds:schemaRef ds:uri="PortfolioServiceCodes"/>
  </ds:schemaRefs>
</ds:datastoreItem>
</file>

<file path=customXml/itemProps4.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5.xml><?xml version="1.0" encoding="utf-8"?>
<ds:datastoreItem xmlns:ds="http://schemas.openxmlformats.org/officeDocument/2006/customXml" ds:itemID="{DADA3C72-C4A8-40A7-A93D-753FF12AADFE}">
  <ds:schemaRefs>
    <ds:schemaRef ds:uri="http://www.bna.com/gateway/conversion.options"/>
  </ds:schemaRefs>
</ds:datastoreItem>
</file>

<file path=customXml/itemProps6.xml><?xml version="1.0" encoding="utf-8"?>
<ds:datastoreItem xmlns:ds="http://schemas.openxmlformats.org/officeDocument/2006/customXml" ds:itemID="{B04FCA99-13B0-422B-ADC9-9491644FA79D}">
  <ds:schemaRefs>
    <ds:schemaRef ds:uri="http://www.bna.com/gateway/unit.start"/>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Template>
  <TotalTime>0</TotalTime>
  <Pages>1</Pages>
  <Words>8019</Words>
  <Characters>43005</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2025-09-25T20:43:00Z</dcterms:created>
  <dcterms:modified xsi:type="dcterms:W3CDTF">2025-09-30T14:03:00Z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