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DBFE2" w14:textId="77777777" w:rsidR="008D6DF1" w:rsidRPr="008D6DF1" w:rsidRDefault="00611F2C" w:rsidP="00F00770">
      <w:pPr>
        <w:pStyle w:val="BDocStart"/>
      </w:pPr>
      <w:sdt>
        <w:sdtPr>
          <w:tag w:val="unit.start.head"/>
          <w:id w:val="-1832432424"/>
          <w:lock w:val="sdtLocked"/>
          <w:placeholder>
            <w:docPart w:val="93658E6C4C7B4CDEB056226602728860"/>
          </w:placeholder>
          <w15:appearance w15:val="hidden"/>
        </w:sdtPr>
        <w:sdtEndPr/>
        <w:sdtContent>
          <w:proofErr w:type="spellStart"/>
          <w:r w:rsidR="00F00770">
            <w:t>Unit.Start</w:t>
          </w:r>
          <w:proofErr w:type="spellEnd"/>
        </w:sdtContent>
      </w:sdt>
    </w:p>
    <w:sdt>
      <w:sdtPr>
        <w:rPr>
          <w:rStyle w:val="BContentControl"/>
        </w:rPr>
        <w:alias w:val="unit.start"/>
        <w:tag w:val="Unit1"/>
        <w:id w:val="714780477"/>
        <w:placeholder>
          <w:docPart w:val="DefaultPlaceholder_-1854013440"/>
        </w:placeholder>
        <w15:appearance w15:val="tags"/>
      </w:sdtPr>
      <w:sdtEndPr>
        <w:rPr>
          <w:rStyle w:val="DefaultParagraphFont"/>
          <w:rFonts w:ascii="Times New Roman" w:hAnsi="Times New Roman"/>
          <w:sz w:val="24"/>
          <w:shd w:val="clear" w:color="auto" w:fill="auto"/>
        </w:rPr>
      </w:sdtEndPr>
      <w:sdtContent>
        <w:p w14:paraId="5FAD1C29" w14:textId="1419900B" w:rsidR="008D6DF1" w:rsidRPr="008D6DF1" w:rsidRDefault="00611F2C" w:rsidP="00F00770">
          <w:pPr>
            <w:pStyle w:val="BNormal"/>
          </w:pPr>
          <w:sdt>
            <w:sdtPr>
              <w:rPr>
                <w:rStyle w:val="BContentControl"/>
              </w:rPr>
              <w:alias w:val="acct.code"/>
              <w:tag w:val="acct.code"/>
              <w:id w:val="-782105869"/>
              <w:lock w:val="sdtLocked"/>
              <w:placeholder>
                <w:docPart w:val="097DB180112C4163A313BFC184BA0226"/>
              </w:placeholder>
              <w:dataBinding w:prefixMappings="xmlns:ns0='http://www.bna.com/gateway/unit.start' " w:xpath="/ns0:document[1]/ns0:unit.start[1]/@acct.code" w:storeItemID="{B04FCA99-13B0-422B-ADC9-9491644FA79D}"/>
              <w15:appearance w15:val="tags"/>
              <w:text/>
            </w:sdtPr>
            <w:sdtEndPr>
              <w:rPr>
                <w:rStyle w:val="BContentControl"/>
              </w:rPr>
            </w:sdtEndPr>
            <w:sdtContent>
              <w:r w:rsidR="00F00770">
                <w:rPr>
                  <w:rStyle w:val="BContentControl"/>
                </w:rPr>
                <w:t>TD2M20</w:t>
              </w:r>
            </w:sdtContent>
          </w:sdt>
          <w:sdt>
            <w:sdtPr>
              <w:rPr>
                <w:rStyle w:val="BContentControl"/>
              </w:rPr>
              <w:alias w:val="bna.id.prefix"/>
              <w:tag w:val="bna.id.prefix"/>
              <w:id w:val="-400674039"/>
              <w:lock w:val="sdtLocked"/>
              <w:placeholder>
                <w:docPart w:val="9789FC092D05453BA07075556A8354AD"/>
              </w:placeholder>
              <w:dataBinding w:prefixMappings="xmlns:ns0='http://www.bna.com/gateway/unit.start' " w:xpath="/ns0:document[1]/ns0:unit.start[1]/@bna.id.prefix" w:storeItemID="{B04FCA99-13B0-422B-ADC9-9491644FA79D}"/>
              <w15:appearance w15:val="tags"/>
              <w:text/>
            </w:sdtPr>
            <w:sdtEndPr>
              <w:rPr>
                <w:rStyle w:val="BContentControl"/>
              </w:rPr>
            </w:sdtEndPr>
            <w:sdtContent>
              <w:r w:rsidR="00F00770">
                <w:rPr>
                  <w:rStyle w:val="BContentControl"/>
                </w:rPr>
                <w:t>1</w:t>
              </w:r>
            </w:sdtContent>
          </w:sdt>
          <w:r w:rsidR="00F00770" w:rsidRPr="00F00770">
            <w:rPr>
              <w:rStyle w:val="BContentControl"/>
            </w:rPr>
            <w:t xml:space="preserve"> </w:t>
          </w:r>
          <w:sdt>
            <w:sdtPr>
              <w:rPr>
                <w:rStyle w:val="BContentControl"/>
              </w:rPr>
              <w:alias w:val="class.code*"/>
              <w:tag w:val="class.code"/>
              <w:id w:val="-1814863831"/>
              <w:lock w:val="sdtLocked"/>
              <w:placeholder>
                <w:docPart w:val="97B9C3D867334297B08305A938FD7CE9"/>
              </w:placeholder>
              <w:dataBinding w:prefixMappings="xmlns:ns0='http://www.bna.com/gateway/unit.start' " w:xpath="/ns0:document[1]/ns0:unit.start[1]/@class.code" w:storeItemID="{B04FCA99-13B0-422B-ADC9-9491644FA79D}"/>
              <w15:appearance w15:val="tags"/>
              <w:text/>
            </w:sdtPr>
            <w:sdtEndPr>
              <w:rPr>
                <w:rStyle w:val="BContentControl"/>
              </w:rPr>
            </w:sdtEndPr>
            <w:sdtContent>
              <w:r w:rsidR="00F00770">
                <w:rPr>
                  <w:rStyle w:val="BContentControl"/>
                </w:rPr>
                <w:t>A</w:t>
              </w:r>
            </w:sdtContent>
          </w:sdt>
          <w:r w:rsidR="00F00770" w:rsidRPr="00F00770">
            <w:rPr>
              <w:rStyle w:val="BContentControl"/>
            </w:rPr>
            <w:t xml:space="preserve"> </w:t>
          </w:r>
          <w:sdt>
            <w:sdtPr>
              <w:rPr>
                <w:rStyle w:val="BContentControl"/>
              </w:rPr>
              <w:alias w:val="class.name*"/>
              <w:tag w:val="class.name"/>
              <w:id w:val="531684890"/>
              <w:lock w:val="sdtLocked"/>
              <w:placeholder>
                <w:docPart w:val="03FE16C41AC94E3B8287DBA8D05502A7"/>
              </w:placeholder>
              <w:dataBinding w:prefixMappings="xmlns:ns0='http://www.bna.com/gateway/unit.start' " w:xpath="/ns0:document[1]/ns0:unit.start[1]/@class.name" w:storeItemID="{B04FCA99-13B0-422B-ADC9-9491644FA79D}"/>
              <w15:appearance w15:val="tags"/>
              <w:text/>
            </w:sdtPr>
            <w:sdtEndPr>
              <w:rPr>
                <w:rStyle w:val="BContentControl"/>
              </w:rPr>
            </w:sdtEndPr>
            <w:sdtContent>
              <w:r w:rsidR="00F00770">
                <w:rPr>
                  <w:rStyle w:val="BContentControl"/>
                </w:rPr>
                <w:t>Book Body</w:t>
              </w:r>
            </w:sdtContent>
          </w:sdt>
          <w:r w:rsidR="00F00770" w:rsidRPr="00F00770">
            <w:rPr>
              <w:rStyle w:val="BContentControl"/>
            </w:rPr>
            <w:t xml:space="preserve"> </w:t>
          </w:r>
          <w:sdt>
            <w:sdtPr>
              <w:rPr>
                <w:rStyle w:val="BContentControl"/>
              </w:rPr>
              <w:alias w:val="copyright.owner"/>
              <w:tag w:val="copyright.owner"/>
              <w:id w:val="-1744559512"/>
              <w:lock w:val="sdtLocked"/>
              <w:placeholder>
                <w:docPart w:val="86C686B528654890BBD691E66904C2B4"/>
              </w:placeholder>
              <w:dataBinding w:prefixMappings="xmlns:ns0='http://www.bna.com/gateway/unit.start' " w:xpath="/ns0:document[1]/ns0:unit.start[1]/@copyright.owner" w:storeItemID="{B04FCA99-13B0-422B-ADC9-9491644FA79D}"/>
              <w15:appearance w15:val="tags"/>
              <w:text/>
            </w:sdtPr>
            <w:sdtEndPr>
              <w:rPr>
                <w:rStyle w:val="BContentControl"/>
              </w:rPr>
            </w:sdtEndPr>
            <w:sdtContent>
              <w:r w:rsidR="00F00770" w:rsidRPr="00F00770">
                <w:rPr>
                  <w:rStyle w:val="BContentControl"/>
                </w:rPr>
                <w:t>enter text</w:t>
              </w:r>
            </w:sdtContent>
          </w:sdt>
          <w:r w:rsidR="00F00770" w:rsidRPr="00F00770">
            <w:rPr>
              <w:rStyle w:val="BContentControl"/>
            </w:rPr>
            <w:t xml:space="preserve"> </w:t>
          </w:r>
          <w:sdt>
            <w:sdtPr>
              <w:rPr>
                <w:rStyle w:val="BContentControl"/>
              </w:rPr>
              <w:alias w:val="date"/>
              <w:tag w:val="date"/>
              <w:id w:val="-1859180637"/>
              <w:lock w:val="sdtLocked"/>
              <w:placeholder>
                <w:docPart w:val="FB899277F2BE46FB8495F449B16239E1"/>
              </w:placeholder>
              <w:dataBinding w:prefixMappings="xmlns:ns0='http://www.bna.com/gateway/unit.start' " w:xpath="/ns0:document[1]/ns0:unit.start[1]/@date" w:storeItemID="{B04FCA99-13B0-422B-ADC9-9491644FA79D}"/>
              <w15:appearance w15:val="tags"/>
              <w:text/>
            </w:sdtPr>
            <w:sdtEndPr>
              <w:rPr>
                <w:rStyle w:val="BContentControl"/>
              </w:rPr>
            </w:sdtEndPr>
            <w:sdtContent>
              <w:r w:rsidR="00F00770">
                <w:rPr>
                  <w:rStyle w:val="BContentControl"/>
                </w:rPr>
                <w:t>2025-09-25</w:t>
              </w:r>
            </w:sdtContent>
          </w:sdt>
          <w:r w:rsidR="00F00770" w:rsidRPr="00F00770">
            <w:rPr>
              <w:rStyle w:val="BContentControl"/>
            </w:rPr>
            <w:t xml:space="preserve"> </w:t>
          </w:r>
          <w:sdt>
            <w:sdtPr>
              <w:rPr>
                <w:rStyle w:val="BContentControl"/>
              </w:rPr>
              <w:alias w:val="folio"/>
              <w:tag w:val="folio"/>
              <w:id w:val="1831858411"/>
              <w:lock w:val="sdtLocked"/>
              <w:placeholder>
                <w:docPart w:val="197CF779C86942F297AFCECD69B74B97"/>
              </w:placeholder>
              <w:dataBinding w:prefixMappings="xmlns:ns0='http://www.bna.com/gateway/unit.start' " w:xpath="/ns0:document[1]/ns0:unit.start[1]/@folio" w:storeItemID="{B04FCA99-13B0-422B-ADC9-9491644FA79D}"/>
              <w15:appearance w15:val="tags"/>
              <w:text/>
            </w:sdtPr>
            <w:sdtEndPr>
              <w:rPr>
                <w:rStyle w:val="BContentControl"/>
              </w:rPr>
            </w:sdtEndPr>
            <w:sdtContent>
              <w:r w:rsidR="00F00770">
                <w:rPr>
                  <w:rStyle w:val="BContentControl"/>
                </w:rPr>
                <w:t>3</w:t>
              </w:r>
            </w:sdtContent>
          </w:sdt>
          <w:r w:rsidR="00F00770" w:rsidRPr="00F00770">
            <w:rPr>
              <w:rStyle w:val="BContentControl"/>
            </w:rPr>
            <w:t xml:space="preserve"> </w:t>
          </w:r>
          <w:sdt>
            <w:sdtPr>
              <w:rPr>
                <w:rStyle w:val="BContentControl"/>
              </w:rPr>
              <w:alias w:val="part.name"/>
              <w:tag w:val="part.name"/>
              <w:id w:val="912892297"/>
              <w:lock w:val="sdtLocked"/>
              <w:placeholder>
                <w:docPart w:val="28906F78138844B8BA0C444E34EF52E2"/>
              </w:placeholder>
              <w:dataBinding w:prefixMappings="xmlns:ns0='http://www.bna.com/gateway/unit.start' " w:xpath="/ns0:document[1]/ns0:unit.start[1]/@part.name" w:storeItemID="{B04FCA99-13B0-422B-ADC9-9491644FA79D}"/>
              <w15:appearance w15:val="tags"/>
              <w:text/>
            </w:sdtPr>
            <w:sdtEndPr>
              <w:rPr>
                <w:rStyle w:val="BContentControl"/>
              </w:rPr>
            </w:sdtEndPr>
            <w:sdtContent>
              <w:r w:rsidR="008D6DF1" w:rsidRPr="008D6DF1">
                <w:rPr>
                  <w:rStyle w:val="BContentControl"/>
                </w:rPr>
                <w:t xml:space="preserve">Part I. General Principles </w:t>
              </w:r>
              <w:proofErr w:type="gramStart"/>
              <w:r w:rsidR="008D6DF1" w:rsidRPr="008D6DF1">
                <w:rPr>
                  <w:rStyle w:val="BContentControl"/>
                </w:rPr>
                <w:t>And</w:t>
              </w:r>
              <w:proofErr w:type="gramEnd"/>
              <w:r w:rsidR="008D6DF1" w:rsidRPr="008D6DF1">
                <w:rPr>
                  <w:rStyle w:val="BContentControl"/>
                </w:rPr>
                <w:t xml:space="preserve"> State Law Applications</w:t>
              </w:r>
            </w:sdtContent>
          </w:sdt>
          <w:r w:rsidR="00F00770" w:rsidRPr="00F00770">
            <w:rPr>
              <w:rStyle w:val="BContentControl"/>
            </w:rPr>
            <w:t xml:space="preserve"> </w:t>
          </w:r>
          <w:sdt>
            <w:sdtPr>
              <w:rPr>
                <w:rStyle w:val="BContentControl"/>
              </w:rPr>
              <w:alias w:val="part.num"/>
              <w:tag w:val="part.num"/>
              <w:id w:val="-1106735890"/>
              <w:lock w:val="sdtLocked"/>
              <w:placeholder>
                <w:docPart w:val="325909C8F19F44C5A277C8D26E7FA585"/>
              </w:placeholder>
              <w:dataBinding w:prefixMappings="xmlns:ns0='http://www.bna.com/gateway/unit.start' " w:xpath="/ns0:document[1]/ns0:unit.start[1]/@part.num" w:storeItemID="{B04FCA99-13B0-422B-ADC9-9491644FA79D}"/>
              <w15:appearance w15:val="tags"/>
              <w:text/>
            </w:sdtPr>
            <w:sdtEndPr>
              <w:rPr>
                <w:rStyle w:val="BContentControl"/>
              </w:rPr>
            </w:sdtEndPr>
            <w:sdtContent>
              <w:r w:rsidR="00F00770">
                <w:rPr>
                  <w:rStyle w:val="BContentControl"/>
                </w:rPr>
                <w:t>1</w:t>
              </w:r>
            </w:sdtContent>
          </w:sdt>
          <w:r w:rsidR="00F00770" w:rsidRPr="00F00770">
            <w:rPr>
              <w:rStyle w:val="BContentControl"/>
            </w:rPr>
            <w:t xml:space="preserve"> </w:t>
          </w:r>
          <w:sdt>
            <w:sdtPr>
              <w:rPr>
                <w:rStyle w:val="BContentControl"/>
              </w:rPr>
              <w:alias w:val="subpart.name"/>
              <w:tag w:val="subpart.name"/>
              <w:id w:val="236141388"/>
              <w:lock w:val="sdtLocked"/>
              <w:placeholder>
                <w:docPart w:val="A2E0BCF85B3F4AE0B6E38218291B28AF"/>
              </w:placeholder>
              <w:dataBinding w:prefixMappings="xmlns:ns0='http://www.bna.com/gateway/unit.start' " w:xpath="/ns0:document[1]/ns0:unit.start[1]/@subpart.name" w:storeItemID="{B04FCA99-13B0-422B-ADC9-9491644FA79D}"/>
              <w15:appearance w15:val="tags"/>
              <w:text/>
            </w:sdtPr>
            <w:sdtEndPr>
              <w:rPr>
                <w:rStyle w:val="BContentControl"/>
              </w:rPr>
            </w:sdtEndPr>
            <w:sdtContent>
              <w:r w:rsidR="00F00770" w:rsidRPr="00F00770">
                <w:rPr>
                  <w:rStyle w:val="BContentControl"/>
                </w:rPr>
                <w:t>enter text</w:t>
              </w:r>
            </w:sdtContent>
          </w:sdt>
          <w:r w:rsidR="00F00770" w:rsidRPr="00F00770">
            <w:rPr>
              <w:rStyle w:val="BContentControl"/>
            </w:rPr>
            <w:t xml:space="preserve"> </w:t>
          </w:r>
          <w:sdt>
            <w:sdtPr>
              <w:rPr>
                <w:rStyle w:val="BContentControl"/>
              </w:rPr>
              <w:alias w:val="pdm.name"/>
              <w:tag w:val="pdm.name"/>
              <w:id w:val="729273520"/>
              <w:lock w:val="sdtLocked"/>
              <w:placeholder>
                <w:docPart w:val="6CEBB1ADE5A3461591FA0F5A704BF1E5"/>
              </w:placeholder>
              <w:dataBinding w:prefixMappings="xmlns:ns0='http://www.bna.com/gateway/unit.start' " w:xpath="/ns0:document[1]/ns0:unit.start[1]/@pdm.name" w:storeItemID="{B04FCA99-13B0-422B-ADC9-9491644FA79D}"/>
              <w15:appearance w15:val="tags"/>
              <w:text/>
            </w:sdtPr>
            <w:sdtEndPr>
              <w:rPr>
                <w:rStyle w:val="BContentControl"/>
              </w:rPr>
            </w:sdtEndPr>
            <w:sdtContent>
              <w:r w:rsidR="00F00770">
                <w:rPr>
                  <w:rStyle w:val="BContentControl"/>
                </w:rPr>
                <w:t>Chap01</w:t>
              </w:r>
            </w:sdtContent>
          </w:sdt>
          <w:r w:rsidR="00F00770" w:rsidRPr="00F00770">
            <w:rPr>
              <w:rStyle w:val="BContentControl"/>
            </w:rPr>
            <w:t xml:space="preserve"> </w:t>
          </w:r>
          <w:sdt>
            <w:sdtPr>
              <w:rPr>
                <w:rStyle w:val="BContentControl"/>
              </w:rPr>
              <w:alias w:val="publication.name"/>
              <w:tag w:val="publication.name"/>
              <w:id w:val="498238484"/>
              <w:lock w:val="sdtLocked"/>
              <w:placeholder>
                <w:docPart w:val="0ABCC144FFE84727A7541F6D61C81363"/>
              </w:placeholder>
              <w:dataBinding w:prefixMappings="xmlns:ns0='http://www.bna.com/gateway/unit.start' " w:xpath="/ns0:document[1]/ns0:unit.start[1]/@publication.name" w:storeItemID="{B04FCA99-13B0-422B-ADC9-9491644FA79D}"/>
              <w15:appearance w15:val="tags"/>
              <w:text/>
            </w:sdtPr>
            <w:sdtEndPr>
              <w:rPr>
                <w:rStyle w:val="BContentControl"/>
              </w:rPr>
            </w:sdtEndPr>
            <w:sdtContent>
              <w:r w:rsidR="00F00770">
                <w:rPr>
                  <w:rStyle w:val="BContentControl"/>
                </w:rPr>
                <w:t>Trademark Dilution - Federal, State, and International Law, Second Edition</w:t>
              </w:r>
            </w:sdtContent>
          </w:sdt>
          <w:r w:rsidR="00F00770" w:rsidRPr="00F00770">
            <w:rPr>
              <w:rStyle w:val="BContentControl"/>
            </w:rPr>
            <w:t xml:space="preserve"> </w:t>
          </w:r>
          <w:sdt>
            <w:sdtPr>
              <w:rPr>
                <w:rStyle w:val="BContentControl"/>
              </w:rPr>
              <w:alias w:val="service.code*"/>
              <w:tag w:val="mUnit1"/>
              <w:id w:val="-825203697"/>
              <w:lock w:val="sdtLocked"/>
              <w:placeholder>
                <w:docPart w:val="EE7D4165B99A4DF9AE5EA559EA5CFC9F"/>
              </w:placeholder>
              <w:dataBinding w:prefixMappings="xmlns:ns0='http://www.bna.com/gateway/unit.start' " w:xpath="/ns0:document[1]/ns0:unit.start[1]/@service.code" w:storeItemID="{B04FCA99-13B0-422B-ADC9-9491644FA79D}"/>
              <w15:appearance w15:val="tags"/>
              <w:dropDownList w:lastValue="td-book">
                <w:listItem w:displayText="aca-book" w:value="aca-book"/>
                <w:listItem w:displayText="aclc-book" w:value="aclc-book"/>
                <w:listItem w:displayText="adel-book" w:value="adel-book"/>
                <w:listItem w:displayText="adrel-book" w:value="adrel-book"/>
                <w:listItem w:displayText="aetr-book" w:value="aetr-book"/>
                <w:listItem w:displayText="afl-book" w:value="afl-book"/>
                <w:listItem w:displayText="ald-book" w:value="ald-book"/>
                <w:listItem w:displayText="apc-book" w:value="apc-book"/>
                <w:listItem w:displayText="apsf-book" w:value="apsf-book"/>
                <w:listItem w:displayText="arb18-book" w:value="arb18-book"/>
                <w:listItem w:displayText="arb19-book" w:value="arb19-book"/>
                <w:listItem w:displayText="bam-book" w:value="bam-book"/>
                <w:listItem w:displayText="bfc-book" w:value="bfc-book"/>
                <w:listItem w:displayText="biot-book" w:value="biot-book"/>
                <w:listItem w:displayText="bkyov-book" w:value="bkyov-book"/>
                <w:listItem w:displayText="bkyp-book" w:value="bkyp-book"/>
                <w:listItem w:displayText="blm-book" w:value="blm-book"/>
                <w:listItem w:displayText="bna-book" w:value="bna-book"/>
                <w:listItem w:displayText="bplr-book" w:value="bplr-book"/>
                <w:listItem w:displayText="cbglf-book" w:value="cbglf-book"/>
                <w:listItem w:displayText="cbh-book" w:value="cbh-book"/>
                <w:listItem w:displayText="cdpat-book" w:value="cdpat-book"/>
                <w:listItem w:displayText="cfcjpp-book" w:value="cfcjpp-book"/>
                <w:listItem w:displayText="cflc-book" w:value="cflc-book"/>
                <w:listItem w:displayText="cgdl-book" w:value="cgdl-book"/>
                <w:listItem w:displayText="cic-book" w:value="cic-book"/>
                <w:listItem w:displayText="cilel-book" w:value="cilel-book"/>
                <w:listItem w:displayText="clcdp-book" w:value="clcdp-book"/>
                <w:listItem w:displayText="cld-book" w:value="cld-book"/>
                <w:listItem w:displayText="cle-book" w:value="cle-book"/>
                <w:listItem w:displayText="clwva-book" w:value="clwva-book"/>
                <w:listItem w:displayText="cmb-book" w:value="cmb-book"/>
                <w:listItem w:displayText="cnc-book" w:value="cnc-book"/>
                <w:listItem w:displayText="colp-book" w:value="colp-book"/>
                <w:listItem w:displayText="cps1-book" w:value="cps1-book"/>
                <w:listItem w:displayText="cps61-book" w:value="cps61-book"/>
                <w:listItem w:displayText="cps63-book" w:value="cps63-book"/>
                <w:listItem w:displayText="cps67-book" w:value="cps67-book"/>
                <w:listItem w:displayText="cps68-book" w:value="cps68-book"/>
                <w:listItem w:displayText="cps75-book" w:value="cps75-book"/>
                <w:listItem w:displayText="cps88-book" w:value="cps88-book"/>
                <w:listItem w:displayText="crbc-book" w:value="crbc-book"/>
                <w:listItem w:displayText="cst-book" w:value="cst-book"/>
                <w:listItem w:displayText="dat-book" w:value="dat-book"/>
                <w:listItem w:displayText="dcalfc-book" w:value="dcalfc-book"/>
                <w:listItem w:displayText="dda-book" w:value="dda-book"/>
                <w:listItem w:displayText="ddw-book" w:value="ddw-book"/>
                <w:listItem w:displayText="dec-book" w:value="dec-book"/>
                <w:listItem w:displayText="desi-book" w:value="desi-book"/>
                <w:listItem w:displayText="dlit-book" w:value="dlit-book"/>
                <w:listItem w:displayText="dll-book" w:value="dll-book"/>
                <w:listItem w:displayText="dolfi-book" w:value="dolfi-book"/>
                <w:listItem w:displayText="dpl-book" w:value="dpl-book"/>
                <w:listItem w:displayText="dsfc-book" w:value="dsfc-book"/>
                <w:listItem w:displayText="dulg-book" w:value="dulg-book"/>
                <w:listItem w:displayText="ebl-book" w:value="ebl-book"/>
                <w:listItem w:displayText="eclas-book" w:value="eclas-book"/>
                <w:listItem w:displayText="edd-book" w:value="edd-book"/>
                <w:listItem w:displayText="ediel-book" w:value="ediel-book"/>
                <w:listItem w:displayText="edcl-book" w:value="edcl-book"/>
                <w:listItem w:displayText="edl-book" w:value="edl-book"/>
                <w:listItem w:displayText="edpf-book" w:value="edpf-book"/>
                <w:listItem w:displayText="edy-book" w:value="edy-book"/>
                <w:listItem w:displayText="efl-book" w:value="efl-book"/>
                <w:listItem w:displayText="ehl-book" w:value="ehl-book"/>
                <w:listItem w:displayText="eipl-book" w:value="eipl-book"/>
                <w:listItem w:displayText="el-book" w:value="el-book"/>
                <w:listItem w:displayText="elc-book" w:value="elc-book"/>
                <w:listItem w:displayText="elcr-book" w:value="elcr-book"/>
                <w:listItem w:displayText="emp-book" w:value="emp-book"/>
                <w:listItem w:displayText="epc-book" w:value="epc-book"/>
                <w:listItem w:displayText="erisadl-book" w:value="erisadl-book"/>
                <w:listItem w:displayText="err-book" w:value="err-book"/>
                <w:listItem w:displayText="esp-book" w:value="esp-book"/>
                <w:listItem w:displayText="etpg-book" w:value="etpg-book"/>
                <w:listItem w:displayText="eupl-book" w:value="eupl-book"/>
                <w:listItem w:displayText="evd-book" w:value="evd-book"/>
                <w:listItem w:displayText="fah-book" w:value="fah-book"/>
                <w:listItem w:displayText="fap-book" w:value="fap-book"/>
                <w:listItem w:displayText="fcawl-book" w:value="fcawl-book"/>
                <w:listItem w:displayText="ffapl-book" w:value="ffapl-book"/>
                <w:listItem w:displayText="ffua-book" w:value="ffua-book"/>
                <w:listItem w:displayText="fhcdl-book" w:value="fhcdl-book"/>
                <w:listItem w:displayText="fiflp-book" w:value="fiflp-book"/>
                <w:listItem w:displayText="fitic-book" w:value="fitic-book"/>
                <w:listItem w:displayText="flfs-book" w:value="flfs-book"/>
                <w:listItem w:displayText="flsa-book" w:value="flsa-book"/>
                <w:listItem w:displayText="fmla-book" w:value="fmla-book"/>
                <w:listItem w:displayText="fotn-book" w:value="fotn-book"/>
                <w:listItem w:displayText="frd-book" w:value="frd-book"/>
                <w:listItem w:displayText="ftecorp-book" w:value="ftecorp-book"/>
                <w:listItem w:displayText="fteind-book" w:value="fteind-book"/>
                <w:listItem w:displayText="ftepart-book" w:value="ftepart-book"/>
                <w:listItem w:displayText="ftescorp-book" w:value="ftescorp-book"/>
                <w:listItem w:displayText="ftl-book" w:value="ftl-book"/>
                <w:listItem w:displayText="gdttc-book" w:value="gdttc-book"/>
                <w:listItem w:displayText="gdttii-book" w:value="gdttii-book"/>
                <w:listItem w:displayText="gep-book" w:value="gep-book"/>
                <w:listItem w:displayText="gg-book" w:value="gg-book"/>
                <w:listItem w:displayText="gisod-book" w:value="gisod-book"/>
                <w:listItem w:displayText="gof-book" w:value="gof-book"/>
                <w:listItem w:displayText="gpl-book" w:value="gpl-book"/>
                <w:listItem w:displayText="hadrw-book" w:value="hadrw-book"/>
                <w:listItem w:displayText="haw-book" w:value="haw-book"/>
                <w:listItem w:displayText="hcf-book" w:value="hcf-book"/>
                <w:listItem w:displayText="hcylc-book" w:value="hcylc-book"/>
                <w:listItem w:displayText="hee-book" w:value="hee-book"/>
                <w:listItem w:displayText="heg-book" w:value="heg-book"/>
                <w:listItem w:displayText="hlbs1500-book" w:value="hlbs1500-book"/>
                <w:listItem w:displayText="hlbs2100-book" w:value="hlbs2100-book"/>
                <w:listItem w:displayText="hlbs2300-book" w:value="hlbs2300-book"/>
                <w:listItem w:displayText="hlbs2400-book" w:value="hlbs2400-book"/>
                <w:listItem w:displayText="hlbs2600-book" w:value="hlbs2600-book"/>
                <w:listItem w:displayText="hlbs2650-book" w:value="hlbs2650-book"/>
                <w:listItem w:displayText="hlbs2800-book" w:value="hlbs2800-book"/>
                <w:listItem w:displayText="hlbs2900-book" w:value="hlbs2900-book"/>
                <w:listItem w:displayText="hlbs3300-book" w:value="hlbs3300-book"/>
                <w:listItem w:displayText="hop-book" w:value="hop-book"/>
                <w:listItem w:displayText="hpplac-book" w:value="hpplac-book"/>
                <w:listItem w:displayText="hrcc-book" w:value="hrcc-book"/>
                <w:listItem w:displayText="htcb-book" w:value="htcb-book"/>
                <w:listItem w:displayText="iedcm-book" w:value="iedcm-book"/>
                <w:listItem w:displayText="igai-book" w:value="igai-book"/>
                <w:listItem w:displayText="iipd-book" w:value="iipd-book"/>
                <w:listItem w:displayText="ile-book" w:value="ile-book"/>
                <w:listItem w:displayText="ilfg-book" w:value="ilfg-book"/>
                <w:listItem w:displayText="ilu337-book" w:value="ilu337-book"/>
                <w:listItem w:displayText="ipl-book" w:value="ipl-book"/>
                <w:listItem w:displayText="iplc-book" w:value="iplc-book"/>
                <w:listItem w:displayText="ipsil-book" w:value="ipsil-book"/>
                <w:listItem w:displayText="ipt-book" w:value="ipt-book"/>
                <w:listItem w:displayText="iptt-book" w:value="iptt-book"/>
                <w:listItem w:displayText="irc-book" w:value="irc-book"/>
                <w:listItem w:displayText="isa-book" w:value="isa-book"/>
                <w:listItem w:displayText="ishc-book" w:value="ishc-book"/>
                <w:listItem w:displayText="jcst-book" w:value="jcst-book"/>
                <w:listItem w:displayText="labp-book" w:value="labp-book"/>
                <w:listItem w:displayText="lacma-book" w:value="lacma-book"/>
                <w:listItem w:displayText="ladh-book" w:value="ladh-book"/>
                <w:listItem w:displayText="lana-book" w:value="lana-book"/>
                <w:listItem w:displayText="lapga-book" w:value="lapga-book"/>
                <w:listItem w:displayText="lbd-book" w:value="lbd-book"/>
                <w:listItem w:displayText="lfgp-book" w:value="lfgp-book"/>
                <w:listItem w:displayText="llcbps-book" w:value="llcbps-book"/>
                <w:listItem w:displayText="lml-book" w:value="lml-book"/>
                <w:listItem w:displayText="lopm-book" w:value="lopm-book"/>
                <w:listItem w:displayText="lpdi-book" w:value="lpdi-book"/>
                <w:listItem w:displayText="lptsda-book" w:value="lptsda-book"/>
                <w:listItem w:displayText="lsfl-book" w:value="lsfl-book"/>
                <w:listItem w:displayText="lulr-book" w:value="lulr-book"/>
                <w:listItem w:displayText="mapc-book" w:value="mapc-book"/>
                <w:listItem w:displayText="mcl-book" w:value="mcl-book"/>
                <w:listItem w:displayText="mdbsc-book" w:value="mdbsc-book"/>
                <w:listItem w:displayText="mdedl-book" w:value="mdedl-book"/>
                <w:listItem w:displayText="meip-book" w:value="meip-book"/>
                <w:listItem w:displayText="mlprco-book" w:value="mlprco-book"/>
                <w:listItem w:displayText="naat-book" w:value="naat-book"/>
                <w:listItem w:displayText="net-book" w:value="net-book"/>
                <w:listItem w:displayText="nlc-book" w:value="nlc-book"/>
                <w:listItem w:displayText="nlrr-book" w:value="nlrr-book"/>
                <w:listItem w:displayText="nwic-book" w:value="nwic-book"/>
                <w:listItem w:displayText="ops-book" w:value="ops-book"/>
                <w:listItem w:displayText="oshl-book" w:value="oshl-book"/>
                <w:listItem w:displayText="paaa-book" w:value="paaa-book"/>
                <w:listItem w:displayText="paed-book" w:value="paed-book"/>
                <w:listItem w:displayText="paia-book" w:value="paia-book"/>
                <w:listItem w:displayText="papc-book" w:value="papc-book"/>
                <w:listItem w:displayText="patstan-book" w:value="patstan-book"/>
                <w:listItem w:displayText="pbcr-book" w:value="pbcr-book"/>
                <w:listItem w:displayText="pce-book" w:value="pce-book"/>
                <w:listItem w:displayText="pcmt-book" w:value="pcmt-book"/>
                <w:listItem w:displayText="pda-book" w:value="pda-book"/>
                <w:listItem w:displayText="pel-book" w:value="pel-book"/>
                <w:listItem w:displayText="pesi-book" w:value="pesi-book"/>
                <w:listItem w:displayText="pfc-book" w:value="pfc-book"/>
                <w:listItem w:displayText="pfo-book" w:value="pfo-book"/>
                <w:listItem w:displayText="pgfafl-book" w:value="pgfafl-book"/>
                <w:listItem w:displayText="pgpp-book" w:value="pgpp-book"/>
                <w:listItem w:displayText="pgofacsc-book" w:value="pgofacsc-book"/>
                <w:listItem w:displayText="pjae-book" w:value="pjae-book"/>
                <w:listItem w:displayText="phrm-book" w:value="phrm-book"/>
                <w:listItem w:displayText="pir-book" w:value="pir-book"/>
                <w:listItem w:displayText="plp-book" w:value="plp-book"/>
                <w:listItem w:displayText="pls-book" w:value="pls-book"/>
                <w:listItem w:displayText="ppat-book" w:value="ppat-book"/>
                <w:listItem w:displayText="ppla-book" w:value="ppla-book"/>
                <w:listItem w:displayText="pppp-book" w:value="pppp-book"/>
                <w:listItem w:displayText="pro1-book" w:value="pro1-book"/>
                <w:listItem w:displayText="pro2-book" w:value="pro2-book"/>
                <w:listItem w:displayText="pswh-book" w:value="pswh-book"/>
                <w:listItem w:displayText="ptabh-book" w:value="ptabh-book"/>
                <w:listItem w:displayText="ptcl-book" w:value="ptcl-book"/>
                <w:listItem w:displayText="ptcr-book" w:value="ptcr-book"/>
                <w:listItem w:displayText="qeh-book" w:value="qeh-book"/>
                <w:listItem w:displayText="rcci-book" w:value="rcci-book"/>
                <w:listItem w:displayText="rctse-book" w:value="rctse-book"/>
                <w:listItem w:displayText="rgi-book" w:value="rgi-book"/>
                <w:listItem w:displayText="rif-book" w:value="rif-book"/>
                <w:listItem w:displayText="rla-book" w:value="rla-book"/>
                <w:listItem w:displayText="rpe-book" w:value="rpe-book"/>
                <w:listItem w:displayText="scp-book" w:value="scp-book"/>
                <w:listItem w:displayText="sead-book" w:value="sead-book"/>
                <w:listItem w:displayText="sps203-book" w:value="sps203-book"/>
                <w:listItem w:displayText="srp-book" w:value="srp-book"/>
                <w:listItem w:displayText="ssfs-book" w:value="ssfs-book"/>
                <w:listItem w:displayText="sti-book" w:value="sti-book"/>
                <w:listItem w:displayText="tcs409a-book" w:value="tcs409a-book"/>
                <w:listItem w:displayText="td-book" w:value="td-book"/>
                <w:listItem w:displayText="teelm-book" w:value="teelm-book"/>
                <w:listItem w:displayText="tei-book" w:value="tei-book"/>
                <w:listItem w:displayText="tic-book" w:value="tic-book"/>
                <w:listItem w:displayText="tir-book" w:value="tir-book"/>
                <w:listItem w:displayText="tlp-book" w:value="tlp-book"/>
                <w:listItem w:displayText="tmftg-book" w:value="tmftg-book"/>
                <w:listItem w:displayText="tmftp-book" w:value="tmftp-book"/>
                <w:listItem w:displayText="tmitg-book" w:value="tmitg-book"/>
                <w:listItem w:displayText="tpt-book" w:value="tpt-book"/>
                <w:listItem w:displayText="trp-book" w:value="trp-book"/>
                <w:listItem w:displayText="tslip-book" w:value="tslip-book"/>
                <w:listItem w:displayText="tss-book" w:value="tss-book"/>
                <w:listItem w:displayText="tttp-book" w:value="tttp-book"/>
                <w:listItem w:displayText="ucipp-book" w:value="ucipp-book"/>
                <w:listItem w:displayText="ueus-book" w:value="ueus-book"/>
                <w:listItem w:displayText="userra-book" w:value="userra-book"/>
                <w:listItem w:displayText="usmt-book" w:value="usmt-book"/>
                <w:listItem w:displayText="vvil-book" w:value="vvil-book"/>
                <w:listItem w:displayText="vvp-book" w:value="vvp-book"/>
                <w:listItem w:displayText="waa-book" w:value="waa-book"/>
                <w:listItem w:displayText="wan-book" w:value="wan-book"/>
                <w:listItem w:displayText="wds-book" w:value="wds-book"/>
                <w:listItem w:displayText="whl-book" w:value="whl-book"/>
                <w:listItem w:displayText="wilbb-book" w:value="wilbb-book"/>
                <w:listItem w:displayText="wilbf-book" w:value="wilbf-book"/>
                <w:listItem w:displayText="wilfsarcw-book" w:value="wilfsarcw-book"/>
                <w:listItem w:displayText="willsh-book" w:value="willsh-book"/>
                <w:listItem w:displayText="wilmmlr-book" w:value="wilmmlr-book"/>
                <w:listItem w:displayText="wilpb-book" w:value="wilpb-book"/>
                <w:listItem w:displayText="wilrws-book" w:value="wilrws-book"/>
                <w:listItem w:displayText="wiltpb-book" w:value="wiltpb-book"/>
                <w:listItem w:displayText="wlrd-book" w:value="wlrd-book"/>
                <w:listItem w:displayText="wpd-book" w:value="wpd-book"/>
                <w:listItem w:displayText="wphl-book" w:value="wphl-book"/>
                <w:listItem w:displayText="wppg-book" w:value="wppg-book"/>
              </w:dropDownList>
            </w:sdtPr>
            <w:sdtEndPr>
              <w:rPr>
                <w:rStyle w:val="BContentControl"/>
              </w:rPr>
            </w:sdtEndPr>
            <w:sdtContent>
              <w:r w:rsidR="00F00770">
                <w:rPr>
                  <w:rStyle w:val="BContentControl"/>
                </w:rPr>
                <w:t>td-book</w:t>
              </w:r>
            </w:sdtContent>
          </w:sdt>
          <w:r w:rsidR="00F00770" w:rsidRPr="00F00770">
            <w:rPr>
              <w:rStyle w:val="BContentControl"/>
            </w:rPr>
            <w:t xml:space="preserve"> </w:t>
          </w:r>
          <w:sdt>
            <w:sdtPr>
              <w:rPr>
                <w:rStyle w:val="BContentControl"/>
              </w:rPr>
              <w:alias w:val="supplement"/>
              <w:tag w:val="supplement"/>
              <w:id w:val="-1136800252"/>
              <w:lock w:val="sdtLocked"/>
              <w:placeholder>
                <w:docPart w:val="6FD4650F9D474DD287C79E670508F939"/>
              </w:placeholder>
              <w:dataBinding w:prefixMappings="xmlns:ns0='http://www.bna.com/gateway/unit.start' " w:xpath="/ns0:document[1]/ns0:unit.start[1]/@supplement" w:storeItemID="{B04FCA99-13B0-422B-ADC9-9491644FA79D}"/>
              <w15:appearance w15:val="tags"/>
              <w:text/>
            </w:sdtPr>
            <w:sdtEndPr>
              <w:rPr>
                <w:rStyle w:val="BContentControl"/>
              </w:rPr>
            </w:sdtEndPr>
            <w:sdtContent>
              <w:r w:rsidR="00F00770">
                <w:rPr>
                  <w:rStyle w:val="BContentControl"/>
                </w:rPr>
                <w:t>0</w:t>
              </w:r>
            </w:sdtContent>
          </w:sdt>
          <w:r w:rsidR="00F00770" w:rsidRPr="00F00770">
            <w:rPr>
              <w:rStyle w:val="BContentControl"/>
            </w:rPr>
            <w:t xml:space="preserve"> </w:t>
          </w:r>
          <w:sdt>
            <w:sdtPr>
              <w:rPr>
                <w:rStyle w:val="BContentControl"/>
              </w:rPr>
              <w:alias w:val="unit.code"/>
              <w:tag w:val="unit.code"/>
              <w:id w:val="-837237395"/>
              <w:lock w:val="sdtLocked"/>
              <w:placeholder>
                <w:docPart w:val="6D826FD679CC42DB87693A97040D4E79"/>
              </w:placeholder>
              <w:dataBinding w:prefixMappings="xmlns:ns0='http://www.bna.com/gateway/unit.start' " w:xpath="/ns0:document[1]/ns0:unit.start[1]/@unit.code" w:storeItemID="{B04FCA99-13B0-422B-ADC9-9491644FA79D}"/>
              <w15:appearance w15:val="tags"/>
              <w:text/>
            </w:sdtPr>
            <w:sdtEndPr>
              <w:rPr>
                <w:rStyle w:val="BContentControl"/>
              </w:rPr>
            </w:sdtEndPr>
            <w:sdtContent>
              <w:r w:rsidR="00F00770">
                <w:rPr>
                  <w:rStyle w:val="BContentControl"/>
                </w:rPr>
                <w:t>main0001</w:t>
              </w:r>
            </w:sdtContent>
          </w:sdt>
          <w:r w:rsidR="00F00770" w:rsidRPr="00F00770">
            <w:rPr>
              <w:rStyle w:val="BContentControl"/>
            </w:rPr>
            <w:t xml:space="preserve"> </w:t>
          </w:r>
          <w:sdt>
            <w:sdtPr>
              <w:rPr>
                <w:rStyle w:val="BContentControl"/>
              </w:rPr>
              <w:alias w:val="unit.name*"/>
              <w:tag w:val="unit.name"/>
              <w:id w:val="1408954109"/>
              <w:lock w:val="sdtLocked"/>
              <w:placeholder>
                <w:docPart w:val="81BD40B15193450F8198DFE3AB55F413"/>
              </w:placeholder>
              <w:dataBinding w:prefixMappings="xmlns:ns0='http://www.bna.com/gateway/unit.start' " w:xpath="/ns0:document[1]/ns0:unit.start[1]/@unit.name" w:storeItemID="{B04FCA99-13B0-422B-ADC9-9491644FA79D}"/>
              <w15:appearance w15:val="tags"/>
              <w:text/>
            </w:sdtPr>
            <w:sdtEndPr>
              <w:rPr>
                <w:rStyle w:val="BContentControl"/>
              </w:rPr>
            </w:sdtEndPr>
            <w:sdtContent>
              <w:r w:rsidR="008D6DF1" w:rsidRPr="008D6DF1">
                <w:rPr>
                  <w:rStyle w:val="BContentControl"/>
                </w:rPr>
                <w:t>Chapter 1. The Concept of Trademark Dilution: The Origins and Sources of Dilution Law</w:t>
              </w:r>
            </w:sdtContent>
          </w:sdt>
          <w:r w:rsidR="00F00770" w:rsidRPr="00F00770">
            <w:rPr>
              <w:rStyle w:val="BContentControl"/>
            </w:rPr>
            <w:t xml:space="preserve"> </w:t>
          </w:r>
          <w:sdt>
            <w:sdtPr>
              <w:rPr>
                <w:rStyle w:val="BContentControl"/>
              </w:rPr>
              <w:alias w:val="volume.num"/>
              <w:tag w:val="volume.num"/>
              <w:id w:val="-166483274"/>
              <w:lock w:val="sdtLocked"/>
              <w:placeholder>
                <w:docPart w:val="6B6AF22F4C7B4F3F9D8C1324DB5488E5"/>
              </w:placeholder>
              <w:dataBinding w:prefixMappings="xmlns:ns0='http://www.bna.com/gateway/unit.start' " w:xpath="/ns0:document[1]/ns0:unit.start[1]/@volume.num" w:storeItemID="{B04FCA99-13B0-422B-ADC9-9491644FA79D}"/>
              <w15:appearance w15:val="tags"/>
              <w:text/>
            </w:sdtPr>
            <w:sdtEndPr>
              <w:rPr>
                <w:rStyle w:val="BContentControl"/>
              </w:rPr>
            </w:sdtEndPr>
            <w:sdtContent>
              <w:r w:rsidR="00F00770">
                <w:rPr>
                  <w:rStyle w:val="BContentControl"/>
                </w:rPr>
                <w:t>1</w:t>
              </w:r>
            </w:sdtContent>
          </w:sdt>
        </w:p>
      </w:sdtContent>
    </w:sdt>
    <w:p w14:paraId="7A24AD37" w14:textId="77777777" w:rsidR="008D6DF1" w:rsidRPr="008D6DF1" w:rsidRDefault="00611F2C" w:rsidP="00F00770">
      <w:pPr>
        <w:pStyle w:val="BDocStart"/>
      </w:pPr>
      <w:sdt>
        <w:sdtPr>
          <w:tag w:val="DocStart"/>
          <w:id w:val="-1504426583"/>
          <w:lock w:val="sdtLocked"/>
          <w:placeholder>
            <w:docPart w:val="0A981BCFD93A4776AFEDC3BC321BE1C8"/>
          </w:placeholder>
          <w15:appearance w15:val="hidden"/>
        </w:sdtPr>
        <w:sdtEndPr/>
        <w:sdtContent>
          <w:r w:rsidR="00F00770">
            <w:t>Document</w:t>
          </w:r>
        </w:sdtContent>
      </w:sdt>
    </w:p>
    <w:p w14:paraId="23765B00" w14:textId="6E6541A1" w:rsidR="008D6DF1" w:rsidRPr="008D6DF1" w:rsidRDefault="00AE6E1D" w:rsidP="00B64661">
      <w:pPr>
        <w:pStyle w:val="BChapterName"/>
      </w:pPr>
      <w:r w:rsidRPr="008D6DF1">
        <w:t>Chapter 1</w:t>
      </w:r>
      <w:r w:rsidR="008D6DF1" w:rsidRPr="008D6DF1">
        <w:t>. T</w:t>
      </w:r>
      <w:r w:rsidRPr="008D6DF1">
        <w:t>he Concept of Trademark Dilution</w:t>
      </w:r>
      <w:r w:rsidR="008D6DF1" w:rsidRPr="008D6DF1">
        <w:t>: T</w:t>
      </w:r>
      <w:r w:rsidRPr="008D6DF1">
        <w:t>he Origins and Sources of Dilution Law</w:t>
      </w:r>
    </w:p>
    <w:p w14:paraId="71A97A20" w14:textId="665A3A7A" w:rsidR="008D6DF1" w:rsidRPr="008D6DF1" w:rsidRDefault="008D6DF1" w:rsidP="008D6DF1">
      <w:pPr>
        <w:pStyle w:val="BNormal"/>
      </w:pPr>
      <w:r w:rsidRPr="008D6DF1">
        <w:rPr>
          <w:i/>
        </w:rPr>
        <w:t>This chapter is current through May 2025.</w:t>
      </w:r>
    </w:p>
    <w:p w14:paraId="18814722" w14:textId="4EAE5A7C" w:rsidR="008D6DF1" w:rsidRPr="008D6DF1" w:rsidRDefault="008D6DF1" w:rsidP="008D6DF1">
      <w:pPr>
        <w:pStyle w:val="BNormal"/>
      </w:pPr>
      <w:hyperlink r:id="rId13" w:history="1">
        <w:r w:rsidRPr="008D6DF1">
          <w:rPr>
            <w:rStyle w:val="Hyperlink"/>
          </w:rPr>
          <w:t>David Welkowitz</w:t>
        </w:r>
      </w:hyperlink>
      <w:r w:rsidRPr="008D6DF1">
        <w:rPr>
          <w:vertAlign w:val="superscript"/>
        </w:rPr>
        <w:footnoteReference w:id="1"/>
      </w:r>
      <w:r w:rsidR="003F5929">
        <w:br/>
      </w:r>
      <w:r w:rsidRPr="008D6DF1">
        <w:rPr>
          <w:i/>
        </w:rPr>
        <w:t>Whittier Law School, Costa Mesa, CA</w:t>
      </w:r>
    </w:p>
    <w:p w14:paraId="3C74B767" w14:textId="36472A9B" w:rsidR="008D6DF1" w:rsidRPr="008D6DF1" w:rsidRDefault="00AE6E1D" w:rsidP="008D6DF1">
      <w:pPr>
        <w:pStyle w:val="BNormal"/>
      </w:pPr>
      <w:r w:rsidRPr="008D6DF1">
        <w:t>Disclaimer</w:t>
      </w:r>
      <w:r w:rsidR="008D6DF1" w:rsidRPr="008D6DF1">
        <w:t>: T</w:t>
      </w:r>
      <w:r w:rsidRPr="008D6DF1">
        <w:t>he opinions expressed here are solely those of the author and should not be construed as representing the opinions, directly or indirectly, of the U.S</w:t>
      </w:r>
      <w:r w:rsidR="008D6DF1" w:rsidRPr="008D6DF1">
        <w:t>. C</w:t>
      </w:r>
      <w:r w:rsidRPr="008D6DF1">
        <w:t>opyright Office.</w:t>
      </w:r>
    </w:p>
    <w:p w14:paraId="1D3D658B" w14:textId="249C4832" w:rsidR="008D6DF1" w:rsidRPr="00065198" w:rsidRDefault="00B220F8" w:rsidP="00065198">
      <w:pPr>
        <w:pStyle w:val="BHead1"/>
      </w:pPr>
      <w:r w:rsidRPr="004D355E">
        <w:t>1.</w:t>
      </w:r>
      <w:r w:rsidR="008D6DF1" w:rsidRPr="004D355E">
        <w:rPr>
          <w:rStyle w:val="BBNAidChar"/>
          <w:rFonts w:eastAsiaTheme="majorEastAsia"/>
        </w:rPr>
        <w:t>I</w:t>
      </w:r>
      <w:r w:rsidR="008D6DF1" w:rsidRPr="00065198">
        <w:t>. The Landscape of Dilution: Dilution vs.</w:t>
      </w:r>
      <w:r w:rsidR="004D355E">
        <w:t xml:space="preserve"> </w:t>
      </w:r>
      <w:r w:rsidR="008D6DF1" w:rsidRPr="00065198">
        <w:t>Traditional Infringement</w:t>
      </w:r>
    </w:p>
    <w:p w14:paraId="723BA947" w14:textId="6CB93634" w:rsidR="008D6DF1" w:rsidRPr="008D6DF1" w:rsidRDefault="00AE6E1D" w:rsidP="008D6DF1">
      <w:pPr>
        <w:pStyle w:val="BNormal"/>
      </w:pPr>
      <w:r w:rsidRPr="008D6DF1">
        <w:t>Although this text is about trademark law, it is not about trademark law as it is usually understood</w:t>
      </w:r>
      <w:r w:rsidR="008D6DF1" w:rsidRPr="008D6DF1">
        <w:t>. R</w:t>
      </w:r>
      <w:r w:rsidRPr="008D6DF1">
        <w:t>ather, it is about trademark dilution, a branch of trademark law that was relatively unused until about 1980</w:t>
      </w:r>
      <w:r w:rsidR="008D6DF1" w:rsidRPr="008D6DF1">
        <w:t>. T</w:t>
      </w:r>
      <w:r w:rsidRPr="008D6DF1">
        <w:t>herefore, the first questions that this book addresses are</w:t>
      </w:r>
      <w:r w:rsidR="008D6DF1" w:rsidRPr="008D6DF1">
        <w:t>: W</w:t>
      </w:r>
      <w:r w:rsidRPr="008D6DF1">
        <w:t>hat is trademark dilution</w:t>
      </w:r>
      <w:r w:rsidR="008D6DF1" w:rsidRPr="008D6DF1">
        <w:t>? A</w:t>
      </w:r>
      <w:r w:rsidRPr="008D6DF1">
        <w:t>nd how is it different from other aspects of trademark law?</w:t>
      </w:r>
    </w:p>
    <w:p w14:paraId="248076A9" w14:textId="7C936708" w:rsidR="008D6DF1" w:rsidRPr="008D6DF1" w:rsidRDefault="00AE6E1D" w:rsidP="008D6DF1">
      <w:pPr>
        <w:pStyle w:val="BNormal"/>
      </w:pPr>
      <w:r w:rsidRPr="008D6DF1">
        <w:t>The discussion begins with the obvious fact that both trademark infringement and trademark dilution involve trademarks and service marks</w:t>
      </w:r>
      <w:r w:rsidR="008D6DF1" w:rsidRPr="008D6DF1">
        <w:t>. T</w:t>
      </w:r>
      <w:r w:rsidRPr="008D6DF1">
        <w:t>rademarks are indicia of the source or origin of goods.</w:t>
      </w:r>
      <w:r w:rsidR="008D6DF1" w:rsidRPr="008D6DF1">
        <w:rPr>
          <w:vertAlign w:val="superscript"/>
        </w:rPr>
        <w:footnoteReference w:id="2"/>
      </w:r>
      <w:r w:rsidRPr="008D6DF1">
        <w:t xml:space="preserve"> Traditional trademark infringement law protects mark owners and consumers from uses of the same or similar marks that cause </w:t>
      </w:r>
      <w:r w:rsidRPr="008D6DF1">
        <w:lastRenderedPageBreak/>
        <w:t>confusion among potential consumers.</w:t>
      </w:r>
      <w:r w:rsidR="008D6DF1" w:rsidRPr="008D6DF1">
        <w:rPr>
          <w:vertAlign w:val="superscript"/>
        </w:rPr>
        <w:footnoteReference w:id="3"/>
      </w:r>
      <w:r w:rsidRPr="008D6DF1">
        <w:t xml:space="preserve"> Trademark law began by protecting against “passing off,” meaning that B used A’s mark to make people believe that B’s goods were really the goods of A (i.e., B “passed off” its goods as those of A).</w:t>
      </w:r>
      <w:r w:rsidR="008D6DF1" w:rsidRPr="008D6DF1">
        <w:rPr>
          <w:vertAlign w:val="superscript"/>
        </w:rPr>
        <w:footnoteReference w:id="4"/>
      </w:r>
      <w:r w:rsidRPr="008D6DF1">
        <w:t xml:space="preserve"> The law was both protection against unfair competition and a form of consumer protection against deception.</w:t>
      </w:r>
      <w:r w:rsidR="008D6DF1" w:rsidRPr="008D6DF1">
        <w:rPr>
          <w:vertAlign w:val="superscript"/>
        </w:rPr>
        <w:footnoteReference w:id="5"/>
      </w:r>
    </w:p>
    <w:p w14:paraId="7659BCFE" w14:textId="72EB9968" w:rsidR="008D6DF1" w:rsidRPr="008D6DF1" w:rsidRDefault="00AE6E1D" w:rsidP="008D6DF1">
      <w:pPr>
        <w:pStyle w:val="BNormal"/>
      </w:pPr>
      <w:r w:rsidRPr="008D6DF1">
        <w:t>In modern cases, infringement by confusion has evolved to include many concepts in addition to passing off</w:t>
      </w:r>
      <w:r w:rsidR="008D6DF1" w:rsidRPr="008D6DF1">
        <w:t>. C</w:t>
      </w:r>
      <w:r w:rsidRPr="008D6DF1">
        <w:t>onfusion can mean confusion of goods, where consumers purchase widgets, thinking they are A’s widgets when they are really made by B.</w:t>
      </w:r>
      <w:r w:rsidR="008D6DF1" w:rsidRPr="008D6DF1">
        <w:rPr>
          <w:vertAlign w:val="superscript"/>
        </w:rPr>
        <w:footnoteReference w:id="6"/>
      </w:r>
      <w:r w:rsidRPr="008D6DF1">
        <w:t xml:space="preserve"> It can mean confusion of source, where consumers think the goods come from manufacturer A when they </w:t>
      </w:r>
      <w:proofErr w:type="gramStart"/>
      <w:r w:rsidRPr="008D6DF1">
        <w:t>actually come</w:t>
      </w:r>
      <w:proofErr w:type="gramEnd"/>
      <w:r w:rsidRPr="008D6DF1">
        <w:t xml:space="preserve"> from B</w:t>
      </w:r>
      <w:r w:rsidR="008D6DF1" w:rsidRPr="008D6DF1">
        <w:t>. I</w:t>
      </w:r>
      <w:r w:rsidRPr="008D6DF1">
        <w:t>n confusion-of-source cases, the goods need not really be made by A</w:t>
      </w:r>
      <w:r w:rsidR="008D6DF1" w:rsidRPr="008D6DF1">
        <w:t>; i</w:t>
      </w:r>
      <w:r w:rsidRPr="008D6DF1">
        <w:t>ndeed, A and B may not compete, so there is not a confusion of actual goods produced</w:t>
      </w:r>
      <w:r w:rsidR="008D6DF1" w:rsidRPr="008D6DF1">
        <w:t>. C</w:t>
      </w:r>
      <w:r w:rsidRPr="008D6DF1">
        <w:t>onfusion can mean confusion of sponsorship or approval, where the consumer knows that A is not the actual source, but believes that A has licensed or approved of the use of its mark.</w:t>
      </w:r>
      <w:r w:rsidR="008D6DF1" w:rsidRPr="008D6DF1">
        <w:rPr>
          <w:vertAlign w:val="superscript"/>
        </w:rPr>
        <w:footnoteReference w:id="7"/>
      </w:r>
      <w:r w:rsidRPr="008D6DF1">
        <w:t xml:space="preserve"> Confusion may even mean “post-sale confusion,” where the purchaser knows the goods are not produced or sponsored by A, but someone who sees the goods after they are purchased believes that the goods come from A.</w:t>
      </w:r>
      <w:r w:rsidR="008D6DF1" w:rsidRPr="008D6DF1">
        <w:rPr>
          <w:vertAlign w:val="superscript"/>
        </w:rPr>
        <w:footnoteReference w:id="8"/>
      </w:r>
      <w:r w:rsidRPr="008D6DF1">
        <w:t xml:space="preserve"> Courts also have used another doctrine, “initial interest confusion,” which protects mark owners even when the confusion is only momentary and is cleared up before any sale is made.</w:t>
      </w:r>
      <w:r w:rsidR="008D6DF1" w:rsidRPr="008D6DF1">
        <w:rPr>
          <w:vertAlign w:val="superscript"/>
        </w:rPr>
        <w:footnoteReference w:id="9"/>
      </w:r>
      <w:r w:rsidRPr="008D6DF1">
        <w:t xml:space="preserve"> Although this broader range of categories of confusion may reduce the emphasis on unfair competition, the idea of protecting consumers from deception is still important.</w:t>
      </w:r>
    </w:p>
    <w:p w14:paraId="273ECC4A" w14:textId="7D3F15E3" w:rsidR="008D6DF1" w:rsidRPr="008D6DF1" w:rsidRDefault="00AE6E1D" w:rsidP="008D6DF1">
      <w:pPr>
        <w:pStyle w:val="BNormal"/>
      </w:pPr>
      <w:r w:rsidRPr="008D6DF1">
        <w:t>Dilution protection represents a different perspective about trademarks</w:t>
      </w:r>
      <w:r w:rsidR="008D6DF1" w:rsidRPr="008D6DF1">
        <w:t>. I</w:t>
      </w:r>
      <w:r w:rsidRPr="008D6DF1">
        <w:t>nstead of protecting against confusion, the object of dilution law is to protect the “distinctive quality” of the trademark</w:t>
      </w:r>
      <w:r w:rsidR="008D6DF1" w:rsidRPr="008D6DF1">
        <w:t>. P</w:t>
      </w:r>
      <w:r w:rsidRPr="008D6DF1">
        <w:t>ut another way, dilution law recognizes that many trademarks have a value that is more than simply source identification</w:t>
      </w:r>
      <w:r w:rsidR="008D6DF1" w:rsidRPr="008D6DF1">
        <w:t>. T</w:t>
      </w:r>
      <w:r w:rsidRPr="008D6DF1">
        <w:t>he value is in the “aura” of the mark, the fact that it uniquely identifies one source, and the feelings it evokes from consumers about anything associated with that brand name</w:t>
      </w:r>
      <w:r w:rsidR="008D6DF1" w:rsidRPr="008D6DF1">
        <w:t>. W</w:t>
      </w:r>
      <w:r w:rsidRPr="008D6DF1">
        <w:t>hen a second user makes use of this unique mark, particularly to identify its own goods or services, it weakens the bond between the consumer and the brand</w:t>
      </w:r>
      <w:r w:rsidR="008D6DF1" w:rsidRPr="008D6DF1">
        <w:t>. I</w:t>
      </w:r>
      <w:r w:rsidRPr="008D6DF1">
        <w:t>n the prosaic terms used to describe dilution, the marketing value of the mark is “whittled away” by the existence of these other uses.</w:t>
      </w:r>
      <w:r w:rsidR="008D6DF1" w:rsidRPr="008D6DF1">
        <w:rPr>
          <w:vertAlign w:val="superscript"/>
        </w:rPr>
        <w:footnoteReference w:id="10"/>
      </w:r>
      <w:r w:rsidRPr="008D6DF1">
        <w:t xml:space="preserve"> Most important, this erosion of the power of the mark is assumed to occur in the absence </w:t>
      </w:r>
      <w:r w:rsidRPr="008D6DF1">
        <w:lastRenderedPageBreak/>
        <w:t>of any consumer confusion</w:t>
      </w:r>
      <w:r w:rsidR="008D6DF1" w:rsidRPr="008D6DF1">
        <w:t>. T</w:t>
      </w:r>
      <w:r w:rsidRPr="008D6DF1">
        <w:t xml:space="preserve">his is the key difference between dilution and </w:t>
      </w:r>
      <w:proofErr w:type="gramStart"/>
      <w:r w:rsidRPr="008D6DF1">
        <w:t>infringement—</w:t>
      </w:r>
      <w:proofErr w:type="gramEnd"/>
      <w:r w:rsidRPr="008D6DF1">
        <w:t>the lack of any requirement of confusion.</w:t>
      </w:r>
    </w:p>
    <w:p w14:paraId="5D9392D9" w14:textId="79C0502C" w:rsidR="008D6DF1" w:rsidRPr="008D6DF1" w:rsidRDefault="00AE6E1D" w:rsidP="008D6DF1">
      <w:pPr>
        <w:pStyle w:val="BNormal"/>
      </w:pPr>
      <w:r w:rsidRPr="008D6DF1">
        <w:t xml:space="preserve">Thus, dilution </w:t>
      </w:r>
      <w:proofErr w:type="gramStart"/>
      <w:r w:rsidRPr="008D6DF1">
        <w:t>severs</w:t>
      </w:r>
      <w:proofErr w:type="gramEnd"/>
      <w:r w:rsidRPr="008D6DF1">
        <w:t xml:space="preserve"> the link between trademark protection and consumer protection, a central aspect of trademark infringement.</w:t>
      </w:r>
      <w:r w:rsidR="008D6DF1" w:rsidRPr="008D6DF1">
        <w:rPr>
          <w:vertAlign w:val="superscript"/>
        </w:rPr>
        <w:footnoteReference w:id="11"/>
      </w:r>
      <w:r w:rsidRPr="008D6DF1">
        <w:t xml:space="preserve"> It focuses on protecting the investment of the mark owner</w:t>
      </w:r>
      <w:r w:rsidR="008D6DF1" w:rsidRPr="008D6DF1">
        <w:t>. O</w:t>
      </w:r>
      <w:r w:rsidRPr="008D6DF1">
        <w:t>ne might reasonably describe diluting uses of a mark as “source distractors.” That is, they distract the viewer from the primary source-identifying content of the mark</w:t>
      </w:r>
      <w:r w:rsidR="008D6DF1" w:rsidRPr="008D6DF1">
        <w:t>. S</w:t>
      </w:r>
      <w:r w:rsidRPr="008D6DF1">
        <w:t>uppose that Zoom is known throughout the country as a trademark for running shoes</w:t>
      </w:r>
      <w:r w:rsidR="008D6DF1" w:rsidRPr="008D6DF1">
        <w:t>. N</w:t>
      </w:r>
      <w:r w:rsidRPr="008D6DF1">
        <w:t>ow suppose that another company starts using Zoom as a service mark for airline reservation services</w:t>
      </w:r>
      <w:r w:rsidR="008D6DF1" w:rsidRPr="008D6DF1">
        <w:t>. I</w:t>
      </w:r>
      <w:r w:rsidRPr="008D6DF1">
        <w:t>t may be that customers of the airline reservation service know that the Zoom reservations service is not in any way affiliated with Zoom running shoes (otherwise there is infringement by confusion)</w:t>
      </w:r>
      <w:r w:rsidR="008D6DF1" w:rsidRPr="008D6DF1">
        <w:t>. H</w:t>
      </w:r>
      <w:r w:rsidRPr="008D6DF1">
        <w:t>owever, Zoom reservations customers now know that there are two Zoom products</w:t>
      </w:r>
      <w:r w:rsidR="008D6DF1" w:rsidRPr="008D6DF1">
        <w:t>. W</w:t>
      </w:r>
      <w:r w:rsidRPr="008D6DF1">
        <w:t>hen they see Zoom reservations, they may be reminded of Zoom running shoes (and vice versa)</w:t>
      </w:r>
      <w:r w:rsidR="008D6DF1" w:rsidRPr="008D6DF1">
        <w:t>. T</w:t>
      </w:r>
      <w:r w:rsidRPr="008D6DF1">
        <w:t>hus, the mark Zoom no longer has a unique meaning to Zoom reservations customers</w:t>
      </w:r>
      <w:r w:rsidR="008D6DF1" w:rsidRPr="008D6DF1">
        <w:t>. I</w:t>
      </w:r>
      <w:r w:rsidRPr="008D6DF1">
        <w:t>f 10 more unrelated Zoom products or services come along, the unique marketing value of Zoom as a brand may be further diminished</w:t>
      </w:r>
      <w:r w:rsidR="008D6DF1" w:rsidRPr="008D6DF1">
        <w:t>. T</w:t>
      </w:r>
      <w:r w:rsidRPr="008D6DF1">
        <w:t>his is the process that is commonly associated with dilution</w:t>
      </w:r>
      <w:r w:rsidR="008D6DF1" w:rsidRPr="008D6DF1">
        <w:t>. C</w:t>
      </w:r>
      <w:r w:rsidRPr="008D6DF1">
        <w:t xml:space="preserve">ustomers of Zoom running shoes are now “distracted” from the unique association of Zoom with running shoes by </w:t>
      </w:r>
      <w:proofErr w:type="gramStart"/>
      <w:r w:rsidRPr="008D6DF1">
        <w:t>all of</w:t>
      </w:r>
      <w:proofErr w:type="gramEnd"/>
      <w:r w:rsidRPr="008D6DF1">
        <w:t xml:space="preserve"> the other Zoom products and services.</w:t>
      </w:r>
    </w:p>
    <w:p w14:paraId="6BEACF83" w14:textId="2EF669C4" w:rsidR="008D6DF1" w:rsidRPr="008D6DF1" w:rsidRDefault="00AE6E1D" w:rsidP="008D6DF1">
      <w:pPr>
        <w:pStyle w:val="BNormal"/>
      </w:pPr>
      <w:r w:rsidRPr="008D6DF1">
        <w:t>Economists have described this phenomenon in terms of “search costs.” When one attempts to use the mark as a means of searching for desirable goods or services, the knowledge of a second user of the mark causes the search to take longer because one has to consider more than one user of the mark.</w:t>
      </w:r>
      <w:r w:rsidR="008D6DF1" w:rsidRPr="008D6DF1">
        <w:rPr>
          <w:vertAlign w:val="superscript"/>
        </w:rPr>
        <w:footnoteReference w:id="12"/>
      </w:r>
      <w:r w:rsidRPr="008D6DF1">
        <w:t xml:space="preserve"> The salience of this search cost rationale has been seriously questioned,</w:t>
      </w:r>
      <w:r w:rsidR="008D6DF1" w:rsidRPr="008D6DF1">
        <w:rPr>
          <w:vertAlign w:val="superscript"/>
        </w:rPr>
        <w:footnoteReference w:id="13"/>
      </w:r>
      <w:r w:rsidRPr="008D6DF1">
        <w:t xml:space="preserve"> but it remains a popular explanation of why we should protect marks from dilution.</w:t>
      </w:r>
    </w:p>
    <w:p w14:paraId="54188D22" w14:textId="5AE32522" w:rsidR="008D6DF1" w:rsidRPr="008D6DF1" w:rsidRDefault="00AE6E1D" w:rsidP="008D6DF1">
      <w:pPr>
        <w:pStyle w:val="BNormal"/>
      </w:pPr>
      <w:r w:rsidRPr="008D6DF1">
        <w:t>Obviously, protection from similar uses without a need for showing confusion is, potentially, extremely powerful protection for a mark</w:t>
      </w:r>
      <w:r w:rsidR="008D6DF1" w:rsidRPr="008D6DF1">
        <w:t>. A</w:t>
      </w:r>
      <w:r w:rsidRPr="008D6DF1">
        <w:t>s courts have noted from time to time, such protection may appear to give trademark owners a property right in their marks, granting them complete control over all uses of the same or similar marks.</w:t>
      </w:r>
      <w:r w:rsidR="008D6DF1" w:rsidRPr="008D6DF1">
        <w:rPr>
          <w:vertAlign w:val="superscript"/>
        </w:rPr>
        <w:footnoteReference w:id="14"/>
      </w:r>
      <w:r w:rsidRPr="008D6DF1">
        <w:t xml:space="preserve"> Moreover, it could cause dilution to supplant infringement by confusion as the dominant method of protecting trademarks</w:t>
      </w:r>
      <w:r w:rsidR="008D6DF1" w:rsidRPr="008D6DF1">
        <w:t>. A</w:t>
      </w:r>
      <w:r w:rsidRPr="008D6DF1">
        <w:t>ware of this possibility, courts and legislators have placed limits on the use of dilution protection</w:t>
      </w:r>
      <w:r w:rsidR="008D6DF1" w:rsidRPr="008D6DF1">
        <w:t>. T</w:t>
      </w:r>
      <w:r w:rsidRPr="008D6DF1">
        <w:t>hey have restricted its application to marks that have something to dilute—marks that have a special significance to the public</w:t>
      </w:r>
      <w:r w:rsidR="008D6DF1" w:rsidRPr="008D6DF1">
        <w:t>. T</w:t>
      </w:r>
      <w:r w:rsidRPr="008D6DF1">
        <w:t>his is usually phrased as marks having “distinctive quality” or marks that are “strong” or even “famous.”</w:t>
      </w:r>
      <w:r w:rsidR="008D6DF1" w:rsidRPr="008D6DF1">
        <w:rPr>
          <w:vertAlign w:val="superscript"/>
        </w:rPr>
        <w:footnoteReference w:id="15"/>
      </w:r>
      <w:r w:rsidRPr="008D6DF1">
        <w:t xml:space="preserve"> In addition, courts have attempted to devise tests for dilution that make the law appear less like property protection and that prevent it from becoming a substitute for infringement protection.</w:t>
      </w:r>
      <w:r w:rsidR="008D6DF1" w:rsidRPr="008D6DF1">
        <w:rPr>
          <w:vertAlign w:val="superscript"/>
        </w:rPr>
        <w:footnoteReference w:id="16"/>
      </w:r>
      <w:r w:rsidRPr="008D6DF1">
        <w:t xml:space="preserve"> Defining these limits is one of the most difficult aspects of this area of trademark law.</w:t>
      </w:r>
    </w:p>
    <w:p w14:paraId="73F63334" w14:textId="77029EB5" w:rsidR="008D6DF1" w:rsidRPr="008D6DF1" w:rsidRDefault="00AE6E1D" w:rsidP="008D6DF1">
      <w:pPr>
        <w:pStyle w:val="BNormal"/>
      </w:pPr>
      <w:r w:rsidRPr="008D6DF1">
        <w:lastRenderedPageBreak/>
        <w:t>Although dilution ought to stand apart from confusion as a separate theory of trademark protection, the expansion of confusion doctrines has brought the two closer together</w:t>
      </w:r>
      <w:r w:rsidR="008D6DF1" w:rsidRPr="008D6DF1">
        <w:t>. I</w:t>
      </w:r>
      <w:r w:rsidRPr="008D6DF1">
        <w:t>n particular, the theories of both confusion of sponsorship and post-sale confusion rely heavily on potential impairment of reputation and loss of goodwill, rather than diversion of trade</w:t>
      </w:r>
      <w:r w:rsidR="008D6DF1" w:rsidRPr="008D6DF1">
        <w:t>. T</w:t>
      </w:r>
      <w:r w:rsidRPr="008D6DF1">
        <w:t xml:space="preserve">his reasoning is </w:t>
      </w:r>
      <w:proofErr w:type="gramStart"/>
      <w:r w:rsidRPr="008D6DF1">
        <w:t>similar to</w:t>
      </w:r>
      <w:proofErr w:type="gramEnd"/>
      <w:r w:rsidRPr="008D6DF1">
        <w:t xml:space="preserve"> the supporting rationale set forth in many dilution cases</w:t>
      </w:r>
      <w:r w:rsidR="008D6DF1" w:rsidRPr="008D6DF1">
        <w:t>. I</w:t>
      </w:r>
      <w:r w:rsidRPr="008D6DF1">
        <w:t>ndeed, the concept of misappropriation—reaping where one has not sown</w:t>
      </w:r>
      <w:r w:rsidR="008D6DF1" w:rsidRPr="008D6DF1">
        <w:rPr>
          <w:vertAlign w:val="superscript"/>
        </w:rPr>
        <w:footnoteReference w:id="17"/>
      </w:r>
      <w:r w:rsidRPr="008D6DF1">
        <w:t>—is a strong undercurrent of the expanded concept of confusion and of dilution.</w:t>
      </w:r>
    </w:p>
    <w:p w14:paraId="4B34B174" w14:textId="3A31DE39" w:rsidR="008D6DF1" w:rsidRPr="008F6D2D" w:rsidRDefault="00B220F8" w:rsidP="008F6D2D">
      <w:pPr>
        <w:pStyle w:val="BHead1"/>
      </w:pPr>
      <w:r w:rsidRPr="004D355E">
        <w:t>1.</w:t>
      </w:r>
      <w:r w:rsidR="008D6DF1" w:rsidRPr="004D355E">
        <w:rPr>
          <w:rStyle w:val="BBNAidChar"/>
          <w:rFonts w:eastAsiaTheme="majorEastAsia"/>
        </w:rPr>
        <w:t>II</w:t>
      </w:r>
      <w:r w:rsidR="008D6DF1" w:rsidRPr="008F6D2D">
        <w:t>. The Origins of the Doctrine of</w:t>
      </w:r>
      <w:r w:rsidR="008F6D2D" w:rsidRPr="008F6D2D">
        <w:t xml:space="preserve"> </w:t>
      </w:r>
      <w:r w:rsidR="008D6DF1" w:rsidRPr="008F6D2D">
        <w:t>Trademark Dilution</w:t>
      </w:r>
    </w:p>
    <w:p w14:paraId="6DEDE501" w14:textId="26270826" w:rsidR="008D6DF1" w:rsidRPr="008D6DF1" w:rsidRDefault="00B220F8" w:rsidP="00EF7E3C">
      <w:pPr>
        <w:pStyle w:val="BHead2"/>
      </w:pPr>
      <w:r w:rsidRPr="004D355E">
        <w:t>1.II.</w:t>
      </w:r>
      <w:r w:rsidR="008D6DF1" w:rsidRPr="004D355E">
        <w:rPr>
          <w:rStyle w:val="BBNAidChar"/>
          <w:rFonts w:eastAsiaTheme="majorEastAsia"/>
        </w:rPr>
        <w:t>A</w:t>
      </w:r>
      <w:r w:rsidR="008D6DF1" w:rsidRPr="008D6DF1">
        <w:t>.</w:t>
      </w:r>
      <w:r w:rsidR="008D6DF1" w:rsidRPr="008D6DF1">
        <w:tab/>
        <w:t>Frank Schechter, the Rational Basis of Protection, and the Expansion of Trademark Infringement by Confusion</w:t>
      </w:r>
    </w:p>
    <w:p w14:paraId="5A77546B" w14:textId="427072AB" w:rsidR="008D6DF1" w:rsidRPr="009A25D5" w:rsidRDefault="00B220F8" w:rsidP="009A25D5">
      <w:pPr>
        <w:pStyle w:val="BHead3"/>
      </w:pPr>
      <w:r w:rsidRPr="004D355E">
        <w:t>1.II.A.</w:t>
      </w:r>
      <w:r w:rsidR="008D6DF1" w:rsidRPr="004D355E">
        <w:rPr>
          <w:rStyle w:val="BBNAidChar"/>
          <w:rFonts w:eastAsiaTheme="majorEastAsia"/>
        </w:rPr>
        <w:t>1</w:t>
      </w:r>
      <w:r w:rsidR="008D6DF1" w:rsidRPr="009A25D5">
        <w:t>.</w:t>
      </w:r>
      <w:r w:rsidR="008D6DF1" w:rsidRPr="009A25D5">
        <w:tab/>
        <w:t>The Contributions of Frank Schechter to Dilution Theory</w:t>
      </w:r>
    </w:p>
    <w:p w14:paraId="50F66CF8" w14:textId="6C7FC162" w:rsidR="008D6DF1" w:rsidRPr="008D6DF1" w:rsidRDefault="00AE6E1D" w:rsidP="008D6DF1">
      <w:pPr>
        <w:pStyle w:val="BNormal"/>
      </w:pPr>
      <w:r w:rsidRPr="008D6DF1">
        <w:t>Cases employing the language of dilution</w:t>
      </w:r>
      <w:r w:rsidR="008D6DF1" w:rsidRPr="008D6DF1">
        <w:rPr>
          <w:vertAlign w:val="superscript"/>
        </w:rPr>
        <w:footnoteReference w:id="18"/>
      </w:r>
      <w:r w:rsidRPr="008D6DF1">
        <w:t xml:space="preserve"> can be found as far back as the beginning of the twentieth century, and even earlier in Great Britain.</w:t>
      </w:r>
      <w:r w:rsidR="008D6DF1" w:rsidRPr="008D6DF1">
        <w:rPr>
          <w:vertAlign w:val="superscript"/>
        </w:rPr>
        <w:footnoteReference w:id="19"/>
      </w:r>
      <w:r w:rsidRPr="008D6DF1">
        <w:t xml:space="preserve"> However, credit for bringing trademark dilution into the consciousness of courts and legislators usually is given to Frank I</w:t>
      </w:r>
      <w:r w:rsidR="008D6DF1" w:rsidRPr="008D6DF1">
        <w:t>. S</w:t>
      </w:r>
      <w:r w:rsidRPr="008D6DF1">
        <w:t xml:space="preserve">chechter and his 1927 article, </w:t>
      </w:r>
      <w:r w:rsidR="008D6DF1" w:rsidRPr="008D6DF1">
        <w:rPr>
          <w:i/>
        </w:rPr>
        <w:t>The Rational Basis of Trademark Protection</w:t>
      </w:r>
      <w:r w:rsidRPr="008D6DF1">
        <w:t>.</w:t>
      </w:r>
      <w:r w:rsidR="008D6DF1" w:rsidRPr="008D6DF1">
        <w:rPr>
          <w:vertAlign w:val="superscript"/>
        </w:rPr>
        <w:footnoteReference w:id="20"/>
      </w:r>
      <w:r w:rsidRPr="008D6DF1">
        <w:t xml:space="preserve"> Schechter argued that the primary function of trademarks is to advertise and sell goods and services.</w:t>
      </w:r>
      <w:r w:rsidR="008D6DF1" w:rsidRPr="008D6DF1">
        <w:rPr>
          <w:vertAlign w:val="superscript"/>
        </w:rPr>
        <w:footnoteReference w:id="21"/>
      </w:r>
      <w:r w:rsidRPr="008D6DF1">
        <w:t xml:space="preserve"> The most distinctive marks, he claimed, create favorable impressions in the public’s mind, prompting people to buy more goods sold under that mark.</w:t>
      </w:r>
      <w:r w:rsidR="008D6DF1" w:rsidRPr="008D6DF1">
        <w:rPr>
          <w:vertAlign w:val="superscript"/>
        </w:rPr>
        <w:footnoteReference w:id="22"/>
      </w:r>
      <w:r w:rsidRPr="008D6DF1">
        <w:t xml:space="preserve"> Further, he asserted that this built-up goodwill allows the mark owner to expand into other areas, using the mark as a guaranty to customers of a particular level of quality and satisfaction.</w:t>
      </w:r>
      <w:r w:rsidR="008D6DF1" w:rsidRPr="008D6DF1">
        <w:rPr>
          <w:vertAlign w:val="superscript"/>
        </w:rPr>
        <w:footnoteReference w:id="23"/>
      </w:r>
      <w:r w:rsidRPr="008D6DF1">
        <w:t xml:space="preserve"> Thus, the unauthorized use of this mark on other goods (i.e., ones not of a type made by the mark owner) gradually erodes the selling power of the mark</w:t>
      </w:r>
      <w:r w:rsidR="008D6DF1" w:rsidRPr="008D6DF1">
        <w:t>. H</w:t>
      </w:r>
      <w:r w:rsidRPr="008D6DF1">
        <w:t>e described this as “the gradual whittling away or dispersion of the identity and hold upon the public mind of the mark or name by its use upon non-competing goods.”</w:t>
      </w:r>
      <w:r w:rsidR="008D6DF1" w:rsidRPr="008D6DF1">
        <w:rPr>
          <w:vertAlign w:val="superscript"/>
        </w:rPr>
        <w:footnoteReference w:id="24"/>
      </w:r>
      <w:r w:rsidRPr="008D6DF1">
        <w:t xml:space="preserve"> This differs from traditional trademark infringement in that it does not depend on any actual diversion of trade</w:t>
      </w:r>
      <w:r w:rsidR="008D6DF1" w:rsidRPr="008D6DF1">
        <w:t>. N</w:t>
      </w:r>
      <w:r w:rsidRPr="008D6DF1">
        <w:t>or does it depend on the public being confused about the source or origin of the goods.</w:t>
      </w:r>
      <w:r w:rsidR="008D6DF1" w:rsidRPr="008D6DF1">
        <w:rPr>
          <w:vertAlign w:val="superscript"/>
        </w:rPr>
        <w:footnoteReference w:id="25"/>
      </w:r>
      <w:r w:rsidRPr="008D6DF1">
        <w:t xml:space="preserve"> Protection of the uniqueness of a trademark, in Schechter’s view, is “the </w:t>
      </w:r>
      <w:r w:rsidR="008D6DF1" w:rsidRPr="008D6DF1">
        <w:rPr>
          <w:i/>
        </w:rPr>
        <w:t>only</w:t>
      </w:r>
      <w:r w:rsidRPr="008D6DF1">
        <w:t xml:space="preserve"> rational basis for its protection.”</w:t>
      </w:r>
      <w:r w:rsidR="008D6DF1" w:rsidRPr="008D6DF1">
        <w:rPr>
          <w:vertAlign w:val="superscript"/>
        </w:rPr>
        <w:footnoteReference w:id="26"/>
      </w:r>
      <w:r w:rsidRPr="008D6DF1">
        <w:t xml:space="preserve"> He urged American courts to adopt a doctrine described in a German case, which appeared to protect a mark against use on noncompeting goods in order to protect the selling power of the mark.</w:t>
      </w:r>
      <w:r w:rsidR="008D6DF1" w:rsidRPr="008D6DF1">
        <w:rPr>
          <w:vertAlign w:val="superscript"/>
        </w:rPr>
        <w:footnoteReference w:id="27"/>
      </w:r>
    </w:p>
    <w:p w14:paraId="132E7E47" w14:textId="18427363" w:rsidR="008D6DF1" w:rsidRPr="008D6DF1" w:rsidRDefault="00AE6E1D" w:rsidP="008D6DF1">
      <w:pPr>
        <w:pStyle w:val="BNormal"/>
      </w:pPr>
      <w:r w:rsidRPr="008D6DF1">
        <w:t>Schechter did not advocate that all marks should receive such protection</w:t>
      </w:r>
      <w:r w:rsidR="008D6DF1" w:rsidRPr="008D6DF1">
        <w:t>. T</w:t>
      </w:r>
      <w:r w:rsidRPr="008D6DF1">
        <w:t>he broadest protection, he believed, should be reserved for “coined or fanciful marks,” as opposed to “words or phrases in common use.”</w:t>
      </w:r>
      <w:r w:rsidR="008D6DF1" w:rsidRPr="008D6DF1">
        <w:rPr>
          <w:vertAlign w:val="superscript"/>
        </w:rPr>
        <w:footnoteReference w:id="28"/>
      </w:r>
      <w:r w:rsidRPr="008D6DF1">
        <w:t xml:space="preserve"> This is justified because of the requirement that a mark be uniquely associated with a particular source to merit such </w:t>
      </w:r>
      <w:r w:rsidRPr="008D6DF1">
        <w:lastRenderedPageBreak/>
        <w:t>broad protection.</w:t>
      </w:r>
      <w:r w:rsidR="008D6DF1" w:rsidRPr="008D6DF1">
        <w:rPr>
          <w:vertAlign w:val="superscript"/>
        </w:rPr>
        <w:footnoteReference w:id="29"/>
      </w:r>
      <w:r w:rsidRPr="008D6DF1">
        <w:t xml:space="preserve"> Indeed, as the Supreme Court has noted, Schechter’s thesis applied to marks that “‘added to rather than </w:t>
      </w:r>
      <w:proofErr w:type="spellStart"/>
      <w:r w:rsidRPr="008D6DF1">
        <w:t>withdr</w:t>
      </w:r>
      <w:proofErr w:type="spellEnd"/>
      <w:r w:rsidRPr="008D6DF1">
        <w:t>[</w:t>
      </w:r>
      <w:proofErr w:type="spellStart"/>
      <w:r w:rsidRPr="008D6DF1">
        <w:t>ew</w:t>
      </w:r>
      <w:proofErr w:type="spellEnd"/>
      <w:r w:rsidRPr="008D6DF1">
        <w:t>] from the human vocabulary.’”</w:t>
      </w:r>
      <w:r w:rsidR="008D6DF1" w:rsidRPr="008D6DF1">
        <w:rPr>
          <w:vertAlign w:val="superscript"/>
        </w:rPr>
        <w:footnoteReference w:id="30"/>
      </w:r>
      <w:r w:rsidRPr="008D6DF1">
        <w:t xml:space="preserve"> Thus, in Schechter’s concept of dilution, even a very well-known trademark like “Visa” might not be eligible for dilution protection because it is not a coined word</w:t>
      </w:r>
      <w:r w:rsidR="008D6DF1" w:rsidRPr="008D6DF1">
        <w:t>. (</w:t>
      </w:r>
      <w:r w:rsidRPr="008D6DF1">
        <w:t>Depending on context, it might be considered “fanciful”—as Apple is for computers</w:t>
      </w:r>
      <w:r w:rsidR="008D6DF1" w:rsidRPr="008D6DF1">
        <w:t>. W</w:t>
      </w:r>
      <w:r w:rsidRPr="008D6DF1">
        <w:t>hether Visa for credit cards would be sufficiently fanciful for Schechter is unclear.</w:t>
      </w:r>
      <w:r w:rsidR="008D6DF1" w:rsidRPr="008D6DF1">
        <w:rPr>
          <w:vertAlign w:val="superscript"/>
        </w:rPr>
        <w:footnoteReference w:id="31"/>
      </w:r>
      <w:r w:rsidRPr="008D6DF1">
        <w:t>)</w:t>
      </w:r>
    </w:p>
    <w:p w14:paraId="3F871DC8" w14:textId="6EEBF44B" w:rsidR="008D6DF1" w:rsidRPr="009A25D5" w:rsidRDefault="00B220F8" w:rsidP="009A25D5">
      <w:pPr>
        <w:pStyle w:val="BHead3"/>
      </w:pPr>
      <w:r w:rsidRPr="004D355E">
        <w:t>1.II.A.</w:t>
      </w:r>
      <w:r w:rsidR="008D6DF1" w:rsidRPr="004D355E">
        <w:rPr>
          <w:rStyle w:val="BBNAidChar"/>
          <w:rFonts w:eastAsiaTheme="majorEastAsia"/>
        </w:rPr>
        <w:t>2</w:t>
      </w:r>
      <w:r w:rsidR="008D6DF1" w:rsidRPr="009A25D5">
        <w:t>.</w:t>
      </w:r>
      <w:r w:rsidR="008D6DF1" w:rsidRPr="009A25D5">
        <w:tab/>
        <w:t>The Expansion of Confusion Theory to Protect Goodwill</w:t>
      </w:r>
    </w:p>
    <w:p w14:paraId="1E6F6240" w14:textId="61857EEF" w:rsidR="008D6DF1" w:rsidRPr="008D6DF1" w:rsidRDefault="00AE6E1D" w:rsidP="008D6DF1">
      <w:pPr>
        <w:pStyle w:val="BNormal"/>
      </w:pPr>
      <w:r w:rsidRPr="008D6DF1">
        <w:t>Schechter wrote at a time when the doctrines of trademark protection were far more limited than they are today, even without considering the doctrine of dilution</w:t>
      </w:r>
      <w:r w:rsidR="008D6DF1" w:rsidRPr="008D6DF1">
        <w:t>. H</w:t>
      </w:r>
      <w:r w:rsidRPr="008D6DF1">
        <w:t>is great concern was that infringement law relied on notions of unfair competition, meaning that protection primarily depended on the existence of competition between the parties</w:t>
      </w:r>
      <w:r w:rsidR="008D6DF1" w:rsidRPr="008D6DF1">
        <w:t>. W</w:t>
      </w:r>
      <w:r w:rsidRPr="008D6DF1">
        <w:t>hen there was no competition, there usually was no trademark infringement.</w:t>
      </w:r>
      <w:r w:rsidR="008D6DF1" w:rsidRPr="008D6DF1">
        <w:rPr>
          <w:vertAlign w:val="superscript"/>
        </w:rPr>
        <w:footnoteReference w:id="32"/>
      </w:r>
      <w:r w:rsidRPr="008D6DF1">
        <w:t xml:space="preserve"> However, the theory of confusion that underlies trademark infringement has expanded significantly since 1927</w:t>
      </w:r>
      <w:r w:rsidR="008D6DF1" w:rsidRPr="008D6DF1">
        <w:t>. N</w:t>
      </w:r>
      <w:r w:rsidRPr="008D6DF1">
        <w:t>o longer is confusion limited to the same or related goods</w:t>
      </w:r>
      <w:r w:rsidR="008D6DF1" w:rsidRPr="008D6DF1">
        <w:t>. T</w:t>
      </w:r>
      <w:r w:rsidRPr="008D6DF1">
        <w:t>his expansion of the circumstances under which confusion may be found has allowed traditional infringement law to protect many of the values that Schechter propounded.</w:t>
      </w:r>
    </w:p>
    <w:p w14:paraId="03613ED6" w14:textId="6C185DA2" w:rsidR="008D6DF1" w:rsidRPr="008D6DF1" w:rsidRDefault="00AE6E1D" w:rsidP="008D6DF1">
      <w:pPr>
        <w:pStyle w:val="BNormal"/>
      </w:pPr>
      <w:r w:rsidRPr="008D6DF1">
        <w:t>As discussed in section I, the tests used to measure confusion today clearly contemplate the possibility of confusion among unrelated goods, particularly where the plaintiff owns a “strong” mark, that is, one well known to the public and identified with the plaintiff.</w:t>
      </w:r>
      <w:r w:rsidR="008D6DF1" w:rsidRPr="008D6DF1">
        <w:rPr>
          <w:vertAlign w:val="superscript"/>
        </w:rPr>
        <w:footnoteReference w:id="33"/>
      </w:r>
      <w:r w:rsidRPr="008D6DF1">
        <w:t xml:space="preserve"> Another recognized expansion of the confusion concept is confusion of sponsorship or approval, which does not even require the public to believe that the plaintiff is the actual source of the goods, as long as people think that the plaintiff sponsored or approved of the use of its mark by the defendant.</w:t>
      </w:r>
      <w:r w:rsidR="008D6DF1" w:rsidRPr="008D6DF1">
        <w:rPr>
          <w:vertAlign w:val="superscript"/>
        </w:rPr>
        <w:footnoteReference w:id="34"/>
      </w:r>
      <w:r w:rsidRPr="008D6DF1">
        <w:t xml:space="preserve"> A further example of the expansion of confusion is “post-sale” confusion, which requires no point-of-sale confusion at all on the part of consumers</w:t>
      </w:r>
      <w:r w:rsidR="008D6DF1" w:rsidRPr="008D6DF1">
        <w:t>. I</w:t>
      </w:r>
      <w:r w:rsidRPr="008D6DF1">
        <w:t>t is based on the confusion of others who see the defendant’s product after it is purchased and who are confused about its origin, although the buyer was not confused at all.</w:t>
      </w:r>
      <w:r w:rsidR="008D6DF1" w:rsidRPr="008D6DF1">
        <w:rPr>
          <w:vertAlign w:val="superscript"/>
        </w:rPr>
        <w:footnoteReference w:id="35"/>
      </w:r>
      <w:r w:rsidRPr="008D6DF1">
        <w:t xml:space="preserve"> This form of confusion relies heavily on the perceived possibility of another manufacturer selling an inferior product, causing loss of reputation among </w:t>
      </w:r>
      <w:proofErr w:type="spellStart"/>
      <w:r w:rsidRPr="008D6DF1">
        <w:t>nonpurchasers</w:t>
      </w:r>
      <w:proofErr w:type="spellEnd"/>
      <w:r w:rsidRPr="008D6DF1">
        <w:t xml:space="preserve"> (since purchasers know that the product is a copy).</w:t>
      </w:r>
      <w:r w:rsidR="008D6DF1" w:rsidRPr="008D6DF1">
        <w:rPr>
          <w:vertAlign w:val="superscript"/>
        </w:rPr>
        <w:footnoteReference w:id="36"/>
      </w:r>
      <w:r w:rsidRPr="008D6DF1">
        <w:t xml:space="preserve"> Finally, “initial interest confusion” has been recognized, largely in Internet cases, where a person searching the Internet is initially led to the wrong Web site (usually because the offender’s domain name is the same as or similar to the trademark of another person)</w:t>
      </w:r>
      <w:r w:rsidR="008D6DF1" w:rsidRPr="008D6DF1">
        <w:t>. T</w:t>
      </w:r>
      <w:r w:rsidRPr="008D6DF1">
        <w:t xml:space="preserve">he user normally realizes his or her mistake and </w:t>
      </w:r>
      <w:r w:rsidRPr="008D6DF1">
        <w:lastRenderedPageBreak/>
        <w:t>can move on</w:t>
      </w:r>
      <w:r w:rsidR="008D6DF1" w:rsidRPr="008D6DF1">
        <w:t>. H</w:t>
      </w:r>
      <w:r w:rsidRPr="008D6DF1">
        <w:t>owever, the user may be induced to explore the erroneous site and be diverted from the original search.</w:t>
      </w:r>
      <w:r w:rsidR="008D6DF1" w:rsidRPr="008D6DF1">
        <w:rPr>
          <w:vertAlign w:val="superscript"/>
        </w:rPr>
        <w:footnoteReference w:id="37"/>
      </w:r>
    </w:p>
    <w:p w14:paraId="54320F74" w14:textId="77FE37F1" w:rsidR="008D6DF1" w:rsidRPr="008D6DF1" w:rsidRDefault="00AE6E1D" w:rsidP="008D6DF1">
      <w:pPr>
        <w:pStyle w:val="BNormal"/>
      </w:pPr>
      <w:r w:rsidRPr="008D6DF1">
        <w:t>These forms of confusion, particularly post-sale and confusion of sponsorship, are very dependent on the desire to allow the trademark owner control over the mark’s reputation</w:t>
      </w:r>
      <w:r w:rsidR="008D6DF1" w:rsidRPr="008D6DF1">
        <w:t>. T</w:t>
      </w:r>
      <w:r w:rsidRPr="008D6DF1">
        <w:t>hose sentiments are very much like the rationale put forth by Schechter for dilution protection</w:t>
      </w:r>
      <w:r w:rsidR="008D6DF1" w:rsidRPr="008D6DF1">
        <w:t>. I</w:t>
      </w:r>
      <w:r w:rsidRPr="008D6DF1">
        <w:t xml:space="preserve">t is unclear, therefore, whether today Schechter would have </w:t>
      </w:r>
      <w:proofErr w:type="gramStart"/>
      <w:r w:rsidRPr="008D6DF1">
        <w:t>divined</w:t>
      </w:r>
      <w:proofErr w:type="gramEnd"/>
      <w:r w:rsidRPr="008D6DF1">
        <w:t xml:space="preserve"> the same need for promoting a doctrine that potentially protects highly distinctive marks from virtually any unauthorized use on other goods or services.</w:t>
      </w:r>
    </w:p>
    <w:p w14:paraId="356FEC6A" w14:textId="1DBC093E" w:rsidR="008D6DF1" w:rsidRPr="008D6DF1" w:rsidRDefault="00AE6E1D" w:rsidP="008D6DF1">
      <w:pPr>
        <w:pStyle w:val="BNormal"/>
      </w:pPr>
      <w:r w:rsidRPr="008D6DF1">
        <w:t>Nevertheless, Schechter’s dilution proposal has spawned an entirely new and important area of trademark protection</w:t>
      </w:r>
      <w:r w:rsidR="008D6DF1" w:rsidRPr="008D6DF1">
        <w:t>. A</w:t>
      </w:r>
      <w:r w:rsidRPr="008D6DF1">
        <w:t>lthough his ideas did not begin to take hold for at least 20 years after his article appeared, they have now been enshrined in both federal and state statutes.</w:t>
      </w:r>
    </w:p>
    <w:p w14:paraId="5168E7CF" w14:textId="6D07C9D8" w:rsidR="008D6DF1" w:rsidRPr="008D6DF1" w:rsidRDefault="00B220F8" w:rsidP="00EF7E3C">
      <w:pPr>
        <w:pStyle w:val="BHead2"/>
      </w:pPr>
      <w:r w:rsidRPr="004D355E">
        <w:t>1.II.</w:t>
      </w:r>
      <w:r w:rsidR="008D6DF1" w:rsidRPr="004D355E">
        <w:rPr>
          <w:rStyle w:val="BBNAidChar"/>
          <w:rFonts w:eastAsiaTheme="majorEastAsia"/>
        </w:rPr>
        <w:t>B</w:t>
      </w:r>
      <w:r w:rsidR="008D6DF1" w:rsidRPr="008D6DF1">
        <w:t>.</w:t>
      </w:r>
      <w:r w:rsidR="008D6DF1" w:rsidRPr="008D6DF1">
        <w:tab/>
      </w:r>
      <w:proofErr w:type="spellStart"/>
      <w:r w:rsidR="008D6DF1" w:rsidRPr="008D6DF1">
        <w:t>Prestatutory</w:t>
      </w:r>
      <w:proofErr w:type="spellEnd"/>
      <w:r w:rsidR="008D6DF1" w:rsidRPr="008D6DF1">
        <w:t xml:space="preserve"> Cases Protecting Marks </w:t>
      </w:r>
      <w:proofErr w:type="gramStart"/>
      <w:r w:rsidR="008D6DF1" w:rsidRPr="008D6DF1">
        <w:t>From</w:t>
      </w:r>
      <w:proofErr w:type="gramEnd"/>
      <w:r w:rsidR="008D6DF1" w:rsidRPr="008D6DF1">
        <w:t xml:space="preserve"> Apparent Dilution</w:t>
      </w:r>
    </w:p>
    <w:p w14:paraId="4F92ACB1" w14:textId="59637C33" w:rsidR="008D6DF1" w:rsidRPr="008D6DF1" w:rsidRDefault="00AE6E1D" w:rsidP="008D6DF1">
      <w:pPr>
        <w:pStyle w:val="BNormal"/>
      </w:pPr>
      <w:r w:rsidRPr="008D6DF1">
        <w:t>Before there were any dilution statutes, there were some cases that are now regarded as the forerunners of modern dilution law</w:t>
      </w:r>
      <w:r w:rsidR="008D6DF1" w:rsidRPr="008D6DF1">
        <w:t>. A</w:t>
      </w:r>
      <w:r w:rsidRPr="008D6DF1">
        <w:t>ll were decided using a confusion rationale, but with strong dilution overtones</w:t>
      </w:r>
      <w:r w:rsidR="008D6DF1" w:rsidRPr="008D6DF1">
        <w:t>. I</w:t>
      </w:r>
      <w:r w:rsidRPr="008D6DF1">
        <w:t>n Great Britain, there was a case as far back as the late nineteenth century, in which Kodak (the photography corporation) sued the maker of a “Kodak” bicycle.</w:t>
      </w:r>
      <w:r w:rsidR="008D6DF1" w:rsidRPr="008D6DF1">
        <w:rPr>
          <w:vertAlign w:val="superscript"/>
        </w:rPr>
        <w:footnoteReference w:id="38"/>
      </w:r>
      <w:r w:rsidRPr="008D6DF1">
        <w:t xml:space="preserve"> In that case, the court enjoined the Kodak bicycle despite a lack of evident competition, though at least formally it used the doctrine of passing off as its rationale.</w:t>
      </w:r>
      <w:r w:rsidR="008D6DF1" w:rsidRPr="008D6DF1">
        <w:rPr>
          <w:vertAlign w:val="superscript"/>
        </w:rPr>
        <w:footnoteReference w:id="39"/>
      </w:r>
    </w:p>
    <w:p w14:paraId="6A23A776" w14:textId="2A75068B" w:rsidR="008D6DF1" w:rsidRPr="008D6DF1" w:rsidRDefault="00AE6E1D" w:rsidP="008D6DF1">
      <w:pPr>
        <w:pStyle w:val="BNormal"/>
      </w:pPr>
      <w:r w:rsidRPr="008D6DF1">
        <w:t xml:space="preserve">In this country, </w:t>
      </w:r>
      <w:proofErr w:type="gramStart"/>
      <w:r w:rsidRPr="008D6DF1">
        <w:t>one</w:t>
      </w:r>
      <w:proofErr w:type="gramEnd"/>
      <w:r w:rsidRPr="008D6DF1">
        <w:t xml:space="preserve"> </w:t>
      </w:r>
      <w:proofErr w:type="gramStart"/>
      <w:r w:rsidRPr="008D6DF1">
        <w:t>oft</w:t>
      </w:r>
      <w:proofErr w:type="gramEnd"/>
      <w:r w:rsidRPr="008D6DF1">
        <w:t xml:space="preserve">-cited case indicating early support for dilution is Judge Learned Hand’s opinion in </w:t>
      </w:r>
      <w:r w:rsidR="008D6DF1" w:rsidRPr="008D6DF1">
        <w:rPr>
          <w:i/>
        </w:rPr>
        <w:t>Yale Electric Corp</w:t>
      </w:r>
      <w:r w:rsidR="008D6DF1" w:rsidRPr="008D6DF1">
        <w:t xml:space="preserve">. </w:t>
      </w:r>
      <w:r w:rsidR="008D6DF1" w:rsidRPr="008D6DF1">
        <w:rPr>
          <w:i/>
        </w:rPr>
        <w:t>v</w:t>
      </w:r>
      <w:r w:rsidR="008D6DF1" w:rsidRPr="008D6DF1">
        <w:t xml:space="preserve">. </w:t>
      </w:r>
      <w:r w:rsidR="008D6DF1" w:rsidRPr="008D6DF1">
        <w:rPr>
          <w:i/>
        </w:rPr>
        <w:t>Robertson</w:t>
      </w:r>
      <w:r w:rsidRPr="008D6DF1">
        <w:t>.</w:t>
      </w:r>
      <w:r w:rsidR="008D6DF1" w:rsidRPr="008D6DF1">
        <w:rPr>
          <w:vertAlign w:val="superscript"/>
        </w:rPr>
        <w:footnoteReference w:id="40"/>
      </w:r>
      <w:r w:rsidRPr="008D6DF1">
        <w:t xml:space="preserve"> The maker of Yale locks opposed registration of the word Yale for use on batteries and flashlights</w:t>
      </w:r>
      <w:r w:rsidR="008D6DF1" w:rsidRPr="008D6DF1">
        <w:t>. T</w:t>
      </w:r>
      <w:r w:rsidRPr="008D6DF1">
        <w:t>hough acknowledging that the two companies produced products that did not compete, Judge Hand gave this explanation of why that should not preclude relief:</w:t>
      </w:r>
    </w:p>
    <w:p w14:paraId="4092C316" w14:textId="2C5B26BF" w:rsidR="008D6DF1" w:rsidRPr="008D6DF1" w:rsidRDefault="00AE6E1D" w:rsidP="008D6DF1">
      <w:pPr>
        <w:pStyle w:val="BQuotelong"/>
      </w:pPr>
      <w:r w:rsidRPr="008D6DF1">
        <w:t xml:space="preserve">It </w:t>
      </w:r>
      <w:proofErr w:type="gramStart"/>
      <w:r w:rsidRPr="008D6DF1">
        <w:t>has of recent years</w:t>
      </w:r>
      <w:proofErr w:type="gramEnd"/>
      <w:r w:rsidRPr="008D6DF1">
        <w:t xml:space="preserve"> been recognized that a merchant may have </w:t>
      </w:r>
      <w:proofErr w:type="gramStart"/>
      <w:r w:rsidRPr="008D6DF1">
        <w:t>a sufficient</w:t>
      </w:r>
      <w:proofErr w:type="gramEnd"/>
      <w:r w:rsidRPr="008D6DF1">
        <w:t xml:space="preserve"> economic interest in the use of his mark outside the field of his own exploitation to justify interposition by a court</w:t>
      </w:r>
      <w:r w:rsidR="008D6DF1" w:rsidRPr="008D6DF1">
        <w:t>. H</w:t>
      </w:r>
      <w:r w:rsidRPr="008D6DF1">
        <w:t>is mark is his authentic seal</w:t>
      </w:r>
      <w:r w:rsidR="008D6DF1" w:rsidRPr="008D6DF1">
        <w:t xml:space="preserve">; </w:t>
      </w:r>
      <w:proofErr w:type="gramStart"/>
      <w:r w:rsidR="008D6DF1" w:rsidRPr="008D6DF1">
        <w:t>b</w:t>
      </w:r>
      <w:r w:rsidRPr="008D6DF1">
        <w:t>y</w:t>
      </w:r>
      <w:proofErr w:type="gramEnd"/>
      <w:r w:rsidRPr="008D6DF1">
        <w:t xml:space="preserve"> it he vouches for the goods which bear it</w:t>
      </w:r>
      <w:r w:rsidR="008D6DF1" w:rsidRPr="008D6DF1">
        <w:t>; i</w:t>
      </w:r>
      <w:r w:rsidRPr="008D6DF1">
        <w:t>t carries his name for good or ill</w:t>
      </w:r>
      <w:r w:rsidR="008D6DF1" w:rsidRPr="008D6DF1">
        <w:t>. I</w:t>
      </w:r>
      <w:r w:rsidRPr="008D6DF1">
        <w:t>f another uses it, he borrows the owner’s reputation, whose quality no longer lies within his own control</w:t>
      </w:r>
      <w:r w:rsidR="008D6DF1" w:rsidRPr="008D6DF1">
        <w:t>. T</w:t>
      </w:r>
      <w:r w:rsidRPr="008D6DF1">
        <w:t>his is an injury, even though the borrower does not tarnish it, or defer any sales by its use</w:t>
      </w:r>
      <w:r w:rsidR="008D6DF1" w:rsidRPr="008D6DF1">
        <w:t>; f</w:t>
      </w:r>
      <w:r w:rsidRPr="008D6DF1">
        <w:t>or a reputation, like a face, is the symbol of its possessor and creator, and another can use it only as a mask.</w:t>
      </w:r>
      <w:r w:rsidR="008D6DF1" w:rsidRPr="008D6DF1">
        <w:rPr>
          <w:vertAlign w:val="superscript"/>
        </w:rPr>
        <w:footnoteReference w:id="41"/>
      </w:r>
    </w:p>
    <w:p w14:paraId="61413776" w14:textId="5910CCD3" w:rsidR="008D6DF1" w:rsidRPr="008D6DF1" w:rsidRDefault="00AE6E1D" w:rsidP="008D6DF1">
      <w:pPr>
        <w:pStyle w:val="BNormal"/>
      </w:pPr>
      <w:r w:rsidRPr="008D6DF1">
        <w:t xml:space="preserve">A New York </w:t>
      </w:r>
      <w:proofErr w:type="gramStart"/>
      <w:r w:rsidRPr="008D6DF1">
        <w:t>state</w:t>
      </w:r>
      <w:proofErr w:type="gramEnd"/>
      <w:r w:rsidRPr="008D6DF1">
        <w:t xml:space="preserve"> court case, </w:t>
      </w:r>
      <w:r w:rsidR="008D6DF1" w:rsidRPr="008D6DF1">
        <w:rPr>
          <w:i/>
        </w:rPr>
        <w:t>Tiffany &amp; Co</w:t>
      </w:r>
      <w:r w:rsidR="008D6DF1" w:rsidRPr="008D6DF1">
        <w:t xml:space="preserve">. </w:t>
      </w:r>
      <w:r w:rsidR="008D6DF1" w:rsidRPr="008D6DF1">
        <w:rPr>
          <w:i/>
        </w:rPr>
        <w:t>v</w:t>
      </w:r>
      <w:r w:rsidR="008D6DF1" w:rsidRPr="008D6DF1">
        <w:t xml:space="preserve">. </w:t>
      </w:r>
      <w:r w:rsidR="008D6DF1" w:rsidRPr="008D6DF1">
        <w:rPr>
          <w:i/>
        </w:rPr>
        <w:t>Tiffany Productions, Inc</w:t>
      </w:r>
      <w:r w:rsidRPr="008D6DF1">
        <w:t>.,</w:t>
      </w:r>
      <w:r w:rsidR="008D6DF1" w:rsidRPr="008D6DF1">
        <w:rPr>
          <w:vertAlign w:val="superscript"/>
        </w:rPr>
        <w:footnoteReference w:id="42"/>
      </w:r>
      <w:r w:rsidRPr="008D6DF1">
        <w:t xml:space="preserve"> generally is regarded as one of the earliest true dilution cases</w:t>
      </w:r>
      <w:r w:rsidR="008D6DF1" w:rsidRPr="008D6DF1">
        <w:t>. T</w:t>
      </w:r>
      <w:r w:rsidRPr="008D6DF1">
        <w:t xml:space="preserve">he well-known retailer sued a movie production company calling itself Tiffany, </w:t>
      </w:r>
      <w:r w:rsidRPr="008D6DF1">
        <w:lastRenderedPageBreak/>
        <w:t>which also used diamonds and other gems as part of its advertising.</w:t>
      </w:r>
      <w:r w:rsidR="008D6DF1" w:rsidRPr="008D6DF1">
        <w:rPr>
          <w:vertAlign w:val="superscript"/>
        </w:rPr>
        <w:footnoteReference w:id="43"/>
      </w:r>
      <w:r w:rsidRPr="008D6DF1">
        <w:t xml:space="preserve"> After paying obeisance to the confusion rationale, the court continued</w:t>
      </w:r>
      <w:r w:rsidR="008D6DF1" w:rsidRPr="008D6DF1">
        <w:t>: “</w:t>
      </w:r>
      <w:r w:rsidRPr="008D6DF1">
        <w:t>The real injury in such cases of noncompetitive products ‘is the gradual whittling away or dispersion of the identity and hold upon the public mind of the mark or name by its use on non-competing goods.’”</w:t>
      </w:r>
      <w:r w:rsidR="008D6DF1" w:rsidRPr="008D6DF1">
        <w:rPr>
          <w:vertAlign w:val="superscript"/>
        </w:rPr>
        <w:footnoteReference w:id="44"/>
      </w:r>
      <w:r w:rsidRPr="008D6DF1">
        <w:t xml:space="preserve"> The court obviously was concerned that the defendant had intended to trade on the goodwill of the Tiffany mark.</w:t>
      </w:r>
      <w:r w:rsidR="008D6DF1" w:rsidRPr="008D6DF1">
        <w:rPr>
          <w:vertAlign w:val="superscript"/>
        </w:rPr>
        <w:footnoteReference w:id="45"/>
      </w:r>
      <w:r w:rsidRPr="008D6DF1">
        <w:t xml:space="preserve"> A few years later, Schechter’s article, discussed in Section II.A, above, again was cited with approval (as along with Judge Hand’s opinion in </w:t>
      </w:r>
      <w:r w:rsidR="008D6DF1" w:rsidRPr="008D6DF1">
        <w:rPr>
          <w:i/>
        </w:rPr>
        <w:t>Robertson</w:t>
      </w:r>
      <w:r w:rsidRPr="008D6DF1">
        <w:t>) by a New York state court in a suit by the owner of the Philco mark (used on radios and accessories) against a maker of razor blades.</w:t>
      </w:r>
      <w:r w:rsidR="008D6DF1" w:rsidRPr="008D6DF1">
        <w:rPr>
          <w:vertAlign w:val="superscript"/>
        </w:rPr>
        <w:footnoteReference w:id="46"/>
      </w:r>
      <w:r w:rsidRPr="008D6DF1">
        <w:t xml:space="preserve"> In </w:t>
      </w:r>
      <w:r w:rsidR="008D6DF1" w:rsidRPr="008D6DF1">
        <w:rPr>
          <w:i/>
        </w:rPr>
        <w:t>Philadelphia Storage Battery Co</w:t>
      </w:r>
      <w:r w:rsidR="008D6DF1" w:rsidRPr="008D6DF1">
        <w:t xml:space="preserve">. </w:t>
      </w:r>
      <w:r w:rsidR="008D6DF1" w:rsidRPr="008D6DF1">
        <w:rPr>
          <w:i/>
        </w:rPr>
        <w:t>v</w:t>
      </w:r>
      <w:r w:rsidR="008D6DF1" w:rsidRPr="008D6DF1">
        <w:t xml:space="preserve">. </w:t>
      </w:r>
      <w:r w:rsidR="008D6DF1" w:rsidRPr="008D6DF1">
        <w:rPr>
          <w:i/>
        </w:rPr>
        <w:t>Mindlin</w:t>
      </w:r>
      <w:r w:rsidRPr="008D6DF1">
        <w:t>, the court stated that there may be exceptions to infringement (or dilution) with a mark that is “so nondescript as to render its selling power improbable,” where fair use is made by the defendant, or where the defendant has in good faith built up recognition of its own.</w:t>
      </w:r>
      <w:r w:rsidR="008D6DF1" w:rsidRPr="008D6DF1">
        <w:rPr>
          <w:vertAlign w:val="superscript"/>
        </w:rPr>
        <w:footnoteReference w:id="47"/>
      </w:r>
    </w:p>
    <w:p w14:paraId="4D1CC796" w14:textId="2E4F6B24" w:rsidR="008D6DF1" w:rsidRPr="008D6DF1" w:rsidRDefault="00AE6E1D" w:rsidP="008D6DF1">
      <w:pPr>
        <w:pStyle w:val="BNormal"/>
      </w:pPr>
      <w:r w:rsidRPr="008D6DF1">
        <w:t xml:space="preserve">Another </w:t>
      </w:r>
      <w:proofErr w:type="spellStart"/>
      <w:r w:rsidRPr="008D6DF1">
        <w:t>prestatutory</w:t>
      </w:r>
      <w:proofErr w:type="spellEnd"/>
      <w:r w:rsidRPr="008D6DF1">
        <w:t xml:space="preserve"> case is </w:t>
      </w:r>
      <w:r w:rsidR="008D6DF1" w:rsidRPr="008D6DF1">
        <w:rPr>
          <w:i/>
        </w:rPr>
        <w:t>Bulova Watch Co</w:t>
      </w:r>
      <w:r w:rsidR="008D6DF1" w:rsidRPr="008D6DF1">
        <w:t xml:space="preserve">. </w:t>
      </w:r>
      <w:r w:rsidR="008D6DF1" w:rsidRPr="008D6DF1">
        <w:rPr>
          <w:i/>
        </w:rPr>
        <w:t>v</w:t>
      </w:r>
      <w:r w:rsidR="008D6DF1" w:rsidRPr="008D6DF1">
        <w:t xml:space="preserve">. </w:t>
      </w:r>
      <w:r w:rsidR="008D6DF1" w:rsidRPr="008D6DF1">
        <w:rPr>
          <w:i/>
        </w:rPr>
        <w:t>Stolzberg</w:t>
      </w:r>
      <w:r w:rsidRPr="008D6DF1">
        <w:t>,</w:t>
      </w:r>
      <w:r w:rsidR="008D6DF1" w:rsidRPr="008D6DF1">
        <w:rPr>
          <w:vertAlign w:val="superscript"/>
        </w:rPr>
        <w:footnoteReference w:id="48"/>
      </w:r>
      <w:r w:rsidRPr="008D6DF1">
        <w:t xml:space="preserve"> decided by the U.S</w:t>
      </w:r>
      <w:r w:rsidR="008D6DF1" w:rsidRPr="008D6DF1">
        <w:t>. D</w:t>
      </w:r>
      <w:r w:rsidRPr="008D6DF1">
        <w:t>istrict Court for the District of Massachusetts just months before Massachusetts enacted the country’s first dilution statute</w:t>
      </w:r>
      <w:r w:rsidR="008D6DF1" w:rsidRPr="008D6DF1">
        <w:t>. I</w:t>
      </w:r>
      <w:r w:rsidRPr="008D6DF1">
        <w:t>n this suit, brought by the maker of Bulova watches against a shoe manufacturer, the court opined that in dealing with an unfair competition claim,</w:t>
      </w:r>
    </w:p>
    <w:p w14:paraId="78B693E0" w14:textId="3FEA2AD4" w:rsidR="008D6DF1" w:rsidRPr="008D6DF1" w:rsidRDefault="00AE6E1D" w:rsidP="008D6DF1">
      <w:pPr>
        <w:pStyle w:val="BQuotelong"/>
      </w:pPr>
      <w:r w:rsidRPr="008D6DF1">
        <w:t>it is the “unfairness” of the defendant’s conduct rather than the existence of “competition” between plaintiff and defendant which forms the basis for the intervention of a court of equity</w:t>
      </w:r>
      <w:r w:rsidR="008D6DF1" w:rsidRPr="008D6DF1">
        <w:t>. T</w:t>
      </w:r>
      <w:r w:rsidRPr="008D6DF1">
        <w:t xml:space="preserve">he </w:t>
      </w:r>
      <w:proofErr w:type="gramStart"/>
      <w:r w:rsidRPr="008D6DF1">
        <w:t>trade-mark</w:t>
      </w:r>
      <w:proofErr w:type="gramEnd"/>
      <w:r w:rsidRPr="008D6DF1">
        <w:t xml:space="preserve"> not only serves to designate the source of the owner’s </w:t>
      </w:r>
      <w:proofErr w:type="gramStart"/>
      <w:r w:rsidRPr="008D6DF1">
        <w:t>products, but</w:t>
      </w:r>
      <w:proofErr w:type="gramEnd"/>
      <w:r w:rsidRPr="008D6DF1">
        <w:t xml:space="preserve"> also stands as a symbol of his </w:t>
      </w:r>
      <w:proofErr w:type="gramStart"/>
      <w:r w:rsidRPr="008D6DF1">
        <w:t>good will</w:t>
      </w:r>
      <w:proofErr w:type="gramEnd"/>
      <w:r w:rsidRPr="008D6DF1">
        <w:t xml:space="preserve"> and hence it is an instrument for the creation and retention of custom.</w:t>
      </w:r>
      <w:r w:rsidR="008D6DF1" w:rsidRPr="008D6DF1">
        <w:rPr>
          <w:vertAlign w:val="superscript"/>
        </w:rPr>
        <w:footnoteReference w:id="49"/>
      </w:r>
    </w:p>
    <w:p w14:paraId="319E432A" w14:textId="4ED87422" w:rsidR="008D6DF1" w:rsidRPr="008D6DF1" w:rsidRDefault="00AE6E1D" w:rsidP="008D6DF1">
      <w:pPr>
        <w:pStyle w:val="BNormal"/>
      </w:pPr>
      <w:r w:rsidRPr="008D6DF1">
        <w:t xml:space="preserve">The court further noted that “[a] use [of the mark] by the defendant, even on non-competing goods, may result in injury to the plaintiff’s reputation and dilute the quality of the </w:t>
      </w:r>
      <w:proofErr w:type="gramStart"/>
      <w:r w:rsidRPr="008D6DF1">
        <w:t>trade-mark</w:t>
      </w:r>
      <w:proofErr w:type="gramEnd"/>
      <w:r w:rsidRPr="008D6DF1">
        <w:t>.”</w:t>
      </w:r>
      <w:r w:rsidR="008D6DF1" w:rsidRPr="008D6DF1">
        <w:rPr>
          <w:vertAlign w:val="superscript"/>
        </w:rPr>
        <w:footnoteReference w:id="50"/>
      </w:r>
    </w:p>
    <w:p w14:paraId="0F0681BF" w14:textId="4ABB5E99" w:rsidR="008D6DF1" w:rsidRPr="008D6DF1" w:rsidRDefault="00AE6E1D" w:rsidP="008D6DF1">
      <w:pPr>
        <w:pStyle w:val="BNormal"/>
      </w:pPr>
      <w:r w:rsidRPr="008D6DF1">
        <w:t>Still another early case involved a suit by a maker of “Kent” combs and brushes against a cigarette manufacturer that used the mark Kent on its cigarettes.</w:t>
      </w:r>
      <w:r w:rsidR="008D6DF1" w:rsidRPr="008D6DF1">
        <w:rPr>
          <w:vertAlign w:val="superscript"/>
        </w:rPr>
        <w:footnoteReference w:id="51"/>
      </w:r>
      <w:r w:rsidRPr="008D6DF1">
        <w:t xml:space="preserve"> Unlike several of the other cases, there was no finding of any intent to trade on the goodwill of a well-known mark.</w:t>
      </w:r>
      <w:r w:rsidR="008D6DF1" w:rsidRPr="008D6DF1">
        <w:rPr>
          <w:vertAlign w:val="superscript"/>
        </w:rPr>
        <w:footnoteReference w:id="52"/>
      </w:r>
      <w:r w:rsidRPr="008D6DF1">
        <w:t xml:space="preserve"> Indeed, it appears that although plaintiff had used its mark for 75 years (and much earlier in Great Britain), and its product was of high quality, its trademark was not particularly well known by most consumers.</w:t>
      </w:r>
      <w:r w:rsidR="008D6DF1" w:rsidRPr="008D6DF1">
        <w:rPr>
          <w:vertAlign w:val="superscript"/>
        </w:rPr>
        <w:footnoteReference w:id="53"/>
      </w:r>
      <w:r w:rsidRPr="008D6DF1">
        <w:t xml:space="preserve"> On these facts, the court found no likelihood of confusion.</w:t>
      </w:r>
      <w:r w:rsidR="008D6DF1" w:rsidRPr="008D6DF1">
        <w:rPr>
          <w:vertAlign w:val="superscript"/>
        </w:rPr>
        <w:footnoteReference w:id="54"/>
      </w:r>
      <w:r w:rsidRPr="008D6DF1">
        <w:t xml:space="preserve"> In addition to its infringement claim, the plaintiff expressly asserted a claim of </w:t>
      </w:r>
      <w:proofErr w:type="spellStart"/>
      <w:r w:rsidRPr="008D6DF1">
        <w:t>tarnishment</w:t>
      </w:r>
      <w:proofErr w:type="spellEnd"/>
      <w:r w:rsidRPr="008D6DF1">
        <w:t>, based on the nature of the defendant’s product.</w:t>
      </w:r>
      <w:r w:rsidR="008D6DF1" w:rsidRPr="008D6DF1">
        <w:rPr>
          <w:vertAlign w:val="superscript"/>
        </w:rPr>
        <w:footnoteReference w:id="55"/>
      </w:r>
      <w:r w:rsidRPr="008D6DF1">
        <w:t xml:space="preserve"> However, the court rejected the notion that cigarettes would be viewed as so </w:t>
      </w:r>
      <w:r w:rsidRPr="008D6DF1">
        <w:lastRenderedPageBreak/>
        <w:t>distasteful that the association would harm the plaintiff’s ability to sell its brushes.</w:t>
      </w:r>
      <w:r w:rsidR="008D6DF1" w:rsidRPr="008D6DF1">
        <w:rPr>
          <w:vertAlign w:val="superscript"/>
        </w:rPr>
        <w:footnoteReference w:id="56"/>
      </w:r>
      <w:r w:rsidRPr="008D6DF1">
        <w:t xml:space="preserve"> The court also stated that confusion was a necessary predicate to </w:t>
      </w:r>
      <w:proofErr w:type="spellStart"/>
      <w:r w:rsidRPr="008D6DF1">
        <w:t>tarnishment</w:t>
      </w:r>
      <w:proofErr w:type="spellEnd"/>
      <w:r w:rsidRPr="008D6DF1">
        <w:t>.</w:t>
      </w:r>
      <w:r w:rsidR="008D6DF1" w:rsidRPr="008D6DF1">
        <w:rPr>
          <w:vertAlign w:val="superscript"/>
        </w:rPr>
        <w:footnoteReference w:id="57"/>
      </w:r>
      <w:r w:rsidRPr="008D6DF1">
        <w:t xml:space="preserve"> The plaintiff then put forth an express dilution claim.</w:t>
      </w:r>
      <w:r w:rsidR="008D6DF1" w:rsidRPr="008D6DF1">
        <w:rPr>
          <w:vertAlign w:val="superscript"/>
        </w:rPr>
        <w:footnoteReference w:id="58"/>
      </w:r>
      <w:r w:rsidRPr="008D6DF1">
        <w:t xml:space="preserve"> The court, however, found the cases in support of dilution to be limited to situations of “confusion, </w:t>
      </w:r>
      <w:proofErr w:type="spellStart"/>
      <w:r w:rsidRPr="008D6DF1">
        <w:t>tarnishment</w:t>
      </w:r>
      <w:proofErr w:type="spellEnd"/>
      <w:r w:rsidRPr="008D6DF1">
        <w:t>, reasonable likelihood of expansion by plaintiff to include the junior product, diversion of trade or other direct injury,”</w:t>
      </w:r>
      <w:r w:rsidR="008D6DF1" w:rsidRPr="008D6DF1">
        <w:rPr>
          <w:vertAlign w:val="superscript"/>
        </w:rPr>
        <w:footnoteReference w:id="59"/>
      </w:r>
      <w:r w:rsidRPr="008D6DF1">
        <w:t xml:space="preserve"> none of which it found to exist in this case</w:t>
      </w:r>
      <w:r w:rsidR="008D6DF1" w:rsidRPr="008D6DF1">
        <w:t>. O</w:t>
      </w:r>
      <w:r w:rsidRPr="008D6DF1">
        <w:t>n the other hand, the court did not reject the theory outright.</w:t>
      </w:r>
    </w:p>
    <w:p w14:paraId="720B9618" w14:textId="29BC9815" w:rsidR="008D6DF1" w:rsidRPr="008D6DF1" w:rsidRDefault="00AE6E1D" w:rsidP="008D6DF1">
      <w:pPr>
        <w:pStyle w:val="BNormal"/>
      </w:pPr>
      <w:r w:rsidRPr="008D6DF1">
        <w:t>Another early federal case rejected what appears to be an argument to create a federal common law of dilution out of unfair competition principles, expressing doubt about its ability to do so in the absence of some statutory direction.</w:t>
      </w:r>
      <w:r w:rsidR="008D6DF1" w:rsidRPr="008D6DF1">
        <w:rPr>
          <w:vertAlign w:val="superscript"/>
        </w:rPr>
        <w:footnoteReference w:id="60"/>
      </w:r>
      <w:r w:rsidRPr="008D6DF1">
        <w:t xml:space="preserve"> However, the court went on to discuss the merits of the dilution claim, and found that it would not have been successful because plaintiff’s mark was a weak one.</w:t>
      </w:r>
      <w:r w:rsidR="008D6DF1" w:rsidRPr="008D6DF1">
        <w:rPr>
          <w:vertAlign w:val="superscript"/>
        </w:rPr>
        <w:footnoteReference w:id="61"/>
      </w:r>
    </w:p>
    <w:p w14:paraId="68F774FB" w14:textId="37CE00C5" w:rsidR="008D6DF1" w:rsidRPr="008D6DF1" w:rsidRDefault="00AE6E1D" w:rsidP="008D6DF1">
      <w:pPr>
        <w:pStyle w:val="BNormal"/>
      </w:pPr>
      <w:r w:rsidRPr="008D6DF1">
        <w:t xml:space="preserve">Although decided on confusion grounds, these cases served notice of some judicial readiness to expand the traditional boundaries of </w:t>
      </w:r>
      <w:proofErr w:type="gramStart"/>
      <w:r w:rsidRPr="008D6DF1">
        <w:t>trademark</w:t>
      </w:r>
      <w:proofErr w:type="gramEnd"/>
      <w:r w:rsidRPr="008D6DF1">
        <w:t xml:space="preserve"> and unfair competition protection, at least where the mark in question was very well known</w:t>
      </w:r>
      <w:r w:rsidR="008D6DF1" w:rsidRPr="008D6DF1">
        <w:t>. B</w:t>
      </w:r>
      <w:r w:rsidRPr="008D6DF1">
        <w:t xml:space="preserve">y stressing the “unfairness” rather than the “competition,” the </w:t>
      </w:r>
      <w:r w:rsidR="008D6DF1" w:rsidRPr="008D6DF1">
        <w:rPr>
          <w:i/>
        </w:rPr>
        <w:t>Bulova</w:t>
      </w:r>
      <w:r w:rsidRPr="008D6DF1">
        <w:t xml:space="preserve"> court indicated that the matter went beyond the usual concern for improper diversion of trade, and even beyond the usual concern for confusion.</w:t>
      </w:r>
    </w:p>
    <w:p w14:paraId="44A0CC49" w14:textId="5ED7532F" w:rsidR="008D6DF1" w:rsidRPr="008D6DF1" w:rsidRDefault="00B220F8" w:rsidP="00EF7E3C">
      <w:pPr>
        <w:pStyle w:val="BHead2"/>
      </w:pPr>
      <w:r w:rsidRPr="004D355E">
        <w:t>1.II.</w:t>
      </w:r>
      <w:r w:rsidR="008D6DF1" w:rsidRPr="004D355E">
        <w:rPr>
          <w:rStyle w:val="BBNAidChar"/>
          <w:rFonts w:eastAsiaTheme="majorEastAsia"/>
        </w:rPr>
        <w:t>C</w:t>
      </w:r>
      <w:r w:rsidR="008D6DF1" w:rsidRPr="008D6DF1">
        <w:t>.</w:t>
      </w:r>
      <w:r w:rsidR="008D6DF1" w:rsidRPr="008D6DF1">
        <w:tab/>
        <w:t>Early Support for Dilution: The First State Laws and Supportive Commentary</w:t>
      </w:r>
    </w:p>
    <w:p w14:paraId="28068B5D" w14:textId="059F2BB0" w:rsidR="008D6DF1" w:rsidRPr="004A7C15" w:rsidRDefault="00B220F8" w:rsidP="004A7C15">
      <w:pPr>
        <w:pStyle w:val="BHead3"/>
      </w:pPr>
      <w:r w:rsidRPr="004D355E">
        <w:t>1.II.C.</w:t>
      </w:r>
      <w:r w:rsidR="008D6DF1" w:rsidRPr="004D355E">
        <w:rPr>
          <w:rStyle w:val="BBNAidChar"/>
          <w:rFonts w:eastAsiaTheme="majorEastAsia"/>
        </w:rPr>
        <w:t>1</w:t>
      </w:r>
      <w:r w:rsidR="008D6DF1" w:rsidRPr="004A7C15">
        <w:t>.</w:t>
      </w:r>
      <w:r w:rsidR="008D6DF1" w:rsidRPr="004A7C15">
        <w:tab/>
        <w:t>The First State Dilution Law: Massachusetts</w:t>
      </w:r>
    </w:p>
    <w:p w14:paraId="162AC596" w14:textId="7D3D1FEB" w:rsidR="008D6DF1" w:rsidRPr="008D6DF1" w:rsidRDefault="00AE6E1D" w:rsidP="008D6DF1">
      <w:pPr>
        <w:pStyle w:val="BNormal"/>
      </w:pPr>
      <w:r w:rsidRPr="008D6DF1">
        <w:t>Frank Schechter argued in favor of a federal dilution law in testimony before Congress in 1932,</w:t>
      </w:r>
      <w:r w:rsidR="008D6DF1" w:rsidRPr="008D6DF1">
        <w:rPr>
          <w:vertAlign w:val="superscript"/>
        </w:rPr>
        <w:footnoteReference w:id="62"/>
      </w:r>
      <w:r w:rsidRPr="008D6DF1">
        <w:t xml:space="preserve"> and a bill was introduced that year embodying a kind of dilution protection.</w:t>
      </w:r>
      <w:r w:rsidR="008D6DF1" w:rsidRPr="008D6DF1">
        <w:rPr>
          <w:vertAlign w:val="superscript"/>
        </w:rPr>
        <w:footnoteReference w:id="63"/>
      </w:r>
      <w:r w:rsidRPr="008D6DF1">
        <w:t xml:space="preserve"> However, nothing came of these endeavors, and the Trademark Act of 1946 (the Lanham Act) was passed without any federal dilution provision.</w:t>
      </w:r>
      <w:r w:rsidR="008D6DF1" w:rsidRPr="008D6DF1">
        <w:rPr>
          <w:vertAlign w:val="superscript"/>
        </w:rPr>
        <w:footnoteReference w:id="64"/>
      </w:r>
      <w:r w:rsidRPr="008D6DF1">
        <w:t xml:space="preserve"> The next year, 1947, saw the first state dilution legislation, enacted by Massachusetts.</w:t>
      </w:r>
      <w:r w:rsidR="008D6DF1" w:rsidRPr="008D6DF1">
        <w:rPr>
          <w:vertAlign w:val="superscript"/>
        </w:rPr>
        <w:footnoteReference w:id="65"/>
      </w:r>
      <w:r w:rsidRPr="008D6DF1">
        <w:t xml:space="preserve"> The original bill in Massachusetts would have protected only a “coined or peculiar word,”</w:t>
      </w:r>
      <w:r w:rsidR="008D6DF1" w:rsidRPr="008D6DF1">
        <w:rPr>
          <w:vertAlign w:val="superscript"/>
        </w:rPr>
        <w:footnoteReference w:id="66"/>
      </w:r>
      <w:r w:rsidRPr="008D6DF1">
        <w:t xml:space="preserve"> and the accompanying memorandum noted that it would apply only to a “coined or peculiar word” or “unique symbol.”</w:t>
      </w:r>
      <w:r w:rsidR="008D6DF1" w:rsidRPr="008D6DF1">
        <w:rPr>
          <w:vertAlign w:val="superscript"/>
        </w:rPr>
        <w:footnoteReference w:id="67"/>
      </w:r>
      <w:r w:rsidRPr="008D6DF1">
        <w:t xml:space="preserve"> As enacted, however, the statute had no reference to “unique” or “coined” marks</w:t>
      </w:r>
      <w:r w:rsidR="008D6DF1" w:rsidRPr="008D6DF1">
        <w:t>. I</w:t>
      </w:r>
      <w:r w:rsidRPr="008D6DF1">
        <w:t>t simply allowed injunctions against a “[l]</w:t>
      </w:r>
      <w:proofErr w:type="spellStart"/>
      <w:r w:rsidRPr="008D6DF1">
        <w:t>ikelihood</w:t>
      </w:r>
      <w:proofErr w:type="spellEnd"/>
      <w:r w:rsidRPr="008D6DF1">
        <w:t xml:space="preserve"> of …dilution of the distinctive quality of a mark …or a trade name” regardless of the “absence of competition </w:t>
      </w:r>
      <w:r w:rsidRPr="008D6DF1">
        <w:lastRenderedPageBreak/>
        <w:t>between the parties or the absence of confusion… .”</w:t>
      </w:r>
      <w:r w:rsidR="008D6DF1" w:rsidRPr="008D6DF1">
        <w:rPr>
          <w:vertAlign w:val="superscript"/>
        </w:rPr>
        <w:footnoteReference w:id="68"/>
      </w:r>
      <w:r w:rsidRPr="008D6DF1">
        <w:t xml:space="preserve"> Early Massachusetts case law interpreting the statute took a cautious route</w:t>
      </w:r>
      <w:r w:rsidR="008D6DF1" w:rsidRPr="008D6DF1">
        <w:t>. O</w:t>
      </w:r>
      <w:r w:rsidRPr="008D6DF1">
        <w:t xml:space="preserve">wners of marks perceived as </w:t>
      </w:r>
      <w:proofErr w:type="gramStart"/>
      <w:r w:rsidRPr="008D6DF1">
        <w:t>fairly common</w:t>
      </w:r>
      <w:proofErr w:type="gramEnd"/>
      <w:r w:rsidRPr="008D6DF1">
        <w:t xml:space="preserve"> terms without substantial renown found courts unfavorably </w:t>
      </w:r>
      <w:proofErr w:type="gramStart"/>
      <w:r w:rsidRPr="008D6DF1">
        <w:t>disposed</w:t>
      </w:r>
      <w:proofErr w:type="gramEnd"/>
      <w:r w:rsidRPr="008D6DF1">
        <w:t xml:space="preserve"> to protection.</w:t>
      </w:r>
      <w:r w:rsidR="008D6DF1" w:rsidRPr="008D6DF1">
        <w:rPr>
          <w:vertAlign w:val="superscript"/>
        </w:rPr>
        <w:footnoteReference w:id="69"/>
      </w:r>
    </w:p>
    <w:p w14:paraId="14A8C706" w14:textId="465BAAD8" w:rsidR="008D6DF1" w:rsidRPr="00830088" w:rsidRDefault="00B220F8" w:rsidP="00830088">
      <w:pPr>
        <w:pStyle w:val="BHead3"/>
      </w:pPr>
      <w:r w:rsidRPr="004D355E">
        <w:t>1.II.C.</w:t>
      </w:r>
      <w:r w:rsidR="008D6DF1" w:rsidRPr="004D355E">
        <w:rPr>
          <w:rStyle w:val="BBNAidChar"/>
          <w:rFonts w:eastAsiaTheme="majorEastAsia"/>
        </w:rPr>
        <w:t>2</w:t>
      </w:r>
      <w:r w:rsidR="008D6DF1" w:rsidRPr="00830088">
        <w:t>.</w:t>
      </w:r>
      <w:r w:rsidR="008D6DF1" w:rsidRPr="00830088">
        <w:tab/>
        <w:t>The Next State Laws: Illinois, New York, and Georgia</w:t>
      </w:r>
    </w:p>
    <w:p w14:paraId="76DD17FD" w14:textId="3552029A" w:rsidR="008D6DF1" w:rsidRPr="008D6DF1" w:rsidRDefault="00AE6E1D" w:rsidP="008D6DF1">
      <w:pPr>
        <w:pStyle w:val="BNormal"/>
      </w:pPr>
      <w:r w:rsidRPr="008D6DF1">
        <w:t>After the enactment of the Massachusetts law, six years would pass before another state, Illinois, would pass a dilution law.</w:t>
      </w:r>
      <w:r w:rsidR="008D6DF1" w:rsidRPr="008D6DF1">
        <w:rPr>
          <w:vertAlign w:val="superscript"/>
        </w:rPr>
        <w:footnoteReference w:id="70"/>
      </w:r>
      <w:r w:rsidRPr="008D6DF1">
        <w:t xml:space="preserve"> The Illinois statute was followed in short order by one in New York,</w:t>
      </w:r>
      <w:r w:rsidR="008D6DF1" w:rsidRPr="008D6DF1">
        <w:rPr>
          <w:vertAlign w:val="superscript"/>
        </w:rPr>
        <w:footnoteReference w:id="71"/>
      </w:r>
      <w:r w:rsidRPr="008D6DF1">
        <w:t xml:space="preserve"> which was identical to the one in Massachusetts, and one in Georgia.</w:t>
      </w:r>
      <w:r w:rsidR="008D6DF1" w:rsidRPr="008D6DF1">
        <w:rPr>
          <w:vertAlign w:val="superscript"/>
        </w:rPr>
        <w:footnoteReference w:id="72"/>
      </w:r>
      <w:r w:rsidRPr="008D6DF1">
        <w:t xml:space="preserve"> The brief legislative history of the New York statute indicates that its purpose was to protect very well-known marks from uses on noncompeting products.</w:t>
      </w:r>
      <w:r w:rsidR="008D6DF1" w:rsidRPr="008D6DF1">
        <w:rPr>
          <w:vertAlign w:val="superscript"/>
        </w:rPr>
        <w:footnoteReference w:id="73"/>
      </w:r>
    </w:p>
    <w:p w14:paraId="66D9AED3" w14:textId="45B60B3E" w:rsidR="008D6DF1" w:rsidRPr="003E70F6" w:rsidRDefault="00B220F8" w:rsidP="003E70F6">
      <w:pPr>
        <w:pStyle w:val="BHead3"/>
      </w:pPr>
      <w:r w:rsidRPr="004D355E">
        <w:t>1.II.C.</w:t>
      </w:r>
      <w:r w:rsidR="008D6DF1" w:rsidRPr="004D355E">
        <w:rPr>
          <w:rStyle w:val="BBNAidChar"/>
          <w:rFonts w:eastAsiaTheme="majorEastAsia"/>
        </w:rPr>
        <w:t>3</w:t>
      </w:r>
      <w:r w:rsidR="008D6DF1" w:rsidRPr="003E70F6">
        <w:t>.</w:t>
      </w:r>
      <w:r w:rsidR="008D6DF1" w:rsidRPr="003E70F6">
        <w:tab/>
        <w:t>Early Supportive Commentary</w:t>
      </w:r>
    </w:p>
    <w:p w14:paraId="35BE99D1" w14:textId="0879E8DB" w:rsidR="008D6DF1" w:rsidRPr="008D6DF1" w:rsidRDefault="00AE6E1D" w:rsidP="008D6DF1">
      <w:pPr>
        <w:pStyle w:val="BNormal"/>
      </w:pPr>
      <w:r w:rsidRPr="008D6DF1">
        <w:t>One early, and consistent, proponent of dilution protection was Rudolf Callmann.</w:t>
      </w:r>
      <w:r w:rsidR="008D6DF1" w:rsidRPr="008D6DF1">
        <w:rPr>
          <w:vertAlign w:val="superscript"/>
        </w:rPr>
        <w:footnoteReference w:id="74"/>
      </w:r>
      <w:r w:rsidRPr="008D6DF1">
        <w:t xml:space="preserve"> In an early article, he noted that courts in a number of cases had, at least formally, relied on finding confusion in cases of dissimilar goods.</w:t>
      </w:r>
      <w:r w:rsidR="008D6DF1" w:rsidRPr="008D6DF1">
        <w:rPr>
          <w:vertAlign w:val="superscript"/>
        </w:rPr>
        <w:footnoteReference w:id="75"/>
      </w:r>
      <w:r w:rsidRPr="008D6DF1">
        <w:t xml:space="preserve"> But he expressed skepticism that confusion was the actual basis of those decisions, believing that they actually were based on dilution.</w:t>
      </w:r>
      <w:r w:rsidR="008D6DF1" w:rsidRPr="008D6DF1">
        <w:rPr>
          <w:vertAlign w:val="superscript"/>
        </w:rPr>
        <w:footnoteReference w:id="76"/>
      </w:r>
      <w:r w:rsidRPr="008D6DF1">
        <w:t xml:space="preserve"> He supported the expansion of unfair competition beyond the technical “competition” and toward an emphasis on “unfairness” as a basis for relief.</w:t>
      </w:r>
      <w:r w:rsidR="008D6DF1" w:rsidRPr="008D6DF1">
        <w:rPr>
          <w:vertAlign w:val="superscript"/>
        </w:rPr>
        <w:footnoteReference w:id="77"/>
      </w:r>
      <w:r w:rsidRPr="008D6DF1">
        <w:t xml:space="preserve"> Ultimately, he supported recognition of trademarks as a form of property, with the corresponding right to exclude others from their unauthorized use by those second users.</w:t>
      </w:r>
      <w:r w:rsidR="008D6DF1" w:rsidRPr="008D6DF1">
        <w:rPr>
          <w:vertAlign w:val="superscript"/>
        </w:rPr>
        <w:footnoteReference w:id="78"/>
      </w:r>
      <w:r w:rsidRPr="008D6DF1">
        <w:t xml:space="preserve"> He asserted that injury results from “[u]</w:t>
      </w:r>
      <w:proofErr w:type="spellStart"/>
      <w:r w:rsidRPr="008D6DF1">
        <w:t>nknown</w:t>
      </w:r>
      <w:proofErr w:type="spellEnd"/>
      <w:r w:rsidRPr="008D6DF1">
        <w:t xml:space="preserve"> simultaneous use” of a mark even where it is “without any visible effect upon the use by the original user.”</w:t>
      </w:r>
      <w:r w:rsidR="008D6DF1" w:rsidRPr="008D6DF1">
        <w:rPr>
          <w:vertAlign w:val="superscript"/>
        </w:rPr>
        <w:footnoteReference w:id="79"/>
      </w:r>
      <w:r w:rsidRPr="008D6DF1">
        <w:t xml:space="preserve"> He cited the loss of a trademark’s “catch-word potential” as a meaningful injury that should be protected against.</w:t>
      </w:r>
      <w:r w:rsidR="008D6DF1" w:rsidRPr="008D6DF1">
        <w:rPr>
          <w:vertAlign w:val="superscript"/>
        </w:rPr>
        <w:footnoteReference w:id="80"/>
      </w:r>
    </w:p>
    <w:p w14:paraId="15927AA6" w14:textId="302EAFC3" w:rsidR="008D6DF1" w:rsidRPr="008D6DF1" w:rsidRDefault="00AE6E1D" w:rsidP="008D6DF1">
      <w:pPr>
        <w:pStyle w:val="BNormal"/>
      </w:pPr>
      <w:r w:rsidRPr="008D6DF1">
        <w:t>Although not quite as strong a supporter as Callmann, another commentator favorably disposed to dilution was Beverly Pattishall.</w:t>
      </w:r>
      <w:r w:rsidR="008D6DF1" w:rsidRPr="008D6DF1">
        <w:rPr>
          <w:vertAlign w:val="superscript"/>
        </w:rPr>
        <w:footnoteReference w:id="81"/>
      </w:r>
      <w:r w:rsidRPr="008D6DF1">
        <w:t xml:space="preserve"> In an early article, Pattishall concluded that the first dilution statutes served “a worthwhile purpose.”</w:t>
      </w:r>
      <w:r w:rsidR="008D6DF1" w:rsidRPr="008D6DF1">
        <w:rPr>
          <w:vertAlign w:val="superscript"/>
        </w:rPr>
        <w:footnoteReference w:id="82"/>
      </w:r>
      <w:r w:rsidRPr="008D6DF1">
        <w:t xml:space="preserve"> In part, he based this conclusion on the need to protect well-known marks from the legal effects of </w:t>
      </w:r>
      <w:r w:rsidRPr="008D6DF1">
        <w:lastRenderedPageBreak/>
        <w:t>third-party uses.</w:t>
      </w:r>
      <w:r w:rsidR="008D6DF1" w:rsidRPr="008D6DF1">
        <w:rPr>
          <w:vertAlign w:val="superscript"/>
        </w:rPr>
        <w:footnoteReference w:id="83"/>
      </w:r>
      <w:r w:rsidRPr="008D6DF1">
        <w:t xml:space="preserve"> That is, if such other uses were allowed, a strong mark might eventually be limited in the extent to which confusion would be found.</w:t>
      </w:r>
      <w:r w:rsidR="008D6DF1" w:rsidRPr="008D6DF1">
        <w:rPr>
          <w:vertAlign w:val="superscript"/>
        </w:rPr>
        <w:footnoteReference w:id="84"/>
      </w:r>
      <w:r w:rsidRPr="008D6DF1">
        <w:t xml:space="preserve"> However, Pattishall disagreed with </w:t>
      </w:r>
      <w:proofErr w:type="spellStart"/>
      <w:r w:rsidRPr="008D6DF1">
        <w:t>Callmann</w:t>
      </w:r>
      <w:proofErr w:type="spellEnd"/>
      <w:r w:rsidRPr="008D6DF1">
        <w:t xml:space="preserve"> about treating trademarks as property.</w:t>
      </w:r>
      <w:r w:rsidR="008D6DF1" w:rsidRPr="008D6DF1">
        <w:rPr>
          <w:vertAlign w:val="superscript"/>
        </w:rPr>
        <w:footnoteReference w:id="85"/>
      </w:r>
      <w:r w:rsidRPr="008D6DF1">
        <w:t xml:space="preserve"> He viewed the property rights theory as incompatible with the fundamentals of American trademark law.</w:t>
      </w:r>
      <w:r w:rsidR="008D6DF1" w:rsidRPr="008D6DF1">
        <w:rPr>
          <w:vertAlign w:val="superscript"/>
        </w:rPr>
        <w:footnoteReference w:id="86"/>
      </w:r>
      <w:r w:rsidRPr="008D6DF1">
        <w:t xml:space="preserve"> Rather, he argued, the commercial value of a mark resulting from its use deserves to be protected.</w:t>
      </w:r>
      <w:r w:rsidR="008D6DF1" w:rsidRPr="008D6DF1">
        <w:rPr>
          <w:vertAlign w:val="superscript"/>
        </w:rPr>
        <w:footnoteReference w:id="87"/>
      </w:r>
      <w:r w:rsidRPr="008D6DF1">
        <w:t xml:space="preserve"> This concept, he asserted, would properly limit the doctrine to the most deserving of marks.</w:t>
      </w:r>
      <w:r w:rsidR="008D6DF1" w:rsidRPr="008D6DF1">
        <w:rPr>
          <w:vertAlign w:val="superscript"/>
        </w:rPr>
        <w:footnoteReference w:id="88"/>
      </w:r>
    </w:p>
    <w:p w14:paraId="29AACDCF" w14:textId="74A20F2A" w:rsidR="008D6DF1" w:rsidRPr="008D6DF1" w:rsidRDefault="00AE6E1D" w:rsidP="008D6DF1">
      <w:pPr>
        <w:pStyle w:val="BNormal"/>
      </w:pPr>
      <w:r w:rsidRPr="008D6DF1">
        <w:t>A third early supporter was Professor Walter Derenberg.</w:t>
      </w:r>
      <w:r w:rsidR="008D6DF1" w:rsidRPr="008D6DF1">
        <w:rPr>
          <w:vertAlign w:val="superscript"/>
        </w:rPr>
        <w:footnoteReference w:id="89"/>
      </w:r>
      <w:r w:rsidRPr="008D6DF1">
        <w:t xml:space="preserve"> </w:t>
      </w:r>
      <w:proofErr w:type="spellStart"/>
      <w:r w:rsidRPr="008D6DF1">
        <w:t>Derenberg</w:t>
      </w:r>
      <w:proofErr w:type="spellEnd"/>
      <w:r w:rsidRPr="008D6DF1">
        <w:t xml:space="preserve"> advocated the use of state laws (and passage of a federal law) to prevent dilution</w:t>
      </w:r>
      <w:r w:rsidR="008D6DF1" w:rsidRPr="008D6DF1">
        <w:t>. H</w:t>
      </w:r>
      <w:r w:rsidRPr="008D6DF1">
        <w:t>e even suggested that state statutes could be used to enjoin certain “collateral uses” of a mark—such as on “used goods,”</w:t>
      </w:r>
      <w:r w:rsidR="008D6DF1" w:rsidRPr="008D6DF1">
        <w:rPr>
          <w:vertAlign w:val="superscript"/>
        </w:rPr>
        <w:footnoteReference w:id="90"/>
      </w:r>
      <w:r w:rsidRPr="008D6DF1">
        <w:t xml:space="preserve"> or on repackaged goods</w:t>
      </w:r>
      <w:r w:rsidR="008D6DF1" w:rsidRPr="008D6DF1">
        <w:rPr>
          <w:vertAlign w:val="superscript"/>
        </w:rPr>
        <w:footnoteReference w:id="91"/>
      </w:r>
      <w:r w:rsidRPr="008D6DF1">
        <w:t xml:space="preserve"> where the goods are not as packaged by the trademark owner.</w:t>
      </w:r>
      <w:r w:rsidR="008D6DF1" w:rsidRPr="008D6DF1">
        <w:rPr>
          <w:vertAlign w:val="superscript"/>
        </w:rPr>
        <w:footnoteReference w:id="92"/>
      </w:r>
      <w:r w:rsidRPr="008D6DF1">
        <w:t xml:space="preserve"> He also supported the use of dilution to preclude certain types of comparative advertising that used another’s mark.</w:t>
      </w:r>
      <w:r w:rsidR="008D6DF1" w:rsidRPr="008D6DF1">
        <w:rPr>
          <w:vertAlign w:val="superscript"/>
        </w:rPr>
        <w:footnoteReference w:id="93"/>
      </w:r>
    </w:p>
    <w:p w14:paraId="3BCF3FE1" w14:textId="2CB66050" w:rsidR="008D6DF1" w:rsidRPr="008D6DF1" w:rsidRDefault="00AE6E1D" w:rsidP="008D6DF1">
      <w:pPr>
        <w:pStyle w:val="BNormal"/>
      </w:pPr>
      <w:r w:rsidRPr="008D6DF1">
        <w:t>Not all early commentators were supportive, of course</w:t>
      </w:r>
      <w:r w:rsidR="008D6DF1" w:rsidRPr="008D6DF1">
        <w:t>. A</w:t>
      </w:r>
      <w:r w:rsidRPr="008D6DF1">
        <w:t xml:space="preserve"> prominent critic was George Middleton.</w:t>
      </w:r>
      <w:r w:rsidR="008D6DF1" w:rsidRPr="008D6DF1">
        <w:rPr>
          <w:vertAlign w:val="superscript"/>
        </w:rPr>
        <w:footnoteReference w:id="94"/>
      </w:r>
      <w:r w:rsidRPr="008D6DF1">
        <w:t xml:space="preserve"> He argued that dilution prevention was antithetical to the usual idea that the mark is associated with “trade” and is not a separate entity in and of itself.</w:t>
      </w:r>
      <w:r w:rsidR="008D6DF1" w:rsidRPr="008D6DF1">
        <w:rPr>
          <w:vertAlign w:val="superscript"/>
        </w:rPr>
        <w:footnoteReference w:id="95"/>
      </w:r>
      <w:r w:rsidRPr="008D6DF1">
        <w:t xml:space="preserve"> He also asserted that dilution laws are, in effect, equivalent to an unauthorized copyright in a mark.</w:t>
      </w:r>
      <w:r w:rsidR="008D6DF1" w:rsidRPr="008D6DF1">
        <w:rPr>
          <w:vertAlign w:val="superscript"/>
        </w:rPr>
        <w:footnoteReference w:id="96"/>
      </w:r>
      <w:r w:rsidRPr="008D6DF1">
        <w:t xml:space="preserve"> Instead of dilution, he advocated judicious (and judicial) adaptation of the existing confusion doctrine to extend protection beyond the then-narrow confines of the law.</w:t>
      </w:r>
      <w:r w:rsidR="008D6DF1" w:rsidRPr="008D6DF1">
        <w:rPr>
          <w:vertAlign w:val="superscript"/>
        </w:rPr>
        <w:footnoteReference w:id="97"/>
      </w:r>
    </w:p>
    <w:p w14:paraId="5EA68E3A" w14:textId="77777777" w:rsidR="008D6DF1" w:rsidRPr="008D6DF1" w:rsidRDefault="00AE6E1D" w:rsidP="008D6DF1">
      <w:pPr>
        <w:pStyle w:val="BNormal"/>
      </w:pPr>
      <w:r w:rsidRPr="008D6DF1">
        <w:t xml:space="preserve">Despite the efforts of Schechter and </w:t>
      </w:r>
      <w:proofErr w:type="spellStart"/>
      <w:r w:rsidRPr="008D6DF1">
        <w:t>Callmann</w:t>
      </w:r>
      <w:proofErr w:type="spellEnd"/>
      <w:r w:rsidRPr="008D6DF1">
        <w:t>, it was 20 years after the publication of Schechter’s article before any state law embodied the dilution idea, and a half-century before it began to be accepted by courts.</w:t>
      </w:r>
    </w:p>
    <w:p w14:paraId="32882EAF" w14:textId="73DA1D24" w:rsidR="008D6DF1" w:rsidRPr="008D6DF1" w:rsidRDefault="00B220F8" w:rsidP="00EF7E3C">
      <w:pPr>
        <w:pStyle w:val="BHead2"/>
      </w:pPr>
      <w:r w:rsidRPr="004D355E">
        <w:t>1.II.</w:t>
      </w:r>
      <w:r w:rsidR="008D6DF1" w:rsidRPr="004D355E">
        <w:rPr>
          <w:rStyle w:val="BBNAidChar"/>
          <w:rFonts w:eastAsiaTheme="majorEastAsia"/>
        </w:rPr>
        <w:t>D</w:t>
      </w:r>
      <w:r w:rsidR="008D6DF1" w:rsidRPr="008D6DF1">
        <w:t>.</w:t>
      </w:r>
      <w:r w:rsidR="008D6DF1" w:rsidRPr="008D6DF1">
        <w:tab/>
        <w:t>The Model State Trademark Bill</w:t>
      </w:r>
    </w:p>
    <w:p w14:paraId="4028C133" w14:textId="119CE332" w:rsidR="008D6DF1" w:rsidRPr="005D7076" w:rsidRDefault="00B220F8" w:rsidP="005D7076">
      <w:pPr>
        <w:pStyle w:val="BHead3"/>
      </w:pPr>
      <w:r w:rsidRPr="004D355E">
        <w:t>1.II.D.</w:t>
      </w:r>
      <w:r w:rsidR="008D6DF1" w:rsidRPr="004D355E">
        <w:rPr>
          <w:rStyle w:val="BBNAidChar"/>
          <w:rFonts w:eastAsiaTheme="majorEastAsia"/>
        </w:rPr>
        <w:t>1</w:t>
      </w:r>
      <w:r w:rsidR="008D6DF1" w:rsidRPr="005D7076">
        <w:t>.</w:t>
      </w:r>
      <w:r w:rsidR="008D6DF1" w:rsidRPr="005D7076">
        <w:tab/>
        <w:t>The 1964 Model Bill</w:t>
      </w:r>
    </w:p>
    <w:p w14:paraId="693830EF" w14:textId="5C726BAA" w:rsidR="008D6DF1" w:rsidRPr="008D6DF1" w:rsidRDefault="00AE6E1D" w:rsidP="008D6DF1">
      <w:pPr>
        <w:pStyle w:val="BNormal"/>
      </w:pPr>
      <w:r w:rsidRPr="008D6DF1">
        <w:lastRenderedPageBreak/>
        <w:t>In 1949, the United States Trademark Association (USTA, now the International Trademark Association or INTA) put forth a Model State Trademark Bill.</w:t>
      </w:r>
      <w:r w:rsidR="008D6DF1" w:rsidRPr="008D6DF1">
        <w:rPr>
          <w:vertAlign w:val="superscript"/>
        </w:rPr>
        <w:footnoteReference w:id="98"/>
      </w:r>
      <w:r w:rsidRPr="008D6DF1">
        <w:t xml:space="preserve"> Somewhat like that of the Lanham Act itself, the purpose of the Model Bill was to provide a model that would promote uniformity and greater certainty concerning trademark rights under state laws</w:t>
      </w:r>
      <w:r w:rsidR="008D6DF1" w:rsidRPr="008D6DF1">
        <w:t>. T</w:t>
      </w:r>
      <w:r w:rsidRPr="008D6DF1">
        <w:t>he need for uniformity was made evident by the passage of the Lanham Act in 1946, which created a uniform federal overlay on trademark law</w:t>
      </w:r>
      <w:r w:rsidR="008D6DF1" w:rsidRPr="008D6DF1">
        <w:t>. T</w:t>
      </w:r>
      <w:r w:rsidRPr="008D6DF1">
        <w:t>he 1949 version of the Model Bill had no dilution provision</w:t>
      </w:r>
      <w:r w:rsidR="008D6DF1" w:rsidRPr="008D6DF1">
        <w:t>. T</w:t>
      </w:r>
      <w:r w:rsidRPr="008D6DF1">
        <w:t>hat was remedied in 1964, with the addition of a dilution provision identical to the Massachusetts statute.</w:t>
      </w:r>
      <w:r w:rsidR="008D6DF1" w:rsidRPr="008D6DF1">
        <w:rPr>
          <w:vertAlign w:val="superscript"/>
        </w:rPr>
        <w:footnoteReference w:id="99"/>
      </w:r>
      <w:r w:rsidRPr="008D6DF1">
        <w:t xml:space="preserve"> Like the then-existing state statutes, therefore, the 1964 Model Bill was broadly worded</w:t>
      </w:r>
      <w:r w:rsidR="008D6DF1" w:rsidRPr="008D6DF1">
        <w:t>. I</w:t>
      </w:r>
      <w:r w:rsidRPr="008D6DF1">
        <w:t>t did not define the term “dilution,” nor did it make clear what is necessary for a mark to have the “distinctive quality” that is the prerequisite for dilution.</w:t>
      </w:r>
      <w:r w:rsidR="008D6DF1" w:rsidRPr="008D6DF1">
        <w:rPr>
          <w:vertAlign w:val="superscript"/>
        </w:rPr>
        <w:footnoteReference w:id="100"/>
      </w:r>
    </w:p>
    <w:p w14:paraId="31CC0A60" w14:textId="4AC4A50B" w:rsidR="008D6DF1" w:rsidRPr="00754BF5" w:rsidRDefault="00B220F8" w:rsidP="00754BF5">
      <w:pPr>
        <w:pStyle w:val="BHead3"/>
      </w:pPr>
      <w:r w:rsidRPr="004D355E">
        <w:t>1.II.D.</w:t>
      </w:r>
      <w:r w:rsidR="008D6DF1" w:rsidRPr="004D355E">
        <w:rPr>
          <w:rStyle w:val="BBNAidChar"/>
          <w:rFonts w:eastAsiaTheme="majorEastAsia"/>
        </w:rPr>
        <w:t>2</w:t>
      </w:r>
      <w:r w:rsidR="008D6DF1" w:rsidRPr="00754BF5">
        <w:t>.</w:t>
      </w:r>
      <w:r w:rsidR="008D6DF1" w:rsidRPr="00754BF5">
        <w:tab/>
        <w:t>The 1992 Model Bill</w:t>
      </w:r>
    </w:p>
    <w:p w14:paraId="23011CB0" w14:textId="3309ABA4" w:rsidR="008D6DF1" w:rsidRPr="008D6DF1" w:rsidRDefault="00AE6E1D" w:rsidP="008D6DF1">
      <w:pPr>
        <w:pStyle w:val="BNormal"/>
      </w:pPr>
      <w:r w:rsidRPr="008D6DF1">
        <w:t xml:space="preserve">The story of the 1992 amendments to the dilution provisions of the Model Bill </w:t>
      </w:r>
      <w:proofErr w:type="gramStart"/>
      <w:r w:rsidRPr="008D6DF1">
        <w:t>actually begins</w:t>
      </w:r>
      <w:proofErr w:type="gramEnd"/>
      <w:r w:rsidRPr="008D6DF1">
        <w:t xml:space="preserve"> in 1987</w:t>
      </w:r>
      <w:r w:rsidR="008D6DF1" w:rsidRPr="008D6DF1">
        <w:t>. I</w:t>
      </w:r>
      <w:r w:rsidRPr="008D6DF1">
        <w:t>n that year, the USTA issued a report urging major revisions to the Lanham Act.</w:t>
      </w:r>
      <w:r w:rsidR="008D6DF1" w:rsidRPr="008D6DF1">
        <w:rPr>
          <w:vertAlign w:val="superscript"/>
        </w:rPr>
        <w:footnoteReference w:id="101"/>
      </w:r>
      <w:r w:rsidRPr="008D6DF1">
        <w:t xml:space="preserve"> Among the recommendations of the USTA Review Commission was the passage of a federal dilution statute.</w:t>
      </w:r>
      <w:r w:rsidR="008D6DF1" w:rsidRPr="008D6DF1">
        <w:rPr>
          <w:vertAlign w:val="superscript"/>
        </w:rPr>
        <w:footnoteReference w:id="102"/>
      </w:r>
      <w:r w:rsidRPr="008D6DF1">
        <w:t xml:space="preserve"> The federal dilution proposal was limited to protecting “famous” marks that were federally </w:t>
      </w:r>
      <w:proofErr w:type="gramStart"/>
      <w:r w:rsidRPr="008D6DF1">
        <w:t>registered, and</w:t>
      </w:r>
      <w:proofErr w:type="gramEnd"/>
      <w:r w:rsidRPr="008D6DF1">
        <w:t xml:space="preserve"> contained a definition of dilution</w:t>
      </w:r>
      <w:r w:rsidR="008D6DF1" w:rsidRPr="008D6DF1">
        <w:t>. A</w:t>
      </w:r>
      <w:r w:rsidRPr="008D6DF1">
        <w:t>lthough most of the USTA’s major proposals were enacted into law by the Trademark Law Revision Act of 1988,</w:t>
      </w:r>
      <w:r w:rsidR="008D6DF1" w:rsidRPr="008D6DF1">
        <w:rPr>
          <w:vertAlign w:val="superscript"/>
        </w:rPr>
        <w:footnoteReference w:id="103"/>
      </w:r>
      <w:r w:rsidRPr="008D6DF1">
        <w:t xml:space="preserve"> the dilution provision was not included.</w:t>
      </w:r>
      <w:r w:rsidR="008D6DF1" w:rsidRPr="008D6DF1">
        <w:rPr>
          <w:vertAlign w:val="superscript"/>
        </w:rPr>
        <w:footnoteReference w:id="104"/>
      </w:r>
      <w:r w:rsidRPr="008D6DF1">
        <w:t xml:space="preserve"> The 1987 proposals set in motion a review of the USTA’s Model Bill, culminating in the 1992 promulgation of a new version of the model statute with numerous changes, including a new proposed state dilution provision.</w:t>
      </w:r>
      <w:r w:rsidR="008D6DF1" w:rsidRPr="008D6DF1">
        <w:rPr>
          <w:vertAlign w:val="superscript"/>
        </w:rPr>
        <w:footnoteReference w:id="105"/>
      </w:r>
      <w:r w:rsidRPr="008D6DF1">
        <w:t xml:space="preserve"> The changes were intended to bring many state trademark practices in line with the revisions to federal law.</w:t>
      </w:r>
      <w:r w:rsidR="008D6DF1" w:rsidRPr="008D6DF1">
        <w:rPr>
          <w:vertAlign w:val="superscript"/>
        </w:rPr>
        <w:footnoteReference w:id="106"/>
      </w:r>
      <w:r w:rsidRPr="008D6DF1">
        <w:t xml:space="preserve"> With regard to dilution, the drafters proposed a provision essentially identical to the federal dilution statute proposed by the USTA in 1987 that had ultimately failed in the House in 1988.</w:t>
      </w:r>
      <w:r w:rsidR="008D6DF1" w:rsidRPr="008D6DF1">
        <w:rPr>
          <w:vertAlign w:val="superscript"/>
        </w:rPr>
        <w:footnoteReference w:id="107"/>
      </w:r>
      <w:r w:rsidRPr="008D6DF1">
        <w:t xml:space="preserve"> Thus, the new provision protected only “famous” marks, provided factors with which to measure fame, included a definition of dilution, and permitted an award of damages for certain “willful” acts of dilution.</w:t>
      </w:r>
      <w:r w:rsidR="008D6DF1" w:rsidRPr="008D6DF1">
        <w:rPr>
          <w:vertAlign w:val="superscript"/>
        </w:rPr>
        <w:footnoteReference w:id="108"/>
      </w:r>
    </w:p>
    <w:p w14:paraId="0C0D2A50" w14:textId="159CAE27" w:rsidR="008D6DF1" w:rsidRPr="008D6DF1" w:rsidRDefault="00AE6E1D" w:rsidP="008D6DF1">
      <w:pPr>
        <w:pStyle w:val="BNormal"/>
      </w:pPr>
      <w:r w:rsidRPr="008D6DF1">
        <w:t>However, there are a few deviations between the 1992 Model Bill and the proposed federal bill</w:t>
      </w:r>
      <w:r w:rsidR="008D6DF1" w:rsidRPr="008D6DF1">
        <w:t>. F</w:t>
      </w:r>
      <w:r w:rsidRPr="008D6DF1">
        <w:t>irst, the 1992 Model Bill protected marks deemed “famous in this state.” As a result, marks less well known than those protected under the federal bill are protected under this version of the bill.</w:t>
      </w:r>
      <w:r w:rsidR="008D6DF1" w:rsidRPr="008D6DF1">
        <w:rPr>
          <w:vertAlign w:val="superscript"/>
        </w:rPr>
        <w:footnoteReference w:id="109"/>
      </w:r>
      <w:r w:rsidRPr="008D6DF1">
        <w:t xml:space="preserve"> Second, the federal bill (as well as </w:t>
      </w:r>
      <w:r w:rsidRPr="008D6DF1">
        <w:lastRenderedPageBreak/>
        <w:t>the later-enacted federal statute) required marks to be “distinctive and famous.”</w:t>
      </w:r>
      <w:r w:rsidR="008D6DF1" w:rsidRPr="008D6DF1">
        <w:rPr>
          <w:vertAlign w:val="superscript"/>
        </w:rPr>
        <w:footnoteReference w:id="110"/>
      </w:r>
      <w:r w:rsidRPr="008D6DF1">
        <w:t xml:space="preserve"> The Model Bill only required marks to be “famous.”</w:t>
      </w:r>
      <w:r w:rsidR="008D6DF1" w:rsidRPr="008D6DF1">
        <w:rPr>
          <w:vertAlign w:val="superscript"/>
        </w:rPr>
        <w:footnoteReference w:id="111"/>
      </w:r>
      <w:r w:rsidRPr="008D6DF1">
        <w:t xml:space="preserve"> Cases interpreting the eventual federal statute were divided on the significance of the added term “distinctive.”</w:t>
      </w:r>
      <w:r w:rsidR="008D6DF1" w:rsidRPr="008D6DF1">
        <w:rPr>
          <w:vertAlign w:val="superscript"/>
        </w:rPr>
        <w:footnoteReference w:id="112"/>
      </w:r>
      <w:r w:rsidRPr="008D6DF1">
        <w:t xml:space="preserve"> Third, the Model Bill limited the geographic scope of injunctive relief to the state’s borders.</w:t>
      </w:r>
      <w:r w:rsidR="008D6DF1" w:rsidRPr="008D6DF1">
        <w:rPr>
          <w:vertAlign w:val="superscript"/>
        </w:rPr>
        <w:footnoteReference w:id="113"/>
      </w:r>
      <w:r w:rsidRPr="008D6DF1">
        <w:t xml:space="preserve"> The drafters apparently believed that because only about half the states then had dilution statutes, it was best to limit the geographic scope of injunctive relief.</w:t>
      </w:r>
      <w:r w:rsidR="008D6DF1" w:rsidRPr="008D6DF1">
        <w:rPr>
          <w:vertAlign w:val="superscript"/>
        </w:rPr>
        <w:footnoteReference w:id="114"/>
      </w:r>
    </w:p>
    <w:p w14:paraId="1FE23D35" w14:textId="4AC44158" w:rsidR="008D6DF1" w:rsidRPr="008D6DF1" w:rsidRDefault="00AE6E1D" w:rsidP="008D6DF1">
      <w:pPr>
        <w:pStyle w:val="BNormal"/>
      </w:pPr>
      <w:r w:rsidRPr="008D6DF1">
        <w:t>The 1992 Model Bill also added a provision stating that the intent of the law was to harmonize with federal law where possible</w:t>
      </w:r>
      <w:r w:rsidR="008D6DF1" w:rsidRPr="008D6DF1">
        <w:t>. T</w:t>
      </w:r>
      <w:r w:rsidRPr="008D6DF1">
        <w:t>oward that end, federal precedent interpreting similar federal provisions would be considered persuasive authority under state law.</w:t>
      </w:r>
      <w:r w:rsidR="008D6DF1" w:rsidRPr="008D6DF1">
        <w:rPr>
          <w:vertAlign w:val="superscript"/>
        </w:rPr>
        <w:footnoteReference w:id="115"/>
      </w:r>
      <w:r w:rsidRPr="008D6DF1">
        <w:t xml:space="preserve"> Because there was no federal dilution law at that time, the provision had little immediate effect in the dilution context</w:t>
      </w:r>
      <w:r w:rsidR="008D6DF1" w:rsidRPr="008D6DF1">
        <w:t>. H</w:t>
      </w:r>
      <w:r w:rsidRPr="008D6DF1">
        <w:t>owever, with the enactment of the Federal Trademark Dilution Act (FTDA)</w:t>
      </w:r>
      <w:r w:rsidR="008D6DF1" w:rsidRPr="008D6DF1">
        <w:rPr>
          <w:vertAlign w:val="superscript"/>
        </w:rPr>
        <w:footnoteReference w:id="116"/>
      </w:r>
      <w:r w:rsidRPr="008D6DF1">
        <w:t xml:space="preserve"> in 1995 and the Trademark Dilution Revision Act (TDRA)</w:t>
      </w:r>
      <w:r w:rsidR="008D6DF1" w:rsidRPr="008D6DF1">
        <w:rPr>
          <w:vertAlign w:val="superscript"/>
        </w:rPr>
        <w:footnoteReference w:id="117"/>
      </w:r>
      <w:r w:rsidRPr="008D6DF1">
        <w:t xml:space="preserve"> in 2006, the intent provision took on added importance.</w:t>
      </w:r>
      <w:r w:rsidR="008D6DF1" w:rsidRPr="008D6DF1">
        <w:rPr>
          <w:vertAlign w:val="superscript"/>
        </w:rPr>
        <w:footnoteReference w:id="118"/>
      </w:r>
    </w:p>
    <w:p w14:paraId="58FA0F46" w14:textId="74FC7374" w:rsidR="008D6DF1" w:rsidRPr="00754BF5" w:rsidRDefault="00B220F8" w:rsidP="00754BF5">
      <w:pPr>
        <w:pStyle w:val="BHead3"/>
      </w:pPr>
      <w:r w:rsidRPr="004D355E">
        <w:t>1.II.D.</w:t>
      </w:r>
      <w:r w:rsidR="008D6DF1" w:rsidRPr="004D355E">
        <w:rPr>
          <w:rStyle w:val="BBNAidChar"/>
          <w:rFonts w:eastAsiaTheme="majorEastAsia"/>
        </w:rPr>
        <w:t>3</w:t>
      </w:r>
      <w:r w:rsidR="008D6DF1" w:rsidRPr="00754BF5">
        <w:t>.</w:t>
      </w:r>
      <w:r w:rsidR="008D6DF1" w:rsidRPr="00754BF5">
        <w:tab/>
        <w:t>The 1996 Amendments to the Model Bill</w:t>
      </w:r>
    </w:p>
    <w:p w14:paraId="6226A2CB" w14:textId="6F7ACCAA" w:rsidR="008D6DF1" w:rsidRPr="008D6DF1" w:rsidRDefault="00AE6E1D" w:rsidP="008D6DF1">
      <w:pPr>
        <w:pStyle w:val="BNormal"/>
      </w:pPr>
      <w:r w:rsidRPr="008D6DF1">
        <w:t>In 1996, following the signing of the FTDA into law, the Model Bill again was amended.</w:t>
      </w:r>
      <w:r w:rsidR="008D6DF1" w:rsidRPr="008D6DF1">
        <w:rPr>
          <w:vertAlign w:val="superscript"/>
        </w:rPr>
        <w:footnoteReference w:id="119"/>
      </w:r>
      <w:r w:rsidRPr="008D6DF1">
        <w:t xml:space="preserve"> With regard to the dilution provision (Section 13), the changes largely were made to conform the Model Bill more closely to the language of the FTDA</w:t>
      </w:r>
      <w:r w:rsidR="008D6DF1" w:rsidRPr="008D6DF1">
        <w:t>. T</w:t>
      </w:r>
      <w:r w:rsidRPr="008D6DF1">
        <w:t>he amendments added the requirement that the protected mark be “distinctive and famous,” not just famous</w:t>
      </w:r>
      <w:r w:rsidR="008D6DF1" w:rsidRPr="008D6DF1">
        <w:t>. A</w:t>
      </w:r>
      <w:r w:rsidRPr="008D6DF1">
        <w:t xml:space="preserve"> new factor in determining fame was added</w:t>
      </w:r>
      <w:r w:rsidR="008D6DF1" w:rsidRPr="008D6DF1">
        <w:t>: t</w:t>
      </w:r>
      <w:r w:rsidRPr="008D6DF1">
        <w:t>he existence of a state or federal registration</w:t>
      </w:r>
      <w:r w:rsidR="008D6DF1" w:rsidRPr="008D6DF1">
        <w:t>. F</w:t>
      </w:r>
      <w:r w:rsidRPr="008D6DF1">
        <w:t>inally, three express exclusions were created</w:t>
      </w:r>
      <w:r w:rsidR="008D6DF1" w:rsidRPr="008D6DF1">
        <w:t>: f</w:t>
      </w:r>
      <w:r w:rsidRPr="008D6DF1">
        <w:t>air use in comparative advertising, noncommercial use, and news reporting and news commentary.</w:t>
      </w:r>
      <w:r w:rsidR="008D6DF1" w:rsidRPr="008D6DF1">
        <w:rPr>
          <w:vertAlign w:val="superscript"/>
        </w:rPr>
        <w:footnoteReference w:id="120"/>
      </w:r>
      <w:r w:rsidRPr="008D6DF1">
        <w:t xml:space="preserve"> The 1996 amendments also added a requirement in the first part of the proposed dilution provision, namely that protection extends only to another’s “</w:t>
      </w:r>
      <w:r w:rsidR="008D6DF1" w:rsidRPr="008D6DF1">
        <w:rPr>
          <w:i/>
        </w:rPr>
        <w:t>commercial</w:t>
      </w:r>
      <w:r w:rsidRPr="008D6DF1">
        <w:t xml:space="preserve"> use” of the famous mark</w:t>
      </w:r>
      <w:r w:rsidR="008D6DF1" w:rsidRPr="008D6DF1">
        <w:t>. P</w:t>
      </w:r>
      <w:r w:rsidRPr="008D6DF1">
        <w:t>reviously, the Model Bill protected against any “use” of the famous mark.</w:t>
      </w:r>
    </w:p>
    <w:p w14:paraId="075A189C" w14:textId="13E62EE4" w:rsidR="008D6DF1" w:rsidRPr="00754BF5" w:rsidRDefault="00B220F8" w:rsidP="00754BF5">
      <w:pPr>
        <w:pStyle w:val="BHead3"/>
      </w:pPr>
      <w:r w:rsidRPr="004D355E">
        <w:t>1.II.D.</w:t>
      </w:r>
      <w:r w:rsidR="008D6DF1" w:rsidRPr="004D355E">
        <w:rPr>
          <w:rStyle w:val="BBNAidChar"/>
          <w:rFonts w:eastAsiaTheme="majorEastAsia"/>
        </w:rPr>
        <w:t>4</w:t>
      </w:r>
      <w:r w:rsidR="008D6DF1" w:rsidRPr="00754BF5">
        <w:t>.</w:t>
      </w:r>
      <w:r w:rsidR="008D6DF1" w:rsidRPr="00754BF5">
        <w:tab/>
        <w:t xml:space="preserve">The 2007 Revisions of the Model Bill </w:t>
      </w:r>
    </w:p>
    <w:p w14:paraId="26ECA27E" w14:textId="116E4E1C" w:rsidR="008D6DF1" w:rsidRPr="008D6DF1" w:rsidRDefault="00AE6E1D" w:rsidP="008D6DF1">
      <w:pPr>
        <w:pStyle w:val="BNormal"/>
      </w:pPr>
      <w:r w:rsidRPr="008D6DF1">
        <w:lastRenderedPageBreak/>
        <w:t>In 2007, the dilution provisions of the Model Bill were amended again to reflect the changes in the federal dilution statute contained in the Trademark Dilution Revision Act of 2006.</w:t>
      </w:r>
      <w:r w:rsidR="008D6DF1" w:rsidRPr="008D6DF1">
        <w:rPr>
          <w:vertAlign w:val="superscript"/>
        </w:rPr>
        <w:footnoteReference w:id="121"/>
      </w:r>
      <w:r w:rsidRPr="008D6DF1">
        <w:t xml:space="preserve"> Among other things, the revisions track the terminology of the TDRA, referring to and separately defining “dilution by blurring” and “dilution by </w:t>
      </w:r>
      <w:proofErr w:type="spellStart"/>
      <w:r w:rsidRPr="008D6DF1">
        <w:t>tarnishment</w:t>
      </w:r>
      <w:proofErr w:type="spellEnd"/>
      <w:r w:rsidRPr="008D6DF1">
        <w:t>.”</w:t>
      </w:r>
      <w:r w:rsidR="008D6DF1" w:rsidRPr="008D6DF1">
        <w:rPr>
          <w:vertAlign w:val="superscript"/>
        </w:rPr>
        <w:footnoteReference w:id="122"/>
      </w:r>
      <w:r w:rsidRPr="008D6DF1">
        <w:t xml:space="preserve"> The 2007 Model Bill also incorporates the TDRA’s definition of “famous” as “widely recognized by the general consuming public of [the] State or a geographic area in [the] State” and incorporating factors for determining fame like those in the TDRA.</w:t>
      </w:r>
      <w:r w:rsidR="008D6DF1" w:rsidRPr="008D6DF1">
        <w:rPr>
          <w:vertAlign w:val="superscript"/>
        </w:rPr>
        <w:footnoteReference w:id="123"/>
      </w:r>
      <w:r w:rsidRPr="008D6DF1">
        <w:t xml:space="preserve"> The Model Bill does not, however, incorporate the six suggested factors for determining blurring contained in the TDRA.</w:t>
      </w:r>
      <w:r w:rsidR="008D6DF1" w:rsidRPr="008D6DF1">
        <w:rPr>
          <w:vertAlign w:val="superscript"/>
        </w:rPr>
        <w:footnoteReference w:id="124"/>
      </w:r>
      <w:r w:rsidRPr="008D6DF1">
        <w:t xml:space="preserve"> Finally, the revised version incorporates the new version of the “fair use” exclusion from liability contained in the TDRA.</w:t>
      </w:r>
      <w:r w:rsidR="008D6DF1" w:rsidRPr="008D6DF1">
        <w:rPr>
          <w:vertAlign w:val="superscript"/>
        </w:rPr>
        <w:footnoteReference w:id="125"/>
      </w:r>
    </w:p>
    <w:p w14:paraId="1AA57596" w14:textId="00A19D26" w:rsidR="008D6DF1" w:rsidRPr="008D6DF1" w:rsidRDefault="00B220F8" w:rsidP="00EF7E3C">
      <w:pPr>
        <w:pStyle w:val="BHead1"/>
      </w:pPr>
      <w:r w:rsidRPr="004D355E">
        <w:t>1.</w:t>
      </w:r>
      <w:r w:rsidR="008D6DF1" w:rsidRPr="004D355E">
        <w:rPr>
          <w:rStyle w:val="BBNAidChar"/>
          <w:rFonts w:eastAsiaTheme="majorEastAsia"/>
        </w:rPr>
        <w:t>III</w:t>
      </w:r>
      <w:r w:rsidR="008D6DF1" w:rsidRPr="008D6DF1">
        <w:t>. Sources of Trademark Dilution Law</w:t>
      </w:r>
    </w:p>
    <w:p w14:paraId="77963441" w14:textId="531676BF" w:rsidR="008D6DF1" w:rsidRPr="008D6DF1" w:rsidRDefault="00B220F8" w:rsidP="00EF7E3C">
      <w:pPr>
        <w:pStyle w:val="BHead2"/>
      </w:pPr>
      <w:r w:rsidRPr="004D355E">
        <w:t>1.III.</w:t>
      </w:r>
      <w:r w:rsidR="008D6DF1" w:rsidRPr="004D355E">
        <w:rPr>
          <w:rStyle w:val="BBNAidChar"/>
          <w:rFonts w:eastAsiaTheme="majorEastAsia"/>
        </w:rPr>
        <w:t>A</w:t>
      </w:r>
      <w:r w:rsidR="008D6DF1" w:rsidRPr="008D6DF1">
        <w:t>.</w:t>
      </w:r>
      <w:r w:rsidR="008D6DF1" w:rsidRPr="008D6DF1">
        <w:tab/>
        <w:t>State Dilution Statutes</w:t>
      </w:r>
    </w:p>
    <w:p w14:paraId="585FA749" w14:textId="1FD66338" w:rsidR="008D6DF1" w:rsidRPr="00D8512C" w:rsidRDefault="00B220F8" w:rsidP="00D8512C">
      <w:pPr>
        <w:pStyle w:val="BHead3"/>
      </w:pPr>
      <w:proofErr w:type="gramStart"/>
      <w:r w:rsidRPr="004D355E">
        <w:t>1.III.A.</w:t>
      </w:r>
      <w:proofErr w:type="gramEnd"/>
      <w:r w:rsidR="008D6DF1" w:rsidRPr="004D355E">
        <w:rPr>
          <w:rStyle w:val="BBNAidChar"/>
          <w:rFonts w:eastAsiaTheme="majorEastAsia"/>
        </w:rPr>
        <w:t>1</w:t>
      </w:r>
      <w:r w:rsidR="008D6DF1" w:rsidRPr="00D8512C">
        <w:t>.</w:t>
      </w:r>
      <w:r w:rsidR="008D6DF1" w:rsidRPr="00D8512C">
        <w:tab/>
        <w:t>An Overview of State Dilution Statutes</w:t>
      </w:r>
    </w:p>
    <w:p w14:paraId="3139EC79" w14:textId="0E76176E" w:rsidR="008D6DF1" w:rsidRPr="008D6DF1" w:rsidRDefault="00AE6E1D" w:rsidP="008D6DF1">
      <w:pPr>
        <w:pStyle w:val="BNormal"/>
      </w:pPr>
      <w:r w:rsidRPr="008D6DF1">
        <w:t>The primary source of state dilution law, and until 1996 the primary source of all dilution law, is state statutes</w:t>
      </w:r>
      <w:r w:rsidR="008D6DF1" w:rsidRPr="008D6DF1">
        <w:t>. T</w:t>
      </w:r>
      <w:r w:rsidRPr="008D6DF1">
        <w:t>he federal trademark statute, the Lanham Act, contained no dilution provision when it was passed in 1946.</w:t>
      </w:r>
      <w:r w:rsidR="008D6DF1" w:rsidRPr="008D6DF1">
        <w:rPr>
          <w:vertAlign w:val="superscript"/>
        </w:rPr>
        <w:footnoteReference w:id="126"/>
      </w:r>
      <w:r w:rsidRPr="008D6DF1">
        <w:t xml:space="preserve"> The first state statute was enacted by Massachusetts in 1947.</w:t>
      </w:r>
      <w:r w:rsidR="008D6DF1" w:rsidRPr="008D6DF1">
        <w:rPr>
          <w:vertAlign w:val="superscript"/>
        </w:rPr>
        <w:footnoteReference w:id="127"/>
      </w:r>
      <w:r w:rsidRPr="008D6DF1">
        <w:t xml:space="preserve"> Next came Illinois, in 1953,</w:t>
      </w:r>
      <w:r w:rsidR="008D6DF1" w:rsidRPr="008D6DF1">
        <w:rPr>
          <w:vertAlign w:val="superscript"/>
        </w:rPr>
        <w:footnoteReference w:id="128"/>
      </w:r>
      <w:r w:rsidRPr="008D6DF1">
        <w:t xml:space="preserve"> followed by New York in 1955.</w:t>
      </w:r>
      <w:r w:rsidR="008D6DF1" w:rsidRPr="008D6DF1">
        <w:rPr>
          <w:vertAlign w:val="superscript"/>
        </w:rPr>
        <w:footnoteReference w:id="129"/>
      </w:r>
      <w:r w:rsidRPr="008D6DF1">
        <w:t xml:space="preserve"> In 1964, the United States Trademark Association (now the International Trademark Association added a dilution section to its Model State Trademark Bill</w:t>
      </w:r>
      <w:r w:rsidR="008D6DF1" w:rsidRPr="008D6DF1">
        <w:t>. T</w:t>
      </w:r>
      <w:r w:rsidRPr="008D6DF1">
        <w:t>hat section provided:</w:t>
      </w:r>
    </w:p>
    <w:p w14:paraId="08658CD3" w14:textId="3561F247" w:rsidR="008D6DF1" w:rsidRPr="008D6DF1" w:rsidRDefault="00AE6E1D" w:rsidP="008D6DF1">
      <w:pPr>
        <w:pStyle w:val="BQuotelong"/>
      </w:pPr>
      <w:r w:rsidRPr="008D6DF1">
        <w:t>Likelihood of injury to business reputation or of dilution of the distinctive quality of a mark registered under this Act, or a mark valid at common law, or a trade name valid at common law, shall be a ground for injunctive relief notwithstanding the absence of competition between the parties or the absence of confusion as to the source of goods or services.</w:t>
      </w:r>
      <w:r w:rsidR="008D6DF1" w:rsidRPr="008D6DF1">
        <w:rPr>
          <w:vertAlign w:val="superscript"/>
        </w:rPr>
        <w:footnoteReference w:id="130"/>
      </w:r>
    </w:p>
    <w:p w14:paraId="13C1AA67" w14:textId="508E30C2" w:rsidR="008D6DF1" w:rsidRPr="008D6DF1" w:rsidRDefault="00AE6E1D" w:rsidP="008D6DF1">
      <w:pPr>
        <w:pStyle w:val="BNormal"/>
      </w:pPr>
      <w:r w:rsidRPr="008D6DF1">
        <w:lastRenderedPageBreak/>
        <w:t>The Massachusetts, Illinois, Georgia, and New York statutes (all of which predated the addition of dilution to the Model Bill) were substantially identical to this provision</w:t>
      </w:r>
      <w:r w:rsidR="008D6DF1" w:rsidRPr="008D6DF1">
        <w:t>. B</w:t>
      </w:r>
      <w:r w:rsidRPr="008D6DF1">
        <w:t>y 1990, 24 states had adopted dilution statutes, all but one of which were essentially the same as the 1964 Model Bill provision.</w:t>
      </w:r>
      <w:r w:rsidR="008D6DF1" w:rsidRPr="008D6DF1">
        <w:rPr>
          <w:vertAlign w:val="superscript"/>
        </w:rPr>
        <w:footnoteReference w:id="131"/>
      </w:r>
    </w:p>
    <w:p w14:paraId="77E70913" w14:textId="50796458" w:rsidR="008D6DF1" w:rsidRPr="008D6DF1" w:rsidRDefault="00AE6E1D" w:rsidP="008D6DF1">
      <w:pPr>
        <w:pStyle w:val="BNormal"/>
      </w:pPr>
      <w:r w:rsidRPr="008D6DF1">
        <w:t>In 1987, the USTA proposed a federal dilution statute that was substantially more detailed than the 1964 Model Bill</w:t>
      </w:r>
      <w:r w:rsidR="008D6DF1" w:rsidRPr="008D6DF1">
        <w:t>. A</w:t>
      </w:r>
      <w:r w:rsidRPr="008D6DF1">
        <w:t>lthough bills incorporating the proposal were introduced in Congress,</w:t>
      </w:r>
      <w:r w:rsidR="008D6DF1" w:rsidRPr="008D6DF1">
        <w:rPr>
          <w:vertAlign w:val="superscript"/>
        </w:rPr>
        <w:footnoteReference w:id="132"/>
      </w:r>
      <w:r w:rsidRPr="008D6DF1">
        <w:t xml:space="preserve"> and a version even passed the Senate,</w:t>
      </w:r>
      <w:r w:rsidR="008D6DF1" w:rsidRPr="008D6DF1">
        <w:rPr>
          <w:vertAlign w:val="superscript"/>
        </w:rPr>
        <w:footnoteReference w:id="133"/>
      </w:r>
      <w:r w:rsidRPr="008D6DF1">
        <w:t xml:space="preserve"> the proposal was not enacted</w:t>
      </w:r>
      <w:r w:rsidR="008D6DF1" w:rsidRPr="008D6DF1">
        <w:t>. H</w:t>
      </w:r>
      <w:r w:rsidRPr="008D6DF1">
        <w:t>owever, the proposal became the basis for a revised version of the Model State Trademark Bill, which was promulgated in 1992.</w:t>
      </w:r>
      <w:r w:rsidR="008D6DF1" w:rsidRPr="008D6DF1">
        <w:rPr>
          <w:vertAlign w:val="superscript"/>
        </w:rPr>
        <w:footnoteReference w:id="134"/>
      </w:r>
      <w:r w:rsidRPr="008D6DF1">
        <w:t xml:space="preserve"> Shortly thereafter, states began enacting dilution statutes based on the new Model Bill.</w:t>
      </w:r>
      <w:r w:rsidR="008D6DF1" w:rsidRPr="008D6DF1">
        <w:rPr>
          <w:vertAlign w:val="superscript"/>
        </w:rPr>
        <w:footnoteReference w:id="135"/>
      </w:r>
      <w:r w:rsidRPr="008D6DF1">
        <w:t xml:space="preserve"> The pace of new state enactments quickened after the passage of the Federal Trademark Dilution Act (FTDA) in 1995.</w:t>
      </w:r>
    </w:p>
    <w:p w14:paraId="33EFBC97" w14:textId="606BB86C" w:rsidR="008D6DF1" w:rsidRPr="008D6DF1" w:rsidRDefault="00AE6E1D" w:rsidP="008D6DF1">
      <w:pPr>
        <w:pStyle w:val="BNormal"/>
      </w:pPr>
      <w:r w:rsidRPr="008D6DF1">
        <w:t>Thirty-eight states, plus Puerto Rico, now have dilution statutes.</w:t>
      </w:r>
      <w:r w:rsidR="008D6DF1" w:rsidRPr="008D6DF1">
        <w:rPr>
          <w:vertAlign w:val="superscript"/>
        </w:rPr>
        <w:footnoteReference w:id="136"/>
      </w:r>
      <w:r w:rsidRPr="008D6DF1">
        <w:t xml:space="preserve"> Twenty-nine of those states have dilution statutes patterned after the 1992, 1996, or 2007 provisions.</w:t>
      </w:r>
      <w:r w:rsidR="008D6DF1" w:rsidRPr="008D6DF1">
        <w:rPr>
          <w:vertAlign w:val="superscript"/>
        </w:rPr>
        <w:footnoteReference w:id="137"/>
      </w:r>
      <w:r w:rsidRPr="008D6DF1">
        <w:t xml:space="preserve"> Fifteen of those are states that previously had statutes substantially the same as the 1964 Model Bill.</w:t>
      </w:r>
      <w:r w:rsidR="008D6DF1" w:rsidRPr="008D6DF1">
        <w:rPr>
          <w:vertAlign w:val="superscript"/>
        </w:rPr>
        <w:footnoteReference w:id="138"/>
      </w:r>
      <w:r w:rsidRPr="008D6DF1">
        <w:t xml:space="preserve"> Although substantially the same, the newer statutes are not identical to each other</w:t>
      </w:r>
      <w:r w:rsidR="008D6DF1" w:rsidRPr="008D6DF1">
        <w:t>. S</w:t>
      </w:r>
      <w:r w:rsidRPr="008D6DF1">
        <w:t>ome of the statutes incorporate the three exclusions listed in the 1996 Model Bill (and the FTDA) or the 2007 Model Bill (and the TDRA), but others apparently do not.</w:t>
      </w:r>
      <w:r w:rsidR="008D6DF1" w:rsidRPr="008D6DF1">
        <w:rPr>
          <w:vertAlign w:val="superscript"/>
        </w:rPr>
        <w:footnoteReference w:id="139"/>
      </w:r>
      <w:r w:rsidRPr="008D6DF1">
        <w:t xml:space="preserve"> These differences are </w:t>
      </w:r>
      <w:r w:rsidRPr="008D6DF1">
        <w:lastRenderedPageBreak/>
        <w:t>discussed later in this text.</w:t>
      </w:r>
      <w:r w:rsidR="008D6DF1" w:rsidRPr="008D6DF1">
        <w:rPr>
          <w:vertAlign w:val="superscript"/>
        </w:rPr>
        <w:footnoteReference w:id="140"/>
      </w:r>
      <w:r w:rsidRPr="008D6DF1">
        <w:t xml:space="preserve"> The newer statutes are considerably more detailed than the older ones</w:t>
      </w:r>
      <w:r w:rsidR="008D6DF1" w:rsidRPr="008D6DF1">
        <w:t>. A</w:t>
      </w:r>
      <w:r w:rsidRPr="008D6DF1">
        <w:t>nd the newer statutes permit damages awards under some circumstances, whereas the older statutes provided only for injunctive relief</w:t>
      </w:r>
      <w:r w:rsidR="008D6DF1" w:rsidRPr="008D6DF1">
        <w:t>. A</w:t>
      </w:r>
      <w:r w:rsidRPr="008D6DF1">
        <w:t xml:space="preserve">t least one statute expressly permits treble </w:t>
      </w:r>
      <w:proofErr w:type="gramStart"/>
      <w:r w:rsidRPr="008D6DF1">
        <w:t>damages</w:t>
      </w:r>
      <w:proofErr w:type="gramEnd"/>
      <w:r w:rsidRPr="008D6DF1">
        <w:t xml:space="preserve"> and punitive damages.</w:t>
      </w:r>
      <w:r w:rsidR="008D6DF1" w:rsidRPr="008D6DF1">
        <w:rPr>
          <w:vertAlign w:val="superscript"/>
        </w:rPr>
        <w:footnoteReference w:id="141"/>
      </w:r>
    </w:p>
    <w:p w14:paraId="5EFFEB43" w14:textId="7EA91483" w:rsidR="008D6DF1" w:rsidRPr="000F2A11" w:rsidRDefault="00B220F8" w:rsidP="000F2A11">
      <w:pPr>
        <w:pStyle w:val="BHead3"/>
      </w:pPr>
      <w:proofErr w:type="gramStart"/>
      <w:r w:rsidRPr="004D355E">
        <w:t>1.III.A.</w:t>
      </w:r>
      <w:proofErr w:type="gramEnd"/>
      <w:r w:rsidR="008D6DF1" w:rsidRPr="004D355E">
        <w:rPr>
          <w:rStyle w:val="BBNAidChar"/>
          <w:rFonts w:eastAsiaTheme="majorEastAsia"/>
        </w:rPr>
        <w:t>2</w:t>
      </w:r>
      <w:r w:rsidR="008D6DF1" w:rsidRPr="000F2A11">
        <w:t>.</w:t>
      </w:r>
      <w:r w:rsidR="008D6DF1" w:rsidRPr="000F2A11">
        <w:tab/>
        <w:t>State Dilution Statutes: The Different Models</w:t>
      </w:r>
    </w:p>
    <w:p w14:paraId="402C8A42" w14:textId="7C442449" w:rsidR="008D6DF1" w:rsidRPr="008D6DF1" w:rsidRDefault="00AE6E1D" w:rsidP="008D6DF1">
      <w:pPr>
        <w:pStyle w:val="BNormal"/>
      </w:pPr>
      <w:r w:rsidRPr="008D6DF1">
        <w:t>As of 1964, when the first dilution provision was included in the Model State Trademark Bill, five states had enacted dilution statutes.</w:t>
      </w:r>
      <w:r w:rsidR="008D6DF1" w:rsidRPr="008D6DF1">
        <w:rPr>
          <w:vertAlign w:val="superscript"/>
        </w:rPr>
        <w:footnoteReference w:id="142"/>
      </w:r>
      <w:r w:rsidRPr="008D6DF1">
        <w:t xml:space="preserve"> All of those states had similar dilution statutes</w:t>
      </w:r>
      <w:r w:rsidR="008D6DF1" w:rsidRPr="008D6DF1">
        <w:t>. T</w:t>
      </w:r>
      <w:r w:rsidRPr="008D6DF1">
        <w:t>here are now 38 states with dilution statutes (plus Puerto Rico), and there are numerous differences among them</w:t>
      </w:r>
      <w:r w:rsidR="008D6DF1" w:rsidRPr="008D6DF1">
        <w:t>. T</w:t>
      </w:r>
      <w:r w:rsidRPr="008D6DF1">
        <w:t>hese differences will be discussed in detail in succeeding chapters</w:t>
      </w:r>
      <w:r w:rsidR="008D6DF1" w:rsidRPr="008D6DF1">
        <w:t>. H</w:t>
      </w:r>
      <w:r w:rsidRPr="008D6DF1">
        <w:t>owever, state statutes can be grouped roughly into four categories, representing the different Model Bill provisions after which they are patterned</w:t>
      </w:r>
      <w:r w:rsidR="008D6DF1" w:rsidRPr="008D6DF1">
        <w:t>: t</w:t>
      </w:r>
      <w:r w:rsidRPr="008D6DF1">
        <w:t>he 1964 version, the 1992 version, the 1996 version, or the 2007 version</w:t>
      </w:r>
      <w:r w:rsidR="008D6DF1" w:rsidRPr="008D6DF1">
        <w:t>. H</w:t>
      </w:r>
      <w:r w:rsidRPr="008D6DF1">
        <w:t>owever, it must be emphasized that even within each category, there are significant variations among the state laws</w:t>
      </w:r>
      <w:r w:rsidR="008D6DF1" w:rsidRPr="008D6DF1">
        <w:t>. T</w:t>
      </w:r>
      <w:r w:rsidRPr="008D6DF1">
        <w:t>hus, one must consult the relevant state statute to determine its exact scope of protection and terms</w:t>
      </w:r>
      <w:r w:rsidR="008D6DF1" w:rsidRPr="008D6DF1">
        <w:t>. O</w:t>
      </w:r>
      <w:r w:rsidRPr="008D6DF1">
        <w:t>ne must also be aware of specialized dilution statutes, which may supplement the regular state dilution statute.</w:t>
      </w:r>
      <w:r w:rsidR="008D6DF1" w:rsidRPr="008D6DF1">
        <w:rPr>
          <w:vertAlign w:val="superscript"/>
        </w:rPr>
        <w:footnoteReference w:id="143"/>
      </w:r>
    </w:p>
    <w:p w14:paraId="0B6B9CB7" w14:textId="0F3F1871" w:rsidR="008D6DF1" w:rsidRPr="008D6DF1" w:rsidRDefault="00AE6E1D" w:rsidP="008D6DF1">
      <w:pPr>
        <w:pStyle w:val="BNormal"/>
      </w:pPr>
      <w:r w:rsidRPr="008D6DF1">
        <w:t>From 1964 to 1992, when the first amendments to the Model Bill’s dilution provisions were made, another 20 states enacted dilution laws, bringing the total to 25.</w:t>
      </w:r>
      <w:r w:rsidR="008D6DF1" w:rsidRPr="008D6DF1">
        <w:rPr>
          <w:vertAlign w:val="superscript"/>
        </w:rPr>
        <w:footnoteReference w:id="144"/>
      </w:r>
      <w:r w:rsidRPr="008D6DF1">
        <w:t xml:space="preserve"> All but Washington’s were similar to the 1964 Model Bill.</w:t>
      </w:r>
      <w:r w:rsidR="008D6DF1" w:rsidRPr="008D6DF1">
        <w:rPr>
          <w:vertAlign w:val="superscript"/>
        </w:rPr>
        <w:footnoteReference w:id="145"/>
      </w:r>
      <w:r w:rsidRPr="008D6DF1">
        <w:t xml:space="preserve"> From 1992 through 1995, five states enacted new laws, all but one of which were similar to the 1992 Model Bill.</w:t>
      </w:r>
      <w:r w:rsidR="008D6DF1" w:rsidRPr="008D6DF1">
        <w:rPr>
          <w:vertAlign w:val="superscript"/>
        </w:rPr>
        <w:footnoteReference w:id="146"/>
      </w:r>
      <w:r w:rsidRPr="008D6DF1">
        <w:t xml:space="preserve"> From 1996 to the present, 24 states (plus Puerto Rico) have enacted laws modeled after the 1992, 1996, or 2007 Model Bill.</w:t>
      </w:r>
      <w:r w:rsidR="008D6DF1" w:rsidRPr="008D6DF1">
        <w:rPr>
          <w:vertAlign w:val="superscript"/>
        </w:rPr>
        <w:footnoteReference w:id="147"/>
      </w:r>
      <w:r w:rsidRPr="008D6DF1">
        <w:t xml:space="preserve"> Of the laws enacted since 1992, 15 were in states that replaced statutes similar to </w:t>
      </w:r>
      <w:r w:rsidRPr="008D6DF1">
        <w:lastRenderedPageBreak/>
        <w:t>the 1964 Bill with a newer version.</w:t>
      </w:r>
      <w:r w:rsidR="008D6DF1" w:rsidRPr="008D6DF1">
        <w:rPr>
          <w:vertAlign w:val="superscript"/>
        </w:rPr>
        <w:footnoteReference w:id="148"/>
      </w:r>
      <w:r w:rsidRPr="008D6DF1">
        <w:t xml:space="preserve"> This brings the total of states with dilution laws to 38, of which 29 are of the newer varieties</w:t>
      </w:r>
      <w:r w:rsidR="008D6DF1" w:rsidRPr="008D6DF1">
        <w:t>. O</w:t>
      </w:r>
      <w:r w:rsidRPr="008D6DF1">
        <w:t>ne territory, Puerto Rico, has a dilution law, and it is based on the 2007 Model Bill.</w:t>
      </w:r>
    </w:p>
    <w:p w14:paraId="35DE681C" w14:textId="3784D622" w:rsidR="008D6DF1" w:rsidRPr="000F2A11" w:rsidRDefault="00B220F8" w:rsidP="000F2A11">
      <w:pPr>
        <w:pStyle w:val="BHead3"/>
      </w:pPr>
      <w:proofErr w:type="gramStart"/>
      <w:r w:rsidRPr="004D355E">
        <w:t>1.III.A.</w:t>
      </w:r>
      <w:proofErr w:type="gramEnd"/>
      <w:r w:rsidR="008D6DF1" w:rsidRPr="004D355E">
        <w:rPr>
          <w:rStyle w:val="BBNAidChar"/>
          <w:rFonts w:eastAsiaTheme="majorEastAsia"/>
        </w:rPr>
        <w:t>3</w:t>
      </w:r>
      <w:r w:rsidR="008D6DF1" w:rsidRPr="000F2A11">
        <w:t>. State-by-State Comparison of Dilution Statutes</w:t>
      </w:r>
    </w:p>
    <w:p w14:paraId="0407F47F" w14:textId="14227F2F" w:rsidR="008D6DF1" w:rsidRPr="008D6DF1" w:rsidRDefault="00AE6E1D" w:rsidP="008D6DF1">
      <w:pPr>
        <w:pStyle w:val="BNormal"/>
      </w:pPr>
      <w:r w:rsidRPr="008D6DF1">
        <w:t>The following table summarizes the status of state dilution laws as of 2024:</w:t>
      </w:r>
    </w:p>
    <w:p w14:paraId="57D320D7" w14:textId="318ECDC2" w:rsidR="00AE6E1D" w:rsidRPr="008D6DF1" w:rsidRDefault="008D6DF1" w:rsidP="008D6DF1">
      <w:pPr>
        <w:pStyle w:val="BNormal"/>
      </w:pPr>
      <w:r w:rsidRPr="008D6DF1">
        <w:rPr>
          <w:b/>
        </w:rPr>
        <w:t>Table 1-1. State-by-State Comparison of Dilution Statutes</w:t>
      </w:r>
    </w:p>
    <w:tbl>
      <w:tblPr>
        <w:tblW w:w="0" w:type="auto"/>
        <w:tblInd w:w="16" w:type="dxa"/>
        <w:tblBorders>
          <w:top w:val="nil"/>
          <w:left w:val="nil"/>
          <w:bottom w:val="nil"/>
          <w:right w:val="nil"/>
          <w:insideH w:val="nil"/>
          <w:insideV w:val="nil"/>
        </w:tblBorders>
        <w:tblLayout w:type="fixed"/>
        <w:tblCellMar>
          <w:left w:w="0" w:type="dxa"/>
          <w:right w:w="0" w:type="dxa"/>
        </w:tblCellMar>
        <w:tblLook w:val="0000" w:firstRow="0" w:lastRow="0" w:firstColumn="0" w:lastColumn="0" w:noHBand="0" w:noVBand="0"/>
      </w:tblPr>
      <w:tblGrid>
        <w:gridCol w:w="1560"/>
        <w:gridCol w:w="1920"/>
        <w:gridCol w:w="600"/>
        <w:gridCol w:w="600"/>
        <w:gridCol w:w="600"/>
        <w:gridCol w:w="600"/>
        <w:gridCol w:w="1080"/>
      </w:tblGrid>
      <w:tr w:rsidR="00AE6E1D" w:rsidRPr="008D6DF1" w14:paraId="4E6D8CE8" w14:textId="77777777" w:rsidTr="008D6DF1">
        <w:trPr>
          <w:tblHeader/>
        </w:trPr>
        <w:tc>
          <w:tcPr>
            <w:tcW w:w="1560" w:type="dxa"/>
            <w:tcBorders>
              <w:top w:val="single" w:sz="5" w:space="0" w:color="000000"/>
              <w:left w:val="threeDEmboss" w:sz="1" w:space="0" w:color="000000"/>
              <w:bottom w:val="single" w:sz="5" w:space="0" w:color="000000"/>
              <w:right w:val="threeDEmboss" w:sz="1" w:space="0" w:color="000000"/>
            </w:tcBorders>
            <w:tcMar>
              <w:left w:w="0" w:type="dxa"/>
              <w:right w:w="0" w:type="dxa"/>
            </w:tcMar>
            <w:vAlign w:val="bottom"/>
          </w:tcPr>
          <w:p w14:paraId="599FB791" w14:textId="2BE57916" w:rsidR="00AE6E1D" w:rsidRPr="008D6DF1" w:rsidRDefault="008D6DF1" w:rsidP="00317169">
            <w:pPr>
              <w:pStyle w:val="BNormal"/>
            </w:pPr>
            <w:r w:rsidRPr="008D6DF1">
              <w:t>State/Territory</w:t>
            </w:r>
          </w:p>
        </w:tc>
        <w:tc>
          <w:tcPr>
            <w:tcW w:w="1920" w:type="dxa"/>
            <w:tcBorders>
              <w:top w:val="single" w:sz="5" w:space="0" w:color="000000"/>
              <w:left w:val="threeDEmboss" w:sz="1" w:space="0" w:color="000000"/>
              <w:bottom w:val="single" w:sz="5" w:space="0" w:color="000000"/>
              <w:right w:val="threeDEmboss" w:sz="1" w:space="0" w:color="000000"/>
            </w:tcBorders>
            <w:tcMar>
              <w:left w:w="0" w:type="dxa"/>
              <w:right w:w="0" w:type="dxa"/>
            </w:tcMar>
            <w:vAlign w:val="bottom"/>
          </w:tcPr>
          <w:p w14:paraId="5F520FE3" w14:textId="1D6315D0" w:rsidR="00AE6E1D" w:rsidRPr="008D6DF1" w:rsidRDefault="008D6DF1" w:rsidP="00317169">
            <w:pPr>
              <w:pStyle w:val="BNormal"/>
            </w:pPr>
            <w:r w:rsidRPr="008D6DF1">
              <w:t>Citation</w:t>
            </w:r>
          </w:p>
        </w:tc>
        <w:tc>
          <w:tcPr>
            <w:tcW w:w="600" w:type="dxa"/>
            <w:tcBorders>
              <w:top w:val="single" w:sz="5" w:space="0" w:color="000000"/>
              <w:left w:val="threeDEmboss" w:sz="1" w:space="0" w:color="000000"/>
              <w:bottom w:val="single" w:sz="5" w:space="0" w:color="000000"/>
              <w:right w:val="threeDEmboss" w:sz="1" w:space="0" w:color="000000"/>
            </w:tcBorders>
            <w:tcMar>
              <w:left w:w="0" w:type="dxa"/>
              <w:right w:w="0" w:type="dxa"/>
            </w:tcMar>
            <w:vAlign w:val="bottom"/>
          </w:tcPr>
          <w:p w14:paraId="3FDB86B3" w14:textId="7D4897B6" w:rsidR="008D6DF1" w:rsidRPr="008D6DF1" w:rsidRDefault="008D6DF1" w:rsidP="00317169">
            <w:pPr>
              <w:pStyle w:val="BNormal"/>
            </w:pPr>
            <w:r w:rsidRPr="008D6DF1">
              <w:t>1964</w:t>
            </w:r>
          </w:p>
          <w:p w14:paraId="6A386BFA" w14:textId="64F12870" w:rsidR="00AE6E1D" w:rsidRPr="008D6DF1" w:rsidRDefault="008D6DF1" w:rsidP="00317169">
            <w:pPr>
              <w:pStyle w:val="BNormal"/>
            </w:pPr>
            <w:r w:rsidRPr="008D6DF1">
              <w:t>Type</w:t>
            </w:r>
          </w:p>
        </w:tc>
        <w:tc>
          <w:tcPr>
            <w:tcW w:w="600" w:type="dxa"/>
            <w:tcBorders>
              <w:top w:val="single" w:sz="5" w:space="0" w:color="000000"/>
              <w:left w:val="threeDEmboss" w:sz="1" w:space="0" w:color="000000"/>
              <w:bottom w:val="single" w:sz="5" w:space="0" w:color="000000"/>
              <w:right w:val="threeDEmboss" w:sz="1" w:space="0" w:color="000000"/>
            </w:tcBorders>
            <w:tcMar>
              <w:left w:w="0" w:type="dxa"/>
              <w:right w:w="0" w:type="dxa"/>
            </w:tcMar>
            <w:vAlign w:val="bottom"/>
          </w:tcPr>
          <w:p w14:paraId="0C19206F" w14:textId="12A92C54" w:rsidR="008D6DF1" w:rsidRPr="008D6DF1" w:rsidRDefault="008D6DF1" w:rsidP="00317169">
            <w:pPr>
              <w:pStyle w:val="BNormal"/>
            </w:pPr>
            <w:r w:rsidRPr="008D6DF1">
              <w:t>1992</w:t>
            </w:r>
          </w:p>
          <w:p w14:paraId="119340F9" w14:textId="7F164B9C" w:rsidR="00AE6E1D" w:rsidRPr="008D6DF1" w:rsidRDefault="008D6DF1" w:rsidP="00317169">
            <w:pPr>
              <w:pStyle w:val="BNormal"/>
            </w:pPr>
            <w:r w:rsidRPr="008D6DF1">
              <w:t>Type</w:t>
            </w:r>
          </w:p>
        </w:tc>
        <w:tc>
          <w:tcPr>
            <w:tcW w:w="600" w:type="dxa"/>
            <w:tcBorders>
              <w:top w:val="single" w:sz="5" w:space="0" w:color="000000"/>
              <w:left w:val="threeDEmboss" w:sz="1" w:space="0" w:color="000000"/>
              <w:bottom w:val="single" w:sz="5" w:space="0" w:color="000000"/>
              <w:right w:val="threeDEmboss" w:sz="1" w:space="0" w:color="000000"/>
            </w:tcBorders>
            <w:tcMar>
              <w:left w:w="0" w:type="dxa"/>
              <w:right w:w="0" w:type="dxa"/>
            </w:tcMar>
            <w:vAlign w:val="bottom"/>
          </w:tcPr>
          <w:p w14:paraId="3E4C8E4E" w14:textId="155F8940" w:rsidR="008D6DF1" w:rsidRPr="008D6DF1" w:rsidRDefault="008D6DF1" w:rsidP="00317169">
            <w:pPr>
              <w:pStyle w:val="BNormal"/>
            </w:pPr>
            <w:r w:rsidRPr="008D6DF1">
              <w:t>1996</w:t>
            </w:r>
          </w:p>
          <w:p w14:paraId="59303A31" w14:textId="0D210D2E" w:rsidR="00AE6E1D" w:rsidRPr="008D6DF1" w:rsidRDefault="008D6DF1" w:rsidP="00317169">
            <w:pPr>
              <w:pStyle w:val="BNormal"/>
            </w:pPr>
            <w:r w:rsidRPr="008D6DF1">
              <w:t>Type</w:t>
            </w:r>
          </w:p>
        </w:tc>
        <w:tc>
          <w:tcPr>
            <w:tcW w:w="600" w:type="dxa"/>
            <w:tcBorders>
              <w:top w:val="single" w:sz="5" w:space="0" w:color="000000"/>
              <w:left w:val="threeDEmboss" w:sz="1" w:space="0" w:color="000000"/>
              <w:bottom w:val="single" w:sz="5" w:space="0" w:color="000000"/>
              <w:right w:val="threeDEmboss" w:sz="1" w:space="0" w:color="000000"/>
            </w:tcBorders>
            <w:tcMar>
              <w:left w:w="0" w:type="dxa"/>
              <w:right w:w="0" w:type="dxa"/>
            </w:tcMar>
            <w:vAlign w:val="bottom"/>
          </w:tcPr>
          <w:p w14:paraId="789C0DD1" w14:textId="480368A4" w:rsidR="008D6DF1" w:rsidRPr="008D6DF1" w:rsidRDefault="008D6DF1" w:rsidP="00317169">
            <w:pPr>
              <w:pStyle w:val="BNormal"/>
            </w:pPr>
            <w:r w:rsidRPr="008D6DF1">
              <w:t>2007</w:t>
            </w:r>
          </w:p>
          <w:p w14:paraId="2A354A4F" w14:textId="45D227A1" w:rsidR="00AE6E1D" w:rsidRPr="008D6DF1" w:rsidRDefault="008D6DF1" w:rsidP="00317169">
            <w:pPr>
              <w:pStyle w:val="BNormal"/>
            </w:pPr>
            <w:r w:rsidRPr="008D6DF1">
              <w:t>Type</w:t>
            </w:r>
          </w:p>
        </w:tc>
        <w:tc>
          <w:tcPr>
            <w:tcW w:w="1080" w:type="dxa"/>
            <w:tcBorders>
              <w:top w:val="single" w:sz="5" w:space="0" w:color="000000"/>
              <w:left w:val="threeDEmboss" w:sz="1" w:space="0" w:color="000000"/>
              <w:bottom w:val="single" w:sz="5" w:space="0" w:color="000000"/>
              <w:right w:val="threeDEmboss" w:sz="1" w:space="0" w:color="000000"/>
            </w:tcBorders>
            <w:tcMar>
              <w:left w:w="0" w:type="dxa"/>
              <w:right w:w="0" w:type="dxa"/>
            </w:tcMar>
            <w:vAlign w:val="bottom"/>
          </w:tcPr>
          <w:p w14:paraId="2A655814" w14:textId="2A473357" w:rsidR="008D6DF1" w:rsidRPr="008D6DF1" w:rsidRDefault="008D6DF1" w:rsidP="00317169">
            <w:pPr>
              <w:pStyle w:val="BNormal"/>
            </w:pPr>
            <w:r w:rsidRPr="008D6DF1">
              <w:t>Effective</w:t>
            </w:r>
          </w:p>
          <w:p w14:paraId="597090BD" w14:textId="08896102" w:rsidR="00AE6E1D" w:rsidRPr="008D6DF1" w:rsidRDefault="008D6DF1" w:rsidP="00317169">
            <w:pPr>
              <w:pStyle w:val="BNormal"/>
            </w:pPr>
            <w:r w:rsidRPr="008D6DF1">
              <w:t>Date of Current Law</w:t>
            </w:r>
          </w:p>
        </w:tc>
      </w:tr>
      <w:tr w:rsidR="00AE6E1D" w:rsidRPr="008D6DF1" w14:paraId="18B4B817" w14:textId="77777777" w:rsidTr="008D6DF1">
        <w:tc>
          <w:tcPr>
            <w:tcW w:w="1560" w:type="dxa"/>
            <w:tcBorders>
              <w:top w:val="threeDEmboss" w:sz="1" w:space="0" w:color="000000"/>
              <w:left w:val="nil"/>
              <w:bottom w:val="nil"/>
              <w:right w:val="nil"/>
            </w:tcBorders>
            <w:tcMar>
              <w:left w:w="0" w:type="dxa"/>
              <w:right w:w="0" w:type="dxa"/>
            </w:tcMar>
          </w:tcPr>
          <w:p w14:paraId="5BC38FD9" w14:textId="77777777" w:rsidR="00AE6E1D" w:rsidRPr="008D6DF1" w:rsidRDefault="00AE6E1D" w:rsidP="00317169">
            <w:pPr>
              <w:pStyle w:val="BNormal"/>
            </w:pPr>
            <w:r w:rsidRPr="008D6DF1">
              <w:t>Alabama</w:t>
            </w:r>
          </w:p>
        </w:tc>
        <w:tc>
          <w:tcPr>
            <w:tcW w:w="1920" w:type="dxa"/>
            <w:tcBorders>
              <w:top w:val="threeDEmboss" w:sz="1" w:space="0" w:color="000000"/>
              <w:left w:val="nil"/>
              <w:bottom w:val="nil"/>
              <w:right w:val="nil"/>
            </w:tcBorders>
            <w:tcMar>
              <w:left w:w="0" w:type="dxa"/>
              <w:right w:w="0" w:type="dxa"/>
            </w:tcMar>
          </w:tcPr>
          <w:p w14:paraId="7872636D" w14:textId="150671A1" w:rsidR="00AE6E1D" w:rsidRPr="008D6DF1" w:rsidRDefault="008D6DF1" w:rsidP="00317169">
            <w:pPr>
              <w:pStyle w:val="BNormal"/>
            </w:pPr>
            <w:r w:rsidRPr="008D6DF1">
              <w:rPr>
                <w:smallCaps/>
              </w:rPr>
              <w:t xml:space="preserve">Ala. Code </w:t>
            </w:r>
            <w:r w:rsidR="00AE6E1D" w:rsidRPr="008D6DF1">
              <w:t>§§8-12-6(2)</w:t>
            </w:r>
            <w:proofErr w:type="gramStart"/>
            <w:r w:rsidR="00AE6E1D" w:rsidRPr="008D6DF1">
              <w:t>–(</w:t>
            </w:r>
            <w:proofErr w:type="gramEnd"/>
            <w:r w:rsidR="00AE6E1D" w:rsidRPr="008D6DF1">
              <w:t>4), 8-12-17</w:t>
            </w:r>
          </w:p>
        </w:tc>
        <w:tc>
          <w:tcPr>
            <w:tcW w:w="600" w:type="dxa"/>
            <w:tcBorders>
              <w:top w:val="threeDEmboss" w:sz="1" w:space="0" w:color="000000"/>
              <w:left w:val="nil"/>
              <w:bottom w:val="nil"/>
              <w:right w:val="nil"/>
            </w:tcBorders>
            <w:tcMar>
              <w:left w:w="0" w:type="dxa"/>
              <w:right w:w="0" w:type="dxa"/>
            </w:tcMar>
          </w:tcPr>
          <w:p w14:paraId="575D4681" w14:textId="77777777" w:rsidR="00AE6E1D" w:rsidRPr="008D6DF1" w:rsidRDefault="00AE6E1D" w:rsidP="00317169">
            <w:pPr>
              <w:pStyle w:val="BNormal"/>
            </w:pPr>
            <w:r w:rsidRPr="008D6DF1">
              <w:t>**</w:t>
            </w:r>
          </w:p>
        </w:tc>
        <w:tc>
          <w:tcPr>
            <w:tcW w:w="600" w:type="dxa"/>
            <w:tcBorders>
              <w:top w:val="threeDEmboss" w:sz="1" w:space="0" w:color="000000"/>
              <w:left w:val="nil"/>
              <w:bottom w:val="nil"/>
              <w:right w:val="nil"/>
            </w:tcBorders>
            <w:tcMar>
              <w:left w:w="0" w:type="dxa"/>
              <w:right w:w="0" w:type="dxa"/>
            </w:tcMar>
          </w:tcPr>
          <w:p w14:paraId="3066B116" w14:textId="77777777" w:rsidR="00AE6E1D" w:rsidRPr="008D6DF1" w:rsidRDefault="00AE6E1D" w:rsidP="00317169">
            <w:pPr>
              <w:pStyle w:val="BNormal"/>
            </w:pPr>
          </w:p>
        </w:tc>
        <w:tc>
          <w:tcPr>
            <w:tcW w:w="600" w:type="dxa"/>
            <w:tcBorders>
              <w:top w:val="threeDEmboss" w:sz="1" w:space="0" w:color="000000"/>
              <w:left w:val="nil"/>
              <w:bottom w:val="nil"/>
              <w:right w:val="nil"/>
            </w:tcBorders>
            <w:tcMar>
              <w:left w:w="0" w:type="dxa"/>
              <w:right w:w="0" w:type="dxa"/>
            </w:tcMar>
          </w:tcPr>
          <w:p w14:paraId="6EA453E2" w14:textId="77777777" w:rsidR="00AE6E1D" w:rsidRPr="008D6DF1" w:rsidRDefault="00AE6E1D" w:rsidP="00317169">
            <w:pPr>
              <w:pStyle w:val="BNormal"/>
            </w:pPr>
          </w:p>
        </w:tc>
        <w:tc>
          <w:tcPr>
            <w:tcW w:w="600" w:type="dxa"/>
            <w:tcBorders>
              <w:top w:val="threeDEmboss" w:sz="1" w:space="0" w:color="000000"/>
              <w:left w:val="nil"/>
              <w:bottom w:val="nil"/>
              <w:right w:val="nil"/>
            </w:tcBorders>
            <w:tcMar>
              <w:left w:w="0" w:type="dxa"/>
              <w:right w:w="0" w:type="dxa"/>
            </w:tcMar>
          </w:tcPr>
          <w:p w14:paraId="3132FC77" w14:textId="77777777" w:rsidR="00AE6E1D" w:rsidRPr="008D6DF1" w:rsidRDefault="00AE6E1D" w:rsidP="00317169">
            <w:pPr>
              <w:pStyle w:val="BNormal"/>
            </w:pPr>
            <w:r w:rsidRPr="008D6DF1">
              <w:t>X</w:t>
            </w:r>
          </w:p>
        </w:tc>
        <w:tc>
          <w:tcPr>
            <w:tcW w:w="1080" w:type="dxa"/>
            <w:tcBorders>
              <w:top w:val="threeDEmboss" w:sz="1" w:space="0" w:color="000000"/>
              <w:left w:val="nil"/>
              <w:bottom w:val="nil"/>
              <w:right w:val="nil"/>
            </w:tcBorders>
            <w:tcMar>
              <w:left w:w="0" w:type="dxa"/>
              <w:right w:w="0" w:type="dxa"/>
            </w:tcMar>
          </w:tcPr>
          <w:p w14:paraId="0A540FDC" w14:textId="0B929E2D" w:rsidR="008D6DF1" w:rsidRPr="008D6DF1" w:rsidRDefault="00AE6E1D" w:rsidP="00317169">
            <w:pPr>
              <w:pStyle w:val="BNormal"/>
            </w:pPr>
            <w:r w:rsidRPr="008D6DF1">
              <w:t>Jan</w:t>
            </w:r>
            <w:r w:rsidR="008D6DF1" w:rsidRPr="008D6DF1">
              <w:t>. 1</w:t>
            </w:r>
            <w:r w:rsidRPr="008D6DF1">
              <w:t>, 2011</w:t>
            </w:r>
          </w:p>
          <w:p w14:paraId="488E5DE3" w14:textId="0CF0BB74" w:rsidR="00AE6E1D" w:rsidRPr="008D6DF1" w:rsidRDefault="00AE6E1D" w:rsidP="00317169">
            <w:pPr>
              <w:pStyle w:val="BNormal"/>
            </w:pPr>
          </w:p>
        </w:tc>
      </w:tr>
      <w:tr w:rsidR="00AE6E1D" w:rsidRPr="008D6DF1" w14:paraId="6AD74054" w14:textId="77777777" w:rsidTr="008D6DF1">
        <w:tc>
          <w:tcPr>
            <w:tcW w:w="1560" w:type="dxa"/>
            <w:tcBorders>
              <w:top w:val="nil"/>
              <w:left w:val="nil"/>
              <w:bottom w:val="nil"/>
              <w:right w:val="nil"/>
            </w:tcBorders>
            <w:tcMar>
              <w:left w:w="0" w:type="dxa"/>
              <w:right w:w="0" w:type="dxa"/>
            </w:tcMar>
          </w:tcPr>
          <w:p w14:paraId="68071009" w14:textId="77777777" w:rsidR="00AE6E1D" w:rsidRPr="008D6DF1" w:rsidRDefault="00AE6E1D" w:rsidP="00317169">
            <w:pPr>
              <w:pStyle w:val="BNormal"/>
            </w:pPr>
            <w:r w:rsidRPr="008D6DF1">
              <w:t>Alaska</w:t>
            </w:r>
          </w:p>
        </w:tc>
        <w:tc>
          <w:tcPr>
            <w:tcW w:w="1920" w:type="dxa"/>
            <w:tcBorders>
              <w:top w:val="nil"/>
              <w:left w:val="nil"/>
              <w:bottom w:val="nil"/>
              <w:right w:val="nil"/>
            </w:tcBorders>
            <w:tcMar>
              <w:left w:w="0" w:type="dxa"/>
              <w:right w:w="0" w:type="dxa"/>
            </w:tcMar>
          </w:tcPr>
          <w:p w14:paraId="71FF269F" w14:textId="3341E34A" w:rsidR="00AE6E1D" w:rsidRPr="008D6DF1" w:rsidRDefault="008D6DF1" w:rsidP="00317169">
            <w:pPr>
              <w:pStyle w:val="BNormal"/>
            </w:pPr>
            <w:r w:rsidRPr="008D6DF1">
              <w:rPr>
                <w:smallCaps/>
              </w:rPr>
              <w:t xml:space="preserve">Alaska Stat. </w:t>
            </w:r>
            <w:r w:rsidRPr="008D6DF1">
              <w:t>§</w:t>
            </w:r>
            <w:r w:rsidR="00AE6E1D" w:rsidRPr="008D6DF1">
              <w:t>45.50.180(d), (e)</w:t>
            </w:r>
          </w:p>
        </w:tc>
        <w:tc>
          <w:tcPr>
            <w:tcW w:w="600" w:type="dxa"/>
            <w:tcBorders>
              <w:top w:val="nil"/>
              <w:left w:val="nil"/>
              <w:bottom w:val="nil"/>
              <w:right w:val="nil"/>
            </w:tcBorders>
            <w:tcMar>
              <w:left w:w="0" w:type="dxa"/>
              <w:right w:w="0" w:type="dxa"/>
            </w:tcMar>
          </w:tcPr>
          <w:p w14:paraId="64799D8B"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1E58DE88" w14:textId="77777777" w:rsidR="008D6DF1" w:rsidRPr="008D6DF1" w:rsidRDefault="00AE6E1D" w:rsidP="00317169">
            <w:pPr>
              <w:pStyle w:val="BNormal"/>
            </w:pPr>
            <w:r w:rsidRPr="008D6DF1">
              <w:t>X</w:t>
            </w:r>
          </w:p>
          <w:p w14:paraId="45F6AB42" w14:textId="55F11FAC"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2314E177"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731A4794" w14:textId="77777777" w:rsidR="00AE6E1D" w:rsidRPr="008D6DF1" w:rsidRDefault="00AE6E1D" w:rsidP="00317169">
            <w:pPr>
              <w:pStyle w:val="BNormal"/>
            </w:pPr>
          </w:p>
        </w:tc>
        <w:tc>
          <w:tcPr>
            <w:tcW w:w="1080" w:type="dxa"/>
            <w:tcBorders>
              <w:top w:val="nil"/>
              <w:left w:val="nil"/>
              <w:bottom w:val="nil"/>
              <w:right w:val="nil"/>
            </w:tcBorders>
            <w:tcMar>
              <w:left w:w="0" w:type="dxa"/>
              <w:right w:w="0" w:type="dxa"/>
            </w:tcMar>
          </w:tcPr>
          <w:p w14:paraId="5238DF31" w14:textId="5DE9EFC1" w:rsidR="00AE6E1D" w:rsidRPr="008D6DF1" w:rsidRDefault="00AE6E1D" w:rsidP="00317169">
            <w:pPr>
              <w:pStyle w:val="BNormal"/>
            </w:pPr>
            <w:r w:rsidRPr="008D6DF1">
              <w:t>Jan</w:t>
            </w:r>
            <w:r w:rsidR="008D6DF1" w:rsidRPr="008D6DF1">
              <w:t>. 1</w:t>
            </w:r>
            <w:r w:rsidRPr="008D6DF1">
              <w:t>, 1997</w:t>
            </w:r>
          </w:p>
        </w:tc>
      </w:tr>
      <w:tr w:rsidR="00AE6E1D" w:rsidRPr="008D6DF1" w14:paraId="2B96C856" w14:textId="77777777" w:rsidTr="008D6DF1">
        <w:tc>
          <w:tcPr>
            <w:tcW w:w="1560" w:type="dxa"/>
            <w:tcBorders>
              <w:top w:val="nil"/>
              <w:left w:val="nil"/>
              <w:bottom w:val="nil"/>
              <w:right w:val="nil"/>
            </w:tcBorders>
            <w:tcMar>
              <w:left w:w="0" w:type="dxa"/>
              <w:right w:w="0" w:type="dxa"/>
            </w:tcMar>
          </w:tcPr>
          <w:p w14:paraId="5ECBB513" w14:textId="77777777" w:rsidR="00AE6E1D" w:rsidRPr="008D6DF1" w:rsidRDefault="00AE6E1D" w:rsidP="00317169">
            <w:pPr>
              <w:pStyle w:val="BNormal"/>
            </w:pPr>
            <w:r w:rsidRPr="008D6DF1">
              <w:t>Arizona</w:t>
            </w:r>
          </w:p>
        </w:tc>
        <w:tc>
          <w:tcPr>
            <w:tcW w:w="1920" w:type="dxa"/>
            <w:tcBorders>
              <w:top w:val="nil"/>
              <w:left w:val="nil"/>
              <w:bottom w:val="nil"/>
              <w:right w:val="nil"/>
            </w:tcBorders>
            <w:tcMar>
              <w:left w:w="0" w:type="dxa"/>
              <w:right w:w="0" w:type="dxa"/>
            </w:tcMar>
          </w:tcPr>
          <w:p w14:paraId="71C5D709" w14:textId="01B95CE6" w:rsidR="008D6DF1" w:rsidRPr="008D6DF1" w:rsidRDefault="008D6DF1" w:rsidP="00317169">
            <w:pPr>
              <w:pStyle w:val="BNormal"/>
            </w:pPr>
            <w:r w:rsidRPr="008D6DF1">
              <w:rPr>
                <w:smallCaps/>
              </w:rPr>
              <w:t>Ariz. Rev. Stat.</w:t>
            </w:r>
          </w:p>
          <w:p w14:paraId="5E0672D8" w14:textId="77777777" w:rsidR="008D6DF1" w:rsidRPr="008D6DF1" w:rsidRDefault="00AE6E1D" w:rsidP="00317169">
            <w:pPr>
              <w:pStyle w:val="BNormal"/>
            </w:pPr>
            <w:r w:rsidRPr="008D6DF1">
              <w:t>§§44-1441(A)(2),</w:t>
            </w:r>
          </w:p>
          <w:p w14:paraId="47EE7CBC" w14:textId="4DD7773E" w:rsidR="00AE6E1D" w:rsidRPr="008D6DF1" w:rsidRDefault="00AE6E1D" w:rsidP="00317169">
            <w:pPr>
              <w:pStyle w:val="BNormal"/>
            </w:pPr>
            <w:r w:rsidRPr="008D6DF1">
              <w:t>44-1448.01</w:t>
            </w:r>
          </w:p>
        </w:tc>
        <w:tc>
          <w:tcPr>
            <w:tcW w:w="600" w:type="dxa"/>
            <w:tcBorders>
              <w:top w:val="nil"/>
              <w:left w:val="nil"/>
              <w:bottom w:val="nil"/>
              <w:right w:val="nil"/>
            </w:tcBorders>
            <w:tcMar>
              <w:left w:w="0" w:type="dxa"/>
              <w:right w:w="0" w:type="dxa"/>
            </w:tcMar>
          </w:tcPr>
          <w:p w14:paraId="2334022E"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1D4455EF"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61A186A4" w14:textId="77777777" w:rsidR="00AE6E1D" w:rsidRPr="008D6DF1" w:rsidRDefault="00AE6E1D" w:rsidP="00317169">
            <w:pPr>
              <w:pStyle w:val="BNormal"/>
            </w:pPr>
            <w:r w:rsidRPr="008D6DF1">
              <w:t>X</w:t>
            </w:r>
          </w:p>
        </w:tc>
        <w:tc>
          <w:tcPr>
            <w:tcW w:w="600" w:type="dxa"/>
            <w:tcBorders>
              <w:top w:val="nil"/>
              <w:left w:val="nil"/>
              <w:bottom w:val="nil"/>
              <w:right w:val="nil"/>
            </w:tcBorders>
            <w:tcMar>
              <w:left w:w="0" w:type="dxa"/>
              <w:right w:w="0" w:type="dxa"/>
            </w:tcMar>
          </w:tcPr>
          <w:p w14:paraId="0CB73319" w14:textId="77777777" w:rsidR="00AE6E1D" w:rsidRPr="008D6DF1" w:rsidRDefault="00AE6E1D" w:rsidP="00317169">
            <w:pPr>
              <w:pStyle w:val="BNormal"/>
            </w:pPr>
          </w:p>
        </w:tc>
        <w:tc>
          <w:tcPr>
            <w:tcW w:w="1080" w:type="dxa"/>
            <w:tcBorders>
              <w:top w:val="nil"/>
              <w:left w:val="nil"/>
              <w:bottom w:val="nil"/>
              <w:right w:val="nil"/>
            </w:tcBorders>
            <w:tcMar>
              <w:left w:w="0" w:type="dxa"/>
              <w:right w:w="0" w:type="dxa"/>
            </w:tcMar>
          </w:tcPr>
          <w:p w14:paraId="6B3000AC" w14:textId="77777777" w:rsidR="00AE6E1D" w:rsidRPr="008D6DF1" w:rsidRDefault="00AE6E1D" w:rsidP="00317169">
            <w:pPr>
              <w:pStyle w:val="BNormal"/>
            </w:pPr>
            <w:r w:rsidRPr="008D6DF1">
              <w:t>1998</w:t>
            </w:r>
          </w:p>
        </w:tc>
      </w:tr>
      <w:tr w:rsidR="00AE6E1D" w:rsidRPr="008D6DF1" w14:paraId="01FB59A9" w14:textId="77777777" w:rsidTr="008D6DF1">
        <w:tc>
          <w:tcPr>
            <w:tcW w:w="1560" w:type="dxa"/>
            <w:tcBorders>
              <w:top w:val="nil"/>
              <w:left w:val="nil"/>
              <w:bottom w:val="nil"/>
              <w:right w:val="nil"/>
            </w:tcBorders>
            <w:tcMar>
              <w:left w:w="0" w:type="dxa"/>
              <w:right w:w="0" w:type="dxa"/>
            </w:tcMar>
          </w:tcPr>
          <w:p w14:paraId="3870A2D5" w14:textId="77777777" w:rsidR="008D6DF1" w:rsidRPr="008D6DF1" w:rsidRDefault="008D6DF1" w:rsidP="00317169">
            <w:pPr>
              <w:pStyle w:val="BNormal"/>
            </w:pPr>
          </w:p>
          <w:p w14:paraId="07467688" w14:textId="77777777" w:rsidR="00AE6E1D" w:rsidRPr="008D6DF1" w:rsidRDefault="00AE6E1D" w:rsidP="00317169">
            <w:pPr>
              <w:pStyle w:val="BNormal"/>
            </w:pPr>
            <w:r w:rsidRPr="008D6DF1">
              <w:t>Arkansas</w:t>
            </w:r>
          </w:p>
        </w:tc>
        <w:tc>
          <w:tcPr>
            <w:tcW w:w="1920" w:type="dxa"/>
            <w:tcBorders>
              <w:top w:val="nil"/>
              <w:left w:val="nil"/>
              <w:bottom w:val="nil"/>
              <w:right w:val="nil"/>
            </w:tcBorders>
            <w:tcMar>
              <w:left w:w="0" w:type="dxa"/>
              <w:right w:w="0" w:type="dxa"/>
            </w:tcMar>
          </w:tcPr>
          <w:p w14:paraId="5423A177" w14:textId="77777777" w:rsidR="008D6DF1" w:rsidRPr="008D6DF1" w:rsidRDefault="008D6DF1" w:rsidP="00317169">
            <w:pPr>
              <w:pStyle w:val="BNormal"/>
            </w:pPr>
          </w:p>
          <w:p w14:paraId="01615091" w14:textId="3F2D9891" w:rsidR="008D6DF1" w:rsidRPr="008D6DF1" w:rsidRDefault="008D6DF1" w:rsidP="00317169">
            <w:pPr>
              <w:pStyle w:val="BNormal"/>
            </w:pPr>
            <w:r w:rsidRPr="008D6DF1">
              <w:rPr>
                <w:smallCaps/>
              </w:rPr>
              <w:t>Ark. Code Ann.</w:t>
            </w:r>
          </w:p>
          <w:p w14:paraId="3054F05C" w14:textId="77777777" w:rsidR="008D6DF1" w:rsidRPr="008D6DF1" w:rsidRDefault="00AE6E1D" w:rsidP="00317169">
            <w:pPr>
              <w:pStyle w:val="BNormal"/>
            </w:pPr>
            <w:r w:rsidRPr="008D6DF1">
              <w:t>§§4-71-201(3),</w:t>
            </w:r>
          </w:p>
          <w:p w14:paraId="237C26B5" w14:textId="0D5C7DDB" w:rsidR="00AE6E1D" w:rsidRPr="008D6DF1" w:rsidRDefault="00AE6E1D" w:rsidP="00317169">
            <w:pPr>
              <w:pStyle w:val="BNormal"/>
            </w:pPr>
            <w:r w:rsidRPr="008D6DF1">
              <w:t>4-72-213</w:t>
            </w:r>
          </w:p>
        </w:tc>
        <w:tc>
          <w:tcPr>
            <w:tcW w:w="600" w:type="dxa"/>
            <w:tcBorders>
              <w:top w:val="nil"/>
              <w:left w:val="nil"/>
              <w:bottom w:val="nil"/>
              <w:right w:val="nil"/>
            </w:tcBorders>
            <w:tcMar>
              <w:left w:w="0" w:type="dxa"/>
              <w:right w:w="0" w:type="dxa"/>
            </w:tcMar>
          </w:tcPr>
          <w:p w14:paraId="4595C86F" w14:textId="77777777" w:rsidR="008D6DF1" w:rsidRPr="008D6DF1" w:rsidRDefault="008D6DF1" w:rsidP="00317169">
            <w:pPr>
              <w:pStyle w:val="BNormal"/>
            </w:pPr>
          </w:p>
          <w:p w14:paraId="449A35BD" w14:textId="77777777" w:rsidR="00AE6E1D" w:rsidRPr="008D6DF1" w:rsidRDefault="00AE6E1D" w:rsidP="00317169">
            <w:pPr>
              <w:pStyle w:val="BNormal"/>
            </w:pPr>
            <w:r w:rsidRPr="008D6DF1">
              <w:t>**</w:t>
            </w:r>
          </w:p>
        </w:tc>
        <w:tc>
          <w:tcPr>
            <w:tcW w:w="600" w:type="dxa"/>
            <w:tcBorders>
              <w:top w:val="nil"/>
              <w:left w:val="nil"/>
              <w:bottom w:val="nil"/>
              <w:right w:val="nil"/>
            </w:tcBorders>
            <w:tcMar>
              <w:left w:w="0" w:type="dxa"/>
              <w:right w:w="0" w:type="dxa"/>
            </w:tcMar>
          </w:tcPr>
          <w:p w14:paraId="6B0C664E"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1E3725B4" w14:textId="77777777" w:rsidR="008D6DF1" w:rsidRPr="008D6DF1" w:rsidRDefault="008D6DF1" w:rsidP="00317169">
            <w:pPr>
              <w:pStyle w:val="BNormal"/>
            </w:pPr>
          </w:p>
          <w:p w14:paraId="67865105" w14:textId="77777777" w:rsidR="00AE6E1D" w:rsidRPr="008D6DF1" w:rsidRDefault="00AE6E1D" w:rsidP="00317169">
            <w:pPr>
              <w:pStyle w:val="BNormal"/>
            </w:pPr>
            <w:r w:rsidRPr="008D6DF1">
              <w:t>X</w:t>
            </w:r>
          </w:p>
        </w:tc>
        <w:tc>
          <w:tcPr>
            <w:tcW w:w="600" w:type="dxa"/>
            <w:tcBorders>
              <w:top w:val="nil"/>
              <w:left w:val="nil"/>
              <w:bottom w:val="nil"/>
              <w:right w:val="nil"/>
            </w:tcBorders>
            <w:tcMar>
              <w:left w:w="0" w:type="dxa"/>
              <w:right w:w="0" w:type="dxa"/>
            </w:tcMar>
          </w:tcPr>
          <w:p w14:paraId="26DF0B61" w14:textId="77777777" w:rsidR="00AE6E1D" w:rsidRPr="008D6DF1" w:rsidRDefault="00AE6E1D" w:rsidP="00317169">
            <w:pPr>
              <w:pStyle w:val="BNormal"/>
            </w:pPr>
          </w:p>
        </w:tc>
        <w:tc>
          <w:tcPr>
            <w:tcW w:w="1080" w:type="dxa"/>
            <w:tcBorders>
              <w:top w:val="nil"/>
              <w:left w:val="nil"/>
              <w:bottom w:val="nil"/>
              <w:right w:val="nil"/>
            </w:tcBorders>
            <w:tcMar>
              <w:left w:w="0" w:type="dxa"/>
              <w:right w:w="0" w:type="dxa"/>
            </w:tcMar>
          </w:tcPr>
          <w:p w14:paraId="44AE1E3E" w14:textId="77777777" w:rsidR="008D6DF1" w:rsidRPr="008D6DF1" w:rsidRDefault="008D6DF1" w:rsidP="00317169">
            <w:pPr>
              <w:pStyle w:val="BNormal"/>
            </w:pPr>
          </w:p>
          <w:p w14:paraId="6586DDE4" w14:textId="77777777" w:rsidR="00AE6E1D" w:rsidRPr="008D6DF1" w:rsidRDefault="00AE6E1D" w:rsidP="00317169">
            <w:pPr>
              <w:pStyle w:val="BNormal"/>
            </w:pPr>
            <w:r w:rsidRPr="008D6DF1">
              <w:t>1997</w:t>
            </w:r>
          </w:p>
        </w:tc>
      </w:tr>
      <w:tr w:rsidR="00AE6E1D" w:rsidRPr="008D6DF1" w14:paraId="5D8B70A0" w14:textId="77777777" w:rsidTr="008D6DF1">
        <w:tc>
          <w:tcPr>
            <w:tcW w:w="1560" w:type="dxa"/>
            <w:tcBorders>
              <w:top w:val="nil"/>
              <w:left w:val="nil"/>
              <w:bottom w:val="nil"/>
              <w:right w:val="nil"/>
            </w:tcBorders>
            <w:tcMar>
              <w:left w:w="0" w:type="dxa"/>
              <w:right w:w="0" w:type="dxa"/>
            </w:tcMar>
          </w:tcPr>
          <w:p w14:paraId="66CAFEAC" w14:textId="77777777" w:rsidR="008D6DF1" w:rsidRPr="008D6DF1" w:rsidRDefault="008D6DF1" w:rsidP="00317169">
            <w:pPr>
              <w:pStyle w:val="BNormal"/>
            </w:pPr>
          </w:p>
          <w:p w14:paraId="2212F5A5" w14:textId="77777777" w:rsidR="00AE6E1D" w:rsidRPr="008D6DF1" w:rsidRDefault="00AE6E1D" w:rsidP="00317169">
            <w:pPr>
              <w:pStyle w:val="BNormal"/>
            </w:pPr>
            <w:r w:rsidRPr="008D6DF1">
              <w:t>California</w:t>
            </w:r>
          </w:p>
        </w:tc>
        <w:tc>
          <w:tcPr>
            <w:tcW w:w="1920" w:type="dxa"/>
            <w:tcBorders>
              <w:top w:val="nil"/>
              <w:left w:val="nil"/>
              <w:bottom w:val="nil"/>
              <w:right w:val="nil"/>
            </w:tcBorders>
            <w:tcMar>
              <w:left w:w="0" w:type="dxa"/>
              <w:right w:w="0" w:type="dxa"/>
            </w:tcMar>
          </w:tcPr>
          <w:p w14:paraId="1498F7A3" w14:textId="77777777" w:rsidR="008D6DF1" w:rsidRPr="008D6DF1" w:rsidRDefault="008D6DF1" w:rsidP="00317169">
            <w:pPr>
              <w:pStyle w:val="BNormal"/>
            </w:pPr>
          </w:p>
          <w:p w14:paraId="53F58E69" w14:textId="5342CCEE" w:rsidR="008D6DF1" w:rsidRPr="008D6DF1" w:rsidRDefault="008D6DF1" w:rsidP="00317169">
            <w:pPr>
              <w:pStyle w:val="BNormal"/>
              <w:rPr>
                <w:smallCaps/>
              </w:rPr>
            </w:pPr>
            <w:r w:rsidRPr="008D6DF1">
              <w:rPr>
                <w:smallCaps/>
              </w:rPr>
              <w:t>Cal. Bus. &amp; Prof.</w:t>
            </w:r>
          </w:p>
          <w:p w14:paraId="159797A4" w14:textId="55D8F24B" w:rsidR="00AE6E1D" w:rsidRPr="008D6DF1" w:rsidRDefault="008D6DF1" w:rsidP="00317169">
            <w:pPr>
              <w:pStyle w:val="BNormal"/>
            </w:pPr>
            <w:r w:rsidRPr="008D6DF1">
              <w:rPr>
                <w:smallCaps/>
              </w:rPr>
              <w:t>Code</w:t>
            </w:r>
            <w:r w:rsidR="00AE6E1D" w:rsidRPr="008D6DF1">
              <w:t xml:space="preserve"> §§14202(k)–(m), 14247</w:t>
            </w:r>
          </w:p>
        </w:tc>
        <w:tc>
          <w:tcPr>
            <w:tcW w:w="600" w:type="dxa"/>
            <w:tcBorders>
              <w:top w:val="nil"/>
              <w:left w:val="nil"/>
              <w:bottom w:val="nil"/>
              <w:right w:val="nil"/>
            </w:tcBorders>
            <w:tcMar>
              <w:left w:w="0" w:type="dxa"/>
              <w:right w:w="0" w:type="dxa"/>
            </w:tcMar>
          </w:tcPr>
          <w:p w14:paraId="655FF20F" w14:textId="77777777" w:rsidR="008D6DF1" w:rsidRPr="008D6DF1" w:rsidRDefault="008D6DF1" w:rsidP="00317169">
            <w:pPr>
              <w:pStyle w:val="BNormal"/>
            </w:pPr>
          </w:p>
          <w:p w14:paraId="0BCBD4E9" w14:textId="77777777" w:rsidR="00AE6E1D" w:rsidRPr="008D6DF1" w:rsidRDefault="00AE6E1D" w:rsidP="00317169">
            <w:pPr>
              <w:pStyle w:val="BNormal"/>
            </w:pPr>
            <w:r w:rsidRPr="008D6DF1">
              <w:t>**</w:t>
            </w:r>
          </w:p>
        </w:tc>
        <w:tc>
          <w:tcPr>
            <w:tcW w:w="600" w:type="dxa"/>
            <w:tcBorders>
              <w:top w:val="nil"/>
              <w:left w:val="nil"/>
              <w:bottom w:val="nil"/>
              <w:right w:val="nil"/>
            </w:tcBorders>
            <w:tcMar>
              <w:left w:w="0" w:type="dxa"/>
              <w:right w:w="0" w:type="dxa"/>
            </w:tcMar>
          </w:tcPr>
          <w:p w14:paraId="25B3AB6A"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78C3C0E5"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2CD613B3" w14:textId="77777777" w:rsidR="008D6DF1" w:rsidRPr="008D6DF1" w:rsidRDefault="008D6DF1" w:rsidP="00317169">
            <w:pPr>
              <w:pStyle w:val="BNormal"/>
            </w:pPr>
          </w:p>
          <w:p w14:paraId="15DB776D" w14:textId="77777777" w:rsidR="00AE6E1D" w:rsidRPr="008D6DF1" w:rsidRDefault="00AE6E1D" w:rsidP="00317169">
            <w:pPr>
              <w:pStyle w:val="BNormal"/>
            </w:pPr>
            <w:r w:rsidRPr="008D6DF1">
              <w:t>X</w:t>
            </w:r>
          </w:p>
        </w:tc>
        <w:tc>
          <w:tcPr>
            <w:tcW w:w="1080" w:type="dxa"/>
            <w:tcBorders>
              <w:top w:val="nil"/>
              <w:left w:val="nil"/>
              <w:bottom w:val="nil"/>
              <w:right w:val="nil"/>
            </w:tcBorders>
            <w:tcMar>
              <w:left w:w="0" w:type="dxa"/>
              <w:right w:w="0" w:type="dxa"/>
            </w:tcMar>
          </w:tcPr>
          <w:p w14:paraId="2BBE833C" w14:textId="77777777" w:rsidR="008D6DF1" w:rsidRPr="008D6DF1" w:rsidRDefault="008D6DF1" w:rsidP="00317169">
            <w:pPr>
              <w:pStyle w:val="BNormal"/>
            </w:pPr>
          </w:p>
          <w:p w14:paraId="3F98A1FE" w14:textId="7D1BC0E5" w:rsidR="00AE6E1D" w:rsidRPr="008D6DF1" w:rsidRDefault="00AE6E1D" w:rsidP="00317169">
            <w:pPr>
              <w:pStyle w:val="BNormal"/>
            </w:pPr>
            <w:r w:rsidRPr="008D6DF1">
              <w:t>Jan</w:t>
            </w:r>
            <w:r w:rsidR="008D6DF1" w:rsidRPr="008D6DF1">
              <w:t>. 1</w:t>
            </w:r>
            <w:r w:rsidRPr="008D6DF1">
              <w:t>, 2008</w:t>
            </w:r>
          </w:p>
        </w:tc>
      </w:tr>
      <w:tr w:rsidR="00AE6E1D" w:rsidRPr="008D6DF1" w14:paraId="16A32879" w14:textId="77777777" w:rsidTr="008D6DF1">
        <w:tc>
          <w:tcPr>
            <w:tcW w:w="1560" w:type="dxa"/>
            <w:tcBorders>
              <w:top w:val="nil"/>
              <w:left w:val="nil"/>
              <w:bottom w:val="nil"/>
              <w:right w:val="nil"/>
            </w:tcBorders>
            <w:tcMar>
              <w:left w:w="0" w:type="dxa"/>
              <w:right w:w="0" w:type="dxa"/>
            </w:tcMar>
          </w:tcPr>
          <w:p w14:paraId="46BD5A08" w14:textId="77777777" w:rsidR="008D6DF1" w:rsidRPr="008D6DF1" w:rsidRDefault="008D6DF1" w:rsidP="00317169">
            <w:pPr>
              <w:pStyle w:val="BNormal"/>
            </w:pPr>
          </w:p>
          <w:p w14:paraId="67FA73C1" w14:textId="77777777" w:rsidR="00AE6E1D" w:rsidRPr="008D6DF1" w:rsidRDefault="00AE6E1D" w:rsidP="00317169">
            <w:pPr>
              <w:pStyle w:val="BNormal"/>
            </w:pPr>
            <w:r w:rsidRPr="008D6DF1">
              <w:t>Connecticut</w:t>
            </w:r>
          </w:p>
        </w:tc>
        <w:tc>
          <w:tcPr>
            <w:tcW w:w="1920" w:type="dxa"/>
            <w:tcBorders>
              <w:top w:val="nil"/>
              <w:left w:val="nil"/>
              <w:bottom w:val="nil"/>
              <w:right w:val="nil"/>
            </w:tcBorders>
            <w:tcMar>
              <w:left w:w="0" w:type="dxa"/>
              <w:right w:w="0" w:type="dxa"/>
            </w:tcMar>
          </w:tcPr>
          <w:p w14:paraId="6933B873" w14:textId="77777777" w:rsidR="008D6DF1" w:rsidRPr="008D6DF1" w:rsidRDefault="008D6DF1" w:rsidP="00317169">
            <w:pPr>
              <w:pStyle w:val="BNormal"/>
            </w:pPr>
          </w:p>
          <w:p w14:paraId="7FAE9505" w14:textId="44BC9BE1" w:rsidR="008D6DF1" w:rsidRPr="008D6DF1" w:rsidRDefault="008D6DF1" w:rsidP="00317169">
            <w:pPr>
              <w:pStyle w:val="BNormal"/>
            </w:pPr>
            <w:r w:rsidRPr="008D6DF1">
              <w:rPr>
                <w:smallCaps/>
              </w:rPr>
              <w:t>Conn. Gen. Stat. Ann</w:t>
            </w:r>
            <w:r w:rsidRPr="008D6DF1">
              <w:t>. §</w:t>
            </w:r>
            <w:r w:rsidR="00AE6E1D" w:rsidRPr="008D6DF1">
              <w:t>§35-11</w:t>
            </w:r>
            <w:proofErr w:type="gramStart"/>
            <w:r w:rsidR="00AE6E1D" w:rsidRPr="008D6DF1">
              <w:t>a(</w:t>
            </w:r>
            <w:proofErr w:type="gramEnd"/>
            <w:r w:rsidR="00AE6E1D" w:rsidRPr="008D6DF1">
              <w:t>11),</w:t>
            </w:r>
          </w:p>
          <w:p w14:paraId="098B003D" w14:textId="003801ED" w:rsidR="00AE6E1D" w:rsidRPr="008D6DF1" w:rsidRDefault="00AE6E1D" w:rsidP="00317169">
            <w:pPr>
              <w:pStyle w:val="BNormal"/>
            </w:pPr>
            <w:r w:rsidRPr="008D6DF1">
              <w:t>35-11i(c)</w:t>
            </w:r>
          </w:p>
        </w:tc>
        <w:tc>
          <w:tcPr>
            <w:tcW w:w="600" w:type="dxa"/>
            <w:tcBorders>
              <w:top w:val="nil"/>
              <w:left w:val="nil"/>
              <w:bottom w:val="nil"/>
              <w:right w:val="nil"/>
            </w:tcBorders>
            <w:tcMar>
              <w:left w:w="0" w:type="dxa"/>
              <w:right w:w="0" w:type="dxa"/>
            </w:tcMar>
          </w:tcPr>
          <w:p w14:paraId="6797DC4C" w14:textId="77777777" w:rsidR="008D6DF1" w:rsidRPr="008D6DF1" w:rsidRDefault="008D6DF1" w:rsidP="00317169">
            <w:pPr>
              <w:pStyle w:val="BNormal"/>
            </w:pPr>
          </w:p>
          <w:p w14:paraId="4F93FDB1" w14:textId="77777777" w:rsidR="00AE6E1D" w:rsidRPr="008D6DF1" w:rsidRDefault="00AE6E1D" w:rsidP="00317169">
            <w:pPr>
              <w:pStyle w:val="BNormal"/>
            </w:pPr>
            <w:r w:rsidRPr="008D6DF1">
              <w:t>**</w:t>
            </w:r>
          </w:p>
        </w:tc>
        <w:tc>
          <w:tcPr>
            <w:tcW w:w="600" w:type="dxa"/>
            <w:tcBorders>
              <w:top w:val="nil"/>
              <w:left w:val="nil"/>
              <w:bottom w:val="nil"/>
              <w:right w:val="nil"/>
            </w:tcBorders>
            <w:tcMar>
              <w:left w:w="0" w:type="dxa"/>
              <w:right w:w="0" w:type="dxa"/>
            </w:tcMar>
          </w:tcPr>
          <w:p w14:paraId="47EB4506" w14:textId="77777777" w:rsidR="008D6DF1" w:rsidRPr="008D6DF1" w:rsidRDefault="008D6DF1" w:rsidP="00317169">
            <w:pPr>
              <w:pStyle w:val="BNormal"/>
            </w:pPr>
          </w:p>
          <w:p w14:paraId="53E215FC" w14:textId="77777777" w:rsidR="00AE6E1D" w:rsidRPr="008D6DF1" w:rsidRDefault="00AE6E1D" w:rsidP="00317169">
            <w:pPr>
              <w:pStyle w:val="BNormal"/>
            </w:pPr>
            <w:r w:rsidRPr="008D6DF1">
              <w:t>X</w:t>
            </w:r>
          </w:p>
        </w:tc>
        <w:tc>
          <w:tcPr>
            <w:tcW w:w="600" w:type="dxa"/>
            <w:tcBorders>
              <w:top w:val="nil"/>
              <w:left w:val="nil"/>
              <w:bottom w:val="nil"/>
              <w:right w:val="nil"/>
            </w:tcBorders>
            <w:tcMar>
              <w:left w:w="0" w:type="dxa"/>
              <w:right w:w="0" w:type="dxa"/>
            </w:tcMar>
          </w:tcPr>
          <w:p w14:paraId="2372565D"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74680440" w14:textId="77777777" w:rsidR="00AE6E1D" w:rsidRPr="008D6DF1" w:rsidRDefault="00AE6E1D" w:rsidP="00317169">
            <w:pPr>
              <w:pStyle w:val="BNormal"/>
            </w:pPr>
          </w:p>
        </w:tc>
        <w:tc>
          <w:tcPr>
            <w:tcW w:w="1080" w:type="dxa"/>
            <w:tcBorders>
              <w:top w:val="nil"/>
              <w:left w:val="nil"/>
              <w:bottom w:val="nil"/>
              <w:right w:val="nil"/>
            </w:tcBorders>
            <w:tcMar>
              <w:left w:w="0" w:type="dxa"/>
              <w:right w:w="0" w:type="dxa"/>
            </w:tcMar>
          </w:tcPr>
          <w:p w14:paraId="27C3C2DC" w14:textId="77777777" w:rsidR="008D6DF1" w:rsidRPr="008D6DF1" w:rsidRDefault="008D6DF1" w:rsidP="00317169">
            <w:pPr>
              <w:pStyle w:val="BNormal"/>
            </w:pPr>
          </w:p>
          <w:p w14:paraId="77230C7E" w14:textId="77777777" w:rsidR="00AE6E1D" w:rsidRPr="008D6DF1" w:rsidRDefault="00AE6E1D" w:rsidP="00317169">
            <w:pPr>
              <w:pStyle w:val="BNormal"/>
            </w:pPr>
            <w:r w:rsidRPr="008D6DF1">
              <w:t>1993</w:t>
            </w:r>
          </w:p>
        </w:tc>
      </w:tr>
      <w:tr w:rsidR="00AE6E1D" w:rsidRPr="008D6DF1" w14:paraId="62AE8391" w14:textId="77777777" w:rsidTr="008D6DF1">
        <w:tc>
          <w:tcPr>
            <w:tcW w:w="1560" w:type="dxa"/>
            <w:tcBorders>
              <w:top w:val="nil"/>
              <w:left w:val="nil"/>
              <w:bottom w:val="nil"/>
              <w:right w:val="nil"/>
            </w:tcBorders>
            <w:tcMar>
              <w:left w:w="0" w:type="dxa"/>
              <w:right w:w="0" w:type="dxa"/>
            </w:tcMar>
          </w:tcPr>
          <w:p w14:paraId="1C1736EF" w14:textId="77777777" w:rsidR="008D6DF1" w:rsidRPr="008D6DF1" w:rsidRDefault="008D6DF1" w:rsidP="00317169">
            <w:pPr>
              <w:pStyle w:val="BNormal"/>
            </w:pPr>
          </w:p>
          <w:p w14:paraId="1F57118B" w14:textId="77777777" w:rsidR="00AE6E1D" w:rsidRPr="008D6DF1" w:rsidRDefault="00AE6E1D" w:rsidP="00317169">
            <w:pPr>
              <w:pStyle w:val="BNormal"/>
            </w:pPr>
            <w:r w:rsidRPr="008D6DF1">
              <w:t>Delaware</w:t>
            </w:r>
          </w:p>
        </w:tc>
        <w:tc>
          <w:tcPr>
            <w:tcW w:w="1920" w:type="dxa"/>
            <w:tcBorders>
              <w:top w:val="nil"/>
              <w:left w:val="nil"/>
              <w:bottom w:val="nil"/>
              <w:right w:val="nil"/>
            </w:tcBorders>
            <w:tcMar>
              <w:left w:w="0" w:type="dxa"/>
              <w:right w:w="0" w:type="dxa"/>
            </w:tcMar>
          </w:tcPr>
          <w:p w14:paraId="41A32D77" w14:textId="77777777" w:rsidR="008D6DF1" w:rsidRPr="008D6DF1" w:rsidRDefault="008D6DF1" w:rsidP="00317169">
            <w:pPr>
              <w:pStyle w:val="BNormal"/>
            </w:pPr>
          </w:p>
          <w:p w14:paraId="07780AE7" w14:textId="12B4E347" w:rsidR="00AE6E1D" w:rsidRPr="008D6DF1" w:rsidRDefault="008D6DF1" w:rsidP="00317169">
            <w:pPr>
              <w:pStyle w:val="BNormal"/>
            </w:pPr>
            <w:r w:rsidRPr="008D6DF1">
              <w:rPr>
                <w:smallCaps/>
              </w:rPr>
              <w:t>Del. Code Ann</w:t>
            </w:r>
            <w:r w:rsidRPr="008D6DF1">
              <w:t>. t</w:t>
            </w:r>
            <w:r w:rsidR="00AE6E1D" w:rsidRPr="008D6DF1">
              <w:t>it</w:t>
            </w:r>
            <w:r w:rsidRPr="008D6DF1">
              <w:t xml:space="preserve">. </w:t>
            </w:r>
            <w:proofErr w:type="gramStart"/>
            <w:r w:rsidRPr="008D6DF1">
              <w:t>6</w:t>
            </w:r>
            <w:r w:rsidR="00AE6E1D" w:rsidRPr="008D6DF1">
              <w:t>,  §</w:t>
            </w:r>
            <w:proofErr w:type="gramEnd"/>
            <w:r w:rsidR="00AE6E1D" w:rsidRPr="008D6DF1">
              <w:t>3313</w:t>
            </w:r>
          </w:p>
        </w:tc>
        <w:tc>
          <w:tcPr>
            <w:tcW w:w="600" w:type="dxa"/>
            <w:tcBorders>
              <w:top w:val="nil"/>
              <w:left w:val="nil"/>
              <w:bottom w:val="nil"/>
              <w:right w:val="nil"/>
            </w:tcBorders>
            <w:tcMar>
              <w:left w:w="0" w:type="dxa"/>
              <w:right w:w="0" w:type="dxa"/>
            </w:tcMar>
          </w:tcPr>
          <w:p w14:paraId="2C140260" w14:textId="77777777" w:rsidR="008D6DF1" w:rsidRPr="008D6DF1" w:rsidRDefault="008D6DF1" w:rsidP="00317169">
            <w:pPr>
              <w:pStyle w:val="BNormal"/>
            </w:pPr>
          </w:p>
          <w:p w14:paraId="72BDC954" w14:textId="77777777" w:rsidR="00AE6E1D" w:rsidRPr="008D6DF1" w:rsidRDefault="00AE6E1D" w:rsidP="00317169">
            <w:pPr>
              <w:pStyle w:val="BNormal"/>
            </w:pPr>
            <w:r w:rsidRPr="008D6DF1">
              <w:t>X</w:t>
            </w:r>
          </w:p>
        </w:tc>
        <w:tc>
          <w:tcPr>
            <w:tcW w:w="600" w:type="dxa"/>
            <w:tcBorders>
              <w:top w:val="nil"/>
              <w:left w:val="nil"/>
              <w:bottom w:val="nil"/>
              <w:right w:val="nil"/>
            </w:tcBorders>
            <w:tcMar>
              <w:left w:w="0" w:type="dxa"/>
              <w:right w:w="0" w:type="dxa"/>
            </w:tcMar>
          </w:tcPr>
          <w:p w14:paraId="75E18BFB"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68C40EBF"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4476AB40" w14:textId="77777777" w:rsidR="00AE6E1D" w:rsidRPr="008D6DF1" w:rsidRDefault="00AE6E1D" w:rsidP="00317169">
            <w:pPr>
              <w:pStyle w:val="BNormal"/>
            </w:pPr>
          </w:p>
        </w:tc>
        <w:tc>
          <w:tcPr>
            <w:tcW w:w="1080" w:type="dxa"/>
            <w:tcBorders>
              <w:top w:val="nil"/>
              <w:left w:val="nil"/>
              <w:bottom w:val="nil"/>
              <w:right w:val="nil"/>
            </w:tcBorders>
            <w:tcMar>
              <w:left w:w="0" w:type="dxa"/>
              <w:right w:w="0" w:type="dxa"/>
            </w:tcMar>
          </w:tcPr>
          <w:p w14:paraId="16ABF60B" w14:textId="77777777" w:rsidR="008D6DF1" w:rsidRPr="008D6DF1" w:rsidRDefault="008D6DF1" w:rsidP="00317169">
            <w:pPr>
              <w:pStyle w:val="BNormal"/>
            </w:pPr>
          </w:p>
          <w:p w14:paraId="37CD8686" w14:textId="77777777" w:rsidR="00AE6E1D" w:rsidRPr="008D6DF1" w:rsidRDefault="00AE6E1D" w:rsidP="00317169">
            <w:pPr>
              <w:pStyle w:val="BNormal"/>
            </w:pPr>
            <w:r w:rsidRPr="008D6DF1">
              <w:t>1976</w:t>
            </w:r>
          </w:p>
        </w:tc>
      </w:tr>
      <w:tr w:rsidR="00AE6E1D" w:rsidRPr="008D6DF1" w14:paraId="0C122B96" w14:textId="77777777" w:rsidTr="008D6DF1">
        <w:tc>
          <w:tcPr>
            <w:tcW w:w="1560" w:type="dxa"/>
            <w:tcBorders>
              <w:top w:val="nil"/>
              <w:left w:val="nil"/>
              <w:bottom w:val="nil"/>
              <w:right w:val="nil"/>
            </w:tcBorders>
            <w:tcMar>
              <w:left w:w="0" w:type="dxa"/>
              <w:right w:w="0" w:type="dxa"/>
            </w:tcMar>
          </w:tcPr>
          <w:p w14:paraId="5E0ABD51" w14:textId="77777777" w:rsidR="008D6DF1" w:rsidRPr="008D6DF1" w:rsidRDefault="008D6DF1" w:rsidP="00317169">
            <w:pPr>
              <w:pStyle w:val="BNormal"/>
            </w:pPr>
          </w:p>
          <w:p w14:paraId="291EE4B6" w14:textId="77777777" w:rsidR="00AE6E1D" w:rsidRPr="008D6DF1" w:rsidRDefault="00AE6E1D" w:rsidP="00317169">
            <w:pPr>
              <w:pStyle w:val="BNormal"/>
            </w:pPr>
            <w:r w:rsidRPr="008D6DF1">
              <w:t>Florida</w:t>
            </w:r>
          </w:p>
        </w:tc>
        <w:tc>
          <w:tcPr>
            <w:tcW w:w="1920" w:type="dxa"/>
            <w:tcBorders>
              <w:top w:val="nil"/>
              <w:left w:val="nil"/>
              <w:bottom w:val="nil"/>
              <w:right w:val="nil"/>
            </w:tcBorders>
            <w:tcMar>
              <w:left w:w="0" w:type="dxa"/>
              <w:right w:w="0" w:type="dxa"/>
            </w:tcMar>
          </w:tcPr>
          <w:p w14:paraId="5D0DA48A" w14:textId="77777777" w:rsidR="008D6DF1" w:rsidRPr="008D6DF1" w:rsidRDefault="008D6DF1" w:rsidP="00317169">
            <w:pPr>
              <w:pStyle w:val="BNormal"/>
            </w:pPr>
          </w:p>
          <w:p w14:paraId="1DC37468" w14:textId="407FDAC8" w:rsidR="00AE6E1D" w:rsidRPr="008D6DF1" w:rsidRDefault="008D6DF1" w:rsidP="00317169">
            <w:pPr>
              <w:pStyle w:val="BNormal"/>
            </w:pPr>
            <w:r w:rsidRPr="008D6DF1">
              <w:rPr>
                <w:smallCaps/>
              </w:rPr>
              <w:t>Fla. Stat. Ann</w:t>
            </w:r>
            <w:r w:rsidRPr="008D6DF1">
              <w:t>. §</w:t>
            </w:r>
            <w:r w:rsidR="00AE6E1D" w:rsidRPr="008D6DF1">
              <w:t>495.151</w:t>
            </w:r>
          </w:p>
        </w:tc>
        <w:tc>
          <w:tcPr>
            <w:tcW w:w="600" w:type="dxa"/>
            <w:tcBorders>
              <w:top w:val="nil"/>
              <w:left w:val="nil"/>
              <w:bottom w:val="nil"/>
              <w:right w:val="nil"/>
            </w:tcBorders>
            <w:tcMar>
              <w:left w:w="0" w:type="dxa"/>
              <w:right w:w="0" w:type="dxa"/>
            </w:tcMar>
          </w:tcPr>
          <w:p w14:paraId="6F6E3359" w14:textId="77777777" w:rsidR="008D6DF1" w:rsidRPr="008D6DF1" w:rsidRDefault="008D6DF1" w:rsidP="00317169">
            <w:pPr>
              <w:pStyle w:val="BNormal"/>
            </w:pPr>
          </w:p>
          <w:p w14:paraId="61276DCC" w14:textId="77777777" w:rsidR="00AE6E1D" w:rsidRPr="008D6DF1" w:rsidRDefault="00AE6E1D" w:rsidP="00317169">
            <w:pPr>
              <w:pStyle w:val="BNormal"/>
            </w:pPr>
            <w:r w:rsidRPr="008D6DF1">
              <w:t>**</w:t>
            </w:r>
          </w:p>
        </w:tc>
        <w:tc>
          <w:tcPr>
            <w:tcW w:w="600" w:type="dxa"/>
            <w:tcBorders>
              <w:top w:val="nil"/>
              <w:left w:val="nil"/>
              <w:bottom w:val="nil"/>
              <w:right w:val="nil"/>
            </w:tcBorders>
            <w:tcMar>
              <w:left w:w="0" w:type="dxa"/>
              <w:right w:w="0" w:type="dxa"/>
            </w:tcMar>
          </w:tcPr>
          <w:p w14:paraId="40AC1FEC"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71B4C8C7" w14:textId="77777777" w:rsidR="008D6DF1" w:rsidRPr="008D6DF1" w:rsidRDefault="008D6DF1" w:rsidP="00317169">
            <w:pPr>
              <w:pStyle w:val="BNormal"/>
            </w:pPr>
          </w:p>
          <w:p w14:paraId="1FDDBF4F" w14:textId="77777777" w:rsidR="00AE6E1D" w:rsidRPr="008D6DF1" w:rsidRDefault="00AE6E1D" w:rsidP="00317169">
            <w:pPr>
              <w:pStyle w:val="BNormal"/>
            </w:pPr>
            <w:r w:rsidRPr="008D6DF1">
              <w:t>X</w:t>
            </w:r>
          </w:p>
        </w:tc>
        <w:tc>
          <w:tcPr>
            <w:tcW w:w="600" w:type="dxa"/>
            <w:tcBorders>
              <w:top w:val="nil"/>
              <w:left w:val="nil"/>
              <w:bottom w:val="nil"/>
              <w:right w:val="nil"/>
            </w:tcBorders>
            <w:tcMar>
              <w:left w:w="0" w:type="dxa"/>
              <w:right w:w="0" w:type="dxa"/>
            </w:tcMar>
          </w:tcPr>
          <w:p w14:paraId="1900F558" w14:textId="77777777" w:rsidR="00AE6E1D" w:rsidRPr="008D6DF1" w:rsidRDefault="00AE6E1D" w:rsidP="00317169">
            <w:pPr>
              <w:pStyle w:val="BNormal"/>
            </w:pPr>
          </w:p>
        </w:tc>
        <w:tc>
          <w:tcPr>
            <w:tcW w:w="1080" w:type="dxa"/>
            <w:tcBorders>
              <w:top w:val="nil"/>
              <w:left w:val="nil"/>
              <w:bottom w:val="nil"/>
              <w:right w:val="nil"/>
            </w:tcBorders>
            <w:tcMar>
              <w:left w:w="0" w:type="dxa"/>
              <w:right w:w="0" w:type="dxa"/>
            </w:tcMar>
          </w:tcPr>
          <w:p w14:paraId="3F87666A" w14:textId="77777777" w:rsidR="008D6DF1" w:rsidRPr="008D6DF1" w:rsidRDefault="008D6DF1" w:rsidP="00317169">
            <w:pPr>
              <w:pStyle w:val="BNormal"/>
            </w:pPr>
          </w:p>
          <w:p w14:paraId="70371449" w14:textId="469553DC" w:rsidR="00AE6E1D" w:rsidRPr="008D6DF1" w:rsidRDefault="00AE6E1D" w:rsidP="00317169">
            <w:pPr>
              <w:pStyle w:val="BNormal"/>
            </w:pPr>
            <w:r w:rsidRPr="008D6DF1">
              <w:t>Jan</w:t>
            </w:r>
            <w:r w:rsidR="008D6DF1" w:rsidRPr="008D6DF1">
              <w:t>. 1</w:t>
            </w:r>
            <w:r w:rsidRPr="008D6DF1">
              <w:t>, 2007</w:t>
            </w:r>
          </w:p>
        </w:tc>
      </w:tr>
      <w:tr w:rsidR="00AE6E1D" w:rsidRPr="008D6DF1" w14:paraId="33684112" w14:textId="77777777" w:rsidTr="008D6DF1">
        <w:tc>
          <w:tcPr>
            <w:tcW w:w="1560" w:type="dxa"/>
            <w:tcBorders>
              <w:top w:val="nil"/>
              <w:left w:val="nil"/>
              <w:bottom w:val="nil"/>
              <w:right w:val="nil"/>
            </w:tcBorders>
            <w:tcMar>
              <w:left w:w="0" w:type="dxa"/>
              <w:right w:w="0" w:type="dxa"/>
            </w:tcMar>
          </w:tcPr>
          <w:p w14:paraId="4870CE8B" w14:textId="77777777" w:rsidR="008D6DF1" w:rsidRPr="008D6DF1" w:rsidRDefault="008D6DF1" w:rsidP="00317169">
            <w:pPr>
              <w:pStyle w:val="BNormal"/>
            </w:pPr>
          </w:p>
          <w:p w14:paraId="2687F057" w14:textId="77777777" w:rsidR="00AE6E1D" w:rsidRPr="008D6DF1" w:rsidRDefault="00AE6E1D" w:rsidP="00317169">
            <w:pPr>
              <w:pStyle w:val="BNormal"/>
            </w:pPr>
            <w:r w:rsidRPr="008D6DF1">
              <w:t>Georgia</w:t>
            </w:r>
          </w:p>
        </w:tc>
        <w:tc>
          <w:tcPr>
            <w:tcW w:w="1920" w:type="dxa"/>
            <w:tcBorders>
              <w:top w:val="nil"/>
              <w:left w:val="nil"/>
              <w:bottom w:val="nil"/>
              <w:right w:val="nil"/>
            </w:tcBorders>
            <w:tcMar>
              <w:left w:w="0" w:type="dxa"/>
              <w:right w:w="0" w:type="dxa"/>
            </w:tcMar>
          </w:tcPr>
          <w:p w14:paraId="2AB082C3" w14:textId="77777777" w:rsidR="008D6DF1" w:rsidRPr="008D6DF1" w:rsidRDefault="008D6DF1" w:rsidP="00317169">
            <w:pPr>
              <w:pStyle w:val="BNormal"/>
            </w:pPr>
          </w:p>
          <w:p w14:paraId="0A8342B2" w14:textId="03F90925" w:rsidR="008D6DF1" w:rsidRPr="008D6DF1" w:rsidRDefault="008D6DF1" w:rsidP="00317169">
            <w:pPr>
              <w:pStyle w:val="BNormal"/>
            </w:pPr>
            <w:r w:rsidRPr="008D6DF1">
              <w:rPr>
                <w:smallCaps/>
              </w:rPr>
              <w:t>Ga. Code Ann.</w:t>
            </w:r>
          </w:p>
          <w:p w14:paraId="74AD75EA" w14:textId="50954BA1" w:rsidR="00AE6E1D" w:rsidRPr="008D6DF1" w:rsidRDefault="00AE6E1D" w:rsidP="00317169">
            <w:pPr>
              <w:pStyle w:val="BNormal"/>
            </w:pPr>
            <w:r w:rsidRPr="008D6DF1">
              <w:t>§10-1-451(b)</w:t>
            </w:r>
          </w:p>
        </w:tc>
        <w:tc>
          <w:tcPr>
            <w:tcW w:w="600" w:type="dxa"/>
            <w:tcBorders>
              <w:top w:val="nil"/>
              <w:left w:val="nil"/>
              <w:bottom w:val="nil"/>
              <w:right w:val="nil"/>
            </w:tcBorders>
            <w:tcMar>
              <w:left w:w="0" w:type="dxa"/>
              <w:right w:w="0" w:type="dxa"/>
            </w:tcMar>
          </w:tcPr>
          <w:p w14:paraId="68A26D05" w14:textId="77777777" w:rsidR="008D6DF1" w:rsidRPr="008D6DF1" w:rsidRDefault="008D6DF1" w:rsidP="00317169">
            <w:pPr>
              <w:pStyle w:val="BNormal"/>
            </w:pPr>
          </w:p>
          <w:p w14:paraId="15102E74" w14:textId="77777777" w:rsidR="00AE6E1D" w:rsidRPr="008D6DF1" w:rsidRDefault="00AE6E1D" w:rsidP="00317169">
            <w:pPr>
              <w:pStyle w:val="BNormal"/>
            </w:pPr>
            <w:r w:rsidRPr="008D6DF1">
              <w:t>X</w:t>
            </w:r>
          </w:p>
        </w:tc>
        <w:tc>
          <w:tcPr>
            <w:tcW w:w="600" w:type="dxa"/>
            <w:tcBorders>
              <w:top w:val="nil"/>
              <w:left w:val="nil"/>
              <w:bottom w:val="nil"/>
              <w:right w:val="nil"/>
            </w:tcBorders>
            <w:tcMar>
              <w:left w:w="0" w:type="dxa"/>
              <w:right w:w="0" w:type="dxa"/>
            </w:tcMar>
          </w:tcPr>
          <w:p w14:paraId="28D2CEFD"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3A5B9840"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66ECAF02" w14:textId="77777777" w:rsidR="00AE6E1D" w:rsidRPr="008D6DF1" w:rsidRDefault="00AE6E1D" w:rsidP="00317169">
            <w:pPr>
              <w:pStyle w:val="BNormal"/>
            </w:pPr>
          </w:p>
        </w:tc>
        <w:tc>
          <w:tcPr>
            <w:tcW w:w="1080" w:type="dxa"/>
            <w:tcBorders>
              <w:top w:val="nil"/>
              <w:left w:val="nil"/>
              <w:bottom w:val="nil"/>
              <w:right w:val="nil"/>
            </w:tcBorders>
            <w:tcMar>
              <w:left w:w="0" w:type="dxa"/>
              <w:right w:w="0" w:type="dxa"/>
            </w:tcMar>
          </w:tcPr>
          <w:p w14:paraId="3A3D4829" w14:textId="77777777" w:rsidR="008D6DF1" w:rsidRPr="008D6DF1" w:rsidRDefault="008D6DF1" w:rsidP="00317169">
            <w:pPr>
              <w:pStyle w:val="BNormal"/>
            </w:pPr>
          </w:p>
          <w:p w14:paraId="015EF84D" w14:textId="77777777" w:rsidR="00AE6E1D" w:rsidRPr="008D6DF1" w:rsidRDefault="00AE6E1D" w:rsidP="00317169">
            <w:pPr>
              <w:pStyle w:val="BNormal"/>
            </w:pPr>
            <w:r w:rsidRPr="008D6DF1">
              <w:t>1955</w:t>
            </w:r>
          </w:p>
        </w:tc>
      </w:tr>
      <w:tr w:rsidR="00AE6E1D" w:rsidRPr="008D6DF1" w14:paraId="1AA760AF" w14:textId="77777777" w:rsidTr="008D6DF1">
        <w:tc>
          <w:tcPr>
            <w:tcW w:w="1560" w:type="dxa"/>
            <w:tcBorders>
              <w:top w:val="nil"/>
              <w:left w:val="nil"/>
              <w:bottom w:val="nil"/>
              <w:right w:val="nil"/>
            </w:tcBorders>
            <w:tcMar>
              <w:left w:w="0" w:type="dxa"/>
              <w:right w:w="0" w:type="dxa"/>
            </w:tcMar>
          </w:tcPr>
          <w:p w14:paraId="5C062396" w14:textId="77777777" w:rsidR="008D6DF1" w:rsidRPr="008D6DF1" w:rsidRDefault="008D6DF1" w:rsidP="00317169">
            <w:pPr>
              <w:pStyle w:val="BNormal"/>
            </w:pPr>
          </w:p>
          <w:p w14:paraId="0ED21469" w14:textId="77777777" w:rsidR="00AE6E1D" w:rsidRPr="008D6DF1" w:rsidRDefault="00AE6E1D" w:rsidP="00317169">
            <w:pPr>
              <w:pStyle w:val="BNormal"/>
            </w:pPr>
            <w:r w:rsidRPr="008D6DF1">
              <w:t>Hawaii</w:t>
            </w:r>
          </w:p>
        </w:tc>
        <w:tc>
          <w:tcPr>
            <w:tcW w:w="1920" w:type="dxa"/>
            <w:tcBorders>
              <w:top w:val="nil"/>
              <w:left w:val="nil"/>
              <w:bottom w:val="nil"/>
              <w:right w:val="nil"/>
            </w:tcBorders>
            <w:tcMar>
              <w:left w:w="0" w:type="dxa"/>
              <w:right w:w="0" w:type="dxa"/>
            </w:tcMar>
          </w:tcPr>
          <w:p w14:paraId="72901166" w14:textId="77777777" w:rsidR="008D6DF1" w:rsidRPr="008D6DF1" w:rsidRDefault="008D6DF1" w:rsidP="00317169">
            <w:pPr>
              <w:pStyle w:val="BNormal"/>
            </w:pPr>
          </w:p>
          <w:p w14:paraId="5718705E" w14:textId="03E085CB" w:rsidR="00AE6E1D" w:rsidRPr="008D6DF1" w:rsidRDefault="008D6DF1" w:rsidP="00317169">
            <w:pPr>
              <w:pStyle w:val="BNormal"/>
            </w:pPr>
            <w:r w:rsidRPr="008D6DF1">
              <w:rPr>
                <w:smallCaps/>
              </w:rPr>
              <w:t>Haw. Rev. Stat. Ann</w:t>
            </w:r>
            <w:r w:rsidRPr="008D6DF1">
              <w:t>. §</w:t>
            </w:r>
            <w:r w:rsidR="00AE6E1D" w:rsidRPr="008D6DF1">
              <w:t>§482-1, 482-32</w:t>
            </w:r>
          </w:p>
        </w:tc>
        <w:tc>
          <w:tcPr>
            <w:tcW w:w="600" w:type="dxa"/>
            <w:tcBorders>
              <w:top w:val="nil"/>
              <w:left w:val="nil"/>
              <w:bottom w:val="nil"/>
              <w:right w:val="nil"/>
            </w:tcBorders>
            <w:tcMar>
              <w:left w:w="0" w:type="dxa"/>
              <w:right w:w="0" w:type="dxa"/>
            </w:tcMar>
          </w:tcPr>
          <w:p w14:paraId="5F9BB9FC"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743AF1B4"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1BF86314" w14:textId="77777777" w:rsidR="008D6DF1" w:rsidRPr="008D6DF1" w:rsidRDefault="008D6DF1" w:rsidP="00317169">
            <w:pPr>
              <w:pStyle w:val="BNormal"/>
            </w:pPr>
          </w:p>
          <w:p w14:paraId="7B2CB9E6" w14:textId="77777777" w:rsidR="00AE6E1D" w:rsidRPr="008D6DF1" w:rsidRDefault="00AE6E1D" w:rsidP="00317169">
            <w:pPr>
              <w:pStyle w:val="BNormal"/>
            </w:pPr>
            <w:r w:rsidRPr="008D6DF1">
              <w:t>X</w:t>
            </w:r>
          </w:p>
        </w:tc>
        <w:tc>
          <w:tcPr>
            <w:tcW w:w="600" w:type="dxa"/>
            <w:tcBorders>
              <w:top w:val="nil"/>
              <w:left w:val="nil"/>
              <w:bottom w:val="nil"/>
              <w:right w:val="nil"/>
            </w:tcBorders>
            <w:tcMar>
              <w:left w:w="0" w:type="dxa"/>
              <w:right w:w="0" w:type="dxa"/>
            </w:tcMar>
          </w:tcPr>
          <w:p w14:paraId="7DE4A449" w14:textId="77777777" w:rsidR="00AE6E1D" w:rsidRPr="008D6DF1" w:rsidRDefault="00AE6E1D" w:rsidP="00317169">
            <w:pPr>
              <w:pStyle w:val="BNormal"/>
            </w:pPr>
          </w:p>
        </w:tc>
        <w:tc>
          <w:tcPr>
            <w:tcW w:w="1080" w:type="dxa"/>
            <w:tcBorders>
              <w:top w:val="nil"/>
              <w:left w:val="nil"/>
              <w:bottom w:val="nil"/>
              <w:right w:val="nil"/>
            </w:tcBorders>
            <w:tcMar>
              <w:left w:w="0" w:type="dxa"/>
              <w:right w:w="0" w:type="dxa"/>
            </w:tcMar>
          </w:tcPr>
          <w:p w14:paraId="22FDB4D5" w14:textId="77777777" w:rsidR="008D6DF1" w:rsidRPr="008D6DF1" w:rsidRDefault="008D6DF1" w:rsidP="00317169">
            <w:pPr>
              <w:pStyle w:val="BNormal"/>
            </w:pPr>
          </w:p>
          <w:p w14:paraId="30C750DF" w14:textId="77777777" w:rsidR="008D6DF1" w:rsidRPr="008D6DF1" w:rsidRDefault="00AE6E1D" w:rsidP="00317169">
            <w:pPr>
              <w:pStyle w:val="BNormal"/>
            </w:pPr>
            <w:r w:rsidRPr="008D6DF1">
              <w:t>July 1, 2003</w:t>
            </w:r>
          </w:p>
          <w:p w14:paraId="56627821" w14:textId="7A0F1C8D" w:rsidR="00AE6E1D" w:rsidRPr="008D6DF1" w:rsidRDefault="00AE6E1D" w:rsidP="00317169">
            <w:pPr>
              <w:pStyle w:val="BNormal"/>
            </w:pPr>
          </w:p>
        </w:tc>
      </w:tr>
      <w:tr w:rsidR="00AE6E1D" w:rsidRPr="008D6DF1" w14:paraId="102C673A" w14:textId="77777777" w:rsidTr="008D6DF1">
        <w:tc>
          <w:tcPr>
            <w:tcW w:w="1560" w:type="dxa"/>
            <w:tcBorders>
              <w:top w:val="nil"/>
              <w:left w:val="nil"/>
              <w:bottom w:val="nil"/>
              <w:right w:val="nil"/>
            </w:tcBorders>
            <w:tcMar>
              <w:left w:w="0" w:type="dxa"/>
              <w:right w:w="0" w:type="dxa"/>
            </w:tcMar>
          </w:tcPr>
          <w:p w14:paraId="2234D31F" w14:textId="77777777" w:rsidR="00AE6E1D" w:rsidRPr="008D6DF1" w:rsidRDefault="00AE6E1D" w:rsidP="00317169">
            <w:pPr>
              <w:pStyle w:val="BNormal"/>
            </w:pPr>
            <w:r w:rsidRPr="008D6DF1">
              <w:t>Idaho</w:t>
            </w:r>
          </w:p>
        </w:tc>
        <w:tc>
          <w:tcPr>
            <w:tcW w:w="1920" w:type="dxa"/>
            <w:tcBorders>
              <w:top w:val="nil"/>
              <w:left w:val="nil"/>
              <w:bottom w:val="nil"/>
              <w:right w:val="nil"/>
            </w:tcBorders>
            <w:tcMar>
              <w:left w:w="0" w:type="dxa"/>
              <w:right w:w="0" w:type="dxa"/>
            </w:tcMar>
          </w:tcPr>
          <w:p w14:paraId="7C76B74B" w14:textId="57797CCF" w:rsidR="008D6DF1" w:rsidRPr="008D6DF1" w:rsidRDefault="008D6DF1" w:rsidP="00317169">
            <w:pPr>
              <w:pStyle w:val="BNormal"/>
            </w:pPr>
            <w:r w:rsidRPr="008D6DF1">
              <w:rPr>
                <w:smallCaps/>
              </w:rPr>
              <w:t>Idaho Code Ann.</w:t>
            </w:r>
          </w:p>
          <w:p w14:paraId="5F9412EB" w14:textId="69765A65" w:rsidR="00AE6E1D" w:rsidRPr="008D6DF1" w:rsidRDefault="00AE6E1D" w:rsidP="00317169">
            <w:pPr>
              <w:pStyle w:val="BNormal"/>
            </w:pPr>
            <w:r w:rsidRPr="008D6DF1">
              <w:t>§§48-501(5), 48-513</w:t>
            </w:r>
          </w:p>
        </w:tc>
        <w:tc>
          <w:tcPr>
            <w:tcW w:w="600" w:type="dxa"/>
            <w:tcBorders>
              <w:top w:val="nil"/>
              <w:left w:val="nil"/>
              <w:bottom w:val="nil"/>
              <w:right w:val="nil"/>
            </w:tcBorders>
            <w:tcMar>
              <w:left w:w="0" w:type="dxa"/>
              <w:right w:w="0" w:type="dxa"/>
            </w:tcMar>
          </w:tcPr>
          <w:p w14:paraId="4EA6A639" w14:textId="77777777" w:rsidR="00AE6E1D" w:rsidRPr="008D6DF1" w:rsidRDefault="00AE6E1D" w:rsidP="00317169">
            <w:pPr>
              <w:pStyle w:val="BNormal"/>
            </w:pPr>
            <w:r w:rsidRPr="008D6DF1">
              <w:t>**</w:t>
            </w:r>
          </w:p>
        </w:tc>
        <w:tc>
          <w:tcPr>
            <w:tcW w:w="600" w:type="dxa"/>
            <w:tcBorders>
              <w:top w:val="nil"/>
              <w:left w:val="nil"/>
              <w:bottom w:val="nil"/>
              <w:right w:val="nil"/>
            </w:tcBorders>
            <w:tcMar>
              <w:left w:w="0" w:type="dxa"/>
              <w:right w:w="0" w:type="dxa"/>
            </w:tcMar>
          </w:tcPr>
          <w:p w14:paraId="6A43C547" w14:textId="77777777" w:rsidR="00AE6E1D" w:rsidRPr="008D6DF1" w:rsidRDefault="00AE6E1D" w:rsidP="00317169">
            <w:pPr>
              <w:pStyle w:val="BNormal"/>
            </w:pPr>
            <w:r w:rsidRPr="008D6DF1">
              <w:t>X</w:t>
            </w:r>
          </w:p>
        </w:tc>
        <w:tc>
          <w:tcPr>
            <w:tcW w:w="600" w:type="dxa"/>
            <w:tcBorders>
              <w:top w:val="nil"/>
              <w:left w:val="nil"/>
              <w:bottom w:val="nil"/>
              <w:right w:val="nil"/>
            </w:tcBorders>
            <w:tcMar>
              <w:left w:w="0" w:type="dxa"/>
              <w:right w:w="0" w:type="dxa"/>
            </w:tcMar>
          </w:tcPr>
          <w:p w14:paraId="44F41633"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63048176" w14:textId="77777777" w:rsidR="00AE6E1D" w:rsidRPr="008D6DF1" w:rsidRDefault="00AE6E1D" w:rsidP="00317169">
            <w:pPr>
              <w:pStyle w:val="BNormal"/>
            </w:pPr>
          </w:p>
        </w:tc>
        <w:tc>
          <w:tcPr>
            <w:tcW w:w="1080" w:type="dxa"/>
            <w:tcBorders>
              <w:top w:val="nil"/>
              <w:left w:val="nil"/>
              <w:bottom w:val="nil"/>
              <w:right w:val="nil"/>
            </w:tcBorders>
            <w:tcMar>
              <w:left w:w="0" w:type="dxa"/>
              <w:right w:w="0" w:type="dxa"/>
            </w:tcMar>
          </w:tcPr>
          <w:p w14:paraId="738462EF" w14:textId="77777777" w:rsidR="008D6DF1" w:rsidRPr="008D6DF1" w:rsidRDefault="00AE6E1D" w:rsidP="00317169">
            <w:pPr>
              <w:pStyle w:val="BNormal"/>
            </w:pPr>
            <w:r w:rsidRPr="008D6DF1">
              <w:t>July 1, 1996</w:t>
            </w:r>
          </w:p>
          <w:p w14:paraId="4F01B93E" w14:textId="7162B9F2" w:rsidR="00AE6E1D" w:rsidRPr="008D6DF1" w:rsidRDefault="00AE6E1D" w:rsidP="00317169">
            <w:pPr>
              <w:pStyle w:val="BNormal"/>
            </w:pPr>
          </w:p>
        </w:tc>
      </w:tr>
      <w:tr w:rsidR="00AE6E1D" w:rsidRPr="008D6DF1" w14:paraId="59182877" w14:textId="77777777" w:rsidTr="008D6DF1">
        <w:tc>
          <w:tcPr>
            <w:tcW w:w="1560" w:type="dxa"/>
            <w:tcBorders>
              <w:top w:val="nil"/>
              <w:left w:val="nil"/>
              <w:bottom w:val="nil"/>
              <w:right w:val="nil"/>
            </w:tcBorders>
            <w:tcMar>
              <w:left w:w="0" w:type="dxa"/>
              <w:right w:w="0" w:type="dxa"/>
            </w:tcMar>
          </w:tcPr>
          <w:p w14:paraId="1280DE89" w14:textId="77777777" w:rsidR="00AE6E1D" w:rsidRPr="008D6DF1" w:rsidRDefault="00AE6E1D" w:rsidP="00317169">
            <w:pPr>
              <w:pStyle w:val="BNormal"/>
            </w:pPr>
            <w:r w:rsidRPr="008D6DF1">
              <w:t>Illinois</w:t>
            </w:r>
          </w:p>
        </w:tc>
        <w:tc>
          <w:tcPr>
            <w:tcW w:w="1920" w:type="dxa"/>
            <w:tcBorders>
              <w:top w:val="nil"/>
              <w:left w:val="nil"/>
              <w:bottom w:val="nil"/>
              <w:right w:val="nil"/>
            </w:tcBorders>
            <w:tcMar>
              <w:left w:w="0" w:type="dxa"/>
              <w:right w:w="0" w:type="dxa"/>
            </w:tcMar>
          </w:tcPr>
          <w:p w14:paraId="74E5E5AA" w14:textId="6AB5F6A6" w:rsidR="00AE6E1D" w:rsidRPr="008D6DF1" w:rsidRDefault="00AE6E1D" w:rsidP="00317169">
            <w:pPr>
              <w:pStyle w:val="BNormal"/>
            </w:pPr>
            <w:r w:rsidRPr="008D6DF1">
              <w:t xml:space="preserve">765 </w:t>
            </w:r>
            <w:r w:rsidR="008D6DF1" w:rsidRPr="008D6DF1">
              <w:rPr>
                <w:smallCaps/>
              </w:rPr>
              <w:t xml:space="preserve">Ill. Comp. Stat. Ann. </w:t>
            </w:r>
            <w:r w:rsidR="008D6DF1" w:rsidRPr="008D6DF1">
              <w:t>§</w:t>
            </w:r>
            <w:r w:rsidRPr="008D6DF1">
              <w:t>§1036/5, 1036/65</w:t>
            </w:r>
          </w:p>
        </w:tc>
        <w:tc>
          <w:tcPr>
            <w:tcW w:w="600" w:type="dxa"/>
            <w:tcBorders>
              <w:top w:val="nil"/>
              <w:left w:val="nil"/>
              <w:bottom w:val="nil"/>
              <w:right w:val="nil"/>
            </w:tcBorders>
            <w:tcMar>
              <w:left w:w="0" w:type="dxa"/>
              <w:right w:w="0" w:type="dxa"/>
            </w:tcMar>
          </w:tcPr>
          <w:p w14:paraId="483D3BBD" w14:textId="77777777" w:rsidR="008D6DF1" w:rsidRPr="008D6DF1" w:rsidRDefault="00AE6E1D" w:rsidP="00317169">
            <w:pPr>
              <w:pStyle w:val="BNormal"/>
            </w:pPr>
            <w:r w:rsidRPr="008D6DF1">
              <w:t>**</w:t>
            </w:r>
          </w:p>
          <w:p w14:paraId="08D951F7" w14:textId="38D46BED"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702996ED" w14:textId="77777777" w:rsidR="008D6DF1" w:rsidRPr="008D6DF1" w:rsidRDefault="008D6DF1" w:rsidP="00317169">
            <w:pPr>
              <w:pStyle w:val="BNormal"/>
            </w:pPr>
          </w:p>
          <w:p w14:paraId="325998CB"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5C05E91E" w14:textId="77777777" w:rsidR="008D6DF1" w:rsidRPr="008D6DF1" w:rsidRDefault="00AE6E1D" w:rsidP="00317169">
            <w:pPr>
              <w:pStyle w:val="BNormal"/>
            </w:pPr>
            <w:r w:rsidRPr="008D6DF1">
              <w:t>X</w:t>
            </w:r>
          </w:p>
          <w:p w14:paraId="7B6D57E0" w14:textId="068FF711"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69CD089A" w14:textId="77777777" w:rsidR="008D6DF1" w:rsidRPr="008D6DF1" w:rsidRDefault="008D6DF1" w:rsidP="00317169">
            <w:pPr>
              <w:pStyle w:val="BNormal"/>
            </w:pPr>
          </w:p>
          <w:p w14:paraId="710F4B45" w14:textId="77777777" w:rsidR="00AE6E1D" w:rsidRPr="008D6DF1" w:rsidRDefault="00AE6E1D" w:rsidP="00317169">
            <w:pPr>
              <w:pStyle w:val="BNormal"/>
            </w:pPr>
          </w:p>
        </w:tc>
        <w:tc>
          <w:tcPr>
            <w:tcW w:w="1080" w:type="dxa"/>
            <w:tcBorders>
              <w:top w:val="nil"/>
              <w:left w:val="nil"/>
              <w:bottom w:val="nil"/>
              <w:right w:val="nil"/>
            </w:tcBorders>
            <w:tcMar>
              <w:left w:w="0" w:type="dxa"/>
              <w:right w:w="0" w:type="dxa"/>
            </w:tcMar>
          </w:tcPr>
          <w:p w14:paraId="3601496A" w14:textId="478F8C57" w:rsidR="008D6DF1" w:rsidRPr="008D6DF1" w:rsidRDefault="00AE6E1D" w:rsidP="00317169">
            <w:pPr>
              <w:pStyle w:val="BNormal"/>
            </w:pPr>
            <w:r w:rsidRPr="008D6DF1">
              <w:t>Jan</w:t>
            </w:r>
            <w:r w:rsidR="008D6DF1" w:rsidRPr="008D6DF1">
              <w:t>. 1</w:t>
            </w:r>
            <w:r w:rsidRPr="008D6DF1">
              <w:t>, 1998</w:t>
            </w:r>
          </w:p>
          <w:p w14:paraId="6B55E3FC" w14:textId="79CFDA94" w:rsidR="00AE6E1D" w:rsidRPr="008D6DF1" w:rsidRDefault="00AE6E1D" w:rsidP="00317169">
            <w:pPr>
              <w:pStyle w:val="BNormal"/>
            </w:pPr>
          </w:p>
        </w:tc>
      </w:tr>
      <w:tr w:rsidR="00AE6E1D" w:rsidRPr="008D6DF1" w14:paraId="2A2D3B19" w14:textId="77777777" w:rsidTr="008D6DF1">
        <w:tc>
          <w:tcPr>
            <w:tcW w:w="1560" w:type="dxa"/>
            <w:tcBorders>
              <w:top w:val="nil"/>
              <w:left w:val="nil"/>
              <w:bottom w:val="nil"/>
              <w:right w:val="nil"/>
            </w:tcBorders>
            <w:tcMar>
              <w:left w:w="0" w:type="dxa"/>
              <w:right w:w="0" w:type="dxa"/>
            </w:tcMar>
          </w:tcPr>
          <w:p w14:paraId="6A6A45D7" w14:textId="77777777" w:rsidR="008D6DF1" w:rsidRPr="008D6DF1" w:rsidRDefault="008D6DF1" w:rsidP="00317169">
            <w:pPr>
              <w:pStyle w:val="BNormal"/>
            </w:pPr>
          </w:p>
          <w:p w14:paraId="2760602D" w14:textId="77777777" w:rsidR="00AE6E1D" w:rsidRPr="008D6DF1" w:rsidRDefault="00AE6E1D" w:rsidP="00317169">
            <w:pPr>
              <w:pStyle w:val="BNormal"/>
            </w:pPr>
            <w:r w:rsidRPr="008D6DF1">
              <w:t>Indiana</w:t>
            </w:r>
          </w:p>
        </w:tc>
        <w:tc>
          <w:tcPr>
            <w:tcW w:w="1920" w:type="dxa"/>
            <w:tcBorders>
              <w:top w:val="nil"/>
              <w:left w:val="nil"/>
              <w:bottom w:val="nil"/>
              <w:right w:val="nil"/>
            </w:tcBorders>
            <w:tcMar>
              <w:left w:w="0" w:type="dxa"/>
              <w:right w:w="0" w:type="dxa"/>
            </w:tcMar>
          </w:tcPr>
          <w:p w14:paraId="0A063D3F" w14:textId="77777777" w:rsidR="008D6DF1" w:rsidRPr="008D6DF1" w:rsidRDefault="008D6DF1" w:rsidP="00317169">
            <w:pPr>
              <w:pStyle w:val="BNormal"/>
            </w:pPr>
          </w:p>
          <w:p w14:paraId="3CB631E5" w14:textId="61C43C42" w:rsidR="008D6DF1" w:rsidRPr="008D6DF1" w:rsidRDefault="008D6DF1" w:rsidP="00317169">
            <w:pPr>
              <w:pStyle w:val="BNormal"/>
              <w:rPr>
                <w:smallCaps/>
              </w:rPr>
            </w:pPr>
            <w:r w:rsidRPr="008D6DF1">
              <w:rPr>
                <w:smallCaps/>
              </w:rPr>
              <w:t>Ind. Code Ann.</w:t>
            </w:r>
          </w:p>
          <w:p w14:paraId="652D7EC9" w14:textId="246EB688" w:rsidR="008D6DF1" w:rsidRPr="008D6DF1" w:rsidRDefault="00AE6E1D" w:rsidP="00317169">
            <w:pPr>
              <w:pStyle w:val="BNormal"/>
            </w:pPr>
            <w:r w:rsidRPr="008D6DF1">
              <w:t>§§24-2-1-2(3),</w:t>
            </w:r>
          </w:p>
          <w:p w14:paraId="06BE8F9F" w14:textId="7EB0F17F" w:rsidR="00AE6E1D" w:rsidRPr="008D6DF1" w:rsidRDefault="00AE6E1D" w:rsidP="00317169">
            <w:pPr>
              <w:pStyle w:val="BNormal"/>
            </w:pPr>
            <w:r w:rsidRPr="008D6DF1">
              <w:t>24-2-1-13.5</w:t>
            </w:r>
          </w:p>
        </w:tc>
        <w:tc>
          <w:tcPr>
            <w:tcW w:w="600" w:type="dxa"/>
            <w:tcBorders>
              <w:top w:val="nil"/>
              <w:left w:val="nil"/>
              <w:bottom w:val="nil"/>
              <w:right w:val="nil"/>
            </w:tcBorders>
            <w:tcMar>
              <w:left w:w="0" w:type="dxa"/>
              <w:right w:w="0" w:type="dxa"/>
            </w:tcMar>
          </w:tcPr>
          <w:p w14:paraId="57986AF3"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0D4BE238"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1D65C35B" w14:textId="77777777" w:rsidR="008D6DF1" w:rsidRPr="008D6DF1" w:rsidRDefault="008D6DF1" w:rsidP="00317169">
            <w:pPr>
              <w:pStyle w:val="BNormal"/>
            </w:pPr>
          </w:p>
          <w:p w14:paraId="271E5D6E" w14:textId="77777777" w:rsidR="00AE6E1D" w:rsidRPr="008D6DF1" w:rsidRDefault="00AE6E1D" w:rsidP="00317169">
            <w:pPr>
              <w:pStyle w:val="BNormal"/>
            </w:pPr>
            <w:r w:rsidRPr="008D6DF1">
              <w:t>X</w:t>
            </w:r>
          </w:p>
        </w:tc>
        <w:tc>
          <w:tcPr>
            <w:tcW w:w="600" w:type="dxa"/>
            <w:tcBorders>
              <w:top w:val="nil"/>
              <w:left w:val="nil"/>
              <w:bottom w:val="nil"/>
              <w:right w:val="nil"/>
            </w:tcBorders>
            <w:tcMar>
              <w:left w:w="0" w:type="dxa"/>
              <w:right w:w="0" w:type="dxa"/>
            </w:tcMar>
          </w:tcPr>
          <w:p w14:paraId="52F30639" w14:textId="77777777" w:rsidR="00AE6E1D" w:rsidRPr="008D6DF1" w:rsidRDefault="00AE6E1D" w:rsidP="00317169">
            <w:pPr>
              <w:pStyle w:val="BNormal"/>
            </w:pPr>
          </w:p>
        </w:tc>
        <w:tc>
          <w:tcPr>
            <w:tcW w:w="1080" w:type="dxa"/>
            <w:tcBorders>
              <w:top w:val="nil"/>
              <w:left w:val="nil"/>
              <w:bottom w:val="nil"/>
              <w:right w:val="nil"/>
            </w:tcBorders>
            <w:tcMar>
              <w:left w:w="0" w:type="dxa"/>
              <w:right w:w="0" w:type="dxa"/>
            </w:tcMar>
          </w:tcPr>
          <w:p w14:paraId="640447D5" w14:textId="77777777" w:rsidR="008D6DF1" w:rsidRPr="008D6DF1" w:rsidRDefault="008D6DF1" w:rsidP="00317169">
            <w:pPr>
              <w:pStyle w:val="BNormal"/>
            </w:pPr>
          </w:p>
          <w:p w14:paraId="263068B2" w14:textId="77777777" w:rsidR="00AE6E1D" w:rsidRPr="008D6DF1" w:rsidRDefault="00AE6E1D" w:rsidP="00317169">
            <w:pPr>
              <w:pStyle w:val="BNormal"/>
            </w:pPr>
            <w:r w:rsidRPr="008D6DF1">
              <w:t>July 1, 2006</w:t>
            </w:r>
          </w:p>
        </w:tc>
      </w:tr>
      <w:tr w:rsidR="00AE6E1D" w:rsidRPr="008D6DF1" w14:paraId="7673F8BB" w14:textId="77777777" w:rsidTr="008D6DF1">
        <w:tc>
          <w:tcPr>
            <w:tcW w:w="1560" w:type="dxa"/>
            <w:tcBorders>
              <w:top w:val="nil"/>
              <w:left w:val="nil"/>
              <w:bottom w:val="nil"/>
              <w:right w:val="nil"/>
            </w:tcBorders>
            <w:tcMar>
              <w:left w:w="0" w:type="dxa"/>
              <w:right w:w="0" w:type="dxa"/>
            </w:tcMar>
          </w:tcPr>
          <w:p w14:paraId="1344A50D" w14:textId="77777777" w:rsidR="008D6DF1" w:rsidRPr="008D6DF1" w:rsidRDefault="008D6DF1" w:rsidP="00317169">
            <w:pPr>
              <w:pStyle w:val="BNormal"/>
            </w:pPr>
          </w:p>
          <w:p w14:paraId="6C5E4B7A" w14:textId="77777777" w:rsidR="00AE6E1D" w:rsidRPr="008D6DF1" w:rsidRDefault="00AE6E1D" w:rsidP="00317169">
            <w:pPr>
              <w:pStyle w:val="BNormal"/>
            </w:pPr>
            <w:r w:rsidRPr="008D6DF1">
              <w:t>Iowa</w:t>
            </w:r>
          </w:p>
        </w:tc>
        <w:tc>
          <w:tcPr>
            <w:tcW w:w="1920" w:type="dxa"/>
            <w:tcBorders>
              <w:top w:val="nil"/>
              <w:left w:val="nil"/>
              <w:bottom w:val="nil"/>
              <w:right w:val="nil"/>
            </w:tcBorders>
            <w:tcMar>
              <w:left w:w="0" w:type="dxa"/>
              <w:right w:w="0" w:type="dxa"/>
            </w:tcMar>
          </w:tcPr>
          <w:p w14:paraId="4B7CA210" w14:textId="77777777" w:rsidR="008D6DF1" w:rsidRPr="008D6DF1" w:rsidRDefault="008D6DF1" w:rsidP="00317169">
            <w:pPr>
              <w:pStyle w:val="BNormal"/>
            </w:pPr>
          </w:p>
          <w:p w14:paraId="28749CE3" w14:textId="404896C7" w:rsidR="008D6DF1" w:rsidRPr="008D6DF1" w:rsidRDefault="008D6DF1" w:rsidP="00317169">
            <w:pPr>
              <w:pStyle w:val="BNormal"/>
              <w:rPr>
                <w:smallCaps/>
              </w:rPr>
            </w:pPr>
            <w:r w:rsidRPr="008D6DF1">
              <w:rPr>
                <w:smallCaps/>
              </w:rPr>
              <w:t>Iowa Code Ann.</w:t>
            </w:r>
          </w:p>
          <w:p w14:paraId="3DCD6885" w14:textId="465D52E0" w:rsidR="00AE6E1D" w:rsidRPr="008D6DF1" w:rsidRDefault="00AE6E1D" w:rsidP="00317169">
            <w:pPr>
              <w:pStyle w:val="BNormal"/>
            </w:pPr>
            <w:r w:rsidRPr="008D6DF1">
              <w:t>§§548.101, 548.113</w:t>
            </w:r>
          </w:p>
        </w:tc>
        <w:tc>
          <w:tcPr>
            <w:tcW w:w="600" w:type="dxa"/>
            <w:tcBorders>
              <w:top w:val="nil"/>
              <w:left w:val="nil"/>
              <w:bottom w:val="nil"/>
              <w:right w:val="nil"/>
            </w:tcBorders>
            <w:tcMar>
              <w:left w:w="0" w:type="dxa"/>
              <w:right w:w="0" w:type="dxa"/>
            </w:tcMar>
          </w:tcPr>
          <w:p w14:paraId="06FE7500" w14:textId="77777777" w:rsidR="008D6DF1" w:rsidRPr="008D6DF1" w:rsidRDefault="008D6DF1" w:rsidP="00317169">
            <w:pPr>
              <w:pStyle w:val="BNormal"/>
            </w:pPr>
          </w:p>
          <w:p w14:paraId="1758649A" w14:textId="77777777" w:rsidR="00AE6E1D" w:rsidRPr="008D6DF1" w:rsidRDefault="00AE6E1D" w:rsidP="00317169">
            <w:pPr>
              <w:pStyle w:val="BNormal"/>
            </w:pPr>
            <w:r w:rsidRPr="008D6DF1">
              <w:t>**</w:t>
            </w:r>
          </w:p>
        </w:tc>
        <w:tc>
          <w:tcPr>
            <w:tcW w:w="600" w:type="dxa"/>
            <w:tcBorders>
              <w:top w:val="nil"/>
              <w:left w:val="nil"/>
              <w:bottom w:val="nil"/>
              <w:right w:val="nil"/>
            </w:tcBorders>
            <w:tcMar>
              <w:left w:w="0" w:type="dxa"/>
              <w:right w:w="0" w:type="dxa"/>
            </w:tcMar>
          </w:tcPr>
          <w:p w14:paraId="6ADB40D6" w14:textId="77777777" w:rsidR="008D6DF1" w:rsidRPr="008D6DF1" w:rsidRDefault="008D6DF1" w:rsidP="00317169">
            <w:pPr>
              <w:pStyle w:val="BNormal"/>
            </w:pPr>
          </w:p>
          <w:p w14:paraId="7C8FA57C" w14:textId="77777777" w:rsidR="00AE6E1D" w:rsidRPr="008D6DF1" w:rsidRDefault="00AE6E1D" w:rsidP="00317169">
            <w:pPr>
              <w:pStyle w:val="BNormal"/>
            </w:pPr>
            <w:r w:rsidRPr="008D6DF1">
              <w:t>X</w:t>
            </w:r>
          </w:p>
        </w:tc>
        <w:tc>
          <w:tcPr>
            <w:tcW w:w="600" w:type="dxa"/>
            <w:tcBorders>
              <w:top w:val="nil"/>
              <w:left w:val="nil"/>
              <w:bottom w:val="nil"/>
              <w:right w:val="nil"/>
            </w:tcBorders>
            <w:tcMar>
              <w:left w:w="0" w:type="dxa"/>
              <w:right w:w="0" w:type="dxa"/>
            </w:tcMar>
          </w:tcPr>
          <w:p w14:paraId="2DCC7CCF"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18DCE74B" w14:textId="77777777" w:rsidR="00AE6E1D" w:rsidRPr="008D6DF1" w:rsidRDefault="00AE6E1D" w:rsidP="00317169">
            <w:pPr>
              <w:pStyle w:val="BNormal"/>
            </w:pPr>
          </w:p>
        </w:tc>
        <w:tc>
          <w:tcPr>
            <w:tcW w:w="1080" w:type="dxa"/>
            <w:tcBorders>
              <w:top w:val="nil"/>
              <w:left w:val="nil"/>
              <w:bottom w:val="nil"/>
              <w:right w:val="nil"/>
            </w:tcBorders>
            <w:tcMar>
              <w:left w:w="0" w:type="dxa"/>
              <w:right w:w="0" w:type="dxa"/>
            </w:tcMar>
          </w:tcPr>
          <w:p w14:paraId="785348A6" w14:textId="77777777" w:rsidR="008D6DF1" w:rsidRPr="008D6DF1" w:rsidRDefault="008D6DF1" w:rsidP="00317169">
            <w:pPr>
              <w:pStyle w:val="BNormal"/>
            </w:pPr>
          </w:p>
          <w:p w14:paraId="7984CB30" w14:textId="77777777" w:rsidR="00AE6E1D" w:rsidRPr="008D6DF1" w:rsidRDefault="00AE6E1D" w:rsidP="00317169">
            <w:pPr>
              <w:pStyle w:val="BNormal"/>
            </w:pPr>
            <w:r w:rsidRPr="008D6DF1">
              <w:t>1994</w:t>
            </w:r>
          </w:p>
        </w:tc>
      </w:tr>
      <w:tr w:rsidR="00AE6E1D" w:rsidRPr="008D6DF1" w14:paraId="626EA2DF" w14:textId="77777777" w:rsidTr="008D6DF1">
        <w:tc>
          <w:tcPr>
            <w:tcW w:w="1560" w:type="dxa"/>
            <w:tcBorders>
              <w:top w:val="nil"/>
              <w:left w:val="nil"/>
              <w:bottom w:val="nil"/>
              <w:right w:val="nil"/>
            </w:tcBorders>
            <w:tcMar>
              <w:left w:w="0" w:type="dxa"/>
              <w:right w:w="0" w:type="dxa"/>
            </w:tcMar>
          </w:tcPr>
          <w:p w14:paraId="2E1712B3" w14:textId="77777777" w:rsidR="008D6DF1" w:rsidRPr="008D6DF1" w:rsidRDefault="008D6DF1" w:rsidP="00317169">
            <w:pPr>
              <w:pStyle w:val="BNormal"/>
            </w:pPr>
          </w:p>
          <w:p w14:paraId="33991DC7" w14:textId="77777777" w:rsidR="00AE6E1D" w:rsidRPr="008D6DF1" w:rsidRDefault="00AE6E1D" w:rsidP="00317169">
            <w:pPr>
              <w:pStyle w:val="BNormal"/>
            </w:pPr>
            <w:r w:rsidRPr="008D6DF1">
              <w:t>Kansas</w:t>
            </w:r>
          </w:p>
        </w:tc>
        <w:tc>
          <w:tcPr>
            <w:tcW w:w="1920" w:type="dxa"/>
            <w:tcBorders>
              <w:top w:val="nil"/>
              <w:left w:val="nil"/>
              <w:bottom w:val="nil"/>
              <w:right w:val="nil"/>
            </w:tcBorders>
            <w:tcMar>
              <w:left w:w="0" w:type="dxa"/>
              <w:right w:w="0" w:type="dxa"/>
            </w:tcMar>
          </w:tcPr>
          <w:p w14:paraId="46352363" w14:textId="77777777" w:rsidR="008D6DF1" w:rsidRPr="008D6DF1" w:rsidRDefault="008D6DF1" w:rsidP="00317169">
            <w:pPr>
              <w:pStyle w:val="BNormal"/>
            </w:pPr>
          </w:p>
          <w:p w14:paraId="053CFB9C" w14:textId="3BCD323A" w:rsidR="008D6DF1" w:rsidRPr="008D6DF1" w:rsidRDefault="008D6DF1" w:rsidP="00317169">
            <w:pPr>
              <w:pStyle w:val="BNormal"/>
            </w:pPr>
            <w:r w:rsidRPr="008D6DF1">
              <w:rPr>
                <w:smallCaps/>
              </w:rPr>
              <w:t>Kan. Stat. Ann.</w:t>
            </w:r>
          </w:p>
          <w:p w14:paraId="7EBB5688" w14:textId="7F9B55F1" w:rsidR="00AE6E1D" w:rsidRPr="008D6DF1" w:rsidRDefault="00AE6E1D" w:rsidP="00317169">
            <w:pPr>
              <w:pStyle w:val="BNormal"/>
            </w:pPr>
            <w:r w:rsidRPr="008D6DF1">
              <w:t>§§81-202, 81-214</w:t>
            </w:r>
          </w:p>
        </w:tc>
        <w:tc>
          <w:tcPr>
            <w:tcW w:w="600" w:type="dxa"/>
            <w:tcBorders>
              <w:top w:val="nil"/>
              <w:left w:val="nil"/>
              <w:bottom w:val="nil"/>
              <w:right w:val="nil"/>
            </w:tcBorders>
            <w:tcMar>
              <w:left w:w="0" w:type="dxa"/>
              <w:right w:w="0" w:type="dxa"/>
            </w:tcMar>
          </w:tcPr>
          <w:p w14:paraId="73F38E4C"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61A6F337"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0F8D494C" w14:textId="77777777" w:rsidR="008D6DF1" w:rsidRPr="008D6DF1" w:rsidRDefault="008D6DF1" w:rsidP="00317169">
            <w:pPr>
              <w:pStyle w:val="BNormal"/>
            </w:pPr>
          </w:p>
          <w:p w14:paraId="525BBAAE" w14:textId="77777777" w:rsidR="00AE6E1D" w:rsidRPr="008D6DF1" w:rsidRDefault="00AE6E1D" w:rsidP="00317169">
            <w:pPr>
              <w:pStyle w:val="BNormal"/>
            </w:pPr>
            <w:r w:rsidRPr="008D6DF1">
              <w:t>X</w:t>
            </w:r>
          </w:p>
        </w:tc>
        <w:tc>
          <w:tcPr>
            <w:tcW w:w="600" w:type="dxa"/>
            <w:tcBorders>
              <w:top w:val="nil"/>
              <w:left w:val="nil"/>
              <w:bottom w:val="nil"/>
              <w:right w:val="nil"/>
            </w:tcBorders>
            <w:tcMar>
              <w:left w:w="0" w:type="dxa"/>
              <w:right w:w="0" w:type="dxa"/>
            </w:tcMar>
          </w:tcPr>
          <w:p w14:paraId="241574B6" w14:textId="77777777" w:rsidR="00AE6E1D" w:rsidRPr="008D6DF1" w:rsidRDefault="00AE6E1D" w:rsidP="00317169">
            <w:pPr>
              <w:pStyle w:val="BNormal"/>
            </w:pPr>
          </w:p>
        </w:tc>
        <w:tc>
          <w:tcPr>
            <w:tcW w:w="1080" w:type="dxa"/>
            <w:tcBorders>
              <w:top w:val="nil"/>
              <w:left w:val="nil"/>
              <w:bottom w:val="nil"/>
              <w:right w:val="nil"/>
            </w:tcBorders>
            <w:tcMar>
              <w:left w:w="0" w:type="dxa"/>
              <w:right w:w="0" w:type="dxa"/>
            </w:tcMar>
          </w:tcPr>
          <w:p w14:paraId="3A418FDF" w14:textId="77777777" w:rsidR="008D6DF1" w:rsidRPr="008D6DF1" w:rsidRDefault="008D6DF1" w:rsidP="00317169">
            <w:pPr>
              <w:pStyle w:val="BNormal"/>
            </w:pPr>
          </w:p>
          <w:p w14:paraId="233FD22C" w14:textId="77777777" w:rsidR="00AE6E1D" w:rsidRPr="008D6DF1" w:rsidRDefault="00AE6E1D" w:rsidP="00317169">
            <w:pPr>
              <w:pStyle w:val="BNormal"/>
            </w:pPr>
            <w:r w:rsidRPr="008D6DF1">
              <w:t>July 1, 1999</w:t>
            </w:r>
          </w:p>
        </w:tc>
      </w:tr>
      <w:tr w:rsidR="00AE6E1D" w:rsidRPr="008D6DF1" w14:paraId="7876AB9B" w14:textId="77777777" w:rsidTr="008D6DF1">
        <w:tc>
          <w:tcPr>
            <w:tcW w:w="1560" w:type="dxa"/>
            <w:tcBorders>
              <w:top w:val="nil"/>
              <w:left w:val="nil"/>
              <w:bottom w:val="nil"/>
              <w:right w:val="nil"/>
            </w:tcBorders>
            <w:tcMar>
              <w:left w:w="0" w:type="dxa"/>
              <w:right w:w="0" w:type="dxa"/>
            </w:tcMar>
          </w:tcPr>
          <w:p w14:paraId="00393EC0" w14:textId="77777777" w:rsidR="008D6DF1" w:rsidRPr="008D6DF1" w:rsidRDefault="008D6DF1" w:rsidP="00317169">
            <w:pPr>
              <w:pStyle w:val="BNormal"/>
            </w:pPr>
          </w:p>
          <w:p w14:paraId="2F460EF4" w14:textId="77777777" w:rsidR="00AE6E1D" w:rsidRPr="008D6DF1" w:rsidRDefault="00AE6E1D" w:rsidP="00317169">
            <w:pPr>
              <w:pStyle w:val="BNormal"/>
            </w:pPr>
            <w:r w:rsidRPr="008D6DF1">
              <w:t>Louisiana</w:t>
            </w:r>
          </w:p>
        </w:tc>
        <w:tc>
          <w:tcPr>
            <w:tcW w:w="1920" w:type="dxa"/>
            <w:tcBorders>
              <w:top w:val="nil"/>
              <w:left w:val="nil"/>
              <w:bottom w:val="nil"/>
              <w:right w:val="nil"/>
            </w:tcBorders>
            <w:tcMar>
              <w:left w:w="0" w:type="dxa"/>
              <w:right w:w="0" w:type="dxa"/>
            </w:tcMar>
          </w:tcPr>
          <w:p w14:paraId="2F28EBF8" w14:textId="77777777" w:rsidR="008D6DF1" w:rsidRPr="008D6DF1" w:rsidRDefault="008D6DF1" w:rsidP="00317169">
            <w:pPr>
              <w:pStyle w:val="BNormal"/>
            </w:pPr>
          </w:p>
          <w:p w14:paraId="0301ABA3" w14:textId="4A0C9E0E" w:rsidR="008D6DF1" w:rsidRPr="008D6DF1" w:rsidRDefault="008D6DF1" w:rsidP="00317169">
            <w:pPr>
              <w:pStyle w:val="BNormal"/>
              <w:rPr>
                <w:smallCaps/>
              </w:rPr>
            </w:pPr>
            <w:r w:rsidRPr="008D6DF1">
              <w:rPr>
                <w:smallCaps/>
              </w:rPr>
              <w:t>La. Rev. Stat. Ann.</w:t>
            </w:r>
          </w:p>
          <w:p w14:paraId="16F56516" w14:textId="33A2F9A2" w:rsidR="00AE6E1D" w:rsidRPr="008D6DF1" w:rsidRDefault="00AE6E1D" w:rsidP="00317169">
            <w:pPr>
              <w:pStyle w:val="BNormal"/>
            </w:pPr>
            <w:r w:rsidRPr="008D6DF1">
              <w:t>§51:223.1</w:t>
            </w:r>
          </w:p>
        </w:tc>
        <w:tc>
          <w:tcPr>
            <w:tcW w:w="600" w:type="dxa"/>
            <w:tcBorders>
              <w:top w:val="nil"/>
              <w:left w:val="nil"/>
              <w:bottom w:val="nil"/>
              <w:right w:val="nil"/>
            </w:tcBorders>
            <w:tcMar>
              <w:left w:w="0" w:type="dxa"/>
              <w:right w:w="0" w:type="dxa"/>
            </w:tcMar>
          </w:tcPr>
          <w:p w14:paraId="10B8EACB" w14:textId="77777777" w:rsidR="008D6DF1" w:rsidRPr="008D6DF1" w:rsidRDefault="008D6DF1" w:rsidP="00317169">
            <w:pPr>
              <w:pStyle w:val="BNormal"/>
            </w:pPr>
          </w:p>
          <w:p w14:paraId="5FDFDC6A" w14:textId="77777777" w:rsidR="00AE6E1D" w:rsidRPr="008D6DF1" w:rsidRDefault="00AE6E1D" w:rsidP="00317169">
            <w:pPr>
              <w:pStyle w:val="BNormal"/>
            </w:pPr>
            <w:r w:rsidRPr="008D6DF1">
              <w:t>X</w:t>
            </w:r>
          </w:p>
        </w:tc>
        <w:tc>
          <w:tcPr>
            <w:tcW w:w="600" w:type="dxa"/>
            <w:tcBorders>
              <w:top w:val="nil"/>
              <w:left w:val="nil"/>
              <w:bottom w:val="nil"/>
              <w:right w:val="nil"/>
            </w:tcBorders>
            <w:tcMar>
              <w:left w:w="0" w:type="dxa"/>
              <w:right w:w="0" w:type="dxa"/>
            </w:tcMar>
          </w:tcPr>
          <w:p w14:paraId="2A17C353"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6CAD0172"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441D5864" w14:textId="77777777" w:rsidR="00AE6E1D" w:rsidRPr="008D6DF1" w:rsidRDefault="00AE6E1D" w:rsidP="00317169">
            <w:pPr>
              <w:pStyle w:val="BNormal"/>
            </w:pPr>
          </w:p>
        </w:tc>
        <w:tc>
          <w:tcPr>
            <w:tcW w:w="1080" w:type="dxa"/>
            <w:tcBorders>
              <w:top w:val="nil"/>
              <w:left w:val="nil"/>
              <w:bottom w:val="nil"/>
              <w:right w:val="nil"/>
            </w:tcBorders>
            <w:tcMar>
              <w:left w:w="0" w:type="dxa"/>
              <w:right w:w="0" w:type="dxa"/>
            </w:tcMar>
          </w:tcPr>
          <w:p w14:paraId="2114384D" w14:textId="77777777" w:rsidR="008D6DF1" w:rsidRPr="008D6DF1" w:rsidRDefault="008D6DF1" w:rsidP="00317169">
            <w:pPr>
              <w:pStyle w:val="BNormal"/>
            </w:pPr>
          </w:p>
          <w:p w14:paraId="64324B11" w14:textId="77777777" w:rsidR="00AE6E1D" w:rsidRPr="008D6DF1" w:rsidRDefault="00AE6E1D" w:rsidP="00317169">
            <w:pPr>
              <w:pStyle w:val="BNormal"/>
            </w:pPr>
            <w:r w:rsidRPr="008D6DF1">
              <w:t>1984</w:t>
            </w:r>
          </w:p>
        </w:tc>
      </w:tr>
      <w:tr w:rsidR="00AE6E1D" w:rsidRPr="008D6DF1" w14:paraId="2FBFD68A" w14:textId="77777777" w:rsidTr="008D6DF1">
        <w:tc>
          <w:tcPr>
            <w:tcW w:w="1560" w:type="dxa"/>
            <w:tcBorders>
              <w:top w:val="nil"/>
              <w:left w:val="nil"/>
              <w:bottom w:val="nil"/>
              <w:right w:val="nil"/>
            </w:tcBorders>
            <w:tcMar>
              <w:left w:w="0" w:type="dxa"/>
              <w:right w:w="0" w:type="dxa"/>
            </w:tcMar>
          </w:tcPr>
          <w:p w14:paraId="1FC0B18C" w14:textId="77777777" w:rsidR="008D6DF1" w:rsidRPr="008D6DF1" w:rsidRDefault="008D6DF1" w:rsidP="00317169">
            <w:pPr>
              <w:pStyle w:val="BNormal"/>
            </w:pPr>
          </w:p>
          <w:p w14:paraId="1D00778C" w14:textId="77777777" w:rsidR="00AE6E1D" w:rsidRPr="008D6DF1" w:rsidRDefault="00AE6E1D" w:rsidP="00317169">
            <w:pPr>
              <w:pStyle w:val="BNormal"/>
            </w:pPr>
            <w:r w:rsidRPr="008D6DF1">
              <w:lastRenderedPageBreak/>
              <w:t>Maine</w:t>
            </w:r>
          </w:p>
        </w:tc>
        <w:tc>
          <w:tcPr>
            <w:tcW w:w="1920" w:type="dxa"/>
            <w:tcBorders>
              <w:top w:val="nil"/>
              <w:left w:val="nil"/>
              <w:bottom w:val="nil"/>
              <w:right w:val="nil"/>
            </w:tcBorders>
            <w:tcMar>
              <w:left w:w="0" w:type="dxa"/>
              <w:right w:w="0" w:type="dxa"/>
            </w:tcMar>
          </w:tcPr>
          <w:p w14:paraId="3E681DF4" w14:textId="77777777" w:rsidR="008D6DF1" w:rsidRPr="004D355E" w:rsidRDefault="008D6DF1" w:rsidP="00317169">
            <w:pPr>
              <w:pStyle w:val="BNormal"/>
              <w:rPr>
                <w:rStyle w:val="BBNAidChar"/>
              </w:rPr>
            </w:pPr>
          </w:p>
          <w:p w14:paraId="50447AE2" w14:textId="611867C2" w:rsidR="008D6DF1" w:rsidRPr="008D6DF1" w:rsidRDefault="008D6DF1" w:rsidP="00317169">
            <w:pPr>
              <w:pStyle w:val="BNormal"/>
            </w:pPr>
            <w:r w:rsidRPr="00317169">
              <w:lastRenderedPageBreak/>
              <w:t>Me.</w:t>
            </w:r>
            <w:r w:rsidRPr="008D6DF1">
              <w:t xml:space="preserve"> Rev. Stat. Ann</w:t>
            </w:r>
            <w:r w:rsidR="00AE6E1D" w:rsidRPr="008D6DF1">
              <w:t>.</w:t>
            </w:r>
          </w:p>
          <w:p w14:paraId="5BEF5F16" w14:textId="1C897A1A" w:rsidR="00AE6E1D" w:rsidRPr="008D6DF1" w:rsidRDefault="00AE6E1D" w:rsidP="00317169">
            <w:pPr>
              <w:pStyle w:val="BNormal"/>
            </w:pPr>
            <w:r w:rsidRPr="008D6DF1">
              <w:t>tit</w:t>
            </w:r>
            <w:r w:rsidR="008D6DF1" w:rsidRPr="008D6DF1">
              <w:t>. 1</w:t>
            </w:r>
            <w:r w:rsidRPr="008D6DF1">
              <w:t>0, §1530</w:t>
            </w:r>
          </w:p>
        </w:tc>
        <w:tc>
          <w:tcPr>
            <w:tcW w:w="600" w:type="dxa"/>
            <w:tcBorders>
              <w:top w:val="nil"/>
              <w:left w:val="nil"/>
              <w:bottom w:val="nil"/>
              <w:right w:val="nil"/>
            </w:tcBorders>
            <w:tcMar>
              <w:left w:w="0" w:type="dxa"/>
              <w:right w:w="0" w:type="dxa"/>
            </w:tcMar>
          </w:tcPr>
          <w:p w14:paraId="091FB3C6" w14:textId="77777777" w:rsidR="00AE6E1D" w:rsidRPr="008D6DF1" w:rsidRDefault="00AE6E1D" w:rsidP="00317169">
            <w:pPr>
              <w:pStyle w:val="BNormal"/>
            </w:pPr>
            <w:r w:rsidRPr="008D6DF1">
              <w:lastRenderedPageBreak/>
              <w:t>X</w:t>
            </w:r>
          </w:p>
        </w:tc>
        <w:tc>
          <w:tcPr>
            <w:tcW w:w="600" w:type="dxa"/>
            <w:tcBorders>
              <w:top w:val="nil"/>
              <w:left w:val="nil"/>
              <w:bottom w:val="nil"/>
              <w:right w:val="nil"/>
            </w:tcBorders>
            <w:tcMar>
              <w:left w:w="0" w:type="dxa"/>
              <w:right w:w="0" w:type="dxa"/>
            </w:tcMar>
          </w:tcPr>
          <w:p w14:paraId="2040722C"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6368C126"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44C6AD5D" w14:textId="77777777" w:rsidR="00AE6E1D" w:rsidRPr="008D6DF1" w:rsidRDefault="00AE6E1D" w:rsidP="00317169">
            <w:pPr>
              <w:pStyle w:val="BNormal"/>
            </w:pPr>
          </w:p>
        </w:tc>
        <w:tc>
          <w:tcPr>
            <w:tcW w:w="1080" w:type="dxa"/>
            <w:tcBorders>
              <w:top w:val="nil"/>
              <w:left w:val="nil"/>
              <w:bottom w:val="nil"/>
              <w:right w:val="nil"/>
            </w:tcBorders>
            <w:tcMar>
              <w:left w:w="0" w:type="dxa"/>
              <w:right w:w="0" w:type="dxa"/>
            </w:tcMar>
          </w:tcPr>
          <w:p w14:paraId="14F5AB78" w14:textId="0E6C0085" w:rsidR="00AE6E1D" w:rsidRPr="008D6DF1" w:rsidRDefault="00AE6E1D" w:rsidP="00317169">
            <w:pPr>
              <w:pStyle w:val="BNormal"/>
            </w:pPr>
            <w:r w:rsidRPr="008D6DF1">
              <w:t>Jan</w:t>
            </w:r>
            <w:r w:rsidR="008D6DF1" w:rsidRPr="008D6DF1">
              <w:t>. 1</w:t>
            </w:r>
            <w:r w:rsidRPr="008D6DF1">
              <w:t>, 1980</w:t>
            </w:r>
          </w:p>
        </w:tc>
      </w:tr>
      <w:tr w:rsidR="00AE6E1D" w:rsidRPr="008D6DF1" w14:paraId="70644FC2" w14:textId="77777777" w:rsidTr="008D6DF1">
        <w:tc>
          <w:tcPr>
            <w:tcW w:w="1560" w:type="dxa"/>
            <w:tcBorders>
              <w:top w:val="nil"/>
              <w:left w:val="nil"/>
              <w:bottom w:val="nil"/>
              <w:right w:val="nil"/>
            </w:tcBorders>
            <w:tcMar>
              <w:left w:w="0" w:type="dxa"/>
              <w:right w:w="0" w:type="dxa"/>
            </w:tcMar>
          </w:tcPr>
          <w:p w14:paraId="6E2B11F5" w14:textId="77777777" w:rsidR="008D6DF1" w:rsidRPr="008D6DF1" w:rsidRDefault="008D6DF1" w:rsidP="00317169">
            <w:pPr>
              <w:pStyle w:val="BNormal"/>
            </w:pPr>
          </w:p>
          <w:p w14:paraId="351360A7" w14:textId="77777777" w:rsidR="00AE6E1D" w:rsidRPr="008D6DF1" w:rsidRDefault="00AE6E1D" w:rsidP="00317169">
            <w:pPr>
              <w:pStyle w:val="BNormal"/>
            </w:pPr>
            <w:r w:rsidRPr="008D6DF1">
              <w:t>Massachusetts</w:t>
            </w:r>
          </w:p>
        </w:tc>
        <w:tc>
          <w:tcPr>
            <w:tcW w:w="1920" w:type="dxa"/>
            <w:tcBorders>
              <w:top w:val="nil"/>
              <w:left w:val="nil"/>
              <w:bottom w:val="nil"/>
              <w:right w:val="nil"/>
            </w:tcBorders>
            <w:tcMar>
              <w:left w:w="0" w:type="dxa"/>
              <w:right w:w="0" w:type="dxa"/>
            </w:tcMar>
          </w:tcPr>
          <w:p w14:paraId="055CC663" w14:textId="77777777" w:rsidR="008D6DF1" w:rsidRPr="008D6DF1" w:rsidRDefault="008D6DF1" w:rsidP="00317169">
            <w:pPr>
              <w:pStyle w:val="BNormal"/>
            </w:pPr>
          </w:p>
          <w:p w14:paraId="69EFAC7E" w14:textId="0051742B" w:rsidR="008D6DF1" w:rsidRPr="008D6DF1" w:rsidRDefault="008D6DF1" w:rsidP="00317169">
            <w:pPr>
              <w:pStyle w:val="BNormal"/>
              <w:rPr>
                <w:smallCaps/>
              </w:rPr>
            </w:pPr>
            <w:r w:rsidRPr="008D6DF1">
              <w:rPr>
                <w:smallCaps/>
              </w:rPr>
              <w:t>Mass. Gen. Laws</w:t>
            </w:r>
          </w:p>
          <w:p w14:paraId="301999D5" w14:textId="1D6B01C5" w:rsidR="00AE6E1D" w:rsidRPr="008D6DF1" w:rsidRDefault="008D6DF1" w:rsidP="00317169">
            <w:pPr>
              <w:pStyle w:val="BNormal"/>
            </w:pPr>
            <w:r w:rsidRPr="008D6DF1">
              <w:rPr>
                <w:smallCaps/>
              </w:rPr>
              <w:t>Ann</w:t>
            </w:r>
            <w:r w:rsidRPr="008D6DF1">
              <w:t xml:space="preserve">. </w:t>
            </w:r>
            <w:proofErr w:type="spellStart"/>
            <w:r w:rsidRPr="008D6DF1">
              <w:t>c</w:t>
            </w:r>
            <w:r w:rsidR="00AE6E1D" w:rsidRPr="008D6DF1">
              <w:t>h</w:t>
            </w:r>
            <w:r w:rsidRPr="008D6DF1">
              <w:t>.</w:t>
            </w:r>
            <w:proofErr w:type="spellEnd"/>
            <w:r w:rsidRPr="008D6DF1">
              <w:t xml:space="preserve"> 1</w:t>
            </w:r>
            <w:r w:rsidR="00AE6E1D" w:rsidRPr="008D6DF1">
              <w:t>10H, §13</w:t>
            </w:r>
          </w:p>
        </w:tc>
        <w:tc>
          <w:tcPr>
            <w:tcW w:w="600" w:type="dxa"/>
            <w:tcBorders>
              <w:top w:val="nil"/>
              <w:left w:val="nil"/>
              <w:bottom w:val="nil"/>
              <w:right w:val="nil"/>
            </w:tcBorders>
            <w:tcMar>
              <w:left w:w="0" w:type="dxa"/>
              <w:right w:w="0" w:type="dxa"/>
            </w:tcMar>
          </w:tcPr>
          <w:p w14:paraId="6497D1D3" w14:textId="77777777" w:rsidR="008D6DF1" w:rsidRPr="008D6DF1" w:rsidRDefault="008D6DF1" w:rsidP="00317169">
            <w:pPr>
              <w:pStyle w:val="BNormal"/>
            </w:pPr>
          </w:p>
          <w:p w14:paraId="6F1839DC" w14:textId="77777777" w:rsidR="00AE6E1D" w:rsidRPr="008D6DF1" w:rsidRDefault="00AE6E1D" w:rsidP="00317169">
            <w:pPr>
              <w:pStyle w:val="BNormal"/>
            </w:pPr>
            <w:r w:rsidRPr="008D6DF1">
              <w:t>X</w:t>
            </w:r>
          </w:p>
        </w:tc>
        <w:tc>
          <w:tcPr>
            <w:tcW w:w="600" w:type="dxa"/>
            <w:tcBorders>
              <w:top w:val="nil"/>
              <w:left w:val="nil"/>
              <w:bottom w:val="nil"/>
              <w:right w:val="nil"/>
            </w:tcBorders>
            <w:tcMar>
              <w:left w:w="0" w:type="dxa"/>
              <w:right w:w="0" w:type="dxa"/>
            </w:tcMar>
          </w:tcPr>
          <w:p w14:paraId="0F70A5EF"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6F9A82C9"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1598455E" w14:textId="77777777" w:rsidR="00AE6E1D" w:rsidRPr="008D6DF1" w:rsidRDefault="00AE6E1D" w:rsidP="00317169">
            <w:pPr>
              <w:pStyle w:val="BNormal"/>
            </w:pPr>
          </w:p>
        </w:tc>
        <w:tc>
          <w:tcPr>
            <w:tcW w:w="1080" w:type="dxa"/>
            <w:tcBorders>
              <w:top w:val="nil"/>
              <w:left w:val="nil"/>
              <w:bottom w:val="nil"/>
              <w:right w:val="nil"/>
            </w:tcBorders>
            <w:tcMar>
              <w:left w:w="0" w:type="dxa"/>
              <w:right w:w="0" w:type="dxa"/>
            </w:tcMar>
          </w:tcPr>
          <w:p w14:paraId="2F596C63" w14:textId="77777777" w:rsidR="008D6DF1" w:rsidRPr="008D6DF1" w:rsidRDefault="008D6DF1" w:rsidP="00317169">
            <w:pPr>
              <w:pStyle w:val="BNormal"/>
            </w:pPr>
          </w:p>
          <w:p w14:paraId="4BFAD258" w14:textId="77777777" w:rsidR="00AE6E1D" w:rsidRPr="008D6DF1" w:rsidRDefault="00AE6E1D" w:rsidP="00317169">
            <w:pPr>
              <w:pStyle w:val="BNormal"/>
            </w:pPr>
            <w:r w:rsidRPr="008D6DF1">
              <w:t>1947</w:t>
            </w:r>
          </w:p>
        </w:tc>
      </w:tr>
      <w:tr w:rsidR="00AE6E1D" w:rsidRPr="008D6DF1" w14:paraId="6E107F93" w14:textId="77777777" w:rsidTr="008D6DF1">
        <w:tc>
          <w:tcPr>
            <w:tcW w:w="1560" w:type="dxa"/>
            <w:tcBorders>
              <w:top w:val="nil"/>
              <w:left w:val="nil"/>
              <w:bottom w:val="nil"/>
              <w:right w:val="nil"/>
            </w:tcBorders>
            <w:tcMar>
              <w:left w:w="0" w:type="dxa"/>
              <w:right w:w="0" w:type="dxa"/>
            </w:tcMar>
          </w:tcPr>
          <w:p w14:paraId="149FD88D" w14:textId="77777777" w:rsidR="008D6DF1" w:rsidRPr="008D6DF1" w:rsidRDefault="008D6DF1" w:rsidP="00317169">
            <w:pPr>
              <w:pStyle w:val="BNormal"/>
            </w:pPr>
          </w:p>
          <w:p w14:paraId="7610D74D" w14:textId="77777777" w:rsidR="00AE6E1D" w:rsidRPr="008D6DF1" w:rsidRDefault="00AE6E1D" w:rsidP="00317169">
            <w:pPr>
              <w:pStyle w:val="BNormal"/>
            </w:pPr>
            <w:r w:rsidRPr="008D6DF1">
              <w:t>Minnesota</w:t>
            </w:r>
          </w:p>
        </w:tc>
        <w:tc>
          <w:tcPr>
            <w:tcW w:w="1920" w:type="dxa"/>
            <w:tcBorders>
              <w:top w:val="nil"/>
              <w:left w:val="nil"/>
              <w:bottom w:val="nil"/>
              <w:right w:val="nil"/>
            </w:tcBorders>
            <w:tcMar>
              <w:left w:w="0" w:type="dxa"/>
              <w:right w:w="0" w:type="dxa"/>
            </w:tcMar>
          </w:tcPr>
          <w:p w14:paraId="534350BE" w14:textId="77777777" w:rsidR="008D6DF1" w:rsidRPr="008D6DF1" w:rsidRDefault="008D6DF1" w:rsidP="00317169">
            <w:pPr>
              <w:pStyle w:val="BNormal"/>
            </w:pPr>
          </w:p>
          <w:p w14:paraId="60B34283" w14:textId="4FE23E4E" w:rsidR="008D6DF1" w:rsidRPr="008D6DF1" w:rsidRDefault="008D6DF1" w:rsidP="00317169">
            <w:pPr>
              <w:pStyle w:val="BNormal"/>
            </w:pPr>
            <w:r w:rsidRPr="008D6DF1">
              <w:rPr>
                <w:smallCaps/>
              </w:rPr>
              <w:t>Minn. Stat. Ann</w:t>
            </w:r>
            <w:r w:rsidR="00AE6E1D" w:rsidRPr="008D6DF1">
              <w:t>.</w:t>
            </w:r>
          </w:p>
          <w:p w14:paraId="236795EC" w14:textId="587D79B7" w:rsidR="00AE6E1D" w:rsidRPr="008D6DF1" w:rsidRDefault="00AE6E1D" w:rsidP="00317169">
            <w:pPr>
              <w:pStyle w:val="BNormal"/>
            </w:pPr>
            <w:r w:rsidRPr="008D6DF1">
              <w:t>§§333.18, 333.285</w:t>
            </w:r>
          </w:p>
        </w:tc>
        <w:tc>
          <w:tcPr>
            <w:tcW w:w="600" w:type="dxa"/>
            <w:tcBorders>
              <w:top w:val="nil"/>
              <w:left w:val="nil"/>
              <w:bottom w:val="nil"/>
              <w:right w:val="nil"/>
            </w:tcBorders>
            <w:tcMar>
              <w:left w:w="0" w:type="dxa"/>
              <w:right w:w="0" w:type="dxa"/>
            </w:tcMar>
          </w:tcPr>
          <w:p w14:paraId="580B7E0B" w14:textId="77777777" w:rsidR="008D6DF1" w:rsidRPr="008D6DF1" w:rsidRDefault="008D6DF1" w:rsidP="00317169">
            <w:pPr>
              <w:pStyle w:val="BNormal"/>
            </w:pPr>
          </w:p>
          <w:p w14:paraId="0E7192C6" w14:textId="77777777" w:rsidR="00AE6E1D" w:rsidRPr="008D6DF1" w:rsidRDefault="00AE6E1D" w:rsidP="00317169">
            <w:pPr>
              <w:pStyle w:val="BNormal"/>
            </w:pPr>
            <w:r w:rsidRPr="008D6DF1">
              <w:t>†</w:t>
            </w:r>
          </w:p>
        </w:tc>
        <w:tc>
          <w:tcPr>
            <w:tcW w:w="600" w:type="dxa"/>
            <w:tcBorders>
              <w:top w:val="nil"/>
              <w:left w:val="nil"/>
              <w:bottom w:val="nil"/>
              <w:right w:val="nil"/>
            </w:tcBorders>
            <w:tcMar>
              <w:left w:w="0" w:type="dxa"/>
              <w:right w:w="0" w:type="dxa"/>
            </w:tcMar>
          </w:tcPr>
          <w:p w14:paraId="36187ED6"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4BEF5FC3" w14:textId="77777777" w:rsidR="008D6DF1" w:rsidRPr="008D6DF1" w:rsidRDefault="008D6DF1" w:rsidP="00317169">
            <w:pPr>
              <w:pStyle w:val="BNormal"/>
            </w:pPr>
          </w:p>
          <w:p w14:paraId="34136443" w14:textId="77777777" w:rsidR="00AE6E1D" w:rsidRPr="008D6DF1" w:rsidRDefault="00AE6E1D" w:rsidP="00317169">
            <w:pPr>
              <w:pStyle w:val="BNormal"/>
            </w:pPr>
            <w:r w:rsidRPr="008D6DF1">
              <w:t>X</w:t>
            </w:r>
          </w:p>
        </w:tc>
        <w:tc>
          <w:tcPr>
            <w:tcW w:w="600" w:type="dxa"/>
            <w:tcBorders>
              <w:top w:val="nil"/>
              <w:left w:val="nil"/>
              <w:bottom w:val="nil"/>
              <w:right w:val="nil"/>
            </w:tcBorders>
            <w:tcMar>
              <w:left w:w="0" w:type="dxa"/>
              <w:right w:w="0" w:type="dxa"/>
            </w:tcMar>
          </w:tcPr>
          <w:p w14:paraId="66FA249F" w14:textId="77777777" w:rsidR="00AE6E1D" w:rsidRPr="008D6DF1" w:rsidRDefault="00AE6E1D" w:rsidP="00317169">
            <w:pPr>
              <w:pStyle w:val="BNormal"/>
            </w:pPr>
          </w:p>
        </w:tc>
        <w:tc>
          <w:tcPr>
            <w:tcW w:w="1080" w:type="dxa"/>
            <w:tcBorders>
              <w:top w:val="nil"/>
              <w:left w:val="nil"/>
              <w:bottom w:val="nil"/>
              <w:right w:val="nil"/>
            </w:tcBorders>
            <w:tcMar>
              <w:left w:w="0" w:type="dxa"/>
              <w:right w:w="0" w:type="dxa"/>
            </w:tcMar>
          </w:tcPr>
          <w:p w14:paraId="393987AB" w14:textId="77777777" w:rsidR="008D6DF1" w:rsidRPr="008D6DF1" w:rsidRDefault="008D6DF1" w:rsidP="00317169">
            <w:pPr>
              <w:pStyle w:val="BNormal"/>
            </w:pPr>
          </w:p>
          <w:p w14:paraId="4E4CA987" w14:textId="77777777" w:rsidR="00AE6E1D" w:rsidRPr="008D6DF1" w:rsidRDefault="00AE6E1D" w:rsidP="00317169">
            <w:pPr>
              <w:pStyle w:val="BNormal"/>
            </w:pPr>
            <w:r w:rsidRPr="008D6DF1">
              <w:t>1998</w:t>
            </w:r>
          </w:p>
        </w:tc>
      </w:tr>
      <w:tr w:rsidR="00AE6E1D" w:rsidRPr="008D6DF1" w14:paraId="0011909A" w14:textId="77777777" w:rsidTr="008D6DF1">
        <w:tc>
          <w:tcPr>
            <w:tcW w:w="1560" w:type="dxa"/>
            <w:tcBorders>
              <w:top w:val="nil"/>
              <w:left w:val="nil"/>
              <w:bottom w:val="nil"/>
              <w:right w:val="nil"/>
            </w:tcBorders>
            <w:tcMar>
              <w:left w:w="0" w:type="dxa"/>
              <w:right w:w="0" w:type="dxa"/>
            </w:tcMar>
          </w:tcPr>
          <w:p w14:paraId="6F167E10" w14:textId="77777777" w:rsidR="008D6DF1" w:rsidRPr="008D6DF1" w:rsidRDefault="008D6DF1" w:rsidP="00317169">
            <w:pPr>
              <w:pStyle w:val="BNormal"/>
            </w:pPr>
          </w:p>
          <w:p w14:paraId="0145892A" w14:textId="77777777" w:rsidR="00AE6E1D" w:rsidRPr="008D6DF1" w:rsidRDefault="00AE6E1D" w:rsidP="00317169">
            <w:pPr>
              <w:pStyle w:val="BNormal"/>
            </w:pPr>
            <w:r w:rsidRPr="008D6DF1">
              <w:t>Mississippi</w:t>
            </w:r>
          </w:p>
        </w:tc>
        <w:tc>
          <w:tcPr>
            <w:tcW w:w="1920" w:type="dxa"/>
            <w:tcBorders>
              <w:top w:val="nil"/>
              <w:left w:val="nil"/>
              <w:bottom w:val="nil"/>
              <w:right w:val="nil"/>
            </w:tcBorders>
            <w:tcMar>
              <w:left w:w="0" w:type="dxa"/>
              <w:right w:w="0" w:type="dxa"/>
            </w:tcMar>
          </w:tcPr>
          <w:p w14:paraId="4CEF2EF0" w14:textId="77777777" w:rsidR="008D6DF1" w:rsidRPr="008D6DF1" w:rsidRDefault="008D6DF1" w:rsidP="00317169">
            <w:pPr>
              <w:pStyle w:val="BNormal"/>
            </w:pPr>
          </w:p>
          <w:p w14:paraId="08D8F17F" w14:textId="357D2861" w:rsidR="008D6DF1" w:rsidRPr="008D6DF1" w:rsidRDefault="008D6DF1" w:rsidP="00317169">
            <w:pPr>
              <w:pStyle w:val="BNormal"/>
            </w:pPr>
            <w:r w:rsidRPr="008D6DF1">
              <w:rPr>
                <w:smallCaps/>
              </w:rPr>
              <w:t>Miss. Code Ann.</w:t>
            </w:r>
          </w:p>
          <w:p w14:paraId="15E649C3" w14:textId="77777777" w:rsidR="008D6DF1" w:rsidRPr="008D6DF1" w:rsidRDefault="00AE6E1D" w:rsidP="00317169">
            <w:pPr>
              <w:pStyle w:val="BNormal"/>
            </w:pPr>
            <w:r w:rsidRPr="008D6DF1">
              <w:t>§§75-25-1(k)–(m),</w:t>
            </w:r>
          </w:p>
          <w:p w14:paraId="4E5E8208" w14:textId="05B5435F" w:rsidR="00AE6E1D" w:rsidRPr="008D6DF1" w:rsidRDefault="00AE6E1D" w:rsidP="00317169">
            <w:pPr>
              <w:pStyle w:val="BNormal"/>
            </w:pPr>
            <w:r w:rsidRPr="008D6DF1">
              <w:t>75-25-25</w:t>
            </w:r>
          </w:p>
        </w:tc>
        <w:tc>
          <w:tcPr>
            <w:tcW w:w="600" w:type="dxa"/>
            <w:tcBorders>
              <w:top w:val="nil"/>
              <w:left w:val="nil"/>
              <w:bottom w:val="nil"/>
              <w:right w:val="nil"/>
            </w:tcBorders>
            <w:tcMar>
              <w:left w:w="0" w:type="dxa"/>
              <w:right w:w="0" w:type="dxa"/>
            </w:tcMar>
          </w:tcPr>
          <w:p w14:paraId="1AAF4BFE"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3EA884CC" w14:textId="77777777" w:rsidR="008D6DF1" w:rsidRPr="008D6DF1" w:rsidRDefault="008D6DF1" w:rsidP="00317169">
            <w:pPr>
              <w:pStyle w:val="BNormal"/>
            </w:pPr>
          </w:p>
          <w:p w14:paraId="5B70102F" w14:textId="77777777" w:rsidR="00AE6E1D" w:rsidRPr="008D6DF1" w:rsidRDefault="00AE6E1D" w:rsidP="00317169">
            <w:pPr>
              <w:pStyle w:val="BNormal"/>
            </w:pPr>
            <w:r w:rsidRPr="008D6DF1">
              <w:t>††</w:t>
            </w:r>
          </w:p>
        </w:tc>
        <w:tc>
          <w:tcPr>
            <w:tcW w:w="600" w:type="dxa"/>
            <w:tcBorders>
              <w:top w:val="nil"/>
              <w:left w:val="nil"/>
              <w:bottom w:val="nil"/>
              <w:right w:val="nil"/>
            </w:tcBorders>
            <w:tcMar>
              <w:left w:w="0" w:type="dxa"/>
              <w:right w:w="0" w:type="dxa"/>
            </w:tcMar>
          </w:tcPr>
          <w:p w14:paraId="7529C385"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61FB6079" w14:textId="77777777" w:rsidR="008D6DF1" w:rsidRPr="008D6DF1" w:rsidRDefault="008D6DF1" w:rsidP="00317169">
            <w:pPr>
              <w:pStyle w:val="BNormal"/>
            </w:pPr>
          </w:p>
          <w:p w14:paraId="2A5D035B" w14:textId="77777777" w:rsidR="00AE6E1D" w:rsidRPr="008D6DF1" w:rsidRDefault="00AE6E1D" w:rsidP="00317169">
            <w:pPr>
              <w:pStyle w:val="BNormal"/>
            </w:pPr>
            <w:r w:rsidRPr="008D6DF1">
              <w:t>X</w:t>
            </w:r>
          </w:p>
        </w:tc>
        <w:tc>
          <w:tcPr>
            <w:tcW w:w="1080" w:type="dxa"/>
            <w:tcBorders>
              <w:top w:val="nil"/>
              <w:left w:val="nil"/>
              <w:bottom w:val="nil"/>
              <w:right w:val="nil"/>
            </w:tcBorders>
            <w:tcMar>
              <w:left w:w="0" w:type="dxa"/>
              <w:right w:w="0" w:type="dxa"/>
            </w:tcMar>
          </w:tcPr>
          <w:p w14:paraId="03B0DE0C" w14:textId="77777777" w:rsidR="008D6DF1" w:rsidRPr="008D6DF1" w:rsidRDefault="008D6DF1" w:rsidP="00317169">
            <w:pPr>
              <w:pStyle w:val="BNormal"/>
            </w:pPr>
          </w:p>
          <w:p w14:paraId="0C359E96" w14:textId="77777777" w:rsidR="00AE6E1D" w:rsidRPr="008D6DF1" w:rsidRDefault="00AE6E1D" w:rsidP="00317169">
            <w:pPr>
              <w:pStyle w:val="BNormal"/>
            </w:pPr>
            <w:r w:rsidRPr="008D6DF1">
              <w:t xml:space="preserve">July 1, </w:t>
            </w:r>
            <w:proofErr w:type="gramStart"/>
            <w:r w:rsidRPr="008D6DF1">
              <w:t>2009</w:t>
            </w:r>
            <w:proofErr w:type="gramEnd"/>
            <w:r w:rsidRPr="008D6DF1">
              <w:t xml:space="preserve"> </w:t>
            </w:r>
          </w:p>
        </w:tc>
      </w:tr>
      <w:tr w:rsidR="00AE6E1D" w:rsidRPr="008D6DF1" w14:paraId="3C7C90B8" w14:textId="77777777" w:rsidTr="008D6DF1">
        <w:tc>
          <w:tcPr>
            <w:tcW w:w="1560" w:type="dxa"/>
            <w:tcBorders>
              <w:top w:val="nil"/>
              <w:left w:val="nil"/>
              <w:bottom w:val="nil"/>
              <w:right w:val="nil"/>
            </w:tcBorders>
            <w:tcMar>
              <w:left w:w="0" w:type="dxa"/>
              <w:right w:w="0" w:type="dxa"/>
            </w:tcMar>
          </w:tcPr>
          <w:p w14:paraId="33432EE7" w14:textId="77777777" w:rsidR="008D6DF1" w:rsidRPr="008D6DF1" w:rsidRDefault="008D6DF1" w:rsidP="00317169">
            <w:pPr>
              <w:pStyle w:val="BNormal"/>
            </w:pPr>
          </w:p>
          <w:p w14:paraId="39873584" w14:textId="77777777" w:rsidR="00AE6E1D" w:rsidRPr="008D6DF1" w:rsidRDefault="00AE6E1D" w:rsidP="00317169">
            <w:pPr>
              <w:pStyle w:val="BNormal"/>
            </w:pPr>
            <w:r w:rsidRPr="008D6DF1">
              <w:t>Missouri</w:t>
            </w:r>
          </w:p>
        </w:tc>
        <w:tc>
          <w:tcPr>
            <w:tcW w:w="1920" w:type="dxa"/>
            <w:tcBorders>
              <w:top w:val="nil"/>
              <w:left w:val="nil"/>
              <w:bottom w:val="nil"/>
              <w:right w:val="nil"/>
            </w:tcBorders>
            <w:tcMar>
              <w:left w:w="0" w:type="dxa"/>
              <w:right w:w="0" w:type="dxa"/>
            </w:tcMar>
          </w:tcPr>
          <w:p w14:paraId="336B24C4" w14:textId="77777777" w:rsidR="008D6DF1" w:rsidRPr="008D6DF1" w:rsidRDefault="008D6DF1" w:rsidP="00317169">
            <w:pPr>
              <w:pStyle w:val="BNormal"/>
            </w:pPr>
          </w:p>
          <w:p w14:paraId="12801151" w14:textId="1D82E4A3" w:rsidR="008D6DF1" w:rsidRPr="008D6DF1" w:rsidRDefault="008D6DF1" w:rsidP="00317169">
            <w:pPr>
              <w:pStyle w:val="BNormal"/>
            </w:pPr>
            <w:r w:rsidRPr="008D6DF1">
              <w:rPr>
                <w:smallCaps/>
              </w:rPr>
              <w:t>Mo. Rev. Stat</w:t>
            </w:r>
            <w:r w:rsidR="00AE6E1D" w:rsidRPr="008D6DF1">
              <w:t>.</w:t>
            </w:r>
          </w:p>
          <w:p w14:paraId="53FC3106" w14:textId="306E4CAB" w:rsidR="00AE6E1D" w:rsidRPr="008D6DF1" w:rsidRDefault="00AE6E1D" w:rsidP="00317169">
            <w:pPr>
              <w:pStyle w:val="BNormal"/>
            </w:pPr>
            <w:r w:rsidRPr="008D6DF1">
              <w:t>§417.061</w:t>
            </w:r>
          </w:p>
        </w:tc>
        <w:tc>
          <w:tcPr>
            <w:tcW w:w="600" w:type="dxa"/>
            <w:tcBorders>
              <w:top w:val="nil"/>
              <w:left w:val="nil"/>
              <w:bottom w:val="nil"/>
              <w:right w:val="nil"/>
            </w:tcBorders>
            <w:tcMar>
              <w:left w:w="0" w:type="dxa"/>
              <w:right w:w="0" w:type="dxa"/>
            </w:tcMar>
          </w:tcPr>
          <w:p w14:paraId="5625180E" w14:textId="77777777" w:rsidR="008D6DF1" w:rsidRPr="008D6DF1" w:rsidRDefault="008D6DF1" w:rsidP="00317169">
            <w:pPr>
              <w:pStyle w:val="BNormal"/>
            </w:pPr>
          </w:p>
          <w:p w14:paraId="2B37396B" w14:textId="77777777" w:rsidR="00AE6E1D" w:rsidRPr="008D6DF1" w:rsidRDefault="00AE6E1D" w:rsidP="00317169">
            <w:pPr>
              <w:pStyle w:val="BNormal"/>
            </w:pPr>
            <w:r w:rsidRPr="008D6DF1">
              <w:t>X</w:t>
            </w:r>
          </w:p>
        </w:tc>
        <w:tc>
          <w:tcPr>
            <w:tcW w:w="600" w:type="dxa"/>
            <w:tcBorders>
              <w:top w:val="nil"/>
              <w:left w:val="nil"/>
              <w:bottom w:val="nil"/>
              <w:right w:val="nil"/>
            </w:tcBorders>
            <w:tcMar>
              <w:left w:w="0" w:type="dxa"/>
              <w:right w:w="0" w:type="dxa"/>
            </w:tcMar>
          </w:tcPr>
          <w:p w14:paraId="00A2905F"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77893F76"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67547F7D" w14:textId="77777777" w:rsidR="00AE6E1D" w:rsidRPr="008D6DF1" w:rsidRDefault="00AE6E1D" w:rsidP="00317169">
            <w:pPr>
              <w:pStyle w:val="BNormal"/>
            </w:pPr>
          </w:p>
        </w:tc>
        <w:tc>
          <w:tcPr>
            <w:tcW w:w="1080" w:type="dxa"/>
            <w:tcBorders>
              <w:top w:val="nil"/>
              <w:left w:val="nil"/>
              <w:bottom w:val="nil"/>
              <w:right w:val="nil"/>
            </w:tcBorders>
            <w:tcMar>
              <w:left w:w="0" w:type="dxa"/>
              <w:right w:w="0" w:type="dxa"/>
            </w:tcMar>
          </w:tcPr>
          <w:p w14:paraId="6818C3CD" w14:textId="77777777" w:rsidR="008D6DF1" w:rsidRPr="008D6DF1" w:rsidRDefault="008D6DF1" w:rsidP="00317169">
            <w:pPr>
              <w:pStyle w:val="BNormal"/>
            </w:pPr>
          </w:p>
          <w:p w14:paraId="6A077E13" w14:textId="77777777" w:rsidR="00AE6E1D" w:rsidRPr="008D6DF1" w:rsidRDefault="00AE6E1D" w:rsidP="00317169">
            <w:pPr>
              <w:pStyle w:val="BNormal"/>
            </w:pPr>
            <w:r w:rsidRPr="008D6DF1">
              <w:t>1973</w:t>
            </w:r>
          </w:p>
        </w:tc>
      </w:tr>
      <w:tr w:rsidR="00AE6E1D" w:rsidRPr="008D6DF1" w14:paraId="3D60E65D" w14:textId="77777777" w:rsidTr="008D6DF1">
        <w:tc>
          <w:tcPr>
            <w:tcW w:w="1560" w:type="dxa"/>
            <w:tcBorders>
              <w:top w:val="nil"/>
              <w:left w:val="nil"/>
              <w:bottom w:val="nil"/>
              <w:right w:val="nil"/>
            </w:tcBorders>
            <w:tcMar>
              <w:left w:w="0" w:type="dxa"/>
              <w:right w:w="0" w:type="dxa"/>
            </w:tcMar>
          </w:tcPr>
          <w:p w14:paraId="191C6CD6" w14:textId="77777777" w:rsidR="008D6DF1" w:rsidRPr="008D6DF1" w:rsidRDefault="008D6DF1" w:rsidP="00317169">
            <w:pPr>
              <w:pStyle w:val="BNormal"/>
            </w:pPr>
          </w:p>
          <w:p w14:paraId="5C79FD10" w14:textId="77777777" w:rsidR="00AE6E1D" w:rsidRPr="008D6DF1" w:rsidRDefault="00AE6E1D" w:rsidP="00317169">
            <w:pPr>
              <w:pStyle w:val="BNormal"/>
            </w:pPr>
            <w:r w:rsidRPr="008D6DF1">
              <w:t>Montana</w:t>
            </w:r>
          </w:p>
        </w:tc>
        <w:tc>
          <w:tcPr>
            <w:tcW w:w="1920" w:type="dxa"/>
            <w:tcBorders>
              <w:top w:val="nil"/>
              <w:left w:val="nil"/>
              <w:bottom w:val="nil"/>
              <w:right w:val="nil"/>
            </w:tcBorders>
            <w:tcMar>
              <w:left w:w="0" w:type="dxa"/>
              <w:right w:w="0" w:type="dxa"/>
            </w:tcMar>
          </w:tcPr>
          <w:p w14:paraId="72880DA7" w14:textId="77777777" w:rsidR="008D6DF1" w:rsidRPr="008D6DF1" w:rsidRDefault="008D6DF1" w:rsidP="00317169">
            <w:pPr>
              <w:pStyle w:val="BNormal"/>
            </w:pPr>
          </w:p>
          <w:p w14:paraId="2DF483B2" w14:textId="4189FB0F" w:rsidR="008D6DF1" w:rsidRPr="008D6DF1" w:rsidRDefault="008D6DF1" w:rsidP="00317169">
            <w:pPr>
              <w:pStyle w:val="BNormal"/>
            </w:pPr>
            <w:r w:rsidRPr="008D6DF1">
              <w:rPr>
                <w:smallCaps/>
              </w:rPr>
              <w:t>Mont. Code Ann.</w:t>
            </w:r>
          </w:p>
          <w:p w14:paraId="29267CAC" w14:textId="77777777" w:rsidR="008D6DF1" w:rsidRPr="008D6DF1" w:rsidRDefault="00AE6E1D" w:rsidP="00317169">
            <w:pPr>
              <w:pStyle w:val="BNormal"/>
            </w:pPr>
            <w:r w:rsidRPr="008D6DF1">
              <w:t>§§30-13-301(3),</w:t>
            </w:r>
          </w:p>
          <w:p w14:paraId="265489E5" w14:textId="186D035B" w:rsidR="00AE6E1D" w:rsidRPr="008D6DF1" w:rsidRDefault="00AE6E1D" w:rsidP="00317169">
            <w:pPr>
              <w:pStyle w:val="BNormal"/>
            </w:pPr>
            <w:r w:rsidRPr="008D6DF1">
              <w:t>30-13-334</w:t>
            </w:r>
          </w:p>
        </w:tc>
        <w:tc>
          <w:tcPr>
            <w:tcW w:w="600" w:type="dxa"/>
            <w:tcBorders>
              <w:top w:val="nil"/>
              <w:left w:val="nil"/>
              <w:bottom w:val="nil"/>
              <w:right w:val="nil"/>
            </w:tcBorders>
            <w:tcMar>
              <w:left w:w="0" w:type="dxa"/>
              <w:right w:w="0" w:type="dxa"/>
            </w:tcMar>
          </w:tcPr>
          <w:p w14:paraId="44899851" w14:textId="77777777" w:rsidR="008D6DF1" w:rsidRPr="008D6DF1" w:rsidRDefault="008D6DF1" w:rsidP="00317169">
            <w:pPr>
              <w:pStyle w:val="BNormal"/>
            </w:pPr>
          </w:p>
          <w:p w14:paraId="32BB643A" w14:textId="77777777" w:rsidR="00AE6E1D" w:rsidRPr="008D6DF1" w:rsidRDefault="00AE6E1D" w:rsidP="00317169">
            <w:pPr>
              <w:pStyle w:val="BNormal"/>
            </w:pPr>
            <w:r w:rsidRPr="008D6DF1">
              <w:t>**</w:t>
            </w:r>
          </w:p>
        </w:tc>
        <w:tc>
          <w:tcPr>
            <w:tcW w:w="600" w:type="dxa"/>
            <w:tcBorders>
              <w:top w:val="nil"/>
              <w:left w:val="nil"/>
              <w:bottom w:val="nil"/>
              <w:right w:val="nil"/>
            </w:tcBorders>
            <w:tcMar>
              <w:left w:w="0" w:type="dxa"/>
              <w:right w:w="0" w:type="dxa"/>
            </w:tcMar>
          </w:tcPr>
          <w:p w14:paraId="5A00DE62"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6DA5405A" w14:textId="77777777" w:rsidR="008D6DF1" w:rsidRPr="008D6DF1" w:rsidRDefault="008D6DF1" w:rsidP="00317169">
            <w:pPr>
              <w:pStyle w:val="BNormal"/>
            </w:pPr>
          </w:p>
          <w:p w14:paraId="7DFFB194" w14:textId="77777777" w:rsidR="00AE6E1D" w:rsidRPr="008D6DF1" w:rsidRDefault="00AE6E1D" w:rsidP="00317169">
            <w:pPr>
              <w:pStyle w:val="BNormal"/>
            </w:pPr>
            <w:r w:rsidRPr="008D6DF1">
              <w:t>X</w:t>
            </w:r>
          </w:p>
        </w:tc>
        <w:tc>
          <w:tcPr>
            <w:tcW w:w="600" w:type="dxa"/>
            <w:tcBorders>
              <w:top w:val="nil"/>
              <w:left w:val="nil"/>
              <w:bottom w:val="nil"/>
              <w:right w:val="nil"/>
            </w:tcBorders>
            <w:tcMar>
              <w:left w:w="0" w:type="dxa"/>
              <w:right w:w="0" w:type="dxa"/>
            </w:tcMar>
          </w:tcPr>
          <w:p w14:paraId="554C6CE1" w14:textId="77777777" w:rsidR="00AE6E1D" w:rsidRPr="008D6DF1" w:rsidRDefault="00AE6E1D" w:rsidP="00317169">
            <w:pPr>
              <w:pStyle w:val="BNormal"/>
            </w:pPr>
          </w:p>
        </w:tc>
        <w:tc>
          <w:tcPr>
            <w:tcW w:w="1080" w:type="dxa"/>
            <w:tcBorders>
              <w:top w:val="nil"/>
              <w:left w:val="nil"/>
              <w:bottom w:val="nil"/>
              <w:right w:val="nil"/>
            </w:tcBorders>
            <w:tcMar>
              <w:left w:w="0" w:type="dxa"/>
              <w:right w:w="0" w:type="dxa"/>
            </w:tcMar>
          </w:tcPr>
          <w:p w14:paraId="77A2B03B" w14:textId="77777777" w:rsidR="008D6DF1" w:rsidRPr="008D6DF1" w:rsidRDefault="008D6DF1" w:rsidP="00317169">
            <w:pPr>
              <w:pStyle w:val="BNormal"/>
            </w:pPr>
          </w:p>
          <w:p w14:paraId="60FF4E04" w14:textId="77777777" w:rsidR="00AE6E1D" w:rsidRPr="008D6DF1" w:rsidRDefault="00AE6E1D" w:rsidP="00317169">
            <w:pPr>
              <w:pStyle w:val="BNormal"/>
            </w:pPr>
            <w:r w:rsidRPr="008D6DF1">
              <w:t>July 1, 2003</w:t>
            </w:r>
          </w:p>
        </w:tc>
      </w:tr>
      <w:tr w:rsidR="00AE6E1D" w:rsidRPr="008D6DF1" w14:paraId="589242FA" w14:textId="77777777" w:rsidTr="008D6DF1">
        <w:tc>
          <w:tcPr>
            <w:tcW w:w="1560" w:type="dxa"/>
            <w:tcBorders>
              <w:top w:val="nil"/>
              <w:left w:val="nil"/>
              <w:bottom w:val="nil"/>
              <w:right w:val="nil"/>
            </w:tcBorders>
            <w:tcMar>
              <w:left w:w="0" w:type="dxa"/>
              <w:right w:w="0" w:type="dxa"/>
            </w:tcMar>
          </w:tcPr>
          <w:p w14:paraId="374FCB3C" w14:textId="77777777" w:rsidR="008D6DF1" w:rsidRPr="008D6DF1" w:rsidRDefault="008D6DF1" w:rsidP="00317169">
            <w:pPr>
              <w:pStyle w:val="BNormal"/>
            </w:pPr>
          </w:p>
          <w:p w14:paraId="441C7557" w14:textId="77777777" w:rsidR="00AE6E1D" w:rsidRPr="008D6DF1" w:rsidRDefault="00AE6E1D" w:rsidP="00317169">
            <w:pPr>
              <w:pStyle w:val="BNormal"/>
            </w:pPr>
            <w:r w:rsidRPr="008D6DF1">
              <w:t>Nebraska</w:t>
            </w:r>
          </w:p>
        </w:tc>
        <w:tc>
          <w:tcPr>
            <w:tcW w:w="1920" w:type="dxa"/>
            <w:tcBorders>
              <w:top w:val="nil"/>
              <w:left w:val="nil"/>
              <w:bottom w:val="nil"/>
              <w:right w:val="nil"/>
            </w:tcBorders>
            <w:tcMar>
              <w:left w:w="0" w:type="dxa"/>
              <w:right w:w="0" w:type="dxa"/>
            </w:tcMar>
          </w:tcPr>
          <w:p w14:paraId="0B3483C2" w14:textId="77777777" w:rsidR="008D6DF1" w:rsidRPr="008D6DF1" w:rsidRDefault="008D6DF1" w:rsidP="00317169">
            <w:pPr>
              <w:pStyle w:val="BNormal"/>
            </w:pPr>
          </w:p>
          <w:p w14:paraId="7AA1ED67" w14:textId="657150FA" w:rsidR="008D6DF1" w:rsidRPr="008D6DF1" w:rsidRDefault="008D6DF1" w:rsidP="00317169">
            <w:pPr>
              <w:pStyle w:val="BNormal"/>
            </w:pPr>
            <w:r w:rsidRPr="008D6DF1">
              <w:rPr>
                <w:smallCaps/>
              </w:rPr>
              <w:t>Neb. Rev. Stat. Ann.</w:t>
            </w:r>
          </w:p>
          <w:p w14:paraId="0FFC3D1A" w14:textId="78AF5D79" w:rsidR="00AE6E1D" w:rsidRPr="008D6DF1" w:rsidRDefault="00AE6E1D" w:rsidP="00317169">
            <w:pPr>
              <w:pStyle w:val="BNormal"/>
            </w:pPr>
            <w:r w:rsidRPr="008D6DF1">
              <w:t>§§87-128(3), 87-140</w:t>
            </w:r>
          </w:p>
        </w:tc>
        <w:tc>
          <w:tcPr>
            <w:tcW w:w="600" w:type="dxa"/>
            <w:tcBorders>
              <w:top w:val="nil"/>
              <w:left w:val="nil"/>
              <w:bottom w:val="nil"/>
              <w:right w:val="nil"/>
            </w:tcBorders>
            <w:tcMar>
              <w:left w:w="0" w:type="dxa"/>
              <w:right w:w="0" w:type="dxa"/>
            </w:tcMar>
          </w:tcPr>
          <w:p w14:paraId="311D91C3" w14:textId="77777777" w:rsidR="008D6DF1" w:rsidRPr="008D6DF1" w:rsidRDefault="008D6DF1" w:rsidP="00317169">
            <w:pPr>
              <w:pStyle w:val="BNormal"/>
            </w:pPr>
          </w:p>
          <w:p w14:paraId="313DDC80" w14:textId="77777777" w:rsidR="00AE6E1D" w:rsidRPr="008D6DF1" w:rsidRDefault="00AE6E1D" w:rsidP="00317169">
            <w:pPr>
              <w:pStyle w:val="BNormal"/>
            </w:pPr>
            <w:r w:rsidRPr="008D6DF1">
              <w:t xml:space="preserve">   **</w:t>
            </w:r>
          </w:p>
        </w:tc>
        <w:tc>
          <w:tcPr>
            <w:tcW w:w="600" w:type="dxa"/>
            <w:tcBorders>
              <w:top w:val="nil"/>
              <w:left w:val="nil"/>
              <w:bottom w:val="nil"/>
              <w:right w:val="nil"/>
            </w:tcBorders>
            <w:tcMar>
              <w:left w:w="0" w:type="dxa"/>
              <w:right w:w="0" w:type="dxa"/>
            </w:tcMar>
          </w:tcPr>
          <w:p w14:paraId="2D40EBB9"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566DBDBB" w14:textId="77777777" w:rsidR="008D6DF1" w:rsidRPr="008D6DF1" w:rsidRDefault="008D6DF1" w:rsidP="00317169">
            <w:pPr>
              <w:pStyle w:val="BNormal"/>
            </w:pPr>
          </w:p>
          <w:p w14:paraId="48800EC2" w14:textId="77777777" w:rsidR="00AE6E1D" w:rsidRPr="008D6DF1" w:rsidRDefault="00AE6E1D" w:rsidP="00317169">
            <w:pPr>
              <w:pStyle w:val="BNormal"/>
            </w:pPr>
            <w:r w:rsidRPr="008D6DF1">
              <w:t>X</w:t>
            </w:r>
          </w:p>
        </w:tc>
        <w:tc>
          <w:tcPr>
            <w:tcW w:w="600" w:type="dxa"/>
            <w:tcBorders>
              <w:top w:val="nil"/>
              <w:left w:val="nil"/>
              <w:bottom w:val="nil"/>
              <w:right w:val="nil"/>
            </w:tcBorders>
            <w:tcMar>
              <w:left w:w="0" w:type="dxa"/>
              <w:right w:w="0" w:type="dxa"/>
            </w:tcMar>
          </w:tcPr>
          <w:p w14:paraId="73C2F1FA" w14:textId="77777777" w:rsidR="00AE6E1D" w:rsidRPr="008D6DF1" w:rsidRDefault="00AE6E1D" w:rsidP="00317169">
            <w:pPr>
              <w:pStyle w:val="BNormal"/>
            </w:pPr>
          </w:p>
        </w:tc>
        <w:tc>
          <w:tcPr>
            <w:tcW w:w="1080" w:type="dxa"/>
            <w:tcBorders>
              <w:top w:val="nil"/>
              <w:left w:val="nil"/>
              <w:bottom w:val="nil"/>
              <w:right w:val="nil"/>
            </w:tcBorders>
            <w:tcMar>
              <w:left w:w="0" w:type="dxa"/>
              <w:right w:w="0" w:type="dxa"/>
            </w:tcMar>
          </w:tcPr>
          <w:p w14:paraId="4B148B3F" w14:textId="77777777" w:rsidR="008D6DF1" w:rsidRPr="008D6DF1" w:rsidRDefault="008D6DF1" w:rsidP="00317169">
            <w:pPr>
              <w:pStyle w:val="BNormal"/>
            </w:pPr>
          </w:p>
          <w:p w14:paraId="1A1FFF4F" w14:textId="77777777" w:rsidR="00AE6E1D" w:rsidRPr="008D6DF1" w:rsidRDefault="00AE6E1D" w:rsidP="00317169">
            <w:pPr>
              <w:pStyle w:val="BNormal"/>
            </w:pPr>
            <w:r w:rsidRPr="008D6DF1">
              <w:t>July 13, 2000</w:t>
            </w:r>
          </w:p>
        </w:tc>
      </w:tr>
      <w:tr w:rsidR="00AE6E1D" w:rsidRPr="008D6DF1" w14:paraId="736D51E4" w14:textId="77777777" w:rsidTr="008D6DF1">
        <w:tc>
          <w:tcPr>
            <w:tcW w:w="1560" w:type="dxa"/>
            <w:tcBorders>
              <w:top w:val="nil"/>
              <w:left w:val="nil"/>
              <w:bottom w:val="nil"/>
              <w:right w:val="nil"/>
            </w:tcBorders>
            <w:tcMar>
              <w:left w:w="0" w:type="dxa"/>
              <w:right w:w="0" w:type="dxa"/>
            </w:tcMar>
          </w:tcPr>
          <w:p w14:paraId="6E2EC155" w14:textId="77777777" w:rsidR="008D6DF1" w:rsidRPr="008D6DF1" w:rsidRDefault="008D6DF1" w:rsidP="00317169">
            <w:pPr>
              <w:pStyle w:val="BNormal"/>
            </w:pPr>
          </w:p>
          <w:p w14:paraId="3B919C64" w14:textId="77777777" w:rsidR="00AE6E1D" w:rsidRPr="008D6DF1" w:rsidRDefault="00AE6E1D" w:rsidP="00317169">
            <w:pPr>
              <w:pStyle w:val="BNormal"/>
            </w:pPr>
            <w:r w:rsidRPr="008D6DF1">
              <w:t>Nevada</w:t>
            </w:r>
          </w:p>
        </w:tc>
        <w:tc>
          <w:tcPr>
            <w:tcW w:w="1920" w:type="dxa"/>
            <w:tcBorders>
              <w:top w:val="nil"/>
              <w:left w:val="nil"/>
              <w:bottom w:val="nil"/>
              <w:right w:val="nil"/>
            </w:tcBorders>
            <w:tcMar>
              <w:left w:w="0" w:type="dxa"/>
              <w:right w:w="0" w:type="dxa"/>
            </w:tcMar>
          </w:tcPr>
          <w:p w14:paraId="12BBC4BB" w14:textId="77777777" w:rsidR="008D6DF1" w:rsidRPr="008D6DF1" w:rsidRDefault="008D6DF1" w:rsidP="00317169">
            <w:pPr>
              <w:pStyle w:val="BNormal"/>
            </w:pPr>
          </w:p>
          <w:p w14:paraId="15A12544" w14:textId="473C818E" w:rsidR="008D6DF1" w:rsidRPr="008D6DF1" w:rsidRDefault="008D6DF1" w:rsidP="00317169">
            <w:pPr>
              <w:pStyle w:val="BNormal"/>
            </w:pPr>
            <w:r w:rsidRPr="008D6DF1">
              <w:rPr>
                <w:smallCaps/>
              </w:rPr>
              <w:t>Nev. Rev. Stat. Ann.</w:t>
            </w:r>
          </w:p>
          <w:p w14:paraId="3CCD1BD0" w14:textId="4876EE4F" w:rsidR="00AE6E1D" w:rsidRPr="008D6DF1" w:rsidRDefault="00AE6E1D" w:rsidP="00317169">
            <w:pPr>
              <w:pStyle w:val="BNormal"/>
            </w:pPr>
            <w:r w:rsidRPr="008D6DF1">
              <w:t>§600.435</w:t>
            </w:r>
          </w:p>
        </w:tc>
        <w:tc>
          <w:tcPr>
            <w:tcW w:w="600" w:type="dxa"/>
            <w:tcBorders>
              <w:top w:val="nil"/>
              <w:left w:val="nil"/>
              <w:bottom w:val="nil"/>
              <w:right w:val="nil"/>
            </w:tcBorders>
            <w:tcMar>
              <w:left w:w="0" w:type="dxa"/>
              <w:right w:w="0" w:type="dxa"/>
            </w:tcMar>
          </w:tcPr>
          <w:p w14:paraId="23B0E171"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53C56E96"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621F7000" w14:textId="77777777" w:rsidR="008D6DF1" w:rsidRPr="008D6DF1" w:rsidRDefault="008D6DF1" w:rsidP="00317169">
            <w:pPr>
              <w:pStyle w:val="BNormal"/>
            </w:pPr>
          </w:p>
          <w:p w14:paraId="2C1B78DA" w14:textId="77777777" w:rsidR="008D6DF1" w:rsidRPr="008D6DF1" w:rsidRDefault="00AE6E1D" w:rsidP="00317169">
            <w:pPr>
              <w:pStyle w:val="BNormal"/>
            </w:pPr>
            <w:r w:rsidRPr="008D6DF1">
              <w:t>X</w:t>
            </w:r>
          </w:p>
          <w:p w14:paraId="52D989FE" w14:textId="6B18A915"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7E8FB614" w14:textId="77777777" w:rsidR="00AE6E1D" w:rsidRPr="008D6DF1" w:rsidRDefault="00AE6E1D" w:rsidP="00317169">
            <w:pPr>
              <w:pStyle w:val="BNormal"/>
            </w:pPr>
          </w:p>
        </w:tc>
        <w:tc>
          <w:tcPr>
            <w:tcW w:w="1080" w:type="dxa"/>
            <w:tcBorders>
              <w:top w:val="nil"/>
              <w:left w:val="nil"/>
              <w:bottom w:val="nil"/>
              <w:right w:val="nil"/>
            </w:tcBorders>
            <w:tcMar>
              <w:left w:w="0" w:type="dxa"/>
              <w:right w:w="0" w:type="dxa"/>
            </w:tcMar>
          </w:tcPr>
          <w:p w14:paraId="34F7FE2A" w14:textId="77777777" w:rsidR="008D6DF1" w:rsidRPr="008D6DF1" w:rsidRDefault="008D6DF1" w:rsidP="00317169">
            <w:pPr>
              <w:pStyle w:val="BNormal"/>
            </w:pPr>
          </w:p>
          <w:p w14:paraId="1024EB8E" w14:textId="7026B35D" w:rsidR="00AE6E1D" w:rsidRPr="008D6DF1" w:rsidRDefault="00AE6E1D" w:rsidP="00317169">
            <w:pPr>
              <w:pStyle w:val="BNormal"/>
            </w:pPr>
            <w:r w:rsidRPr="008D6DF1">
              <w:t>Oct</w:t>
            </w:r>
            <w:r w:rsidR="008D6DF1" w:rsidRPr="008D6DF1">
              <w:t>. 1</w:t>
            </w:r>
            <w:r w:rsidRPr="008D6DF1">
              <w:t>, 2001</w:t>
            </w:r>
          </w:p>
        </w:tc>
      </w:tr>
      <w:tr w:rsidR="00AE6E1D" w:rsidRPr="008D6DF1" w14:paraId="676FB56D" w14:textId="77777777" w:rsidTr="008D6DF1">
        <w:tc>
          <w:tcPr>
            <w:tcW w:w="1560" w:type="dxa"/>
            <w:tcBorders>
              <w:top w:val="nil"/>
              <w:left w:val="nil"/>
              <w:bottom w:val="nil"/>
              <w:right w:val="nil"/>
            </w:tcBorders>
            <w:tcMar>
              <w:left w:w="0" w:type="dxa"/>
              <w:right w:w="0" w:type="dxa"/>
            </w:tcMar>
          </w:tcPr>
          <w:p w14:paraId="43EB9795" w14:textId="77777777" w:rsidR="00AE6E1D" w:rsidRPr="008D6DF1" w:rsidRDefault="00AE6E1D" w:rsidP="00317169">
            <w:pPr>
              <w:pStyle w:val="BNormal"/>
            </w:pPr>
            <w:r w:rsidRPr="008D6DF1">
              <w:t>New Hampshire</w:t>
            </w:r>
          </w:p>
        </w:tc>
        <w:tc>
          <w:tcPr>
            <w:tcW w:w="1920" w:type="dxa"/>
            <w:tcBorders>
              <w:top w:val="nil"/>
              <w:left w:val="nil"/>
              <w:bottom w:val="nil"/>
              <w:right w:val="nil"/>
            </w:tcBorders>
            <w:tcMar>
              <w:left w:w="0" w:type="dxa"/>
              <w:right w:w="0" w:type="dxa"/>
            </w:tcMar>
          </w:tcPr>
          <w:p w14:paraId="777792FC" w14:textId="7742EC4A" w:rsidR="008D6DF1" w:rsidRPr="008D6DF1" w:rsidRDefault="008D6DF1" w:rsidP="00317169">
            <w:pPr>
              <w:pStyle w:val="BNormal"/>
            </w:pPr>
            <w:r w:rsidRPr="008D6DF1">
              <w:rPr>
                <w:smallCaps/>
              </w:rPr>
              <w:t>N.H. Rev. Stat. Ann</w:t>
            </w:r>
            <w:r w:rsidR="00AE6E1D" w:rsidRPr="008D6DF1">
              <w:t>.</w:t>
            </w:r>
          </w:p>
          <w:p w14:paraId="4022FD6E" w14:textId="28DE693A" w:rsidR="00AE6E1D" w:rsidRPr="008D6DF1" w:rsidRDefault="00AE6E1D" w:rsidP="00317169">
            <w:pPr>
              <w:pStyle w:val="BNormal"/>
            </w:pPr>
            <w:r w:rsidRPr="008D6DF1">
              <w:t>§350-A:12</w:t>
            </w:r>
          </w:p>
        </w:tc>
        <w:tc>
          <w:tcPr>
            <w:tcW w:w="600" w:type="dxa"/>
            <w:tcBorders>
              <w:top w:val="nil"/>
              <w:left w:val="nil"/>
              <w:bottom w:val="nil"/>
              <w:right w:val="nil"/>
            </w:tcBorders>
            <w:tcMar>
              <w:left w:w="0" w:type="dxa"/>
              <w:right w:w="0" w:type="dxa"/>
            </w:tcMar>
          </w:tcPr>
          <w:p w14:paraId="196137AF" w14:textId="77777777" w:rsidR="00AE6E1D" w:rsidRPr="008D6DF1" w:rsidRDefault="00AE6E1D" w:rsidP="00317169">
            <w:pPr>
              <w:pStyle w:val="BNormal"/>
            </w:pPr>
            <w:r w:rsidRPr="008D6DF1">
              <w:t>X</w:t>
            </w:r>
          </w:p>
        </w:tc>
        <w:tc>
          <w:tcPr>
            <w:tcW w:w="600" w:type="dxa"/>
            <w:tcBorders>
              <w:top w:val="nil"/>
              <w:left w:val="nil"/>
              <w:bottom w:val="nil"/>
              <w:right w:val="nil"/>
            </w:tcBorders>
            <w:tcMar>
              <w:left w:w="0" w:type="dxa"/>
              <w:right w:w="0" w:type="dxa"/>
            </w:tcMar>
          </w:tcPr>
          <w:p w14:paraId="41A1FC6E"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7E5DE937"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73C8DA57" w14:textId="77777777" w:rsidR="00AE6E1D" w:rsidRPr="008D6DF1" w:rsidRDefault="00AE6E1D" w:rsidP="00317169">
            <w:pPr>
              <w:pStyle w:val="BNormal"/>
            </w:pPr>
          </w:p>
        </w:tc>
        <w:tc>
          <w:tcPr>
            <w:tcW w:w="1080" w:type="dxa"/>
            <w:tcBorders>
              <w:top w:val="nil"/>
              <w:left w:val="nil"/>
              <w:bottom w:val="nil"/>
              <w:right w:val="nil"/>
            </w:tcBorders>
            <w:tcMar>
              <w:left w:w="0" w:type="dxa"/>
              <w:right w:w="0" w:type="dxa"/>
            </w:tcMar>
          </w:tcPr>
          <w:p w14:paraId="05580606" w14:textId="78158385" w:rsidR="008D6DF1" w:rsidRPr="008D6DF1" w:rsidRDefault="00AE6E1D" w:rsidP="00317169">
            <w:pPr>
              <w:pStyle w:val="BNormal"/>
            </w:pPr>
            <w:r w:rsidRPr="008D6DF1">
              <w:t>Sept</w:t>
            </w:r>
            <w:r w:rsidR="008D6DF1" w:rsidRPr="008D6DF1">
              <w:t>. 1</w:t>
            </w:r>
            <w:r w:rsidRPr="008D6DF1">
              <w:t>, 1969</w:t>
            </w:r>
          </w:p>
          <w:p w14:paraId="24E7B0A0" w14:textId="414EC13D" w:rsidR="00AE6E1D" w:rsidRPr="008D6DF1" w:rsidRDefault="00AE6E1D" w:rsidP="00317169">
            <w:pPr>
              <w:pStyle w:val="BNormal"/>
            </w:pPr>
          </w:p>
        </w:tc>
      </w:tr>
      <w:tr w:rsidR="00AE6E1D" w:rsidRPr="008D6DF1" w14:paraId="5C264622" w14:textId="77777777" w:rsidTr="008D6DF1">
        <w:tc>
          <w:tcPr>
            <w:tcW w:w="1560" w:type="dxa"/>
            <w:tcBorders>
              <w:top w:val="nil"/>
              <w:left w:val="nil"/>
              <w:bottom w:val="nil"/>
              <w:right w:val="nil"/>
            </w:tcBorders>
            <w:tcMar>
              <w:left w:w="0" w:type="dxa"/>
              <w:right w:w="0" w:type="dxa"/>
            </w:tcMar>
          </w:tcPr>
          <w:p w14:paraId="4390057E" w14:textId="77777777" w:rsidR="00AE6E1D" w:rsidRPr="008D6DF1" w:rsidRDefault="00AE6E1D" w:rsidP="00317169">
            <w:pPr>
              <w:pStyle w:val="BNormal"/>
            </w:pPr>
            <w:r w:rsidRPr="008D6DF1">
              <w:lastRenderedPageBreak/>
              <w:t>New Jersey</w:t>
            </w:r>
          </w:p>
        </w:tc>
        <w:tc>
          <w:tcPr>
            <w:tcW w:w="1920" w:type="dxa"/>
            <w:tcBorders>
              <w:top w:val="nil"/>
              <w:left w:val="nil"/>
              <w:bottom w:val="nil"/>
              <w:right w:val="nil"/>
            </w:tcBorders>
            <w:tcMar>
              <w:left w:w="0" w:type="dxa"/>
              <w:right w:w="0" w:type="dxa"/>
            </w:tcMar>
          </w:tcPr>
          <w:p w14:paraId="1BECEE7E" w14:textId="5D6FCC91" w:rsidR="008D6DF1" w:rsidRPr="008D6DF1" w:rsidRDefault="008D6DF1" w:rsidP="00317169">
            <w:pPr>
              <w:pStyle w:val="BNormal"/>
            </w:pPr>
            <w:r w:rsidRPr="008D6DF1">
              <w:rPr>
                <w:smallCaps/>
              </w:rPr>
              <w:t>N.J. Stat. Ann</w:t>
            </w:r>
            <w:r w:rsidR="00AE6E1D" w:rsidRPr="008D6DF1">
              <w:t>.</w:t>
            </w:r>
          </w:p>
          <w:p w14:paraId="1033CA62" w14:textId="77777777" w:rsidR="008D6DF1" w:rsidRPr="008D6DF1" w:rsidRDefault="00AE6E1D" w:rsidP="00317169">
            <w:pPr>
              <w:pStyle w:val="BNormal"/>
            </w:pPr>
            <w:r w:rsidRPr="008D6DF1">
              <w:t>§§56:3-13-1a,</w:t>
            </w:r>
          </w:p>
          <w:p w14:paraId="072F8606" w14:textId="6B8609D3" w:rsidR="00AE6E1D" w:rsidRPr="008D6DF1" w:rsidRDefault="00AE6E1D" w:rsidP="00317169">
            <w:pPr>
              <w:pStyle w:val="BNormal"/>
            </w:pPr>
            <w:r w:rsidRPr="008D6DF1">
              <w:t>56:3-13.20</w:t>
            </w:r>
          </w:p>
        </w:tc>
        <w:tc>
          <w:tcPr>
            <w:tcW w:w="600" w:type="dxa"/>
            <w:tcBorders>
              <w:top w:val="nil"/>
              <w:left w:val="nil"/>
              <w:bottom w:val="nil"/>
              <w:right w:val="nil"/>
            </w:tcBorders>
            <w:tcMar>
              <w:left w:w="0" w:type="dxa"/>
              <w:right w:w="0" w:type="dxa"/>
            </w:tcMar>
          </w:tcPr>
          <w:p w14:paraId="45354016"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26E876C4" w14:textId="77777777" w:rsidR="00AE6E1D" w:rsidRPr="008D6DF1" w:rsidRDefault="00AE6E1D" w:rsidP="00317169">
            <w:pPr>
              <w:pStyle w:val="BNormal"/>
            </w:pPr>
            <w:r w:rsidRPr="008D6DF1">
              <w:t>X</w:t>
            </w:r>
          </w:p>
        </w:tc>
        <w:tc>
          <w:tcPr>
            <w:tcW w:w="600" w:type="dxa"/>
            <w:tcBorders>
              <w:top w:val="nil"/>
              <w:left w:val="nil"/>
              <w:bottom w:val="nil"/>
              <w:right w:val="nil"/>
            </w:tcBorders>
            <w:tcMar>
              <w:left w:w="0" w:type="dxa"/>
              <w:right w:w="0" w:type="dxa"/>
            </w:tcMar>
          </w:tcPr>
          <w:p w14:paraId="3F2110D3"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728F3D66" w14:textId="77777777" w:rsidR="00AE6E1D" w:rsidRPr="008D6DF1" w:rsidRDefault="00AE6E1D" w:rsidP="00317169">
            <w:pPr>
              <w:pStyle w:val="BNormal"/>
            </w:pPr>
          </w:p>
        </w:tc>
        <w:tc>
          <w:tcPr>
            <w:tcW w:w="1080" w:type="dxa"/>
            <w:tcBorders>
              <w:top w:val="nil"/>
              <w:left w:val="nil"/>
              <w:bottom w:val="nil"/>
              <w:right w:val="nil"/>
            </w:tcBorders>
            <w:tcMar>
              <w:left w:w="0" w:type="dxa"/>
              <w:right w:w="0" w:type="dxa"/>
            </w:tcMar>
          </w:tcPr>
          <w:p w14:paraId="7C336E95" w14:textId="15A4B9AE" w:rsidR="00AE6E1D" w:rsidRPr="008D6DF1" w:rsidRDefault="00AE6E1D" w:rsidP="00317169">
            <w:pPr>
              <w:pStyle w:val="BNormal"/>
            </w:pPr>
            <w:r w:rsidRPr="008D6DF1">
              <w:t>Jan</w:t>
            </w:r>
            <w:r w:rsidR="008D6DF1" w:rsidRPr="008D6DF1">
              <w:t>. 5</w:t>
            </w:r>
            <w:r w:rsidRPr="008D6DF1">
              <w:t>, 1996</w:t>
            </w:r>
          </w:p>
        </w:tc>
      </w:tr>
      <w:tr w:rsidR="00AE6E1D" w:rsidRPr="008D6DF1" w14:paraId="0E419556" w14:textId="77777777" w:rsidTr="008D6DF1">
        <w:tc>
          <w:tcPr>
            <w:tcW w:w="1560" w:type="dxa"/>
            <w:tcBorders>
              <w:top w:val="nil"/>
              <w:left w:val="nil"/>
              <w:bottom w:val="nil"/>
              <w:right w:val="nil"/>
            </w:tcBorders>
            <w:tcMar>
              <w:left w:w="0" w:type="dxa"/>
              <w:right w:w="0" w:type="dxa"/>
            </w:tcMar>
          </w:tcPr>
          <w:p w14:paraId="2DE7C647" w14:textId="77777777" w:rsidR="008D6DF1" w:rsidRPr="008D6DF1" w:rsidRDefault="008D6DF1" w:rsidP="00317169">
            <w:pPr>
              <w:pStyle w:val="BNormal"/>
            </w:pPr>
          </w:p>
          <w:p w14:paraId="73CC609A" w14:textId="77777777" w:rsidR="00AE6E1D" w:rsidRPr="008D6DF1" w:rsidRDefault="00AE6E1D" w:rsidP="00317169">
            <w:pPr>
              <w:pStyle w:val="BNormal"/>
            </w:pPr>
            <w:r w:rsidRPr="008D6DF1">
              <w:t>New Mexico</w:t>
            </w:r>
          </w:p>
        </w:tc>
        <w:tc>
          <w:tcPr>
            <w:tcW w:w="1920" w:type="dxa"/>
            <w:tcBorders>
              <w:top w:val="nil"/>
              <w:left w:val="nil"/>
              <w:bottom w:val="nil"/>
              <w:right w:val="nil"/>
            </w:tcBorders>
            <w:tcMar>
              <w:left w:w="0" w:type="dxa"/>
              <w:right w:w="0" w:type="dxa"/>
            </w:tcMar>
          </w:tcPr>
          <w:p w14:paraId="2FAE5FDF" w14:textId="77777777" w:rsidR="008D6DF1" w:rsidRPr="008D6DF1" w:rsidRDefault="008D6DF1" w:rsidP="00317169">
            <w:pPr>
              <w:pStyle w:val="BNormal"/>
            </w:pPr>
          </w:p>
          <w:p w14:paraId="61ECB83C" w14:textId="2507AFEB" w:rsidR="008D6DF1" w:rsidRPr="008D6DF1" w:rsidRDefault="008D6DF1" w:rsidP="00317169">
            <w:pPr>
              <w:pStyle w:val="BNormal"/>
            </w:pPr>
            <w:r w:rsidRPr="008D6DF1">
              <w:rPr>
                <w:smallCaps/>
              </w:rPr>
              <w:t>N.M. Stat. Ann.</w:t>
            </w:r>
          </w:p>
          <w:p w14:paraId="40BC64B5" w14:textId="4FA0ABD4" w:rsidR="00AE6E1D" w:rsidRPr="008D6DF1" w:rsidRDefault="00AE6E1D" w:rsidP="00317169">
            <w:pPr>
              <w:pStyle w:val="BNormal"/>
            </w:pPr>
            <w:r w:rsidRPr="008D6DF1">
              <w:t>§§57-3B-3, 57-3B-15</w:t>
            </w:r>
          </w:p>
        </w:tc>
        <w:tc>
          <w:tcPr>
            <w:tcW w:w="600" w:type="dxa"/>
            <w:tcBorders>
              <w:top w:val="nil"/>
              <w:left w:val="nil"/>
              <w:bottom w:val="nil"/>
              <w:right w:val="nil"/>
            </w:tcBorders>
            <w:tcMar>
              <w:left w:w="0" w:type="dxa"/>
              <w:right w:w="0" w:type="dxa"/>
            </w:tcMar>
          </w:tcPr>
          <w:p w14:paraId="5164B5EE" w14:textId="77777777" w:rsidR="008D6DF1" w:rsidRPr="008D6DF1" w:rsidRDefault="008D6DF1" w:rsidP="00317169">
            <w:pPr>
              <w:pStyle w:val="BNormal"/>
            </w:pPr>
          </w:p>
          <w:p w14:paraId="6C4115B2" w14:textId="77777777" w:rsidR="00AE6E1D" w:rsidRPr="008D6DF1" w:rsidRDefault="00AE6E1D" w:rsidP="00317169">
            <w:pPr>
              <w:pStyle w:val="BNormal"/>
            </w:pPr>
            <w:r w:rsidRPr="008D6DF1">
              <w:t>**</w:t>
            </w:r>
          </w:p>
        </w:tc>
        <w:tc>
          <w:tcPr>
            <w:tcW w:w="600" w:type="dxa"/>
            <w:tcBorders>
              <w:top w:val="nil"/>
              <w:left w:val="nil"/>
              <w:bottom w:val="nil"/>
              <w:right w:val="nil"/>
            </w:tcBorders>
            <w:tcMar>
              <w:left w:w="0" w:type="dxa"/>
              <w:right w:w="0" w:type="dxa"/>
            </w:tcMar>
          </w:tcPr>
          <w:p w14:paraId="1FA44707" w14:textId="77777777" w:rsidR="008D6DF1" w:rsidRPr="008D6DF1" w:rsidRDefault="008D6DF1" w:rsidP="00317169">
            <w:pPr>
              <w:pStyle w:val="BNormal"/>
            </w:pPr>
          </w:p>
          <w:p w14:paraId="0F337802" w14:textId="77777777" w:rsidR="00AE6E1D" w:rsidRPr="008D6DF1" w:rsidRDefault="00AE6E1D" w:rsidP="00317169">
            <w:pPr>
              <w:pStyle w:val="BNormal"/>
            </w:pPr>
            <w:r w:rsidRPr="008D6DF1">
              <w:t>X</w:t>
            </w:r>
          </w:p>
        </w:tc>
        <w:tc>
          <w:tcPr>
            <w:tcW w:w="600" w:type="dxa"/>
            <w:tcBorders>
              <w:top w:val="nil"/>
              <w:left w:val="nil"/>
              <w:bottom w:val="nil"/>
              <w:right w:val="nil"/>
            </w:tcBorders>
            <w:tcMar>
              <w:left w:w="0" w:type="dxa"/>
              <w:right w:w="0" w:type="dxa"/>
            </w:tcMar>
          </w:tcPr>
          <w:p w14:paraId="448F9462"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533C3B28" w14:textId="77777777" w:rsidR="00AE6E1D" w:rsidRPr="008D6DF1" w:rsidRDefault="00AE6E1D" w:rsidP="00317169">
            <w:pPr>
              <w:pStyle w:val="BNormal"/>
            </w:pPr>
          </w:p>
        </w:tc>
        <w:tc>
          <w:tcPr>
            <w:tcW w:w="1080" w:type="dxa"/>
            <w:tcBorders>
              <w:top w:val="nil"/>
              <w:left w:val="nil"/>
              <w:bottom w:val="nil"/>
              <w:right w:val="nil"/>
            </w:tcBorders>
            <w:tcMar>
              <w:left w:w="0" w:type="dxa"/>
              <w:right w:w="0" w:type="dxa"/>
            </w:tcMar>
          </w:tcPr>
          <w:p w14:paraId="7C4589AB" w14:textId="77777777" w:rsidR="008D6DF1" w:rsidRPr="008D6DF1" w:rsidRDefault="008D6DF1" w:rsidP="00317169">
            <w:pPr>
              <w:pStyle w:val="BNormal"/>
            </w:pPr>
          </w:p>
          <w:p w14:paraId="168BDA47" w14:textId="77777777" w:rsidR="00AE6E1D" w:rsidRPr="008D6DF1" w:rsidRDefault="00AE6E1D" w:rsidP="00317169">
            <w:pPr>
              <w:pStyle w:val="BNormal"/>
            </w:pPr>
            <w:r w:rsidRPr="008D6DF1">
              <w:t>1997</w:t>
            </w:r>
          </w:p>
        </w:tc>
      </w:tr>
      <w:tr w:rsidR="00AE6E1D" w:rsidRPr="008D6DF1" w14:paraId="35F79E06" w14:textId="77777777" w:rsidTr="008D6DF1">
        <w:tc>
          <w:tcPr>
            <w:tcW w:w="1560" w:type="dxa"/>
            <w:tcBorders>
              <w:top w:val="nil"/>
              <w:left w:val="nil"/>
              <w:bottom w:val="nil"/>
              <w:right w:val="nil"/>
            </w:tcBorders>
            <w:tcMar>
              <w:left w:w="0" w:type="dxa"/>
              <w:right w:w="0" w:type="dxa"/>
            </w:tcMar>
          </w:tcPr>
          <w:p w14:paraId="12BF52D2" w14:textId="77777777" w:rsidR="008D6DF1" w:rsidRPr="008D6DF1" w:rsidRDefault="008D6DF1" w:rsidP="00317169">
            <w:pPr>
              <w:pStyle w:val="BNormal"/>
            </w:pPr>
          </w:p>
          <w:p w14:paraId="0764DD73" w14:textId="77777777" w:rsidR="00AE6E1D" w:rsidRPr="008D6DF1" w:rsidRDefault="00AE6E1D" w:rsidP="00317169">
            <w:pPr>
              <w:pStyle w:val="BNormal"/>
            </w:pPr>
            <w:r w:rsidRPr="008D6DF1">
              <w:t>New York</w:t>
            </w:r>
          </w:p>
        </w:tc>
        <w:tc>
          <w:tcPr>
            <w:tcW w:w="1920" w:type="dxa"/>
            <w:tcBorders>
              <w:top w:val="nil"/>
              <w:left w:val="nil"/>
              <w:bottom w:val="nil"/>
              <w:right w:val="nil"/>
            </w:tcBorders>
            <w:tcMar>
              <w:left w:w="0" w:type="dxa"/>
              <w:right w:w="0" w:type="dxa"/>
            </w:tcMar>
          </w:tcPr>
          <w:p w14:paraId="50D8F2C4" w14:textId="77777777" w:rsidR="008D6DF1" w:rsidRPr="008D6DF1" w:rsidRDefault="008D6DF1" w:rsidP="00317169">
            <w:pPr>
              <w:pStyle w:val="BNormal"/>
            </w:pPr>
          </w:p>
          <w:p w14:paraId="73DAAC23" w14:textId="32F48AA9" w:rsidR="008D6DF1" w:rsidRPr="008D6DF1" w:rsidRDefault="008D6DF1" w:rsidP="00317169">
            <w:pPr>
              <w:pStyle w:val="BNormal"/>
            </w:pPr>
            <w:r w:rsidRPr="008D6DF1">
              <w:rPr>
                <w:smallCaps/>
              </w:rPr>
              <w:t>N.Y. Gen. Bus. Law</w:t>
            </w:r>
          </w:p>
          <w:p w14:paraId="35BDB2DF" w14:textId="195B3962" w:rsidR="008D6DF1" w:rsidRPr="008D6DF1" w:rsidRDefault="00AE6E1D" w:rsidP="00317169">
            <w:pPr>
              <w:pStyle w:val="BNormal"/>
            </w:pPr>
            <w:r w:rsidRPr="008D6DF1">
              <w:t>§360-</w:t>
            </w:r>
            <w:r w:rsidR="008D6DF1" w:rsidRPr="008D6DF1">
              <w:t xml:space="preserve">l </w:t>
            </w:r>
            <w:r w:rsidRPr="008D6DF1">
              <w:t>(formerly</w:t>
            </w:r>
          </w:p>
          <w:p w14:paraId="10579571" w14:textId="7554152F" w:rsidR="00AE6E1D" w:rsidRPr="008D6DF1" w:rsidRDefault="00AE6E1D" w:rsidP="00317169">
            <w:pPr>
              <w:pStyle w:val="BNormal"/>
            </w:pPr>
            <w:r w:rsidRPr="008D6DF1">
              <w:t>§368-d)</w:t>
            </w:r>
          </w:p>
        </w:tc>
        <w:tc>
          <w:tcPr>
            <w:tcW w:w="600" w:type="dxa"/>
            <w:tcBorders>
              <w:top w:val="nil"/>
              <w:left w:val="nil"/>
              <w:bottom w:val="nil"/>
              <w:right w:val="nil"/>
            </w:tcBorders>
            <w:tcMar>
              <w:left w:w="0" w:type="dxa"/>
              <w:right w:w="0" w:type="dxa"/>
            </w:tcMar>
          </w:tcPr>
          <w:p w14:paraId="09F0F734" w14:textId="77777777" w:rsidR="008D6DF1" w:rsidRPr="008D6DF1" w:rsidRDefault="008D6DF1" w:rsidP="00317169">
            <w:pPr>
              <w:pStyle w:val="BNormal"/>
            </w:pPr>
          </w:p>
          <w:p w14:paraId="04A758DB" w14:textId="77777777" w:rsidR="00AE6E1D" w:rsidRPr="008D6DF1" w:rsidRDefault="00AE6E1D" w:rsidP="00317169">
            <w:pPr>
              <w:pStyle w:val="BNormal"/>
            </w:pPr>
            <w:r w:rsidRPr="008D6DF1">
              <w:t>X</w:t>
            </w:r>
          </w:p>
        </w:tc>
        <w:tc>
          <w:tcPr>
            <w:tcW w:w="600" w:type="dxa"/>
            <w:tcBorders>
              <w:top w:val="nil"/>
              <w:left w:val="nil"/>
              <w:bottom w:val="nil"/>
              <w:right w:val="nil"/>
            </w:tcBorders>
            <w:tcMar>
              <w:left w:w="0" w:type="dxa"/>
              <w:right w:w="0" w:type="dxa"/>
            </w:tcMar>
          </w:tcPr>
          <w:p w14:paraId="23087BB0"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177DD646"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5191EBE8" w14:textId="77777777" w:rsidR="00AE6E1D" w:rsidRPr="008D6DF1" w:rsidRDefault="00AE6E1D" w:rsidP="00317169">
            <w:pPr>
              <w:pStyle w:val="BNormal"/>
            </w:pPr>
          </w:p>
        </w:tc>
        <w:tc>
          <w:tcPr>
            <w:tcW w:w="1080" w:type="dxa"/>
            <w:tcBorders>
              <w:top w:val="nil"/>
              <w:left w:val="nil"/>
              <w:bottom w:val="nil"/>
              <w:right w:val="nil"/>
            </w:tcBorders>
            <w:tcMar>
              <w:left w:w="0" w:type="dxa"/>
              <w:right w:w="0" w:type="dxa"/>
            </w:tcMar>
          </w:tcPr>
          <w:p w14:paraId="7C484234" w14:textId="77777777" w:rsidR="008D6DF1" w:rsidRPr="008D6DF1" w:rsidRDefault="008D6DF1" w:rsidP="00317169">
            <w:pPr>
              <w:pStyle w:val="BNormal"/>
            </w:pPr>
          </w:p>
          <w:p w14:paraId="2AE1DD68" w14:textId="7FDCF5C6" w:rsidR="00AE6E1D" w:rsidRPr="008D6DF1" w:rsidRDefault="00AE6E1D" w:rsidP="00317169">
            <w:pPr>
              <w:pStyle w:val="BNormal"/>
            </w:pPr>
            <w:r w:rsidRPr="008D6DF1">
              <w:t>1955 (repealed and recodified eff</w:t>
            </w:r>
            <w:r w:rsidR="008D6DF1" w:rsidRPr="008D6DF1">
              <w:t>. J</w:t>
            </w:r>
            <w:r w:rsidRPr="008D6DF1">
              <w:t>an</w:t>
            </w:r>
            <w:r w:rsidR="008D6DF1" w:rsidRPr="008D6DF1">
              <w:t>. 1</w:t>
            </w:r>
            <w:r w:rsidRPr="008D6DF1">
              <w:t>, 1997)</w:t>
            </w:r>
          </w:p>
        </w:tc>
      </w:tr>
      <w:tr w:rsidR="00AE6E1D" w:rsidRPr="008D6DF1" w14:paraId="0D1173CB" w14:textId="77777777" w:rsidTr="008D6DF1">
        <w:tc>
          <w:tcPr>
            <w:tcW w:w="1560" w:type="dxa"/>
            <w:tcBorders>
              <w:top w:val="nil"/>
              <w:left w:val="nil"/>
              <w:bottom w:val="nil"/>
              <w:right w:val="nil"/>
            </w:tcBorders>
            <w:tcMar>
              <w:left w:w="0" w:type="dxa"/>
              <w:right w:w="0" w:type="dxa"/>
            </w:tcMar>
          </w:tcPr>
          <w:p w14:paraId="7B20CD8E" w14:textId="77777777" w:rsidR="008D6DF1" w:rsidRPr="008D6DF1" w:rsidRDefault="008D6DF1" w:rsidP="00317169">
            <w:pPr>
              <w:pStyle w:val="BNormal"/>
            </w:pPr>
          </w:p>
          <w:p w14:paraId="069E0D88" w14:textId="77777777" w:rsidR="00AE6E1D" w:rsidRPr="008D6DF1" w:rsidRDefault="00AE6E1D" w:rsidP="00317169">
            <w:pPr>
              <w:pStyle w:val="BNormal"/>
            </w:pPr>
            <w:r w:rsidRPr="008D6DF1">
              <w:t>Oregon</w:t>
            </w:r>
          </w:p>
        </w:tc>
        <w:tc>
          <w:tcPr>
            <w:tcW w:w="1920" w:type="dxa"/>
            <w:tcBorders>
              <w:top w:val="nil"/>
              <w:left w:val="nil"/>
              <w:bottom w:val="nil"/>
              <w:right w:val="nil"/>
            </w:tcBorders>
            <w:tcMar>
              <w:left w:w="0" w:type="dxa"/>
              <w:right w:w="0" w:type="dxa"/>
            </w:tcMar>
          </w:tcPr>
          <w:p w14:paraId="347ACCC7" w14:textId="77777777" w:rsidR="008D6DF1" w:rsidRPr="008D6DF1" w:rsidRDefault="008D6DF1" w:rsidP="00317169">
            <w:pPr>
              <w:pStyle w:val="BNormal"/>
            </w:pPr>
          </w:p>
          <w:p w14:paraId="75351940" w14:textId="6A784963" w:rsidR="00AE6E1D" w:rsidRPr="008D6DF1" w:rsidRDefault="008D6DF1" w:rsidP="00317169">
            <w:pPr>
              <w:pStyle w:val="BNormal"/>
            </w:pPr>
            <w:r w:rsidRPr="008D6DF1">
              <w:rPr>
                <w:smallCaps/>
              </w:rPr>
              <w:t xml:space="preserve">Or. Rev. Stat. </w:t>
            </w:r>
            <w:r w:rsidRPr="008D6DF1">
              <w:t>§</w:t>
            </w:r>
            <w:r w:rsidR="00AE6E1D" w:rsidRPr="008D6DF1">
              <w:t>§647.005(2), 647.107</w:t>
            </w:r>
          </w:p>
        </w:tc>
        <w:tc>
          <w:tcPr>
            <w:tcW w:w="600" w:type="dxa"/>
            <w:tcBorders>
              <w:top w:val="nil"/>
              <w:left w:val="nil"/>
              <w:bottom w:val="nil"/>
              <w:right w:val="nil"/>
            </w:tcBorders>
            <w:tcMar>
              <w:left w:w="0" w:type="dxa"/>
              <w:right w:w="0" w:type="dxa"/>
            </w:tcMar>
          </w:tcPr>
          <w:p w14:paraId="660EC26F" w14:textId="77777777" w:rsidR="008D6DF1" w:rsidRPr="008D6DF1" w:rsidRDefault="008D6DF1" w:rsidP="00317169">
            <w:pPr>
              <w:pStyle w:val="BNormal"/>
            </w:pPr>
          </w:p>
          <w:p w14:paraId="2E78292A" w14:textId="77777777" w:rsidR="00AE6E1D" w:rsidRPr="008D6DF1" w:rsidRDefault="00AE6E1D" w:rsidP="00317169">
            <w:pPr>
              <w:pStyle w:val="BNormal"/>
            </w:pPr>
            <w:r w:rsidRPr="008D6DF1">
              <w:t>**</w:t>
            </w:r>
          </w:p>
        </w:tc>
        <w:tc>
          <w:tcPr>
            <w:tcW w:w="600" w:type="dxa"/>
            <w:tcBorders>
              <w:top w:val="nil"/>
              <w:left w:val="nil"/>
              <w:bottom w:val="nil"/>
              <w:right w:val="nil"/>
            </w:tcBorders>
            <w:tcMar>
              <w:left w:w="0" w:type="dxa"/>
              <w:right w:w="0" w:type="dxa"/>
            </w:tcMar>
          </w:tcPr>
          <w:p w14:paraId="52CFFA23"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0FBBEE4E"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5F461BDA" w14:textId="77777777" w:rsidR="008D6DF1" w:rsidRPr="008D6DF1" w:rsidRDefault="008D6DF1" w:rsidP="00317169">
            <w:pPr>
              <w:pStyle w:val="BNormal"/>
            </w:pPr>
          </w:p>
          <w:p w14:paraId="3C3D3AE6" w14:textId="77777777" w:rsidR="00AE6E1D" w:rsidRPr="008D6DF1" w:rsidRDefault="00AE6E1D" w:rsidP="00317169">
            <w:pPr>
              <w:pStyle w:val="BNormal"/>
            </w:pPr>
            <w:r w:rsidRPr="008D6DF1">
              <w:t>X</w:t>
            </w:r>
          </w:p>
        </w:tc>
        <w:tc>
          <w:tcPr>
            <w:tcW w:w="1080" w:type="dxa"/>
            <w:tcBorders>
              <w:top w:val="nil"/>
              <w:left w:val="nil"/>
              <w:bottom w:val="nil"/>
              <w:right w:val="nil"/>
            </w:tcBorders>
            <w:tcMar>
              <w:left w:w="0" w:type="dxa"/>
              <w:right w:w="0" w:type="dxa"/>
            </w:tcMar>
          </w:tcPr>
          <w:p w14:paraId="1FA759E2" w14:textId="77777777" w:rsidR="008D6DF1" w:rsidRPr="008D6DF1" w:rsidRDefault="008D6DF1" w:rsidP="00317169">
            <w:pPr>
              <w:pStyle w:val="BNormal"/>
            </w:pPr>
          </w:p>
          <w:p w14:paraId="4847FF14" w14:textId="623AF24B" w:rsidR="00AE6E1D" w:rsidRPr="008D6DF1" w:rsidRDefault="00AE6E1D" w:rsidP="00317169">
            <w:pPr>
              <w:pStyle w:val="BNormal"/>
            </w:pPr>
            <w:r w:rsidRPr="008D6DF1">
              <w:t>Jan</w:t>
            </w:r>
            <w:r w:rsidR="008D6DF1" w:rsidRPr="008D6DF1">
              <w:t>. 1</w:t>
            </w:r>
            <w:r w:rsidRPr="008D6DF1">
              <w:t>, 2010</w:t>
            </w:r>
          </w:p>
        </w:tc>
      </w:tr>
      <w:tr w:rsidR="00AE6E1D" w:rsidRPr="008D6DF1" w14:paraId="5919AC9F" w14:textId="77777777" w:rsidTr="008D6DF1">
        <w:tc>
          <w:tcPr>
            <w:tcW w:w="1560" w:type="dxa"/>
            <w:tcBorders>
              <w:top w:val="nil"/>
              <w:left w:val="nil"/>
              <w:bottom w:val="nil"/>
              <w:right w:val="nil"/>
            </w:tcBorders>
            <w:tcMar>
              <w:left w:w="0" w:type="dxa"/>
              <w:right w:w="0" w:type="dxa"/>
            </w:tcMar>
          </w:tcPr>
          <w:p w14:paraId="722FE4DA" w14:textId="77777777" w:rsidR="008D6DF1" w:rsidRPr="008D6DF1" w:rsidRDefault="008D6DF1" w:rsidP="00317169">
            <w:pPr>
              <w:pStyle w:val="BNormal"/>
            </w:pPr>
          </w:p>
          <w:p w14:paraId="4FCC0335" w14:textId="77777777" w:rsidR="00AE6E1D" w:rsidRPr="008D6DF1" w:rsidRDefault="00AE6E1D" w:rsidP="00317169">
            <w:pPr>
              <w:pStyle w:val="BNormal"/>
            </w:pPr>
            <w:r w:rsidRPr="008D6DF1">
              <w:t>Pennsylvania</w:t>
            </w:r>
          </w:p>
        </w:tc>
        <w:tc>
          <w:tcPr>
            <w:tcW w:w="1920" w:type="dxa"/>
            <w:tcBorders>
              <w:top w:val="nil"/>
              <w:left w:val="nil"/>
              <w:bottom w:val="nil"/>
              <w:right w:val="nil"/>
            </w:tcBorders>
            <w:tcMar>
              <w:left w:w="0" w:type="dxa"/>
              <w:right w:w="0" w:type="dxa"/>
            </w:tcMar>
          </w:tcPr>
          <w:p w14:paraId="326B706A" w14:textId="77777777" w:rsidR="008D6DF1" w:rsidRPr="008D6DF1" w:rsidRDefault="008D6DF1" w:rsidP="00317169">
            <w:pPr>
              <w:pStyle w:val="BNormal"/>
            </w:pPr>
          </w:p>
          <w:p w14:paraId="2C042B4D" w14:textId="23A44C8F" w:rsidR="008D6DF1" w:rsidRPr="008D6DF1" w:rsidRDefault="00AE6E1D" w:rsidP="00317169">
            <w:pPr>
              <w:pStyle w:val="BNormal"/>
              <w:rPr>
                <w:smallCaps/>
              </w:rPr>
            </w:pPr>
            <w:r w:rsidRPr="008D6DF1">
              <w:t xml:space="preserve">54 </w:t>
            </w:r>
            <w:r w:rsidR="008D6DF1" w:rsidRPr="008D6DF1">
              <w:rPr>
                <w:smallCaps/>
              </w:rPr>
              <w:t>Pa. Cons. Stat.</w:t>
            </w:r>
          </w:p>
          <w:p w14:paraId="0DB1DB87" w14:textId="12132351" w:rsidR="00AE6E1D" w:rsidRPr="008D6DF1" w:rsidRDefault="008D6DF1" w:rsidP="00317169">
            <w:pPr>
              <w:pStyle w:val="BNormal"/>
            </w:pPr>
            <w:r w:rsidRPr="008D6DF1">
              <w:rPr>
                <w:smallCaps/>
              </w:rPr>
              <w:t xml:space="preserve">Ann. </w:t>
            </w:r>
            <w:r w:rsidRPr="008D6DF1">
              <w:t>§</w:t>
            </w:r>
            <w:r w:rsidR="00AE6E1D" w:rsidRPr="008D6DF1">
              <w:t>§1102, 1124</w:t>
            </w:r>
          </w:p>
        </w:tc>
        <w:tc>
          <w:tcPr>
            <w:tcW w:w="600" w:type="dxa"/>
            <w:tcBorders>
              <w:top w:val="nil"/>
              <w:left w:val="nil"/>
              <w:bottom w:val="nil"/>
              <w:right w:val="nil"/>
            </w:tcBorders>
            <w:tcMar>
              <w:left w:w="0" w:type="dxa"/>
              <w:right w:w="0" w:type="dxa"/>
            </w:tcMar>
          </w:tcPr>
          <w:p w14:paraId="718829ED" w14:textId="77777777" w:rsidR="008D6DF1" w:rsidRPr="008D6DF1" w:rsidRDefault="008D6DF1" w:rsidP="00317169">
            <w:pPr>
              <w:pStyle w:val="BNormal"/>
            </w:pPr>
          </w:p>
          <w:p w14:paraId="4DFE6624" w14:textId="77777777" w:rsidR="00AE6E1D" w:rsidRPr="008D6DF1" w:rsidRDefault="00AE6E1D" w:rsidP="00317169">
            <w:pPr>
              <w:pStyle w:val="BNormal"/>
            </w:pPr>
            <w:r w:rsidRPr="008D6DF1">
              <w:t>**</w:t>
            </w:r>
          </w:p>
        </w:tc>
        <w:tc>
          <w:tcPr>
            <w:tcW w:w="600" w:type="dxa"/>
            <w:tcBorders>
              <w:top w:val="nil"/>
              <w:left w:val="nil"/>
              <w:bottom w:val="nil"/>
              <w:right w:val="nil"/>
            </w:tcBorders>
            <w:tcMar>
              <w:left w:w="0" w:type="dxa"/>
              <w:right w:w="0" w:type="dxa"/>
            </w:tcMar>
          </w:tcPr>
          <w:p w14:paraId="33A164E5"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0FBD6961" w14:textId="77777777" w:rsidR="008D6DF1" w:rsidRPr="008D6DF1" w:rsidRDefault="008D6DF1" w:rsidP="00317169">
            <w:pPr>
              <w:pStyle w:val="BNormal"/>
            </w:pPr>
          </w:p>
          <w:p w14:paraId="479CCD66" w14:textId="77777777" w:rsidR="00AE6E1D" w:rsidRPr="008D6DF1" w:rsidRDefault="00AE6E1D" w:rsidP="00317169">
            <w:pPr>
              <w:pStyle w:val="BNormal"/>
            </w:pPr>
            <w:r w:rsidRPr="008D6DF1">
              <w:t>X</w:t>
            </w:r>
          </w:p>
        </w:tc>
        <w:tc>
          <w:tcPr>
            <w:tcW w:w="600" w:type="dxa"/>
            <w:tcBorders>
              <w:top w:val="nil"/>
              <w:left w:val="nil"/>
              <w:bottom w:val="nil"/>
              <w:right w:val="nil"/>
            </w:tcBorders>
            <w:tcMar>
              <w:left w:w="0" w:type="dxa"/>
              <w:right w:w="0" w:type="dxa"/>
            </w:tcMar>
          </w:tcPr>
          <w:p w14:paraId="65809513" w14:textId="77777777" w:rsidR="00AE6E1D" w:rsidRPr="008D6DF1" w:rsidRDefault="00AE6E1D" w:rsidP="00317169">
            <w:pPr>
              <w:pStyle w:val="BNormal"/>
            </w:pPr>
          </w:p>
        </w:tc>
        <w:tc>
          <w:tcPr>
            <w:tcW w:w="1080" w:type="dxa"/>
            <w:tcBorders>
              <w:top w:val="nil"/>
              <w:left w:val="nil"/>
              <w:bottom w:val="nil"/>
              <w:right w:val="nil"/>
            </w:tcBorders>
            <w:tcMar>
              <w:left w:w="0" w:type="dxa"/>
              <w:right w:w="0" w:type="dxa"/>
            </w:tcMar>
          </w:tcPr>
          <w:p w14:paraId="70806083" w14:textId="77777777" w:rsidR="008D6DF1" w:rsidRPr="008D6DF1" w:rsidRDefault="008D6DF1" w:rsidP="00317169">
            <w:pPr>
              <w:pStyle w:val="BNormal"/>
            </w:pPr>
          </w:p>
          <w:p w14:paraId="10BA60A1" w14:textId="31DB0F05" w:rsidR="00AE6E1D" w:rsidRPr="008D6DF1" w:rsidRDefault="00AE6E1D" w:rsidP="00317169">
            <w:pPr>
              <w:pStyle w:val="BNormal"/>
            </w:pPr>
            <w:r w:rsidRPr="008D6DF1">
              <w:t>Aug</w:t>
            </w:r>
            <w:r w:rsidR="008D6DF1" w:rsidRPr="008D6DF1">
              <w:t>. 1</w:t>
            </w:r>
            <w:r w:rsidRPr="008D6DF1">
              <w:t>998</w:t>
            </w:r>
          </w:p>
        </w:tc>
      </w:tr>
      <w:tr w:rsidR="00AE6E1D" w:rsidRPr="008D6DF1" w14:paraId="594739FF" w14:textId="77777777" w:rsidTr="008D6DF1">
        <w:tc>
          <w:tcPr>
            <w:tcW w:w="1560" w:type="dxa"/>
            <w:tcBorders>
              <w:top w:val="nil"/>
              <w:left w:val="nil"/>
              <w:bottom w:val="nil"/>
              <w:right w:val="nil"/>
            </w:tcBorders>
            <w:tcMar>
              <w:left w:w="0" w:type="dxa"/>
              <w:right w:w="0" w:type="dxa"/>
            </w:tcMar>
          </w:tcPr>
          <w:p w14:paraId="08037D3A" w14:textId="77777777" w:rsidR="008D6DF1" w:rsidRPr="008D6DF1" w:rsidRDefault="008D6DF1" w:rsidP="00317169">
            <w:pPr>
              <w:pStyle w:val="BNormal"/>
            </w:pPr>
          </w:p>
          <w:p w14:paraId="2634AB86" w14:textId="77777777" w:rsidR="00AE6E1D" w:rsidRPr="008D6DF1" w:rsidRDefault="00AE6E1D" w:rsidP="00317169">
            <w:pPr>
              <w:pStyle w:val="BNormal"/>
            </w:pPr>
            <w:r w:rsidRPr="008D6DF1">
              <w:t>Puerto Rico</w:t>
            </w:r>
          </w:p>
        </w:tc>
        <w:tc>
          <w:tcPr>
            <w:tcW w:w="1920" w:type="dxa"/>
            <w:tcBorders>
              <w:top w:val="nil"/>
              <w:left w:val="nil"/>
              <w:bottom w:val="nil"/>
              <w:right w:val="nil"/>
            </w:tcBorders>
            <w:tcMar>
              <w:left w:w="0" w:type="dxa"/>
              <w:right w:w="0" w:type="dxa"/>
            </w:tcMar>
          </w:tcPr>
          <w:p w14:paraId="08E7C276" w14:textId="77777777" w:rsidR="008D6DF1" w:rsidRPr="008D6DF1" w:rsidRDefault="008D6DF1" w:rsidP="00317169">
            <w:pPr>
              <w:pStyle w:val="BNormal"/>
            </w:pPr>
          </w:p>
          <w:p w14:paraId="4E862A30" w14:textId="7119CB82" w:rsidR="00AE6E1D" w:rsidRPr="008D6DF1" w:rsidRDefault="008D6DF1" w:rsidP="00317169">
            <w:pPr>
              <w:pStyle w:val="BNormal"/>
            </w:pPr>
            <w:r w:rsidRPr="008D6DF1">
              <w:rPr>
                <w:smallCaps/>
              </w:rPr>
              <w:t xml:space="preserve">P.R. Laws Ann. </w:t>
            </w:r>
            <w:r w:rsidRPr="008D6DF1">
              <w:t>t</w:t>
            </w:r>
            <w:r w:rsidR="00AE6E1D" w:rsidRPr="008D6DF1">
              <w:t>it</w:t>
            </w:r>
            <w:r w:rsidRPr="008D6DF1">
              <w:t xml:space="preserve">. </w:t>
            </w:r>
            <w:proofErr w:type="gramStart"/>
            <w:r w:rsidRPr="008D6DF1">
              <w:t>1</w:t>
            </w:r>
            <w:r w:rsidR="00AE6E1D" w:rsidRPr="008D6DF1">
              <w:t>0,  §</w:t>
            </w:r>
            <w:proofErr w:type="gramEnd"/>
            <w:r w:rsidR="00AE6E1D" w:rsidRPr="008D6DF1">
              <w:t>§223(a)−(c), 223y</w:t>
            </w:r>
          </w:p>
        </w:tc>
        <w:tc>
          <w:tcPr>
            <w:tcW w:w="600" w:type="dxa"/>
            <w:tcBorders>
              <w:top w:val="nil"/>
              <w:left w:val="nil"/>
              <w:bottom w:val="nil"/>
              <w:right w:val="nil"/>
            </w:tcBorders>
            <w:tcMar>
              <w:left w:w="0" w:type="dxa"/>
              <w:right w:w="0" w:type="dxa"/>
            </w:tcMar>
          </w:tcPr>
          <w:p w14:paraId="0C0D57D8"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76EFBC3A"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6614F734"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642181DE" w14:textId="77777777" w:rsidR="008D6DF1" w:rsidRPr="008D6DF1" w:rsidRDefault="00AE6E1D" w:rsidP="00317169">
            <w:pPr>
              <w:pStyle w:val="BNormal"/>
            </w:pPr>
            <w:r w:rsidRPr="008D6DF1">
              <w:t xml:space="preserve">   </w:t>
            </w:r>
          </w:p>
          <w:p w14:paraId="6C44556E" w14:textId="4983E629" w:rsidR="00AE6E1D" w:rsidRPr="008D6DF1" w:rsidRDefault="00AE6E1D" w:rsidP="00317169">
            <w:pPr>
              <w:pStyle w:val="BNormal"/>
            </w:pPr>
            <w:r w:rsidRPr="008D6DF1">
              <w:t xml:space="preserve">     X</w:t>
            </w:r>
          </w:p>
        </w:tc>
        <w:tc>
          <w:tcPr>
            <w:tcW w:w="1080" w:type="dxa"/>
            <w:tcBorders>
              <w:top w:val="nil"/>
              <w:left w:val="nil"/>
              <w:bottom w:val="nil"/>
              <w:right w:val="nil"/>
            </w:tcBorders>
            <w:tcMar>
              <w:left w:w="0" w:type="dxa"/>
              <w:right w:w="0" w:type="dxa"/>
            </w:tcMar>
          </w:tcPr>
          <w:p w14:paraId="2D8F4154" w14:textId="77777777" w:rsidR="008D6DF1" w:rsidRPr="008D6DF1" w:rsidRDefault="008D6DF1" w:rsidP="00317169">
            <w:pPr>
              <w:pStyle w:val="BNormal"/>
            </w:pPr>
          </w:p>
          <w:p w14:paraId="32D2BA70" w14:textId="53B8D098" w:rsidR="00AE6E1D" w:rsidRPr="008D6DF1" w:rsidRDefault="00AE6E1D" w:rsidP="00317169">
            <w:pPr>
              <w:pStyle w:val="BNormal"/>
            </w:pPr>
            <w:r w:rsidRPr="008D6DF1">
              <w:t>Dec</w:t>
            </w:r>
            <w:r w:rsidR="008D6DF1" w:rsidRPr="008D6DF1">
              <w:t>. 1</w:t>
            </w:r>
            <w:r w:rsidRPr="008D6DF1">
              <w:t>6, 2009</w:t>
            </w:r>
          </w:p>
        </w:tc>
      </w:tr>
      <w:tr w:rsidR="00AE6E1D" w:rsidRPr="008D6DF1" w14:paraId="708E91E3" w14:textId="77777777" w:rsidTr="008D6DF1">
        <w:tc>
          <w:tcPr>
            <w:tcW w:w="1560" w:type="dxa"/>
            <w:tcBorders>
              <w:top w:val="nil"/>
              <w:left w:val="nil"/>
              <w:bottom w:val="nil"/>
              <w:right w:val="nil"/>
            </w:tcBorders>
            <w:tcMar>
              <w:left w:w="0" w:type="dxa"/>
              <w:right w:w="0" w:type="dxa"/>
            </w:tcMar>
          </w:tcPr>
          <w:p w14:paraId="6BC9EF62" w14:textId="77777777" w:rsidR="008D6DF1" w:rsidRPr="008D6DF1" w:rsidRDefault="008D6DF1" w:rsidP="00317169">
            <w:pPr>
              <w:pStyle w:val="BNormal"/>
            </w:pPr>
          </w:p>
          <w:p w14:paraId="4651A7E3" w14:textId="77777777" w:rsidR="00AE6E1D" w:rsidRPr="008D6DF1" w:rsidRDefault="00AE6E1D" w:rsidP="00317169">
            <w:pPr>
              <w:pStyle w:val="BNormal"/>
            </w:pPr>
            <w:r w:rsidRPr="008D6DF1">
              <w:t>Rhode Island</w:t>
            </w:r>
          </w:p>
        </w:tc>
        <w:tc>
          <w:tcPr>
            <w:tcW w:w="1920" w:type="dxa"/>
            <w:tcBorders>
              <w:top w:val="nil"/>
              <w:left w:val="nil"/>
              <w:bottom w:val="nil"/>
              <w:right w:val="nil"/>
            </w:tcBorders>
            <w:tcMar>
              <w:left w:w="0" w:type="dxa"/>
              <w:right w:w="0" w:type="dxa"/>
            </w:tcMar>
          </w:tcPr>
          <w:p w14:paraId="3CF16176" w14:textId="77777777" w:rsidR="008D6DF1" w:rsidRPr="008D6DF1" w:rsidRDefault="008D6DF1" w:rsidP="00317169">
            <w:pPr>
              <w:pStyle w:val="BNormal"/>
            </w:pPr>
          </w:p>
          <w:p w14:paraId="6A580503" w14:textId="05A137F6" w:rsidR="008D6DF1" w:rsidRPr="008D6DF1" w:rsidRDefault="008D6DF1" w:rsidP="00317169">
            <w:pPr>
              <w:pStyle w:val="BNormal"/>
            </w:pPr>
            <w:r w:rsidRPr="008D6DF1">
              <w:rPr>
                <w:smallCaps/>
              </w:rPr>
              <w:t>R.I. Gen. Laws</w:t>
            </w:r>
          </w:p>
          <w:p w14:paraId="09D5EBDA" w14:textId="1334C436" w:rsidR="00AE6E1D" w:rsidRPr="008D6DF1" w:rsidRDefault="00AE6E1D" w:rsidP="00317169">
            <w:pPr>
              <w:pStyle w:val="BNormal"/>
            </w:pPr>
            <w:r w:rsidRPr="008D6DF1">
              <w:t>§6-2-12</w:t>
            </w:r>
          </w:p>
        </w:tc>
        <w:tc>
          <w:tcPr>
            <w:tcW w:w="600" w:type="dxa"/>
            <w:tcBorders>
              <w:top w:val="nil"/>
              <w:left w:val="nil"/>
              <w:bottom w:val="nil"/>
              <w:right w:val="nil"/>
            </w:tcBorders>
            <w:tcMar>
              <w:left w:w="0" w:type="dxa"/>
              <w:right w:w="0" w:type="dxa"/>
            </w:tcMar>
          </w:tcPr>
          <w:p w14:paraId="4DC5232C" w14:textId="77777777" w:rsidR="008D6DF1" w:rsidRPr="008D6DF1" w:rsidRDefault="008D6DF1" w:rsidP="00317169">
            <w:pPr>
              <w:pStyle w:val="BNormal"/>
            </w:pPr>
          </w:p>
          <w:p w14:paraId="3582A4B5" w14:textId="77777777" w:rsidR="00AE6E1D" w:rsidRPr="008D6DF1" w:rsidRDefault="00AE6E1D" w:rsidP="00317169">
            <w:pPr>
              <w:pStyle w:val="BNormal"/>
            </w:pPr>
            <w:r w:rsidRPr="008D6DF1">
              <w:t>X</w:t>
            </w:r>
          </w:p>
        </w:tc>
        <w:tc>
          <w:tcPr>
            <w:tcW w:w="600" w:type="dxa"/>
            <w:tcBorders>
              <w:top w:val="nil"/>
              <w:left w:val="nil"/>
              <w:bottom w:val="nil"/>
              <w:right w:val="nil"/>
            </w:tcBorders>
            <w:tcMar>
              <w:left w:w="0" w:type="dxa"/>
              <w:right w:w="0" w:type="dxa"/>
            </w:tcMar>
          </w:tcPr>
          <w:p w14:paraId="6FF57504"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3696FC4F"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595A453B" w14:textId="77777777" w:rsidR="00AE6E1D" w:rsidRPr="008D6DF1" w:rsidRDefault="00AE6E1D" w:rsidP="00317169">
            <w:pPr>
              <w:pStyle w:val="BNormal"/>
            </w:pPr>
          </w:p>
        </w:tc>
        <w:tc>
          <w:tcPr>
            <w:tcW w:w="1080" w:type="dxa"/>
            <w:tcBorders>
              <w:top w:val="nil"/>
              <w:left w:val="nil"/>
              <w:bottom w:val="nil"/>
              <w:right w:val="nil"/>
            </w:tcBorders>
            <w:tcMar>
              <w:left w:w="0" w:type="dxa"/>
              <w:right w:w="0" w:type="dxa"/>
            </w:tcMar>
          </w:tcPr>
          <w:p w14:paraId="1EE33C15" w14:textId="77777777" w:rsidR="008D6DF1" w:rsidRPr="008D6DF1" w:rsidRDefault="008D6DF1" w:rsidP="00317169">
            <w:pPr>
              <w:pStyle w:val="BNormal"/>
            </w:pPr>
          </w:p>
          <w:p w14:paraId="713DF28A" w14:textId="77777777" w:rsidR="00AE6E1D" w:rsidRPr="008D6DF1" w:rsidRDefault="00AE6E1D" w:rsidP="00317169">
            <w:pPr>
              <w:pStyle w:val="BNormal"/>
            </w:pPr>
            <w:r w:rsidRPr="008D6DF1">
              <w:t>1975</w:t>
            </w:r>
          </w:p>
        </w:tc>
      </w:tr>
      <w:tr w:rsidR="00AE6E1D" w:rsidRPr="008D6DF1" w14:paraId="3A198024" w14:textId="77777777" w:rsidTr="008D6DF1">
        <w:tc>
          <w:tcPr>
            <w:tcW w:w="1560" w:type="dxa"/>
            <w:tcBorders>
              <w:top w:val="nil"/>
              <w:left w:val="nil"/>
              <w:bottom w:val="nil"/>
              <w:right w:val="nil"/>
            </w:tcBorders>
            <w:tcMar>
              <w:left w:w="0" w:type="dxa"/>
              <w:right w:w="0" w:type="dxa"/>
            </w:tcMar>
          </w:tcPr>
          <w:p w14:paraId="0E84B717" w14:textId="77777777" w:rsidR="008D6DF1" w:rsidRPr="008D6DF1" w:rsidRDefault="008D6DF1" w:rsidP="00317169">
            <w:pPr>
              <w:pStyle w:val="BNormal"/>
            </w:pPr>
          </w:p>
          <w:p w14:paraId="46C6F3BF" w14:textId="77777777" w:rsidR="00AE6E1D" w:rsidRPr="008D6DF1" w:rsidRDefault="00AE6E1D" w:rsidP="00317169">
            <w:pPr>
              <w:pStyle w:val="BNormal"/>
            </w:pPr>
            <w:r w:rsidRPr="008D6DF1">
              <w:t>South Carolina</w:t>
            </w:r>
          </w:p>
        </w:tc>
        <w:tc>
          <w:tcPr>
            <w:tcW w:w="1920" w:type="dxa"/>
            <w:tcBorders>
              <w:top w:val="nil"/>
              <w:left w:val="nil"/>
              <w:bottom w:val="nil"/>
              <w:right w:val="nil"/>
            </w:tcBorders>
            <w:tcMar>
              <w:left w:w="0" w:type="dxa"/>
              <w:right w:w="0" w:type="dxa"/>
            </w:tcMar>
          </w:tcPr>
          <w:p w14:paraId="1470AF72" w14:textId="77777777" w:rsidR="008D6DF1" w:rsidRPr="008D6DF1" w:rsidRDefault="008D6DF1" w:rsidP="00317169">
            <w:pPr>
              <w:pStyle w:val="BNormal"/>
            </w:pPr>
          </w:p>
          <w:p w14:paraId="308DBDCB" w14:textId="14EC840E" w:rsidR="008D6DF1" w:rsidRPr="008D6DF1" w:rsidRDefault="008D6DF1" w:rsidP="00317169">
            <w:pPr>
              <w:pStyle w:val="BNormal"/>
            </w:pPr>
            <w:r w:rsidRPr="008D6DF1">
              <w:rPr>
                <w:smallCaps/>
              </w:rPr>
              <w:t>S.C. Code Ann.</w:t>
            </w:r>
          </w:p>
          <w:p w14:paraId="2AA15C8C" w14:textId="77777777" w:rsidR="008D6DF1" w:rsidRPr="008D6DF1" w:rsidRDefault="00AE6E1D" w:rsidP="00317169">
            <w:pPr>
              <w:pStyle w:val="BNormal"/>
            </w:pPr>
            <w:r w:rsidRPr="008D6DF1">
              <w:t>§§39-15-1105(2),</w:t>
            </w:r>
          </w:p>
          <w:p w14:paraId="6153A744" w14:textId="48B6DF4D" w:rsidR="00AE6E1D" w:rsidRPr="008D6DF1" w:rsidRDefault="00AE6E1D" w:rsidP="00317169">
            <w:pPr>
              <w:pStyle w:val="BNormal"/>
            </w:pPr>
            <w:r w:rsidRPr="008D6DF1">
              <w:t>39-15-1165</w:t>
            </w:r>
          </w:p>
        </w:tc>
        <w:tc>
          <w:tcPr>
            <w:tcW w:w="600" w:type="dxa"/>
            <w:tcBorders>
              <w:top w:val="nil"/>
              <w:left w:val="nil"/>
              <w:bottom w:val="nil"/>
              <w:right w:val="nil"/>
            </w:tcBorders>
            <w:tcMar>
              <w:left w:w="0" w:type="dxa"/>
              <w:right w:w="0" w:type="dxa"/>
            </w:tcMar>
          </w:tcPr>
          <w:p w14:paraId="6144D23D"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0B683CF5" w14:textId="77777777" w:rsidR="008D6DF1" w:rsidRPr="008D6DF1" w:rsidRDefault="008D6DF1" w:rsidP="00317169">
            <w:pPr>
              <w:pStyle w:val="BNormal"/>
            </w:pPr>
          </w:p>
          <w:p w14:paraId="13DC2223" w14:textId="77777777" w:rsidR="00AE6E1D" w:rsidRPr="008D6DF1" w:rsidRDefault="00AE6E1D" w:rsidP="00317169">
            <w:pPr>
              <w:pStyle w:val="BNormal"/>
            </w:pPr>
            <w:r w:rsidRPr="008D6DF1">
              <w:t>X</w:t>
            </w:r>
          </w:p>
        </w:tc>
        <w:tc>
          <w:tcPr>
            <w:tcW w:w="600" w:type="dxa"/>
            <w:tcBorders>
              <w:top w:val="nil"/>
              <w:left w:val="nil"/>
              <w:bottom w:val="nil"/>
              <w:right w:val="nil"/>
            </w:tcBorders>
            <w:tcMar>
              <w:left w:w="0" w:type="dxa"/>
              <w:right w:w="0" w:type="dxa"/>
            </w:tcMar>
          </w:tcPr>
          <w:p w14:paraId="7F165CF9"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17F9A882" w14:textId="77777777" w:rsidR="00AE6E1D" w:rsidRPr="008D6DF1" w:rsidRDefault="00AE6E1D" w:rsidP="00317169">
            <w:pPr>
              <w:pStyle w:val="BNormal"/>
            </w:pPr>
          </w:p>
        </w:tc>
        <w:tc>
          <w:tcPr>
            <w:tcW w:w="1080" w:type="dxa"/>
            <w:tcBorders>
              <w:top w:val="nil"/>
              <w:left w:val="nil"/>
              <w:bottom w:val="nil"/>
              <w:right w:val="nil"/>
            </w:tcBorders>
            <w:tcMar>
              <w:left w:w="0" w:type="dxa"/>
              <w:right w:w="0" w:type="dxa"/>
            </w:tcMar>
          </w:tcPr>
          <w:p w14:paraId="38F72B2B" w14:textId="77777777" w:rsidR="008D6DF1" w:rsidRPr="008D6DF1" w:rsidRDefault="008D6DF1" w:rsidP="00317169">
            <w:pPr>
              <w:pStyle w:val="BNormal"/>
            </w:pPr>
          </w:p>
          <w:p w14:paraId="3851EDB8" w14:textId="5E46407D" w:rsidR="00AE6E1D" w:rsidRPr="008D6DF1" w:rsidRDefault="00AE6E1D" w:rsidP="00317169">
            <w:pPr>
              <w:pStyle w:val="BNormal"/>
            </w:pPr>
            <w:r w:rsidRPr="008D6DF1">
              <w:t>Oct</w:t>
            </w:r>
            <w:r w:rsidR="008D6DF1" w:rsidRPr="008D6DF1">
              <w:t>. 1</w:t>
            </w:r>
            <w:r w:rsidRPr="008D6DF1">
              <w:t>3, 1994</w:t>
            </w:r>
          </w:p>
        </w:tc>
      </w:tr>
      <w:tr w:rsidR="00AE6E1D" w:rsidRPr="008D6DF1" w14:paraId="1CC7B971" w14:textId="77777777" w:rsidTr="008D6DF1">
        <w:tc>
          <w:tcPr>
            <w:tcW w:w="1560" w:type="dxa"/>
            <w:tcBorders>
              <w:top w:val="nil"/>
              <w:left w:val="nil"/>
              <w:bottom w:val="nil"/>
              <w:right w:val="nil"/>
            </w:tcBorders>
            <w:tcMar>
              <w:left w:w="0" w:type="dxa"/>
              <w:right w:w="0" w:type="dxa"/>
            </w:tcMar>
          </w:tcPr>
          <w:p w14:paraId="7D3FD1E1" w14:textId="77777777" w:rsidR="008D6DF1" w:rsidRPr="008D6DF1" w:rsidRDefault="008D6DF1" w:rsidP="00317169">
            <w:pPr>
              <w:pStyle w:val="BNormal"/>
            </w:pPr>
          </w:p>
          <w:p w14:paraId="13C71A5F" w14:textId="77777777" w:rsidR="00AE6E1D" w:rsidRPr="008D6DF1" w:rsidRDefault="00AE6E1D" w:rsidP="00317169">
            <w:pPr>
              <w:pStyle w:val="BNormal"/>
            </w:pPr>
            <w:r w:rsidRPr="008D6DF1">
              <w:t>Tennessee</w:t>
            </w:r>
          </w:p>
        </w:tc>
        <w:tc>
          <w:tcPr>
            <w:tcW w:w="1920" w:type="dxa"/>
            <w:tcBorders>
              <w:top w:val="nil"/>
              <w:left w:val="nil"/>
              <w:bottom w:val="nil"/>
              <w:right w:val="nil"/>
            </w:tcBorders>
            <w:tcMar>
              <w:left w:w="0" w:type="dxa"/>
              <w:right w:w="0" w:type="dxa"/>
            </w:tcMar>
          </w:tcPr>
          <w:p w14:paraId="1463ACF6" w14:textId="77777777" w:rsidR="008D6DF1" w:rsidRPr="008D6DF1" w:rsidRDefault="008D6DF1" w:rsidP="00317169">
            <w:pPr>
              <w:pStyle w:val="BNormal"/>
            </w:pPr>
          </w:p>
          <w:p w14:paraId="2EB520E8" w14:textId="5092BC97" w:rsidR="008D6DF1" w:rsidRPr="008D6DF1" w:rsidRDefault="008D6DF1" w:rsidP="00317169">
            <w:pPr>
              <w:pStyle w:val="BNormal"/>
              <w:rPr>
                <w:smallCaps/>
              </w:rPr>
            </w:pPr>
            <w:r w:rsidRPr="008D6DF1">
              <w:rPr>
                <w:smallCaps/>
              </w:rPr>
              <w:t>Tenn. Code Ann.</w:t>
            </w:r>
          </w:p>
          <w:p w14:paraId="577D9357" w14:textId="4522026B" w:rsidR="008D6DF1" w:rsidRPr="008D6DF1" w:rsidRDefault="00AE6E1D" w:rsidP="00317169">
            <w:pPr>
              <w:pStyle w:val="BNormal"/>
            </w:pPr>
            <w:r w:rsidRPr="008D6DF1">
              <w:t>§§47-25-501(3),</w:t>
            </w:r>
          </w:p>
          <w:p w14:paraId="5ED87A22" w14:textId="111115CA" w:rsidR="00AE6E1D" w:rsidRPr="008D6DF1" w:rsidRDefault="00AE6E1D" w:rsidP="00317169">
            <w:pPr>
              <w:pStyle w:val="BNormal"/>
            </w:pPr>
            <w:r w:rsidRPr="008D6DF1">
              <w:lastRenderedPageBreak/>
              <w:t>47-25-513</w:t>
            </w:r>
          </w:p>
        </w:tc>
        <w:tc>
          <w:tcPr>
            <w:tcW w:w="600" w:type="dxa"/>
            <w:tcBorders>
              <w:top w:val="nil"/>
              <w:left w:val="nil"/>
              <w:bottom w:val="nil"/>
              <w:right w:val="nil"/>
            </w:tcBorders>
            <w:tcMar>
              <w:left w:w="0" w:type="dxa"/>
              <w:right w:w="0" w:type="dxa"/>
            </w:tcMar>
          </w:tcPr>
          <w:p w14:paraId="078A49D9" w14:textId="77777777" w:rsidR="008D6DF1" w:rsidRPr="008D6DF1" w:rsidRDefault="008D6DF1" w:rsidP="00317169">
            <w:pPr>
              <w:pStyle w:val="BNormal"/>
            </w:pPr>
          </w:p>
          <w:p w14:paraId="6C270B1B" w14:textId="77777777" w:rsidR="00AE6E1D" w:rsidRPr="008D6DF1" w:rsidRDefault="00AE6E1D" w:rsidP="00317169">
            <w:pPr>
              <w:pStyle w:val="BNormal"/>
            </w:pPr>
            <w:r w:rsidRPr="008D6DF1">
              <w:t>**</w:t>
            </w:r>
          </w:p>
        </w:tc>
        <w:tc>
          <w:tcPr>
            <w:tcW w:w="600" w:type="dxa"/>
            <w:tcBorders>
              <w:top w:val="nil"/>
              <w:left w:val="nil"/>
              <w:bottom w:val="nil"/>
              <w:right w:val="nil"/>
            </w:tcBorders>
            <w:tcMar>
              <w:left w:w="0" w:type="dxa"/>
              <w:right w:w="0" w:type="dxa"/>
            </w:tcMar>
          </w:tcPr>
          <w:p w14:paraId="30E200D2"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5F3FCA1E" w14:textId="77777777" w:rsidR="008D6DF1" w:rsidRPr="008D6DF1" w:rsidRDefault="008D6DF1" w:rsidP="00317169">
            <w:pPr>
              <w:pStyle w:val="BNormal"/>
            </w:pPr>
          </w:p>
          <w:p w14:paraId="4A4807F8" w14:textId="77777777" w:rsidR="00AE6E1D" w:rsidRPr="008D6DF1" w:rsidRDefault="00AE6E1D" w:rsidP="00317169">
            <w:pPr>
              <w:pStyle w:val="BNormal"/>
            </w:pPr>
            <w:r w:rsidRPr="008D6DF1">
              <w:t>X</w:t>
            </w:r>
          </w:p>
        </w:tc>
        <w:tc>
          <w:tcPr>
            <w:tcW w:w="600" w:type="dxa"/>
            <w:tcBorders>
              <w:top w:val="nil"/>
              <w:left w:val="nil"/>
              <w:bottom w:val="nil"/>
              <w:right w:val="nil"/>
            </w:tcBorders>
            <w:tcMar>
              <w:left w:w="0" w:type="dxa"/>
              <w:right w:w="0" w:type="dxa"/>
            </w:tcMar>
          </w:tcPr>
          <w:p w14:paraId="486698F9" w14:textId="77777777" w:rsidR="00AE6E1D" w:rsidRPr="008D6DF1" w:rsidRDefault="00AE6E1D" w:rsidP="00317169">
            <w:pPr>
              <w:pStyle w:val="BNormal"/>
            </w:pPr>
          </w:p>
        </w:tc>
        <w:tc>
          <w:tcPr>
            <w:tcW w:w="1080" w:type="dxa"/>
            <w:tcBorders>
              <w:top w:val="nil"/>
              <w:left w:val="nil"/>
              <w:bottom w:val="nil"/>
              <w:right w:val="nil"/>
            </w:tcBorders>
            <w:tcMar>
              <w:left w:w="0" w:type="dxa"/>
              <w:right w:w="0" w:type="dxa"/>
            </w:tcMar>
          </w:tcPr>
          <w:p w14:paraId="2D39DB42" w14:textId="77777777" w:rsidR="008D6DF1" w:rsidRPr="008D6DF1" w:rsidRDefault="008D6DF1" w:rsidP="00317169">
            <w:pPr>
              <w:pStyle w:val="BNormal"/>
            </w:pPr>
          </w:p>
          <w:p w14:paraId="6E0DA6DF" w14:textId="77777777" w:rsidR="00AE6E1D" w:rsidRPr="008D6DF1" w:rsidRDefault="00AE6E1D" w:rsidP="00317169">
            <w:pPr>
              <w:pStyle w:val="BNormal"/>
            </w:pPr>
            <w:r w:rsidRPr="008D6DF1">
              <w:t>June 4, 2000</w:t>
            </w:r>
          </w:p>
        </w:tc>
      </w:tr>
      <w:tr w:rsidR="00AE6E1D" w:rsidRPr="008D6DF1" w14:paraId="6E2F1BCE" w14:textId="77777777" w:rsidTr="008D6DF1">
        <w:tc>
          <w:tcPr>
            <w:tcW w:w="1560" w:type="dxa"/>
            <w:tcBorders>
              <w:top w:val="nil"/>
              <w:left w:val="nil"/>
              <w:bottom w:val="nil"/>
              <w:right w:val="nil"/>
            </w:tcBorders>
            <w:tcMar>
              <w:left w:w="0" w:type="dxa"/>
              <w:right w:w="0" w:type="dxa"/>
            </w:tcMar>
          </w:tcPr>
          <w:p w14:paraId="1F9D3E35" w14:textId="77777777" w:rsidR="008D6DF1" w:rsidRPr="008D6DF1" w:rsidRDefault="008D6DF1" w:rsidP="00317169">
            <w:pPr>
              <w:pStyle w:val="BNormal"/>
            </w:pPr>
          </w:p>
          <w:p w14:paraId="70449178" w14:textId="77777777" w:rsidR="00AE6E1D" w:rsidRPr="008D6DF1" w:rsidRDefault="00AE6E1D" w:rsidP="00317169">
            <w:pPr>
              <w:pStyle w:val="BNormal"/>
            </w:pPr>
            <w:r w:rsidRPr="008D6DF1">
              <w:t>Texas</w:t>
            </w:r>
          </w:p>
        </w:tc>
        <w:tc>
          <w:tcPr>
            <w:tcW w:w="1920" w:type="dxa"/>
            <w:tcBorders>
              <w:top w:val="nil"/>
              <w:left w:val="nil"/>
              <w:bottom w:val="nil"/>
              <w:right w:val="nil"/>
            </w:tcBorders>
            <w:tcMar>
              <w:left w:w="0" w:type="dxa"/>
              <w:right w:w="0" w:type="dxa"/>
            </w:tcMar>
          </w:tcPr>
          <w:p w14:paraId="6E6838D0" w14:textId="77777777" w:rsidR="008D6DF1" w:rsidRPr="008D6DF1" w:rsidRDefault="008D6DF1" w:rsidP="00317169">
            <w:pPr>
              <w:pStyle w:val="BNormal"/>
            </w:pPr>
          </w:p>
          <w:p w14:paraId="014D150A" w14:textId="2859CCD7" w:rsidR="008D6DF1" w:rsidRPr="008D6DF1" w:rsidRDefault="008D6DF1" w:rsidP="00317169">
            <w:pPr>
              <w:pStyle w:val="BNormal"/>
              <w:rPr>
                <w:smallCaps/>
              </w:rPr>
            </w:pPr>
            <w:r w:rsidRPr="008D6DF1">
              <w:rPr>
                <w:smallCaps/>
              </w:rPr>
              <w:t>Tex. Bus. &amp; Com.</w:t>
            </w:r>
          </w:p>
          <w:p w14:paraId="7FC2CC2F" w14:textId="44C3AB3F" w:rsidR="00AE6E1D" w:rsidRPr="008D6DF1" w:rsidRDefault="008D6DF1" w:rsidP="00317169">
            <w:pPr>
              <w:pStyle w:val="BNormal"/>
            </w:pPr>
            <w:r w:rsidRPr="008D6DF1">
              <w:rPr>
                <w:smallCaps/>
              </w:rPr>
              <w:t xml:space="preserve">Code Ann. </w:t>
            </w:r>
            <w:r w:rsidRPr="008D6DF1">
              <w:t>§</w:t>
            </w:r>
            <w:r w:rsidR="00AE6E1D" w:rsidRPr="008D6DF1">
              <w:t>§16.001(2)−(4), 16.103</w:t>
            </w:r>
          </w:p>
        </w:tc>
        <w:tc>
          <w:tcPr>
            <w:tcW w:w="600" w:type="dxa"/>
            <w:tcBorders>
              <w:top w:val="nil"/>
              <w:left w:val="nil"/>
              <w:bottom w:val="nil"/>
              <w:right w:val="nil"/>
            </w:tcBorders>
            <w:tcMar>
              <w:left w:w="0" w:type="dxa"/>
              <w:right w:w="0" w:type="dxa"/>
            </w:tcMar>
          </w:tcPr>
          <w:p w14:paraId="47C9CF1D" w14:textId="77777777" w:rsidR="008D6DF1" w:rsidRPr="008D6DF1" w:rsidRDefault="008D6DF1" w:rsidP="00317169">
            <w:pPr>
              <w:pStyle w:val="BNormal"/>
            </w:pPr>
          </w:p>
          <w:p w14:paraId="3FB4FEC9" w14:textId="77777777" w:rsidR="00AE6E1D" w:rsidRPr="008D6DF1" w:rsidRDefault="00AE6E1D" w:rsidP="00317169">
            <w:pPr>
              <w:pStyle w:val="BNormal"/>
            </w:pPr>
            <w:r w:rsidRPr="008D6DF1">
              <w:t>**</w:t>
            </w:r>
          </w:p>
        </w:tc>
        <w:tc>
          <w:tcPr>
            <w:tcW w:w="600" w:type="dxa"/>
            <w:tcBorders>
              <w:top w:val="nil"/>
              <w:left w:val="nil"/>
              <w:bottom w:val="nil"/>
              <w:right w:val="nil"/>
            </w:tcBorders>
            <w:tcMar>
              <w:left w:w="0" w:type="dxa"/>
              <w:right w:w="0" w:type="dxa"/>
            </w:tcMar>
          </w:tcPr>
          <w:p w14:paraId="1D9F2F47"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7EE56A7D"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6F74DE56" w14:textId="77777777" w:rsidR="008D6DF1" w:rsidRPr="008D6DF1" w:rsidRDefault="00AE6E1D" w:rsidP="00317169">
            <w:pPr>
              <w:pStyle w:val="BNormal"/>
            </w:pPr>
            <w:r w:rsidRPr="008D6DF1">
              <w:t xml:space="preserve">   </w:t>
            </w:r>
          </w:p>
          <w:p w14:paraId="44B82BCC" w14:textId="74800CB8" w:rsidR="00AE6E1D" w:rsidRPr="008D6DF1" w:rsidRDefault="00AE6E1D" w:rsidP="00317169">
            <w:pPr>
              <w:pStyle w:val="BNormal"/>
            </w:pPr>
            <w:r w:rsidRPr="008D6DF1">
              <w:t xml:space="preserve">     X</w:t>
            </w:r>
          </w:p>
        </w:tc>
        <w:tc>
          <w:tcPr>
            <w:tcW w:w="1080" w:type="dxa"/>
            <w:tcBorders>
              <w:top w:val="nil"/>
              <w:left w:val="nil"/>
              <w:bottom w:val="nil"/>
              <w:right w:val="nil"/>
            </w:tcBorders>
            <w:tcMar>
              <w:left w:w="0" w:type="dxa"/>
              <w:right w:w="0" w:type="dxa"/>
            </w:tcMar>
          </w:tcPr>
          <w:p w14:paraId="1AE9C411" w14:textId="77777777" w:rsidR="008D6DF1" w:rsidRPr="008D6DF1" w:rsidRDefault="008D6DF1" w:rsidP="00317169">
            <w:pPr>
              <w:pStyle w:val="BNormal"/>
            </w:pPr>
          </w:p>
          <w:p w14:paraId="6CAAC406" w14:textId="6320ABE9" w:rsidR="00AE6E1D" w:rsidRPr="008D6DF1" w:rsidRDefault="00AE6E1D" w:rsidP="00317169">
            <w:pPr>
              <w:pStyle w:val="BNormal"/>
            </w:pPr>
            <w:r w:rsidRPr="008D6DF1">
              <w:t>Sept</w:t>
            </w:r>
            <w:r w:rsidR="008D6DF1" w:rsidRPr="008D6DF1">
              <w:t>. 1</w:t>
            </w:r>
            <w:r w:rsidRPr="008D6DF1">
              <w:t>, 2012</w:t>
            </w:r>
          </w:p>
        </w:tc>
      </w:tr>
      <w:tr w:rsidR="00AE6E1D" w:rsidRPr="008D6DF1" w14:paraId="70A732B3" w14:textId="77777777" w:rsidTr="008D6DF1">
        <w:tc>
          <w:tcPr>
            <w:tcW w:w="1560" w:type="dxa"/>
            <w:tcBorders>
              <w:top w:val="nil"/>
              <w:left w:val="nil"/>
              <w:bottom w:val="nil"/>
              <w:right w:val="nil"/>
            </w:tcBorders>
            <w:tcMar>
              <w:left w:w="0" w:type="dxa"/>
              <w:right w:w="0" w:type="dxa"/>
            </w:tcMar>
          </w:tcPr>
          <w:p w14:paraId="15138783" w14:textId="77777777" w:rsidR="008D6DF1" w:rsidRPr="008D6DF1" w:rsidRDefault="008D6DF1" w:rsidP="00317169">
            <w:pPr>
              <w:pStyle w:val="BNormal"/>
            </w:pPr>
          </w:p>
          <w:p w14:paraId="67A8398E" w14:textId="77777777" w:rsidR="00AE6E1D" w:rsidRPr="008D6DF1" w:rsidRDefault="00AE6E1D" w:rsidP="00317169">
            <w:pPr>
              <w:pStyle w:val="BNormal"/>
            </w:pPr>
            <w:r w:rsidRPr="008D6DF1">
              <w:t>Utah</w:t>
            </w:r>
          </w:p>
        </w:tc>
        <w:tc>
          <w:tcPr>
            <w:tcW w:w="1920" w:type="dxa"/>
            <w:tcBorders>
              <w:top w:val="nil"/>
              <w:left w:val="nil"/>
              <w:bottom w:val="nil"/>
              <w:right w:val="nil"/>
            </w:tcBorders>
            <w:tcMar>
              <w:left w:w="0" w:type="dxa"/>
              <w:right w:w="0" w:type="dxa"/>
            </w:tcMar>
          </w:tcPr>
          <w:p w14:paraId="29425D12" w14:textId="77777777" w:rsidR="008D6DF1" w:rsidRPr="008D6DF1" w:rsidRDefault="008D6DF1" w:rsidP="00317169">
            <w:pPr>
              <w:pStyle w:val="BNormal"/>
            </w:pPr>
          </w:p>
          <w:p w14:paraId="028CFB99" w14:textId="181421BC" w:rsidR="008D6DF1" w:rsidRPr="008D6DF1" w:rsidRDefault="008D6DF1" w:rsidP="00317169">
            <w:pPr>
              <w:pStyle w:val="BNormal"/>
            </w:pPr>
            <w:r w:rsidRPr="008D6DF1">
              <w:rPr>
                <w:smallCaps/>
              </w:rPr>
              <w:t>Utah Code Ann</w:t>
            </w:r>
            <w:r w:rsidR="00AE6E1D" w:rsidRPr="008D6DF1">
              <w:t>.</w:t>
            </w:r>
          </w:p>
          <w:p w14:paraId="1DACCCB1" w14:textId="77777777" w:rsidR="008D6DF1" w:rsidRPr="008D6DF1" w:rsidRDefault="00AE6E1D" w:rsidP="00317169">
            <w:pPr>
              <w:pStyle w:val="BNormal"/>
            </w:pPr>
            <w:r w:rsidRPr="008D6DF1">
              <w:t>§§70-3a-103(1)(c),</w:t>
            </w:r>
          </w:p>
          <w:p w14:paraId="28754D04" w14:textId="759CDBE5" w:rsidR="00AE6E1D" w:rsidRPr="008D6DF1" w:rsidRDefault="00AE6E1D" w:rsidP="00317169">
            <w:pPr>
              <w:pStyle w:val="BNormal"/>
            </w:pPr>
            <w:r w:rsidRPr="008D6DF1">
              <w:t>70-3a-403</w:t>
            </w:r>
          </w:p>
        </w:tc>
        <w:tc>
          <w:tcPr>
            <w:tcW w:w="600" w:type="dxa"/>
            <w:tcBorders>
              <w:top w:val="nil"/>
              <w:left w:val="nil"/>
              <w:bottom w:val="nil"/>
              <w:right w:val="nil"/>
            </w:tcBorders>
            <w:tcMar>
              <w:left w:w="0" w:type="dxa"/>
              <w:right w:w="0" w:type="dxa"/>
            </w:tcMar>
          </w:tcPr>
          <w:p w14:paraId="37184FE5"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3ABDDBEF"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09356D75" w14:textId="77777777" w:rsidR="008D6DF1" w:rsidRPr="008D6DF1" w:rsidRDefault="008D6DF1" w:rsidP="00317169">
            <w:pPr>
              <w:pStyle w:val="BNormal"/>
            </w:pPr>
          </w:p>
          <w:p w14:paraId="62183437" w14:textId="77777777" w:rsidR="00AE6E1D" w:rsidRPr="008D6DF1" w:rsidRDefault="00AE6E1D" w:rsidP="00317169">
            <w:pPr>
              <w:pStyle w:val="BNormal"/>
            </w:pPr>
            <w:r w:rsidRPr="008D6DF1">
              <w:t>X</w:t>
            </w:r>
          </w:p>
        </w:tc>
        <w:tc>
          <w:tcPr>
            <w:tcW w:w="600" w:type="dxa"/>
            <w:tcBorders>
              <w:top w:val="nil"/>
              <w:left w:val="nil"/>
              <w:bottom w:val="nil"/>
              <w:right w:val="nil"/>
            </w:tcBorders>
            <w:tcMar>
              <w:left w:w="0" w:type="dxa"/>
              <w:right w:w="0" w:type="dxa"/>
            </w:tcMar>
          </w:tcPr>
          <w:p w14:paraId="55980C14" w14:textId="77777777" w:rsidR="00AE6E1D" w:rsidRPr="008D6DF1" w:rsidRDefault="00AE6E1D" w:rsidP="00317169">
            <w:pPr>
              <w:pStyle w:val="BNormal"/>
            </w:pPr>
          </w:p>
        </w:tc>
        <w:tc>
          <w:tcPr>
            <w:tcW w:w="1080" w:type="dxa"/>
            <w:tcBorders>
              <w:top w:val="nil"/>
              <w:left w:val="nil"/>
              <w:bottom w:val="nil"/>
              <w:right w:val="nil"/>
            </w:tcBorders>
            <w:tcMar>
              <w:left w:w="0" w:type="dxa"/>
              <w:right w:w="0" w:type="dxa"/>
            </w:tcMar>
          </w:tcPr>
          <w:p w14:paraId="61B4DC19" w14:textId="77777777" w:rsidR="008D6DF1" w:rsidRPr="008D6DF1" w:rsidRDefault="008D6DF1" w:rsidP="00317169">
            <w:pPr>
              <w:pStyle w:val="BNormal"/>
            </w:pPr>
          </w:p>
          <w:p w14:paraId="34711108" w14:textId="77777777" w:rsidR="00AE6E1D" w:rsidRPr="008D6DF1" w:rsidRDefault="00AE6E1D" w:rsidP="00317169">
            <w:pPr>
              <w:pStyle w:val="BNormal"/>
            </w:pPr>
            <w:r w:rsidRPr="008D6DF1">
              <w:t>May 6, 2002</w:t>
            </w:r>
          </w:p>
        </w:tc>
      </w:tr>
      <w:tr w:rsidR="00AE6E1D" w:rsidRPr="008D6DF1" w14:paraId="6F28EDD0" w14:textId="77777777" w:rsidTr="008D6DF1">
        <w:tc>
          <w:tcPr>
            <w:tcW w:w="1560" w:type="dxa"/>
            <w:tcBorders>
              <w:top w:val="nil"/>
              <w:left w:val="nil"/>
              <w:bottom w:val="nil"/>
              <w:right w:val="nil"/>
            </w:tcBorders>
            <w:tcMar>
              <w:left w:w="0" w:type="dxa"/>
              <w:right w:w="0" w:type="dxa"/>
            </w:tcMar>
          </w:tcPr>
          <w:p w14:paraId="726C8691" w14:textId="77777777" w:rsidR="008D6DF1" w:rsidRPr="008D6DF1" w:rsidRDefault="008D6DF1" w:rsidP="00317169">
            <w:pPr>
              <w:pStyle w:val="BNormal"/>
            </w:pPr>
          </w:p>
          <w:p w14:paraId="1169051F" w14:textId="77777777" w:rsidR="00AE6E1D" w:rsidRPr="008D6DF1" w:rsidRDefault="00AE6E1D" w:rsidP="00317169">
            <w:pPr>
              <w:pStyle w:val="BNormal"/>
            </w:pPr>
            <w:r w:rsidRPr="008D6DF1">
              <w:t>Washington</w:t>
            </w:r>
          </w:p>
        </w:tc>
        <w:tc>
          <w:tcPr>
            <w:tcW w:w="1920" w:type="dxa"/>
            <w:tcBorders>
              <w:top w:val="nil"/>
              <w:left w:val="nil"/>
              <w:bottom w:val="nil"/>
              <w:right w:val="nil"/>
            </w:tcBorders>
            <w:tcMar>
              <w:left w:w="0" w:type="dxa"/>
              <w:right w:w="0" w:type="dxa"/>
            </w:tcMar>
          </w:tcPr>
          <w:p w14:paraId="48736090" w14:textId="77777777" w:rsidR="008D6DF1" w:rsidRPr="008D6DF1" w:rsidRDefault="008D6DF1" w:rsidP="00317169">
            <w:pPr>
              <w:pStyle w:val="BNormal"/>
            </w:pPr>
          </w:p>
          <w:p w14:paraId="413718AC" w14:textId="575EE3AA" w:rsidR="008D6DF1" w:rsidRPr="008D6DF1" w:rsidRDefault="008D6DF1" w:rsidP="00317169">
            <w:pPr>
              <w:pStyle w:val="BNormal"/>
            </w:pPr>
            <w:r w:rsidRPr="008D6DF1">
              <w:rPr>
                <w:smallCaps/>
              </w:rPr>
              <w:t xml:space="preserve">Wash. Rev. Code Ann. </w:t>
            </w:r>
            <w:r w:rsidRPr="008D6DF1">
              <w:t>§</w:t>
            </w:r>
            <w:r w:rsidR="00AE6E1D" w:rsidRPr="008D6DF1">
              <w:t>§19.77.010,</w:t>
            </w:r>
          </w:p>
          <w:p w14:paraId="716737F1" w14:textId="0D4C3FC5" w:rsidR="00AE6E1D" w:rsidRPr="008D6DF1" w:rsidRDefault="00AE6E1D" w:rsidP="00317169">
            <w:pPr>
              <w:pStyle w:val="BNormal"/>
            </w:pPr>
            <w:r w:rsidRPr="008D6DF1">
              <w:t>19.77.160</w:t>
            </w:r>
          </w:p>
        </w:tc>
        <w:tc>
          <w:tcPr>
            <w:tcW w:w="600" w:type="dxa"/>
            <w:tcBorders>
              <w:top w:val="nil"/>
              <w:left w:val="nil"/>
              <w:bottom w:val="nil"/>
              <w:right w:val="nil"/>
            </w:tcBorders>
            <w:tcMar>
              <w:left w:w="0" w:type="dxa"/>
              <w:right w:w="0" w:type="dxa"/>
            </w:tcMar>
          </w:tcPr>
          <w:p w14:paraId="79BA497C" w14:textId="77777777" w:rsidR="008D6DF1" w:rsidRPr="008D6DF1" w:rsidRDefault="008D6DF1" w:rsidP="00317169">
            <w:pPr>
              <w:pStyle w:val="BNormal"/>
            </w:pPr>
          </w:p>
          <w:p w14:paraId="0DAF4D62"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7AA2136D" w14:textId="77777777" w:rsidR="008D6DF1" w:rsidRPr="008D6DF1" w:rsidRDefault="008D6DF1" w:rsidP="00317169">
            <w:pPr>
              <w:pStyle w:val="BNormal"/>
            </w:pPr>
          </w:p>
          <w:p w14:paraId="2239DC8D" w14:textId="77777777" w:rsidR="00AE6E1D" w:rsidRPr="008D6DF1" w:rsidRDefault="00AE6E1D" w:rsidP="00317169">
            <w:pPr>
              <w:pStyle w:val="BNormal"/>
            </w:pPr>
            <w:r w:rsidRPr="008D6DF1">
              <w:t xml:space="preserve">     ‡</w:t>
            </w:r>
          </w:p>
        </w:tc>
        <w:tc>
          <w:tcPr>
            <w:tcW w:w="600" w:type="dxa"/>
            <w:tcBorders>
              <w:top w:val="nil"/>
              <w:left w:val="nil"/>
              <w:bottom w:val="nil"/>
              <w:right w:val="nil"/>
            </w:tcBorders>
            <w:tcMar>
              <w:left w:w="0" w:type="dxa"/>
              <w:right w:w="0" w:type="dxa"/>
            </w:tcMar>
          </w:tcPr>
          <w:p w14:paraId="36D046B1" w14:textId="77777777" w:rsidR="008D6DF1" w:rsidRPr="008D6DF1" w:rsidRDefault="008D6DF1" w:rsidP="00317169">
            <w:pPr>
              <w:pStyle w:val="BNormal"/>
            </w:pPr>
          </w:p>
          <w:p w14:paraId="3A97989A" w14:textId="77777777" w:rsidR="00AE6E1D" w:rsidRPr="008D6DF1" w:rsidRDefault="00AE6E1D" w:rsidP="00317169">
            <w:pPr>
              <w:pStyle w:val="BNormal"/>
            </w:pPr>
            <w:r w:rsidRPr="008D6DF1">
              <w:t>X</w:t>
            </w:r>
          </w:p>
        </w:tc>
        <w:tc>
          <w:tcPr>
            <w:tcW w:w="600" w:type="dxa"/>
            <w:tcBorders>
              <w:top w:val="nil"/>
              <w:left w:val="nil"/>
              <w:bottom w:val="nil"/>
              <w:right w:val="nil"/>
            </w:tcBorders>
            <w:tcMar>
              <w:left w:w="0" w:type="dxa"/>
              <w:right w:w="0" w:type="dxa"/>
            </w:tcMar>
          </w:tcPr>
          <w:p w14:paraId="64C60D22" w14:textId="77777777" w:rsidR="00AE6E1D" w:rsidRPr="008D6DF1" w:rsidRDefault="00AE6E1D" w:rsidP="00317169">
            <w:pPr>
              <w:pStyle w:val="BNormal"/>
            </w:pPr>
          </w:p>
        </w:tc>
        <w:tc>
          <w:tcPr>
            <w:tcW w:w="1080" w:type="dxa"/>
            <w:tcBorders>
              <w:top w:val="nil"/>
              <w:left w:val="nil"/>
              <w:bottom w:val="nil"/>
              <w:right w:val="nil"/>
            </w:tcBorders>
            <w:tcMar>
              <w:left w:w="0" w:type="dxa"/>
              <w:right w:w="0" w:type="dxa"/>
            </w:tcMar>
          </w:tcPr>
          <w:p w14:paraId="6F34C525" w14:textId="77777777" w:rsidR="008D6DF1" w:rsidRPr="008D6DF1" w:rsidRDefault="008D6DF1" w:rsidP="00317169">
            <w:pPr>
              <w:pStyle w:val="BNormal"/>
            </w:pPr>
          </w:p>
          <w:p w14:paraId="24C686AA" w14:textId="77777777" w:rsidR="00AE6E1D" w:rsidRPr="008D6DF1" w:rsidRDefault="00AE6E1D" w:rsidP="00317169">
            <w:pPr>
              <w:pStyle w:val="BNormal"/>
            </w:pPr>
            <w:r w:rsidRPr="008D6DF1">
              <w:t>July 23, 2003</w:t>
            </w:r>
          </w:p>
        </w:tc>
      </w:tr>
      <w:tr w:rsidR="00AE6E1D" w:rsidRPr="008D6DF1" w14:paraId="618881DF" w14:textId="77777777" w:rsidTr="008D6DF1">
        <w:tc>
          <w:tcPr>
            <w:tcW w:w="1560" w:type="dxa"/>
            <w:tcBorders>
              <w:top w:val="nil"/>
              <w:left w:val="nil"/>
              <w:bottom w:val="nil"/>
              <w:right w:val="nil"/>
            </w:tcBorders>
            <w:tcMar>
              <w:left w:w="0" w:type="dxa"/>
              <w:right w:w="0" w:type="dxa"/>
            </w:tcMar>
          </w:tcPr>
          <w:p w14:paraId="567C1C45" w14:textId="77777777" w:rsidR="008D6DF1" w:rsidRPr="008D6DF1" w:rsidRDefault="008D6DF1" w:rsidP="00317169">
            <w:pPr>
              <w:pStyle w:val="BNormal"/>
            </w:pPr>
          </w:p>
          <w:p w14:paraId="58BE9004" w14:textId="77777777" w:rsidR="00AE6E1D" w:rsidRPr="008D6DF1" w:rsidRDefault="00AE6E1D" w:rsidP="00317169">
            <w:pPr>
              <w:pStyle w:val="BNormal"/>
            </w:pPr>
            <w:r w:rsidRPr="008D6DF1">
              <w:t>West Virginia</w:t>
            </w:r>
          </w:p>
        </w:tc>
        <w:tc>
          <w:tcPr>
            <w:tcW w:w="1920" w:type="dxa"/>
            <w:tcBorders>
              <w:top w:val="nil"/>
              <w:left w:val="nil"/>
              <w:bottom w:val="nil"/>
              <w:right w:val="nil"/>
            </w:tcBorders>
            <w:tcMar>
              <w:left w:w="0" w:type="dxa"/>
              <w:right w:w="0" w:type="dxa"/>
            </w:tcMar>
          </w:tcPr>
          <w:p w14:paraId="72555868" w14:textId="77777777" w:rsidR="008D6DF1" w:rsidRPr="004D355E" w:rsidRDefault="008D6DF1" w:rsidP="00317169">
            <w:pPr>
              <w:pStyle w:val="BNormal"/>
              <w:rPr>
                <w:rStyle w:val="BBNAidChar"/>
              </w:rPr>
            </w:pPr>
          </w:p>
          <w:p w14:paraId="3EC1E5FA" w14:textId="6E50DDB3" w:rsidR="00AE6E1D" w:rsidRPr="008D6DF1" w:rsidRDefault="008D6DF1" w:rsidP="00317169">
            <w:pPr>
              <w:pStyle w:val="BNormal"/>
            </w:pPr>
            <w:r w:rsidRPr="00317169">
              <w:rPr>
                <w:rFonts w:eastAsiaTheme="majorEastAsia"/>
              </w:rPr>
              <w:t>W</w:t>
            </w:r>
            <w:r w:rsidRPr="00317169">
              <w:t>.</w:t>
            </w:r>
            <w:r w:rsidRPr="008D6DF1">
              <w:rPr>
                <w:smallCaps/>
              </w:rPr>
              <w:t xml:space="preserve"> Va. Code</w:t>
            </w:r>
            <w:r w:rsidR="00AE6E1D" w:rsidRPr="008D6DF1">
              <w:t xml:space="preserve"> §§47-2-1, 47-2-13</w:t>
            </w:r>
          </w:p>
        </w:tc>
        <w:tc>
          <w:tcPr>
            <w:tcW w:w="600" w:type="dxa"/>
            <w:tcBorders>
              <w:top w:val="nil"/>
              <w:left w:val="nil"/>
              <w:bottom w:val="nil"/>
              <w:right w:val="nil"/>
            </w:tcBorders>
            <w:tcMar>
              <w:left w:w="0" w:type="dxa"/>
              <w:right w:w="0" w:type="dxa"/>
            </w:tcMar>
          </w:tcPr>
          <w:p w14:paraId="2FA06CC1"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4F2D89B6" w14:textId="77777777" w:rsidR="008D6DF1" w:rsidRPr="008D6DF1" w:rsidRDefault="008D6DF1" w:rsidP="00317169">
            <w:pPr>
              <w:pStyle w:val="BNormal"/>
            </w:pPr>
          </w:p>
          <w:p w14:paraId="15EDB813" w14:textId="77777777" w:rsidR="00AE6E1D" w:rsidRPr="008D6DF1" w:rsidRDefault="00AE6E1D" w:rsidP="00317169">
            <w:pPr>
              <w:pStyle w:val="BNormal"/>
            </w:pPr>
            <w:r w:rsidRPr="008D6DF1">
              <w:t xml:space="preserve">     X</w:t>
            </w:r>
          </w:p>
        </w:tc>
        <w:tc>
          <w:tcPr>
            <w:tcW w:w="600" w:type="dxa"/>
            <w:tcBorders>
              <w:top w:val="nil"/>
              <w:left w:val="nil"/>
              <w:bottom w:val="nil"/>
              <w:right w:val="nil"/>
            </w:tcBorders>
            <w:tcMar>
              <w:left w:w="0" w:type="dxa"/>
              <w:right w:w="0" w:type="dxa"/>
            </w:tcMar>
          </w:tcPr>
          <w:p w14:paraId="5BBB6354"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3EDE70B9" w14:textId="77777777" w:rsidR="00AE6E1D" w:rsidRPr="008D6DF1" w:rsidRDefault="00AE6E1D" w:rsidP="00317169">
            <w:pPr>
              <w:pStyle w:val="BNormal"/>
            </w:pPr>
          </w:p>
        </w:tc>
        <w:tc>
          <w:tcPr>
            <w:tcW w:w="1080" w:type="dxa"/>
            <w:tcBorders>
              <w:top w:val="nil"/>
              <w:left w:val="nil"/>
              <w:bottom w:val="nil"/>
              <w:right w:val="nil"/>
            </w:tcBorders>
            <w:tcMar>
              <w:left w:w="0" w:type="dxa"/>
              <w:right w:w="0" w:type="dxa"/>
            </w:tcMar>
          </w:tcPr>
          <w:p w14:paraId="2108F5BE" w14:textId="77777777" w:rsidR="008D6DF1" w:rsidRPr="008D6DF1" w:rsidRDefault="008D6DF1" w:rsidP="00317169">
            <w:pPr>
              <w:pStyle w:val="BNormal"/>
            </w:pPr>
          </w:p>
          <w:p w14:paraId="210896A8" w14:textId="77777777" w:rsidR="00AE6E1D" w:rsidRPr="008D6DF1" w:rsidRDefault="00AE6E1D" w:rsidP="00317169">
            <w:pPr>
              <w:pStyle w:val="BNormal"/>
            </w:pPr>
            <w:r w:rsidRPr="008D6DF1">
              <w:t>1996</w:t>
            </w:r>
          </w:p>
        </w:tc>
      </w:tr>
      <w:tr w:rsidR="00AE6E1D" w:rsidRPr="008D6DF1" w14:paraId="303EB84E" w14:textId="77777777" w:rsidTr="008D6DF1">
        <w:tc>
          <w:tcPr>
            <w:tcW w:w="1560" w:type="dxa"/>
            <w:tcBorders>
              <w:top w:val="nil"/>
              <w:left w:val="nil"/>
              <w:bottom w:val="nil"/>
              <w:right w:val="nil"/>
            </w:tcBorders>
            <w:tcMar>
              <w:left w:w="0" w:type="dxa"/>
              <w:right w:w="0" w:type="dxa"/>
            </w:tcMar>
          </w:tcPr>
          <w:p w14:paraId="6FC83FB4" w14:textId="77777777" w:rsidR="008D6DF1" w:rsidRPr="008D6DF1" w:rsidRDefault="008D6DF1" w:rsidP="00317169">
            <w:pPr>
              <w:pStyle w:val="BNormal"/>
            </w:pPr>
          </w:p>
          <w:p w14:paraId="767DF756" w14:textId="77777777" w:rsidR="00AE6E1D" w:rsidRPr="008D6DF1" w:rsidRDefault="00AE6E1D" w:rsidP="00317169">
            <w:pPr>
              <w:pStyle w:val="BNormal"/>
            </w:pPr>
            <w:r w:rsidRPr="008D6DF1">
              <w:t>Wyoming</w:t>
            </w:r>
          </w:p>
        </w:tc>
        <w:tc>
          <w:tcPr>
            <w:tcW w:w="1920" w:type="dxa"/>
            <w:tcBorders>
              <w:top w:val="nil"/>
              <w:left w:val="nil"/>
              <w:bottom w:val="nil"/>
              <w:right w:val="nil"/>
            </w:tcBorders>
            <w:tcMar>
              <w:left w:w="0" w:type="dxa"/>
              <w:right w:w="0" w:type="dxa"/>
            </w:tcMar>
          </w:tcPr>
          <w:p w14:paraId="7040D9BE" w14:textId="77777777" w:rsidR="008D6DF1" w:rsidRPr="008D6DF1" w:rsidRDefault="008D6DF1" w:rsidP="00317169">
            <w:pPr>
              <w:pStyle w:val="BNormal"/>
            </w:pPr>
          </w:p>
          <w:p w14:paraId="0A952052" w14:textId="2F562047" w:rsidR="008D6DF1" w:rsidRPr="008D6DF1" w:rsidRDefault="008D6DF1" w:rsidP="00317169">
            <w:pPr>
              <w:pStyle w:val="BNormal"/>
            </w:pPr>
            <w:r w:rsidRPr="008D6DF1">
              <w:rPr>
                <w:smallCaps/>
              </w:rPr>
              <w:t>Wyo. Stat. Ann.</w:t>
            </w:r>
          </w:p>
          <w:p w14:paraId="72BC67DB" w14:textId="77777777" w:rsidR="008D6DF1" w:rsidRPr="008D6DF1" w:rsidRDefault="00AE6E1D" w:rsidP="00317169">
            <w:pPr>
              <w:pStyle w:val="BNormal"/>
            </w:pPr>
            <w:r w:rsidRPr="008D6DF1">
              <w:t>§§40-1-101(j),</w:t>
            </w:r>
          </w:p>
          <w:p w14:paraId="187CDB00" w14:textId="1605ACA1" w:rsidR="00AE6E1D" w:rsidRPr="008D6DF1" w:rsidRDefault="00AE6E1D" w:rsidP="00317169">
            <w:pPr>
              <w:pStyle w:val="BNormal"/>
            </w:pPr>
            <w:r w:rsidRPr="008D6DF1">
              <w:t>40-1-115</w:t>
            </w:r>
          </w:p>
        </w:tc>
        <w:tc>
          <w:tcPr>
            <w:tcW w:w="600" w:type="dxa"/>
            <w:tcBorders>
              <w:top w:val="nil"/>
              <w:left w:val="nil"/>
              <w:bottom w:val="nil"/>
              <w:right w:val="nil"/>
            </w:tcBorders>
            <w:tcMar>
              <w:left w:w="0" w:type="dxa"/>
              <w:right w:w="0" w:type="dxa"/>
            </w:tcMar>
          </w:tcPr>
          <w:p w14:paraId="40E9232C" w14:textId="77777777" w:rsidR="008D6DF1" w:rsidRPr="008D6DF1" w:rsidRDefault="008D6DF1" w:rsidP="00317169">
            <w:pPr>
              <w:pStyle w:val="BNormal"/>
            </w:pPr>
          </w:p>
          <w:p w14:paraId="1EBA2BD9"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4AF732B7" w14:textId="77777777" w:rsidR="008D6DF1" w:rsidRPr="008D6DF1" w:rsidRDefault="008D6DF1" w:rsidP="00317169">
            <w:pPr>
              <w:pStyle w:val="BNormal"/>
            </w:pPr>
          </w:p>
          <w:p w14:paraId="1BC2FB1D" w14:textId="77777777" w:rsidR="008D6DF1" w:rsidRPr="008D6DF1" w:rsidRDefault="00AE6E1D" w:rsidP="00317169">
            <w:pPr>
              <w:pStyle w:val="BNormal"/>
            </w:pPr>
            <w:r w:rsidRPr="008D6DF1">
              <w:t>X</w:t>
            </w:r>
          </w:p>
          <w:p w14:paraId="4628AA8C" w14:textId="08616742"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22283A7D" w14:textId="77777777" w:rsidR="008D6DF1" w:rsidRPr="008D6DF1" w:rsidRDefault="008D6DF1" w:rsidP="00317169">
            <w:pPr>
              <w:pStyle w:val="BNormal"/>
            </w:pPr>
          </w:p>
          <w:p w14:paraId="6C33EFE3" w14:textId="77777777" w:rsidR="00AE6E1D" w:rsidRPr="008D6DF1" w:rsidRDefault="00AE6E1D" w:rsidP="00317169">
            <w:pPr>
              <w:pStyle w:val="BNormal"/>
            </w:pPr>
          </w:p>
        </w:tc>
        <w:tc>
          <w:tcPr>
            <w:tcW w:w="600" w:type="dxa"/>
            <w:tcBorders>
              <w:top w:val="nil"/>
              <w:left w:val="nil"/>
              <w:bottom w:val="nil"/>
              <w:right w:val="nil"/>
            </w:tcBorders>
            <w:tcMar>
              <w:left w:w="0" w:type="dxa"/>
              <w:right w:w="0" w:type="dxa"/>
            </w:tcMar>
          </w:tcPr>
          <w:p w14:paraId="7C5894AA" w14:textId="77777777" w:rsidR="008D6DF1" w:rsidRPr="008D6DF1" w:rsidRDefault="008D6DF1" w:rsidP="00317169">
            <w:pPr>
              <w:pStyle w:val="BNormal"/>
            </w:pPr>
          </w:p>
          <w:p w14:paraId="12BC107E" w14:textId="77777777" w:rsidR="00AE6E1D" w:rsidRPr="008D6DF1" w:rsidRDefault="00AE6E1D" w:rsidP="00317169">
            <w:pPr>
              <w:pStyle w:val="BNormal"/>
            </w:pPr>
          </w:p>
        </w:tc>
        <w:tc>
          <w:tcPr>
            <w:tcW w:w="1080" w:type="dxa"/>
            <w:tcBorders>
              <w:top w:val="nil"/>
              <w:left w:val="nil"/>
              <w:bottom w:val="nil"/>
              <w:right w:val="nil"/>
            </w:tcBorders>
            <w:tcMar>
              <w:left w:w="0" w:type="dxa"/>
              <w:right w:w="0" w:type="dxa"/>
            </w:tcMar>
          </w:tcPr>
          <w:p w14:paraId="6D4C33FE" w14:textId="77777777" w:rsidR="008D6DF1" w:rsidRPr="008D6DF1" w:rsidRDefault="008D6DF1" w:rsidP="00317169">
            <w:pPr>
              <w:pStyle w:val="BNormal"/>
            </w:pPr>
          </w:p>
          <w:p w14:paraId="2E6A8D62" w14:textId="77777777" w:rsidR="008D6DF1" w:rsidRPr="008D6DF1" w:rsidRDefault="00AE6E1D" w:rsidP="00317169">
            <w:pPr>
              <w:pStyle w:val="BNormal"/>
            </w:pPr>
            <w:r w:rsidRPr="008D6DF1">
              <w:t>1997</w:t>
            </w:r>
          </w:p>
          <w:p w14:paraId="3AC4F02D" w14:textId="1F738964" w:rsidR="00AE6E1D" w:rsidRPr="008D6DF1" w:rsidRDefault="00AE6E1D" w:rsidP="00317169">
            <w:pPr>
              <w:pStyle w:val="BNormal"/>
            </w:pPr>
          </w:p>
        </w:tc>
      </w:tr>
    </w:tbl>
    <w:p w14:paraId="48BEAA17" w14:textId="77777777" w:rsidR="008D6DF1" w:rsidRPr="008D6DF1" w:rsidRDefault="008D6DF1" w:rsidP="008D6DF1">
      <w:pPr>
        <w:pStyle w:val="BNormal"/>
      </w:pPr>
    </w:p>
    <w:p w14:paraId="11133622" w14:textId="09985009" w:rsidR="008D6DF1" w:rsidRPr="008D6DF1" w:rsidRDefault="008D6DF1" w:rsidP="008D6DF1">
      <w:pPr>
        <w:pStyle w:val="BQuotelong"/>
      </w:pPr>
      <w:r w:rsidRPr="008D6DF1">
        <w:rPr>
          <w:b/>
        </w:rPr>
        <w:t>1992 Type</w:t>
      </w:r>
      <w:r w:rsidRPr="008D6DF1">
        <w:t>: S</w:t>
      </w:r>
      <w:r w:rsidR="00AE6E1D" w:rsidRPr="008D6DF1">
        <w:t>tatutes patterned after the 1992 Model State Trademark Bill.</w:t>
      </w:r>
    </w:p>
    <w:p w14:paraId="78BB1906" w14:textId="33430C43" w:rsidR="008D6DF1" w:rsidRPr="008D6DF1" w:rsidRDefault="008D6DF1" w:rsidP="008D6DF1">
      <w:pPr>
        <w:pStyle w:val="BQuotelong"/>
      </w:pPr>
      <w:r w:rsidRPr="008D6DF1">
        <w:rPr>
          <w:b/>
        </w:rPr>
        <w:t>1996 Type</w:t>
      </w:r>
      <w:r w:rsidRPr="008D6DF1">
        <w:t>: S</w:t>
      </w:r>
      <w:r w:rsidR="00AE6E1D" w:rsidRPr="008D6DF1">
        <w:t>tatutes patterned after the 1996 Model State Trademark Bill.</w:t>
      </w:r>
    </w:p>
    <w:p w14:paraId="13CCE329" w14:textId="2E3A3983" w:rsidR="008D6DF1" w:rsidRPr="008D6DF1" w:rsidRDefault="008D6DF1" w:rsidP="008D6DF1">
      <w:pPr>
        <w:pStyle w:val="BQuotelong"/>
      </w:pPr>
      <w:r w:rsidRPr="008D6DF1">
        <w:rPr>
          <w:b/>
        </w:rPr>
        <w:t xml:space="preserve">2007 Type: </w:t>
      </w:r>
      <w:r w:rsidRPr="008D6DF1">
        <w:t>S</w:t>
      </w:r>
      <w:r w:rsidR="00AE6E1D" w:rsidRPr="008D6DF1">
        <w:t>tatutes patterned after the 2007 Model State Trademark Bill.</w:t>
      </w:r>
    </w:p>
    <w:p w14:paraId="6AB21316" w14:textId="0ABD21E5" w:rsidR="008D6DF1" w:rsidRPr="008D6DF1" w:rsidRDefault="008D6DF1" w:rsidP="008D6DF1">
      <w:pPr>
        <w:pStyle w:val="BQuotelong"/>
      </w:pPr>
      <w:r w:rsidRPr="008D6DF1">
        <w:rPr>
          <w:b/>
        </w:rPr>
        <w:t>Effective Date</w:t>
      </w:r>
      <w:r w:rsidRPr="008D6DF1">
        <w:t>: T</w:t>
      </w:r>
      <w:r w:rsidR="00AE6E1D" w:rsidRPr="008D6DF1">
        <w:t xml:space="preserve">he effective date of the </w:t>
      </w:r>
      <w:r w:rsidRPr="008D6DF1">
        <w:rPr>
          <w:i/>
        </w:rPr>
        <w:t>current</w:t>
      </w:r>
      <w:r w:rsidR="00AE6E1D" w:rsidRPr="008D6DF1">
        <w:t xml:space="preserve"> statute.</w:t>
      </w:r>
    </w:p>
    <w:p w14:paraId="41FB268F" w14:textId="14CA16BA" w:rsidR="008D6DF1" w:rsidRPr="008D6DF1" w:rsidRDefault="008D6DF1" w:rsidP="008D6DF1">
      <w:pPr>
        <w:pStyle w:val="BQuotelong"/>
      </w:pPr>
      <w:r w:rsidRPr="008D6DF1">
        <w:rPr>
          <w:b/>
        </w:rPr>
        <w:t>**</w:t>
      </w:r>
      <w:r w:rsidR="00AE6E1D" w:rsidRPr="008D6DF1">
        <w:t>These states formerly had “1964 Type” statutes.</w:t>
      </w:r>
    </w:p>
    <w:p w14:paraId="1E42B0C2" w14:textId="27D68A74" w:rsidR="008D6DF1" w:rsidRPr="008D6DF1" w:rsidRDefault="00AE6E1D" w:rsidP="008D6DF1">
      <w:pPr>
        <w:pStyle w:val="BQuotelong"/>
      </w:pPr>
      <w:r w:rsidRPr="008D6DF1">
        <w:t>††These states formerly had either “1992 Type” or “1996 Type” statutes.</w:t>
      </w:r>
    </w:p>
    <w:p w14:paraId="7DD0A1D0" w14:textId="6C8A5669" w:rsidR="008D6DF1" w:rsidRPr="008D6DF1" w:rsidRDefault="00AE6E1D" w:rsidP="008D6DF1">
      <w:pPr>
        <w:pStyle w:val="BQuotelong"/>
      </w:pPr>
      <w:r w:rsidRPr="008D6DF1">
        <w:t xml:space="preserve">†In 1994, Minnesota enacted a statute </w:t>
      </w:r>
      <w:proofErr w:type="gramStart"/>
      <w:r w:rsidRPr="008D6DF1">
        <w:t>similar to</w:t>
      </w:r>
      <w:proofErr w:type="gramEnd"/>
      <w:r w:rsidRPr="008D6DF1">
        <w:t xml:space="preserve"> the 1964 Model Bill, but with more detail, including a definition of dilution</w:t>
      </w:r>
      <w:r w:rsidR="008D6DF1" w:rsidRPr="008D6DF1">
        <w:t>. T</w:t>
      </w:r>
      <w:r w:rsidRPr="008D6DF1">
        <w:t>hat statute was replaced in 1998.</w:t>
      </w:r>
    </w:p>
    <w:p w14:paraId="783A6DD3" w14:textId="1221E4EC" w:rsidR="008D6DF1" w:rsidRPr="008D6DF1" w:rsidRDefault="00AE6E1D" w:rsidP="008D6DF1">
      <w:pPr>
        <w:pStyle w:val="BQuotelong"/>
      </w:pPr>
      <w:r w:rsidRPr="008D6DF1">
        <w:t xml:space="preserve">‡Washington’s original statute was </w:t>
      </w:r>
      <w:proofErr w:type="gramStart"/>
      <w:r w:rsidRPr="008D6DF1">
        <w:t>actually patterned</w:t>
      </w:r>
      <w:proofErr w:type="gramEnd"/>
      <w:r w:rsidRPr="008D6DF1">
        <w:t xml:space="preserve"> after the 1988 federal dilution bill, which was not enacted</w:t>
      </w:r>
      <w:r w:rsidR="008D6DF1" w:rsidRPr="008D6DF1">
        <w:t>. I</w:t>
      </w:r>
      <w:r w:rsidRPr="008D6DF1">
        <w:t>t was most like the 1992 Model Bill</w:t>
      </w:r>
      <w:r w:rsidR="008D6DF1" w:rsidRPr="008D6DF1">
        <w:t>. T</w:t>
      </w:r>
      <w:r w:rsidRPr="008D6DF1">
        <w:t>his statute was amended in 2003 to conform to the 1996 Model Bill.</w:t>
      </w:r>
    </w:p>
    <w:p w14:paraId="04F5E841" w14:textId="07F0D54A" w:rsidR="008D6DF1" w:rsidRPr="008D6DF1" w:rsidRDefault="004D355E" w:rsidP="00EF7E3C">
      <w:pPr>
        <w:pStyle w:val="BHead2"/>
      </w:pPr>
      <w:r w:rsidRPr="004D355E">
        <w:t>1.III.</w:t>
      </w:r>
      <w:r w:rsidR="008D6DF1" w:rsidRPr="004D355E">
        <w:rPr>
          <w:rStyle w:val="BBNAidChar"/>
          <w:rFonts w:eastAsiaTheme="majorEastAsia"/>
        </w:rPr>
        <w:t>B</w:t>
      </w:r>
      <w:r w:rsidR="008D6DF1" w:rsidRPr="008D6DF1">
        <w:t>.</w:t>
      </w:r>
      <w:r w:rsidR="008D6DF1" w:rsidRPr="008D6DF1">
        <w:tab/>
        <w:t>Common-Law Dilution Claims</w:t>
      </w:r>
    </w:p>
    <w:p w14:paraId="42CA53BA" w14:textId="150ABB35" w:rsidR="008D6DF1" w:rsidRPr="008D6DF1" w:rsidRDefault="00AE6E1D" w:rsidP="008D6DF1">
      <w:pPr>
        <w:pStyle w:val="BNormal"/>
      </w:pPr>
      <w:r w:rsidRPr="008D6DF1">
        <w:lastRenderedPageBreak/>
        <w:t>In a few very early cases, the courts appeared to recognize dilution as a form of trademark protection at common law.</w:t>
      </w:r>
      <w:r w:rsidR="008D6DF1" w:rsidRPr="008D6DF1">
        <w:rPr>
          <w:vertAlign w:val="superscript"/>
        </w:rPr>
        <w:footnoteReference w:id="149"/>
      </w:r>
      <w:r w:rsidRPr="008D6DF1">
        <w:t xml:space="preserve"> However, those courts also used the language of traditional infringement by confusion to justify their opinions</w:t>
      </w:r>
      <w:r w:rsidR="008D6DF1" w:rsidRPr="008D6DF1">
        <w:t>. S</w:t>
      </w:r>
      <w:r w:rsidRPr="008D6DF1">
        <w:t>ince that time, only rarely have courts recognized dilution by common law</w:t>
      </w:r>
      <w:r w:rsidR="008D6DF1" w:rsidRPr="008D6DF1">
        <w:t>. T</w:t>
      </w:r>
      <w:r w:rsidRPr="008D6DF1">
        <w:t>he most prominent such case is from Ohio, where a federal court of appeals held that Ohio law provided dilution protection.</w:t>
      </w:r>
      <w:r w:rsidR="008D6DF1" w:rsidRPr="008D6DF1">
        <w:rPr>
          <w:vertAlign w:val="superscript"/>
        </w:rPr>
        <w:footnoteReference w:id="150"/>
      </w:r>
      <w:r w:rsidRPr="008D6DF1">
        <w:t xml:space="preserve"> This ruling was followed in subsequent cases.</w:t>
      </w:r>
      <w:r w:rsidR="008D6DF1" w:rsidRPr="008D6DF1">
        <w:rPr>
          <w:vertAlign w:val="superscript"/>
        </w:rPr>
        <w:footnoteReference w:id="151"/>
      </w:r>
      <w:r w:rsidRPr="008D6DF1">
        <w:t xml:space="preserve"> A New Jersey appellate court also indicated a willingness to recognize a common-law dilution claim, although that state now has a statute.</w:t>
      </w:r>
      <w:r w:rsidR="008D6DF1" w:rsidRPr="008D6DF1">
        <w:rPr>
          <w:vertAlign w:val="superscript"/>
        </w:rPr>
        <w:footnoteReference w:id="152"/>
      </w:r>
      <w:r w:rsidRPr="008D6DF1">
        <w:t xml:space="preserve"> A federal court in the Virgin Islands apparently assumed that the Virgin Islands would permit a common-law dilution claim, although it denied the claim on the merits on the erroneous assumption that the Restatement (Third) of Unfair Competition requires likelihood of confusion for dilution.</w:t>
      </w:r>
      <w:r w:rsidR="008D6DF1" w:rsidRPr="008D6DF1">
        <w:rPr>
          <w:vertAlign w:val="superscript"/>
        </w:rPr>
        <w:footnoteReference w:id="153"/>
      </w:r>
      <w:r w:rsidRPr="008D6DF1">
        <w:t xml:space="preserve"> In another case, a plaintiff asserted a claim for dilution under North Dakota law, without specifying the source</w:t>
      </w:r>
      <w:r w:rsidR="008D6DF1" w:rsidRPr="008D6DF1">
        <w:t>; N</w:t>
      </w:r>
      <w:r w:rsidRPr="008D6DF1">
        <w:t>orth Dakota has no dilution statute and the court was not asked at that point to rule on the claim as such.</w:t>
      </w:r>
      <w:r w:rsidR="008D6DF1" w:rsidRPr="008D6DF1">
        <w:rPr>
          <w:vertAlign w:val="superscript"/>
        </w:rPr>
        <w:footnoteReference w:id="154"/>
      </w:r>
      <w:r w:rsidRPr="008D6DF1">
        <w:t xml:space="preserve"> Similarly, a federal court in the District of Columbia appears to have assumed without actually deciding that a common-law dilution claim can be asserted under D.C</w:t>
      </w:r>
      <w:r w:rsidR="008D6DF1" w:rsidRPr="008D6DF1">
        <w:t>. l</w:t>
      </w:r>
      <w:r w:rsidRPr="008D6DF1">
        <w:t>aw.</w:t>
      </w:r>
      <w:r w:rsidR="008D6DF1" w:rsidRPr="008D6DF1">
        <w:rPr>
          <w:vertAlign w:val="superscript"/>
        </w:rPr>
        <w:footnoteReference w:id="155"/>
      </w:r>
      <w:r w:rsidRPr="008D6DF1">
        <w:t xml:space="preserve"> The district does not have a dilution statute</w:t>
      </w:r>
      <w:r w:rsidR="008D6DF1" w:rsidRPr="008D6DF1">
        <w:t>. I</w:t>
      </w:r>
      <w:r w:rsidRPr="008D6DF1">
        <w:t>t has been asserted that Michigan recognizes dilution under common law,</w:t>
      </w:r>
      <w:r w:rsidR="008D6DF1" w:rsidRPr="008D6DF1">
        <w:rPr>
          <w:vertAlign w:val="superscript"/>
        </w:rPr>
        <w:footnoteReference w:id="156"/>
      </w:r>
      <w:r w:rsidRPr="008D6DF1">
        <w:t xml:space="preserve"> but several courts applying Michigan law have held to the contrary.</w:t>
      </w:r>
      <w:r w:rsidR="008D6DF1" w:rsidRPr="008D6DF1">
        <w:rPr>
          <w:vertAlign w:val="superscript"/>
        </w:rPr>
        <w:footnoteReference w:id="157"/>
      </w:r>
      <w:r w:rsidRPr="008D6DF1">
        <w:t xml:space="preserve"> A </w:t>
      </w:r>
      <w:r w:rsidRPr="008D6DF1">
        <w:lastRenderedPageBreak/>
        <w:t>Virginia federal court denied the existence of a common-law dilution claim in that state.</w:t>
      </w:r>
      <w:r w:rsidR="008D6DF1" w:rsidRPr="008D6DF1">
        <w:rPr>
          <w:vertAlign w:val="superscript"/>
        </w:rPr>
        <w:footnoteReference w:id="158"/>
      </w:r>
      <w:r w:rsidRPr="008D6DF1">
        <w:t xml:space="preserve"> Given the prevalence of statutory protection and the existence of a federal dilution statute, there is little reason for state courts (or federal courts interpreting state law) to create common-law dilution claims.</w:t>
      </w:r>
      <w:r w:rsidR="008D6DF1" w:rsidRPr="008D6DF1">
        <w:rPr>
          <w:vertAlign w:val="superscript"/>
        </w:rPr>
        <w:footnoteReference w:id="159"/>
      </w:r>
      <w:r w:rsidRPr="008D6DF1">
        <w:t xml:space="preserve"> The task of creating such rights is best left to the discretion of state legislators.</w:t>
      </w:r>
    </w:p>
    <w:p w14:paraId="05DE1FBF" w14:textId="00E86135" w:rsidR="008D6DF1" w:rsidRPr="008D6DF1" w:rsidRDefault="004D355E" w:rsidP="00EF7E3C">
      <w:pPr>
        <w:pStyle w:val="BHead2"/>
      </w:pPr>
      <w:r w:rsidRPr="004D355E">
        <w:t>1.III.</w:t>
      </w:r>
      <w:r w:rsidR="008D6DF1" w:rsidRPr="004D355E">
        <w:rPr>
          <w:rStyle w:val="BBNAidChar"/>
          <w:rFonts w:eastAsiaTheme="majorEastAsia"/>
        </w:rPr>
        <w:t>C</w:t>
      </w:r>
      <w:r w:rsidR="008D6DF1" w:rsidRPr="008D6DF1">
        <w:t>.</w:t>
      </w:r>
      <w:r w:rsidR="008D6DF1" w:rsidRPr="008D6DF1">
        <w:tab/>
        <w:t>Dilution Under Federal Law</w:t>
      </w:r>
    </w:p>
    <w:p w14:paraId="33B7CD57" w14:textId="57BCAA5B" w:rsidR="008D6DF1" w:rsidRPr="008D6DF1" w:rsidRDefault="00AE6E1D" w:rsidP="008D6DF1">
      <w:pPr>
        <w:pStyle w:val="BNormal"/>
      </w:pPr>
      <w:r w:rsidRPr="008D6DF1">
        <w:t>Although Frank Schechter testified in favor of federal dilution protection as early as 1932,</w:t>
      </w:r>
      <w:r w:rsidR="008D6DF1" w:rsidRPr="008D6DF1">
        <w:rPr>
          <w:vertAlign w:val="superscript"/>
        </w:rPr>
        <w:footnoteReference w:id="160"/>
      </w:r>
      <w:r w:rsidRPr="008D6DF1">
        <w:t xml:space="preserve"> no such protection was included in the Trademark Act of 1946 (the Lanham Act).</w:t>
      </w:r>
      <w:r w:rsidR="008D6DF1" w:rsidRPr="008D6DF1">
        <w:rPr>
          <w:vertAlign w:val="superscript"/>
        </w:rPr>
        <w:footnoteReference w:id="161"/>
      </w:r>
      <w:r w:rsidRPr="008D6DF1">
        <w:t xml:space="preserve"> As states began passing dilution statutes, federal law stood on the sidelines</w:t>
      </w:r>
      <w:r w:rsidR="008D6DF1" w:rsidRPr="008D6DF1">
        <w:t>. W</w:t>
      </w:r>
      <w:r w:rsidRPr="008D6DF1">
        <w:t>ithout statutory support, it generally was believed that federal law did not grant protection from dilution.</w:t>
      </w:r>
      <w:r w:rsidR="008D6DF1" w:rsidRPr="008D6DF1">
        <w:rPr>
          <w:vertAlign w:val="superscript"/>
        </w:rPr>
        <w:footnoteReference w:id="162"/>
      </w:r>
      <w:r w:rsidRPr="008D6DF1">
        <w:t xml:space="preserve"> In </w:t>
      </w:r>
      <w:proofErr w:type="gramStart"/>
      <w:r w:rsidRPr="008D6DF1">
        <w:t>a number of</w:t>
      </w:r>
      <w:proofErr w:type="gramEnd"/>
      <w:r w:rsidRPr="008D6DF1">
        <w:t xml:space="preserve"> proceedings before the Patent and Trademark Office prior to the enactment of a federal dilution statute, litigants argued that the applied-for mark would cause dilution of an existing mark</w:t>
      </w:r>
      <w:r w:rsidR="008D6DF1" w:rsidRPr="008D6DF1">
        <w:t>. H</w:t>
      </w:r>
      <w:r w:rsidRPr="008D6DF1">
        <w:t>owever, the PTO appears to have almost uniformly rejected such claims rather summarily, finding that the Lanham Act did not countenance a dilution claim.</w:t>
      </w:r>
      <w:r w:rsidR="008D6DF1" w:rsidRPr="008D6DF1">
        <w:rPr>
          <w:vertAlign w:val="superscript"/>
        </w:rPr>
        <w:footnoteReference w:id="163"/>
      </w:r>
      <w:r w:rsidRPr="008D6DF1">
        <w:t xml:space="preserve"> In 1988, the Senate passed a dilution provision as part of a comprehensive reform of the Lanham Act.</w:t>
      </w:r>
      <w:r w:rsidR="008D6DF1" w:rsidRPr="008D6DF1">
        <w:rPr>
          <w:vertAlign w:val="superscript"/>
        </w:rPr>
        <w:footnoteReference w:id="164"/>
      </w:r>
      <w:r w:rsidRPr="008D6DF1">
        <w:t xml:space="preserve"> The House refused to concur, however, and no dilution statute was passed.</w:t>
      </w:r>
    </w:p>
    <w:p w14:paraId="33BDDBC1" w14:textId="5AEAC884" w:rsidR="008D6DF1" w:rsidRPr="008D6DF1" w:rsidRDefault="00AE6E1D" w:rsidP="008D6DF1">
      <w:pPr>
        <w:pStyle w:val="BNormal"/>
      </w:pPr>
      <w:r w:rsidRPr="008D6DF1">
        <w:lastRenderedPageBreak/>
        <w:t>Finally, in 1995, a separate statute, the Federal Trademark Dilution Act of 1995, was enacted.</w:t>
      </w:r>
      <w:r w:rsidR="008D6DF1" w:rsidRPr="008D6DF1">
        <w:rPr>
          <w:vertAlign w:val="superscript"/>
        </w:rPr>
        <w:footnoteReference w:id="165"/>
      </w:r>
      <w:r w:rsidRPr="008D6DF1">
        <w:t xml:space="preserve"> The FTDA limited its protection to trademarks deemed “distinctive and famous,” using factors set forth in the statute.</w:t>
      </w:r>
      <w:r w:rsidR="008D6DF1" w:rsidRPr="008D6DF1">
        <w:rPr>
          <w:vertAlign w:val="superscript"/>
        </w:rPr>
        <w:footnoteReference w:id="166"/>
      </w:r>
      <w:r w:rsidRPr="008D6DF1">
        <w:t xml:space="preserve"> Unlike statutes using the 1964 Model State Trademark Bill, the FTDA contained a definition of dilution, albeit one that did not ameliorate the interpretive problems of the previous state laws.</w:t>
      </w:r>
      <w:r w:rsidR="008D6DF1" w:rsidRPr="008D6DF1">
        <w:rPr>
          <w:vertAlign w:val="superscript"/>
        </w:rPr>
        <w:footnoteReference w:id="167"/>
      </w:r>
    </w:p>
    <w:p w14:paraId="37C24B2C" w14:textId="0987F08A" w:rsidR="008D6DF1" w:rsidRPr="008D6DF1" w:rsidRDefault="00AE6E1D" w:rsidP="008D6DF1">
      <w:pPr>
        <w:pStyle w:val="BNormal"/>
      </w:pPr>
      <w:r w:rsidRPr="008D6DF1">
        <w:t>In 2006, three years after a Supreme Court decision that severely limited the scope of the FTDA,</w:t>
      </w:r>
      <w:r w:rsidR="008D6DF1" w:rsidRPr="008D6DF1">
        <w:rPr>
          <w:vertAlign w:val="superscript"/>
        </w:rPr>
        <w:footnoteReference w:id="168"/>
      </w:r>
      <w:r w:rsidRPr="008D6DF1">
        <w:t xml:space="preserve"> Congress enacted the Trademark Dilution Revision Act of 2006.</w:t>
      </w:r>
      <w:r w:rsidR="008D6DF1" w:rsidRPr="008D6DF1">
        <w:rPr>
          <w:vertAlign w:val="superscript"/>
        </w:rPr>
        <w:footnoteReference w:id="169"/>
      </w:r>
      <w:r w:rsidRPr="008D6DF1">
        <w:t xml:space="preserve"> The TDRA was a substantial revision of the FTDA</w:t>
      </w:r>
      <w:r w:rsidR="008D6DF1" w:rsidRPr="008D6DF1">
        <w:t>. I</w:t>
      </w:r>
      <w:r w:rsidRPr="008D6DF1">
        <w:t xml:space="preserve">t legislatively reversed the Court’s interpretation of the </w:t>
      </w:r>
      <w:proofErr w:type="gramStart"/>
      <w:r w:rsidRPr="008D6DF1">
        <w:t>FTDA, and</w:t>
      </w:r>
      <w:proofErr w:type="gramEnd"/>
      <w:r w:rsidRPr="008D6DF1">
        <w:t xml:space="preserve"> also attempted to address interpretive problems with the FTDA that had divided the circuits.</w:t>
      </w:r>
      <w:r w:rsidR="008D6DF1" w:rsidRPr="008D6DF1">
        <w:rPr>
          <w:vertAlign w:val="superscript"/>
        </w:rPr>
        <w:footnoteReference w:id="170"/>
      </w:r>
      <w:r w:rsidRPr="008D6DF1">
        <w:t xml:space="preserve"> The TDRA also attempted to define dilution somewhat more specifically, creating two categories—dilution by blurring and dilution by </w:t>
      </w:r>
      <w:proofErr w:type="spellStart"/>
      <w:r w:rsidRPr="008D6DF1">
        <w:t>tarnishment</w:t>
      </w:r>
      <w:proofErr w:type="spellEnd"/>
      <w:r w:rsidRPr="008D6DF1">
        <w:t>,</w:t>
      </w:r>
      <w:r w:rsidR="008D6DF1" w:rsidRPr="008D6DF1">
        <w:rPr>
          <w:vertAlign w:val="superscript"/>
        </w:rPr>
        <w:footnoteReference w:id="171"/>
      </w:r>
      <w:r w:rsidRPr="008D6DF1">
        <w:t xml:space="preserve"> but it is unclear whether this has ameliorated the interpretive problems with dilution statutes</w:t>
      </w:r>
      <w:r w:rsidR="008D6DF1" w:rsidRPr="008D6DF1">
        <w:t>. L</w:t>
      </w:r>
      <w:r w:rsidRPr="008D6DF1">
        <w:t>ike the FTDA, the TDRA contains three exclusions from liability</w:t>
      </w:r>
      <w:r w:rsidR="008D6DF1" w:rsidRPr="008D6DF1">
        <w:t>: a</w:t>
      </w:r>
      <w:r w:rsidRPr="008D6DF1">
        <w:t xml:space="preserve"> “fair use” exclusion, a “noncommercial use” exclusion, and an exclusion for news reporting and commentary.</w:t>
      </w:r>
      <w:r w:rsidR="008D6DF1" w:rsidRPr="008D6DF1">
        <w:rPr>
          <w:vertAlign w:val="superscript"/>
        </w:rPr>
        <w:footnoteReference w:id="172"/>
      </w:r>
      <w:r w:rsidRPr="008D6DF1">
        <w:t xml:space="preserve"> Although the FTDA was enacted, in part, in reaction to the perceived inconsistency of state laws, neither it nor the TDRA preempted them, except in one limited respect.</w:t>
      </w:r>
      <w:r w:rsidR="008D6DF1" w:rsidRPr="008D6DF1">
        <w:rPr>
          <w:vertAlign w:val="superscript"/>
        </w:rPr>
        <w:footnoteReference w:id="173"/>
      </w:r>
      <w:r w:rsidRPr="008D6DF1">
        <w:t xml:space="preserve"> Therefore, state law continues to be a source of protection, especially for marks well known only in a small area.</w:t>
      </w:r>
    </w:p>
    <w:p w14:paraId="01EB8075" w14:textId="3D04084E" w:rsidR="008D6DF1" w:rsidRPr="008D6DF1" w:rsidRDefault="00AE6E1D" w:rsidP="008D6DF1">
      <w:pPr>
        <w:pStyle w:val="BNormal"/>
      </w:pPr>
      <w:r w:rsidRPr="008D6DF1">
        <w:t>The FTDA appears to have initiated the enactment of several new state dilution statutes</w:t>
      </w:r>
      <w:r w:rsidR="008D6DF1" w:rsidRPr="008D6DF1">
        <w:t>. F</w:t>
      </w:r>
      <w:r w:rsidRPr="008D6DF1">
        <w:t>rom 1995 to the present, 15 states have replaced their existing dilution statutes with new laws, all of which are roughly patterned after the FTDA or the TDRA.</w:t>
      </w:r>
      <w:r w:rsidR="008D6DF1" w:rsidRPr="008D6DF1">
        <w:rPr>
          <w:vertAlign w:val="superscript"/>
        </w:rPr>
        <w:footnoteReference w:id="174"/>
      </w:r>
      <w:r w:rsidRPr="008D6DF1">
        <w:t xml:space="preserve"> Several states also have enacted provisions in their trademark laws making federal interpretations of federal law persuasive authority under similar state laws.</w:t>
      </w:r>
      <w:r w:rsidR="008D6DF1" w:rsidRPr="008D6DF1">
        <w:rPr>
          <w:vertAlign w:val="superscript"/>
        </w:rPr>
        <w:footnoteReference w:id="175"/>
      </w:r>
      <w:r w:rsidRPr="008D6DF1">
        <w:t xml:space="preserve"> However, the enactment of the TDRA, which differs in some significant ways from the FTDA, makes interpretation of state laws patterned after the FTDA (which is done largely by federal courts) much more problematic.</w:t>
      </w:r>
      <w:r w:rsidR="008D6DF1" w:rsidRPr="008D6DF1">
        <w:rPr>
          <w:vertAlign w:val="superscript"/>
        </w:rPr>
        <w:footnoteReference w:id="176"/>
      </w:r>
    </w:p>
    <w:p w14:paraId="419F930C" w14:textId="3D332A9C" w:rsidR="008D6DF1" w:rsidRPr="008D6DF1" w:rsidRDefault="004D355E" w:rsidP="00EF7E3C">
      <w:pPr>
        <w:pStyle w:val="BHead2"/>
      </w:pPr>
      <w:r w:rsidRPr="004D355E">
        <w:lastRenderedPageBreak/>
        <w:t>1.III.</w:t>
      </w:r>
      <w:r w:rsidR="008D6DF1" w:rsidRPr="004D355E">
        <w:rPr>
          <w:rStyle w:val="BBNAidChar"/>
          <w:rFonts w:eastAsiaTheme="majorEastAsia"/>
        </w:rPr>
        <w:t>D</w:t>
      </w:r>
      <w:r w:rsidR="008D6DF1" w:rsidRPr="008D6DF1">
        <w:t>.</w:t>
      </w:r>
      <w:r w:rsidR="008D6DF1" w:rsidRPr="008D6DF1">
        <w:tab/>
        <w:t>The Restatement of Unfair Competition</w:t>
      </w:r>
    </w:p>
    <w:p w14:paraId="2752D1BD" w14:textId="566E1346" w:rsidR="008D6DF1" w:rsidRPr="008D6DF1" w:rsidRDefault="00AE6E1D" w:rsidP="008D6DF1">
      <w:pPr>
        <w:pStyle w:val="BNormal"/>
      </w:pPr>
      <w:r w:rsidRPr="008D6DF1">
        <w:t>Published in 1995,</w:t>
      </w:r>
      <w:r w:rsidR="008D6DF1" w:rsidRPr="008D6DF1">
        <w:rPr>
          <w:vertAlign w:val="superscript"/>
        </w:rPr>
        <w:footnoteReference w:id="177"/>
      </w:r>
      <w:r w:rsidRPr="008D6DF1">
        <w:t xml:space="preserve"> the </w:t>
      </w:r>
      <w:r w:rsidR="008D6DF1" w:rsidRPr="008D6DF1">
        <w:rPr>
          <w:i/>
        </w:rPr>
        <w:t>Restatement (Third) of Unfair Competition</w:t>
      </w:r>
      <w:r w:rsidR="008D6DF1" w:rsidRPr="008D6DF1">
        <w:rPr>
          <w:vertAlign w:val="superscript"/>
        </w:rPr>
        <w:footnoteReference w:id="178"/>
      </w:r>
      <w:r w:rsidRPr="008D6DF1">
        <w:t xml:space="preserve"> recognizes dilution as a doctrine of trademark protection</w:t>
      </w:r>
      <w:r w:rsidR="008D6DF1" w:rsidRPr="008D6DF1">
        <w:t>. S</w:t>
      </w:r>
      <w:r w:rsidRPr="008D6DF1">
        <w:t>ection 25, entitled “Liability Without Proof of Confusion</w:t>
      </w:r>
      <w:r w:rsidR="008D6DF1" w:rsidRPr="008D6DF1">
        <w:t>: D</w:t>
      </w:r>
      <w:r w:rsidRPr="008D6DF1">
        <w:t xml:space="preserve">ilution and </w:t>
      </w:r>
      <w:proofErr w:type="spellStart"/>
      <w:r w:rsidRPr="008D6DF1">
        <w:t>Tarnishment</w:t>
      </w:r>
      <w:proofErr w:type="spellEnd"/>
      <w:r w:rsidRPr="008D6DF1">
        <w:t>,” states as follows:</w:t>
      </w:r>
    </w:p>
    <w:p w14:paraId="04164D0B" w14:textId="0507351B" w:rsidR="008D6DF1" w:rsidRPr="008D6DF1" w:rsidRDefault="00AE6E1D" w:rsidP="008D6DF1">
      <w:pPr>
        <w:pStyle w:val="BQuotelong"/>
      </w:pPr>
      <w:r w:rsidRPr="008D6DF1">
        <w:t>(1) One may be subject to liability under the law of trademarks for the use of a designation that resembles the trademark, trade name, collective mark, or certification mark of another without proof of a likelihood of confusion only under an applicable antidilution statute</w:t>
      </w:r>
      <w:r w:rsidR="008D6DF1" w:rsidRPr="008D6DF1">
        <w:t>. A</w:t>
      </w:r>
      <w:r w:rsidRPr="008D6DF1">
        <w:t>n actor is subject to liability under an antidilution statute if the actor uses such a designation in a manner that is likely to associate the other’s mark with the goods, services, or business of the actor and:</w:t>
      </w:r>
    </w:p>
    <w:p w14:paraId="322B6382" w14:textId="008D0D7A" w:rsidR="008D6DF1" w:rsidRPr="008D6DF1" w:rsidRDefault="00AE6E1D" w:rsidP="00B63D4E">
      <w:pPr>
        <w:pStyle w:val="BQuotelong"/>
        <w:ind w:left="1440"/>
      </w:pPr>
      <w:r w:rsidRPr="008D6DF1">
        <w:t>(a) the other’s mark is highly distinctive and the association of the mark with the actor’s goods, services, or business is likely to cause a reduction in that distinctiveness</w:t>
      </w:r>
      <w:r w:rsidR="008D6DF1" w:rsidRPr="008D6DF1">
        <w:t>; o</w:t>
      </w:r>
      <w:r w:rsidRPr="008D6DF1">
        <w:t>r</w:t>
      </w:r>
    </w:p>
    <w:p w14:paraId="077DA8ED" w14:textId="3E4AAB6E" w:rsidR="008D6DF1" w:rsidRPr="008D6DF1" w:rsidRDefault="00AE6E1D" w:rsidP="00B63D4E">
      <w:pPr>
        <w:pStyle w:val="BQuotelong"/>
        <w:ind w:left="1440"/>
      </w:pPr>
      <w:r w:rsidRPr="008D6DF1">
        <w:t>(b) the association of the other’s mark with the actor’s goods, services, or business, or the nature of the actor’s use, is likely to disparage the other’s goods, services, or business or tarnish the images associated with the other’s mark.</w:t>
      </w:r>
    </w:p>
    <w:p w14:paraId="2305F621" w14:textId="519F77F3" w:rsidR="008D6DF1" w:rsidRPr="008D6DF1" w:rsidRDefault="00AE6E1D" w:rsidP="008D6DF1">
      <w:pPr>
        <w:pStyle w:val="BQuotelong"/>
      </w:pPr>
      <w:r w:rsidRPr="008D6DF1">
        <w:t>(2) One who uses a designation that resembles the trademark, trade name, collective mark, or certification mark of another, not in a manner that is likely to associate the other’s mark with the goods, services, or business of the actor, but rather to comment on, criticize, ridicule, parody, or disparage the other or the other’s goods, services, business, or mark, is subject to liability without proof of a likelihood of confusion only if the actor’s conduct meets the requirements of a cause of action for defamation, invasion of privacy, or injurious falsehood.</w:t>
      </w:r>
      <w:r w:rsidR="008D6DF1" w:rsidRPr="008D6DF1">
        <w:rPr>
          <w:vertAlign w:val="superscript"/>
        </w:rPr>
        <w:footnoteReference w:id="179"/>
      </w:r>
    </w:p>
    <w:p w14:paraId="7F96BACC" w14:textId="14A25A84" w:rsidR="008D6DF1" w:rsidRPr="008D6DF1" w:rsidRDefault="00AE6E1D" w:rsidP="008D6DF1">
      <w:pPr>
        <w:pStyle w:val="BNormal"/>
      </w:pPr>
      <w:r w:rsidRPr="008D6DF1">
        <w:t xml:space="preserve">The </w:t>
      </w:r>
      <w:r w:rsidR="008D6DF1" w:rsidRPr="008D6DF1">
        <w:rPr>
          <w:i/>
        </w:rPr>
        <w:t>Restatement</w:t>
      </w:r>
      <w:r w:rsidRPr="008D6DF1">
        <w:t xml:space="preserve"> is not law, of course, but a reflection of what the drafters believe the law is (or perhaps ought to be)</w:t>
      </w:r>
      <w:r w:rsidR="008D6DF1" w:rsidRPr="008D6DF1">
        <w:t>. G</w:t>
      </w:r>
      <w:r w:rsidRPr="008D6DF1">
        <w:t xml:space="preserve">iven the vagueness of many state statutes and the enactment of the TDRA, which differs from the </w:t>
      </w:r>
      <w:r w:rsidR="008D6DF1" w:rsidRPr="008D6DF1">
        <w:rPr>
          <w:i/>
        </w:rPr>
        <w:t>Restatement</w:t>
      </w:r>
      <w:r w:rsidRPr="008D6DF1">
        <w:t xml:space="preserve"> formulation, the </w:t>
      </w:r>
      <w:r w:rsidR="008D6DF1" w:rsidRPr="008D6DF1">
        <w:rPr>
          <w:i/>
        </w:rPr>
        <w:t>Restatement</w:t>
      </w:r>
      <w:r w:rsidRPr="008D6DF1">
        <w:t xml:space="preserve"> can serve as an interpretive source for state laws.</w:t>
      </w:r>
      <w:r w:rsidR="008D6DF1" w:rsidRPr="008D6DF1">
        <w:rPr>
          <w:vertAlign w:val="superscript"/>
        </w:rPr>
        <w:footnoteReference w:id="180"/>
      </w:r>
      <w:r w:rsidRPr="008D6DF1">
        <w:t xml:space="preserve"> The comments following Section 25 of the </w:t>
      </w:r>
      <w:r w:rsidR="008D6DF1" w:rsidRPr="008D6DF1">
        <w:rPr>
          <w:i/>
        </w:rPr>
        <w:t>Restatement</w:t>
      </w:r>
      <w:r w:rsidRPr="008D6DF1">
        <w:t xml:space="preserve"> present </w:t>
      </w:r>
      <w:proofErr w:type="gramStart"/>
      <w:r w:rsidRPr="008D6DF1">
        <w:t>fairly detailed</w:t>
      </w:r>
      <w:proofErr w:type="gramEnd"/>
      <w:r w:rsidRPr="008D6DF1">
        <w:t xml:space="preserve"> explanations and may be of </w:t>
      </w:r>
      <w:proofErr w:type="gramStart"/>
      <w:r w:rsidRPr="008D6DF1">
        <w:t>particular value</w:t>
      </w:r>
      <w:proofErr w:type="gramEnd"/>
      <w:r w:rsidRPr="008D6DF1">
        <w:t xml:space="preserve"> to </w:t>
      </w:r>
      <w:r w:rsidRPr="008D6DF1">
        <w:lastRenderedPageBreak/>
        <w:t>courts and practitioners</w:t>
      </w:r>
      <w:r w:rsidR="008D6DF1" w:rsidRPr="008D6DF1">
        <w:t>. A</w:t>
      </w:r>
      <w:r w:rsidRPr="008D6DF1">
        <w:t xml:space="preserve">lthough the specific provisions of </w:t>
      </w:r>
      <w:r w:rsidR="008D6DF1" w:rsidRPr="008D6DF1">
        <w:rPr>
          <w:i/>
        </w:rPr>
        <w:t>Restatement</w:t>
      </w:r>
      <w:r w:rsidRPr="008D6DF1">
        <w:t xml:space="preserve"> §25 will be discussed in various chapters of this text, it is worth listing here some of the more interesting aspects of its analysis:</w:t>
      </w:r>
    </w:p>
    <w:p w14:paraId="248DE58C" w14:textId="214AB922" w:rsidR="008D6DF1" w:rsidRPr="008D6DF1" w:rsidRDefault="008D6DF1" w:rsidP="008D6DF1">
      <w:pPr>
        <w:pStyle w:val="BListitembul"/>
      </w:pPr>
      <w:r w:rsidRPr="008D6DF1">
        <w:rPr>
          <w:i/>
        </w:rPr>
        <w:t>The title</w:t>
      </w:r>
      <w:r w:rsidRPr="008D6DF1">
        <w:t>. T</w:t>
      </w:r>
      <w:r w:rsidR="00AE6E1D" w:rsidRPr="008D6DF1">
        <w:t xml:space="preserve">he title of </w:t>
      </w:r>
      <w:r w:rsidRPr="008D6DF1">
        <w:rPr>
          <w:i/>
        </w:rPr>
        <w:t>Restatement</w:t>
      </w:r>
      <w:r w:rsidR="00AE6E1D" w:rsidRPr="008D6DF1">
        <w:t xml:space="preserve"> §25 expressly separates “dilution” from “</w:t>
      </w:r>
      <w:proofErr w:type="spellStart"/>
      <w:r w:rsidR="00AE6E1D" w:rsidRPr="008D6DF1">
        <w:t>tarnishment</w:t>
      </w:r>
      <w:proofErr w:type="spellEnd"/>
      <w:r w:rsidR="00AE6E1D" w:rsidRPr="008D6DF1">
        <w:t xml:space="preserve">.” These two theories of protection often are grouped together under the single heading of “dilution.” In fact, the </w:t>
      </w:r>
      <w:r w:rsidRPr="008D6DF1">
        <w:rPr>
          <w:i/>
        </w:rPr>
        <w:t>Restatement</w:t>
      </w:r>
      <w:r w:rsidR="00AE6E1D" w:rsidRPr="008D6DF1">
        <w:t xml:space="preserve"> would allow a </w:t>
      </w:r>
      <w:proofErr w:type="spellStart"/>
      <w:r w:rsidR="00AE6E1D" w:rsidRPr="008D6DF1">
        <w:t>tarnishment</w:t>
      </w:r>
      <w:proofErr w:type="spellEnd"/>
      <w:r w:rsidR="00AE6E1D" w:rsidRPr="008D6DF1">
        <w:t xml:space="preserve"> claim to be brought by the owner of any protectable mark, not just a very distinctive or famous one.</w:t>
      </w:r>
    </w:p>
    <w:p w14:paraId="59693DD1" w14:textId="4AAD004D" w:rsidR="008D6DF1" w:rsidRPr="008D6DF1" w:rsidRDefault="008D6DF1" w:rsidP="008D6DF1">
      <w:pPr>
        <w:pStyle w:val="BListitembul"/>
      </w:pPr>
      <w:r w:rsidRPr="008D6DF1">
        <w:rPr>
          <w:i/>
        </w:rPr>
        <w:t>Only highly distinctive marks can be diluted</w:t>
      </w:r>
      <w:r w:rsidRPr="008D6DF1">
        <w:t>. T</w:t>
      </w:r>
      <w:r w:rsidR="00AE6E1D" w:rsidRPr="008D6DF1">
        <w:t xml:space="preserve">he </w:t>
      </w:r>
      <w:r w:rsidRPr="008D6DF1">
        <w:rPr>
          <w:i/>
        </w:rPr>
        <w:t>Restatement</w:t>
      </w:r>
      <w:r w:rsidR="00AE6E1D" w:rsidRPr="008D6DF1">
        <w:t xml:space="preserve"> would require a mark to be “highly distinctive” to be protected by dilution</w:t>
      </w:r>
      <w:r w:rsidRPr="008D6DF1">
        <w:t>. T</w:t>
      </w:r>
      <w:r w:rsidR="00AE6E1D" w:rsidRPr="008D6DF1">
        <w:t>he comments set forth several factors to be considered when making this determination</w:t>
      </w:r>
      <w:r w:rsidRPr="008D6DF1">
        <w:t>. M</w:t>
      </w:r>
      <w:r w:rsidR="00AE6E1D" w:rsidRPr="008D6DF1">
        <w:t>any of these were expressly incorporated into the FTDA and similarly worded state statutes for determining whether a mark is “distinctive and famous.” (The TDRA and the 2007 Model Bill have defined “famous” with greater specificity.)</w:t>
      </w:r>
    </w:p>
    <w:p w14:paraId="735B3CB0" w14:textId="69F17797" w:rsidR="008D6DF1" w:rsidRPr="008D6DF1" w:rsidRDefault="008D6DF1" w:rsidP="008D6DF1">
      <w:pPr>
        <w:pStyle w:val="BListitembul"/>
      </w:pPr>
      <w:r w:rsidRPr="008D6DF1">
        <w:rPr>
          <w:i/>
        </w:rPr>
        <w:t>Dilution is a creature of statute</w:t>
      </w:r>
      <w:r w:rsidRPr="008D6DF1">
        <w:t>. T</w:t>
      </w:r>
      <w:r w:rsidR="00AE6E1D" w:rsidRPr="008D6DF1">
        <w:t xml:space="preserve">he </w:t>
      </w:r>
      <w:r w:rsidRPr="008D6DF1">
        <w:rPr>
          <w:i/>
        </w:rPr>
        <w:t>Restatement</w:t>
      </w:r>
      <w:r w:rsidR="00AE6E1D" w:rsidRPr="008D6DF1">
        <w:t xml:space="preserve"> permits dilution protection only when there is a statute providing for such protection</w:t>
      </w:r>
      <w:r w:rsidRPr="008D6DF1">
        <w:t>. C</w:t>
      </w:r>
      <w:r w:rsidR="00AE6E1D" w:rsidRPr="008D6DF1">
        <w:t>ommon-law dilution claims are not recognized.</w:t>
      </w:r>
    </w:p>
    <w:p w14:paraId="4A02111E" w14:textId="6F85D217" w:rsidR="008D6DF1" w:rsidRPr="008D6DF1" w:rsidRDefault="008D6DF1" w:rsidP="008D6DF1">
      <w:pPr>
        <w:pStyle w:val="BListitembul"/>
      </w:pPr>
      <w:r w:rsidRPr="008D6DF1">
        <w:rPr>
          <w:i/>
        </w:rPr>
        <w:t>Trademark vs</w:t>
      </w:r>
      <w:r w:rsidRPr="008D6DF1">
        <w:t xml:space="preserve">. </w:t>
      </w:r>
      <w:r w:rsidRPr="008D6DF1">
        <w:rPr>
          <w:i/>
        </w:rPr>
        <w:t xml:space="preserve">non-trademark </w:t>
      </w:r>
      <w:proofErr w:type="gramStart"/>
      <w:r w:rsidRPr="008D6DF1">
        <w:rPr>
          <w:i/>
        </w:rPr>
        <w:t>uses</w:t>
      </w:r>
      <w:proofErr w:type="gramEnd"/>
      <w:r w:rsidRPr="008D6DF1">
        <w:rPr>
          <w:i/>
        </w:rPr>
        <w:t xml:space="preserve"> by the unauthorized user</w:t>
      </w:r>
      <w:r w:rsidRPr="008D6DF1">
        <w:t>. U</w:t>
      </w:r>
      <w:r w:rsidR="00AE6E1D" w:rsidRPr="008D6DF1">
        <w:t xml:space="preserve">nauthorized trademark uses are actionable under the normal rules for dilution or </w:t>
      </w:r>
      <w:proofErr w:type="spellStart"/>
      <w:r w:rsidR="00AE6E1D" w:rsidRPr="008D6DF1">
        <w:t>tarnishment</w:t>
      </w:r>
      <w:proofErr w:type="spellEnd"/>
      <w:r w:rsidRPr="008D6DF1">
        <w:t>. H</w:t>
      </w:r>
      <w:r w:rsidR="00AE6E1D" w:rsidRPr="008D6DF1">
        <w:t>owever, non-trademark uses that serve another purpose (such as comment, parody, satire, and even disparagement of another’s goods) are subject to a more stringent standard</w:t>
      </w:r>
      <w:r w:rsidRPr="008D6DF1">
        <w:t>. S</w:t>
      </w:r>
      <w:r w:rsidR="00AE6E1D" w:rsidRPr="008D6DF1">
        <w:t>uch uses are actionable only if the use is independently tortious under the laws of defamation or invasion of privacy or as an injurious falsehood</w:t>
      </w:r>
      <w:r w:rsidRPr="008D6DF1">
        <w:t>. T</w:t>
      </w:r>
      <w:r w:rsidR="00AE6E1D" w:rsidRPr="008D6DF1">
        <w:t>he comments explain that such uses do not blur the distinctiveness of the other’s mark and raise significant free speech issues.</w:t>
      </w:r>
    </w:p>
    <w:p w14:paraId="49263DF7" w14:textId="7BD9AE51" w:rsidR="008D6DF1" w:rsidRPr="008D6DF1" w:rsidRDefault="008D6DF1" w:rsidP="008D6DF1">
      <w:pPr>
        <w:pStyle w:val="BListitembul"/>
      </w:pPr>
      <w:r w:rsidRPr="008D6DF1">
        <w:rPr>
          <w:i/>
        </w:rPr>
        <w:t>A standard for demonstrating dilution</w:t>
      </w:r>
      <w:r w:rsidRPr="008D6DF1">
        <w:t>. T</w:t>
      </w:r>
      <w:r w:rsidR="00AE6E1D" w:rsidRPr="008D6DF1">
        <w:t xml:space="preserve">he </w:t>
      </w:r>
      <w:r w:rsidRPr="008D6DF1">
        <w:rPr>
          <w:i/>
        </w:rPr>
        <w:t>Restatement</w:t>
      </w:r>
      <w:r w:rsidR="00AE6E1D" w:rsidRPr="008D6DF1">
        <w:t xml:space="preserve"> recognizes that dilution requires a mental association between the two uses of the mark, causing consumers to view the mark as leading to two sources</w:t>
      </w:r>
      <w:r w:rsidRPr="008D6DF1">
        <w:t>. T</w:t>
      </w:r>
      <w:r w:rsidR="00AE6E1D" w:rsidRPr="008D6DF1">
        <w:t>he comments also discuss possible relevant factors for determining likelihood of dilution</w:t>
      </w:r>
      <w:r w:rsidRPr="008D6DF1">
        <w:t>; i</w:t>
      </w:r>
      <w:r w:rsidR="00AE6E1D" w:rsidRPr="008D6DF1">
        <w:t>ronically, these include factors relevant to likelihood of confusion.</w:t>
      </w:r>
    </w:p>
    <w:p w14:paraId="1815560B" w14:textId="46107EF9" w:rsidR="008D6DF1" w:rsidRPr="008D6DF1" w:rsidRDefault="004D355E" w:rsidP="00EF7E3C">
      <w:pPr>
        <w:pStyle w:val="BHead1"/>
      </w:pPr>
      <w:r w:rsidRPr="004D355E">
        <w:t>1.</w:t>
      </w:r>
      <w:r w:rsidR="008D6DF1" w:rsidRPr="004D355E">
        <w:rPr>
          <w:rStyle w:val="BBNAidChar"/>
          <w:rFonts w:eastAsiaTheme="majorEastAsia"/>
        </w:rPr>
        <w:t>IV</w:t>
      </w:r>
      <w:r w:rsidR="008D6DF1" w:rsidRPr="008D6DF1">
        <w:t>. Dilution Claims May Use Multiple Sources</w:t>
      </w:r>
    </w:p>
    <w:p w14:paraId="743BA387" w14:textId="06D08B09" w:rsidR="008D6DF1" w:rsidRPr="008D6DF1" w:rsidRDefault="00AE6E1D" w:rsidP="008D6DF1">
      <w:pPr>
        <w:pStyle w:val="BNormal"/>
      </w:pPr>
      <w:r w:rsidRPr="008D6DF1">
        <w:t>Although both federal and state laws now contain provisions for dilution claims, a plaintiff need not elect one or the other</w:t>
      </w:r>
      <w:r w:rsidR="008D6DF1" w:rsidRPr="008D6DF1">
        <w:t>. O</w:t>
      </w:r>
      <w:r w:rsidRPr="008D6DF1">
        <w:t>ne may bring dilution claims in the same action arising under federal and state law, even if the two laws are not congruent.</w:t>
      </w:r>
      <w:r w:rsidR="008D6DF1" w:rsidRPr="008D6DF1">
        <w:rPr>
          <w:vertAlign w:val="superscript"/>
        </w:rPr>
        <w:footnoteReference w:id="181"/>
      </w:r>
      <w:r w:rsidRPr="008D6DF1">
        <w:t xml:space="preserve"> One also may bring claims under multiple state laws if the facts of the case warrant their application.</w:t>
      </w:r>
      <w:r w:rsidR="008D6DF1" w:rsidRPr="008D6DF1">
        <w:rPr>
          <w:vertAlign w:val="superscript"/>
        </w:rPr>
        <w:footnoteReference w:id="182"/>
      </w:r>
      <w:r w:rsidRPr="008D6DF1">
        <w:t xml:space="preserve"> However, given the diversity of state laws and the paucity of precedent under the newer ones, the conflict-of-laws problems may be large in some cases.</w:t>
      </w:r>
      <w:r w:rsidR="008D6DF1" w:rsidRPr="008D6DF1">
        <w:rPr>
          <w:vertAlign w:val="superscript"/>
        </w:rPr>
        <w:footnoteReference w:id="183"/>
      </w:r>
    </w:p>
    <w:p w14:paraId="57502C86" w14:textId="729C8F45" w:rsidR="00494245" w:rsidRPr="008D6DF1" w:rsidRDefault="00AE6E1D" w:rsidP="008D6DF1">
      <w:pPr>
        <w:pStyle w:val="BNormal"/>
      </w:pPr>
      <w:r w:rsidRPr="008D6DF1">
        <w:t>The choice-of-law problem posed by dilution is a difficult one</w:t>
      </w:r>
      <w:r w:rsidR="008D6DF1" w:rsidRPr="008D6DF1">
        <w:t>. O</w:t>
      </w:r>
      <w:r w:rsidRPr="008D6DF1">
        <w:t>ften one or both of the parties distribute goods throughout the country, or at least in several different states</w:t>
      </w:r>
      <w:r w:rsidR="008D6DF1" w:rsidRPr="008D6DF1">
        <w:t>. T</w:t>
      </w:r>
      <w:r w:rsidRPr="008D6DF1">
        <w:t>his can create serious choice-of-law problems—indeed, a case could involve several different state dilution laws.</w:t>
      </w:r>
      <w:r w:rsidR="008D6DF1" w:rsidRPr="008D6DF1">
        <w:rPr>
          <w:vertAlign w:val="superscript"/>
        </w:rPr>
        <w:footnoteReference w:id="184"/>
      </w:r>
      <w:r w:rsidRPr="008D6DF1">
        <w:t xml:space="preserve"> Although a complete discussion of choice-</w:t>
      </w:r>
      <w:r w:rsidRPr="008D6DF1">
        <w:lastRenderedPageBreak/>
        <w:t>of-law issues is beyond the scope of this text, one case discussing the issue is noted here for the benefit of readers for whom this problem is relevant</w:t>
      </w:r>
      <w:r w:rsidR="008D6DF1" w:rsidRPr="008D6DF1">
        <w:t>. I</w:t>
      </w:r>
      <w:r w:rsidRPr="008D6DF1">
        <w:t xml:space="preserve">n </w:t>
      </w:r>
      <w:r w:rsidR="008D6DF1" w:rsidRPr="008D6DF1">
        <w:rPr>
          <w:i/>
        </w:rPr>
        <w:t>Deere &amp; Co</w:t>
      </w:r>
      <w:r w:rsidR="008D6DF1" w:rsidRPr="008D6DF1">
        <w:t xml:space="preserve">. </w:t>
      </w:r>
      <w:r w:rsidR="008D6DF1" w:rsidRPr="008D6DF1">
        <w:rPr>
          <w:i/>
        </w:rPr>
        <w:t>v</w:t>
      </w:r>
      <w:r w:rsidR="008D6DF1" w:rsidRPr="008D6DF1">
        <w:t xml:space="preserve">. </w:t>
      </w:r>
      <w:r w:rsidR="008D6DF1" w:rsidRPr="008D6DF1">
        <w:rPr>
          <w:i/>
        </w:rPr>
        <w:t>MTD Products, Inc</w:t>
      </w:r>
      <w:r w:rsidRPr="008D6DF1">
        <w:t>.,</w:t>
      </w:r>
      <w:r w:rsidR="008D6DF1" w:rsidRPr="008D6DF1">
        <w:rPr>
          <w:vertAlign w:val="superscript"/>
        </w:rPr>
        <w:footnoteReference w:id="185"/>
      </w:r>
      <w:r w:rsidRPr="008D6DF1">
        <w:t xml:space="preserve"> the two parties distributed their competing products nationwide</w:t>
      </w:r>
      <w:r w:rsidR="008D6DF1" w:rsidRPr="008D6DF1">
        <w:t>. T</w:t>
      </w:r>
      <w:r w:rsidRPr="008D6DF1">
        <w:t>he plaintiff argued for the application of the law of New York (where some of the goods had been sold), while defendant argued for the application of the law of Illinois (where plaintiff had its principal place of business)</w:t>
      </w:r>
      <w:r w:rsidR="008D6DF1" w:rsidRPr="008D6DF1">
        <w:t>. A</w:t>
      </w:r>
      <w:r w:rsidRPr="008D6DF1">
        <w:t xml:space="preserve">pplying the choice-of-law rules of New York (the forum state), the court held that, </w:t>
      </w:r>
      <w:proofErr w:type="gramStart"/>
      <w:r w:rsidRPr="008D6DF1">
        <w:t>in view of the fact that</w:t>
      </w:r>
      <w:proofErr w:type="gramEnd"/>
      <w:r w:rsidRPr="008D6DF1">
        <w:t xml:space="preserve"> there was no single or dominant place in which defendant’s goods were distributed, it would assume that the plaintiff’s injury occurred where it had its principal place of business—Illinois.</w:t>
      </w:r>
      <w:r w:rsidR="008D6DF1" w:rsidRPr="008D6DF1">
        <w:rPr>
          <w:vertAlign w:val="superscript"/>
        </w:rPr>
        <w:footnoteReference w:id="186"/>
      </w:r>
    </w:p>
    <w:sectPr w:rsidR="00494245" w:rsidRPr="008D6DF1" w:rsidSect="009A1AB3">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7A5A1" w14:textId="77777777" w:rsidR="00F00770" w:rsidRDefault="00F00770" w:rsidP="002A47A4">
      <w:r>
        <w:separator/>
      </w:r>
    </w:p>
    <w:p w14:paraId="2329E137" w14:textId="77777777" w:rsidR="00F00770" w:rsidRDefault="00F00770"/>
    <w:p w14:paraId="18B1B8A6" w14:textId="77777777" w:rsidR="00F00770" w:rsidRDefault="00F00770"/>
  </w:endnote>
  <w:endnote w:type="continuationSeparator" w:id="0">
    <w:p w14:paraId="6ED628DD" w14:textId="77777777" w:rsidR="00F00770" w:rsidRDefault="00F00770" w:rsidP="002A47A4">
      <w:r>
        <w:continuationSeparator/>
      </w:r>
    </w:p>
    <w:p w14:paraId="28EAA78A" w14:textId="77777777" w:rsidR="00F00770" w:rsidRDefault="00F00770"/>
    <w:p w14:paraId="4D2A1959" w14:textId="77777777" w:rsidR="00F00770" w:rsidRDefault="00F007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Helvetica">
    <w:panose1 w:val="020B0604020202020204"/>
    <w:charset w:val="00"/>
    <w:family w:val="auto"/>
    <w:notTrueType/>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ITC New Baskerville Std">
    <w:altName w:val="Cambria"/>
    <w:panose1 w:val="00000000000000000000"/>
    <w:charset w:val="00"/>
    <w:family w:val="roman"/>
    <w:notTrueType/>
    <w:pitch w:val="variable"/>
    <w:sig w:usb0="00000003" w:usb1="5000204A"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6CAD1" w14:textId="77777777" w:rsidR="00F00770" w:rsidRDefault="00F00770" w:rsidP="002A47A4">
      <w:r>
        <w:separator/>
      </w:r>
    </w:p>
    <w:p w14:paraId="2D7F774A" w14:textId="77777777" w:rsidR="00F00770" w:rsidRDefault="00F00770"/>
    <w:p w14:paraId="0E1010AD" w14:textId="77777777" w:rsidR="00F00770" w:rsidRDefault="00F00770"/>
  </w:footnote>
  <w:footnote w:type="continuationSeparator" w:id="0">
    <w:p w14:paraId="0B8A239A" w14:textId="77777777" w:rsidR="00F00770" w:rsidRDefault="00F00770" w:rsidP="002A47A4">
      <w:r>
        <w:continuationSeparator/>
      </w:r>
    </w:p>
    <w:p w14:paraId="4D848504" w14:textId="77777777" w:rsidR="00F00770" w:rsidRDefault="00F00770"/>
    <w:p w14:paraId="6FEFBB86" w14:textId="77777777" w:rsidR="00F00770" w:rsidRDefault="00F00770"/>
  </w:footnote>
  <w:footnote w:id="1">
    <w:p w14:paraId="2B586919" w14:textId="4F4B2474" w:rsidR="008D6DF1" w:rsidRPr="008D6DF1" w:rsidRDefault="008D6DF1" w:rsidP="008D6DF1">
      <w:pPr>
        <w:pStyle w:val="FootnoteText"/>
      </w:pPr>
      <w:r w:rsidRPr="008D6DF1">
        <w:rPr>
          <w:rStyle w:val="FootnoteReference"/>
        </w:rPr>
        <w:footnoteRef/>
      </w:r>
      <w:r w:rsidRPr="008D6DF1">
        <w:t xml:space="preserve">David Welkowitz is a Professor of Law Emeritus at Whittier Law School in Costa Mesa, California. He has taught trademark law, international intellectual property law courses, and civil procedure, among other subjects. He was a member of the Whittier faculty from 1983 to 2018. Prior to that time, he practiced law in New York City. From December 2019 to </w:t>
      </w:r>
      <w:proofErr w:type="gramStart"/>
      <w:r w:rsidRPr="008D6DF1">
        <w:t>February 2024</w:t>
      </w:r>
      <w:proofErr w:type="gramEnd"/>
      <w:r w:rsidRPr="008D6DF1">
        <w:t xml:space="preserve"> he served as an Attorney-Advisor with the U.S. Copyright Office in Washington, D.C.</w:t>
      </w:r>
    </w:p>
    <w:p w14:paraId="79C4B9CC" w14:textId="77777777" w:rsidR="008D6DF1" w:rsidRDefault="008D6DF1" w:rsidP="008D6DF1">
      <w:pPr>
        <w:pStyle w:val="FootnoteText"/>
      </w:pPr>
      <w:r w:rsidRPr="008D6DF1">
        <w:rPr>
          <w:rFonts w:eastAsiaTheme="minorHAnsi"/>
        </w:rPr>
        <w:t xml:space="preserve">Mr. Welkowitz is the author of numerous articles on trademark law and other topics, and he is the co-author of a casebook on celebrity rights. He has also written several lessons in computer-assisted learning, which are used by law students in the areas of civil procedure and trademark law. Professor Welkowitz received his J.D. degree in 1978 from New York University Law School, where he was a member of the Law Review. He received an A.B. degree in 1975 from Princeton University. He is a member of the New York and District of Columbia </w:t>
      </w:r>
      <w:proofErr w:type="gramStart"/>
      <w:r w:rsidRPr="008D6DF1">
        <w:rPr>
          <w:rFonts w:eastAsiaTheme="minorHAnsi"/>
        </w:rPr>
        <w:t>bars, and</w:t>
      </w:r>
      <w:proofErr w:type="gramEnd"/>
      <w:r w:rsidRPr="008D6DF1">
        <w:rPr>
          <w:rFonts w:eastAsiaTheme="minorHAnsi"/>
        </w:rPr>
        <w:t xml:space="preserve"> is admitted to practice before the federal courts in the Southern and Eastern Districts of New York and the Court of Appeals for the Second Circuit.</w:t>
      </w:r>
    </w:p>
  </w:footnote>
  <w:footnote w:id="2">
    <w:p w14:paraId="3B20E32B" w14:textId="6CF46FBD" w:rsidR="008D6DF1" w:rsidRPr="00146534" w:rsidRDefault="008D6DF1" w:rsidP="008D6DF1">
      <w:pPr>
        <w:pStyle w:val="FootnoteText"/>
      </w:pPr>
      <w:r w:rsidRPr="008D6DF1">
        <w:rPr>
          <w:vertAlign w:val="superscript"/>
        </w:rPr>
        <w:footnoteRef/>
      </w:r>
      <w:r w:rsidRPr="008D6DF1">
        <w:t xml:space="preserve">The federal trademark statute, commonly known as the Lanham Act (after Rep. Fritz Lanham), 15 U.S.C. §§1051–1127, defines a “trademark” as “any word, name, symbol, or device, or any combination thereof [used] to identify and distinguish [a person’s] goods, including a unique product, from those manufactured or sold by others and to indicate the source of the goods, even if that source is unknown.” 15 U.S.C. §1127. A service mark is defined in essentially the same way, except that it is used to indicate the source of services, not goods. </w:t>
      </w:r>
      <w:r w:rsidRPr="008D6DF1">
        <w:rPr>
          <w:i/>
        </w:rPr>
        <w:t>See</w:t>
      </w:r>
      <w:r w:rsidRPr="008D6DF1">
        <w:t xml:space="preserve"> </w:t>
      </w:r>
      <w:r w:rsidRPr="008D6DF1">
        <w:rPr>
          <w:i/>
        </w:rPr>
        <w:t>id</w:t>
      </w:r>
      <w:r w:rsidRPr="008D6DF1">
        <w:t xml:space="preserve">. Other types of marks include certification marks and collective marks; they are also defined in the trademark statute. </w:t>
      </w:r>
      <w:r w:rsidRPr="008D6DF1">
        <w:rPr>
          <w:i/>
        </w:rPr>
        <w:t>Id</w:t>
      </w:r>
      <w:r w:rsidRPr="008D6DF1">
        <w:t xml:space="preserve">. The differences among the various types of marks are not material for purposes of the present discussion. </w:t>
      </w:r>
      <w:r w:rsidRPr="008D6DF1">
        <w:rPr>
          <w:i/>
        </w:rPr>
        <w:t>See</w:t>
      </w:r>
      <w:r w:rsidRPr="008D6DF1">
        <w:t>,</w:t>
      </w:r>
      <w:r w:rsidRPr="008D6DF1">
        <w:rPr>
          <w:i/>
        </w:rPr>
        <w:t xml:space="preserve"> e</w:t>
      </w:r>
      <w:r w:rsidRPr="008D6DF1">
        <w:t>.</w:t>
      </w:r>
      <w:r w:rsidRPr="008D6DF1">
        <w:rPr>
          <w:i/>
        </w:rPr>
        <w:t>g</w:t>
      </w:r>
      <w:r w:rsidRPr="008D6DF1">
        <w:t>., 15 U.S.C. §1053 (service marks registrable in same manner as trademarks).</w:t>
      </w:r>
    </w:p>
  </w:footnote>
  <w:footnote w:id="3">
    <w:p w14:paraId="4A823220" w14:textId="6CD0B153" w:rsidR="008D6DF1" w:rsidRPr="00146534" w:rsidRDefault="008D6DF1" w:rsidP="008D6DF1">
      <w:pPr>
        <w:pStyle w:val="FootnoteText"/>
      </w:pPr>
      <w:r w:rsidRPr="008D6DF1">
        <w:rPr>
          <w:vertAlign w:val="superscript"/>
        </w:rPr>
        <w:footnoteRef/>
      </w:r>
      <w:r w:rsidRPr="008D6DF1">
        <w:rPr>
          <w:i/>
        </w:rPr>
        <w:t>E</w:t>
      </w:r>
      <w:r w:rsidRPr="008D6DF1">
        <w:t>.</w:t>
      </w:r>
      <w:r w:rsidRPr="008D6DF1">
        <w:rPr>
          <w:i/>
        </w:rPr>
        <w:t>g</w:t>
      </w:r>
      <w:r w:rsidRPr="008D6DF1">
        <w:t xml:space="preserve">., Brookfield Commc’ns, Inc. v. West Coast Entm’t Corp., 174 F.3d 1036, 1053, 50 USPQ2d 1545 (9th Cir. 1999) (“The core element of trademark infringement is the likelihood of confusion </w:t>
      </w:r>
      <w:proofErr w:type="gramStart"/>
      <w:r w:rsidRPr="008D6DF1">
        <w:t>… .</w:t>
      </w:r>
      <w:proofErr w:type="gramEnd"/>
      <w:r w:rsidRPr="008D6DF1">
        <w:t>” (internal quotation marks omitted)); Machinists &amp; Aerospace Workers v. Winship Green Nursing Ctr., 103 F.3d 196, 200, 41 USPQ2d 1251 (1st Cir. 1996) (calling likelihood of confusion “the dispositive inquiry in a Lanham Act case”).</w:t>
      </w:r>
    </w:p>
  </w:footnote>
  <w:footnote w:id="4">
    <w:p w14:paraId="153913A8" w14:textId="59DF2909" w:rsidR="008D6DF1" w:rsidRPr="00146534" w:rsidRDefault="008D6DF1" w:rsidP="008D6DF1">
      <w:pPr>
        <w:pStyle w:val="FootnoteText"/>
      </w:pPr>
      <w:r w:rsidRPr="008D6DF1">
        <w:rPr>
          <w:vertAlign w:val="superscript"/>
        </w:rPr>
        <w:footnoteRef/>
      </w:r>
      <w:r w:rsidRPr="008D6DF1">
        <w:rPr>
          <w:i/>
        </w:rPr>
        <w:t>See</w:t>
      </w:r>
      <w:r w:rsidRPr="008D6DF1">
        <w:t xml:space="preserve"> 1 </w:t>
      </w:r>
      <w:r w:rsidRPr="008D6DF1">
        <w:rPr>
          <w:smallCaps/>
        </w:rPr>
        <w:t>J. Thomas McCarthy, McCarthy on Trademarks and Unfair Competition</w:t>
      </w:r>
      <w:r w:rsidRPr="008D6DF1">
        <w:t xml:space="preserve"> §5:2, at 5-3 to 5-5 (4th ed. 1998 &amp; Supp.) (citing cases).</w:t>
      </w:r>
    </w:p>
  </w:footnote>
  <w:footnote w:id="5">
    <w:p w14:paraId="3DE487EE" w14:textId="613621FF" w:rsidR="008D6DF1" w:rsidRPr="007F5B25" w:rsidRDefault="008D6DF1" w:rsidP="008D6DF1">
      <w:pPr>
        <w:pStyle w:val="FootnoteText"/>
      </w:pPr>
      <w:r w:rsidRPr="008D6DF1">
        <w:rPr>
          <w:rStyle w:val="FootnoteReference"/>
        </w:rPr>
        <w:footnoteRef/>
      </w:r>
      <w:r w:rsidRPr="008D6DF1">
        <w:rPr>
          <w:i/>
        </w:rPr>
        <w:t>See generally</w:t>
      </w:r>
      <w:r w:rsidRPr="008D6DF1">
        <w:t xml:space="preserve"> Mark P. McKenna, </w:t>
      </w:r>
      <w:r w:rsidRPr="008D6DF1">
        <w:rPr>
          <w:i/>
        </w:rPr>
        <w:t>The Normative Foundations of Trademark Law</w:t>
      </w:r>
      <w:r w:rsidRPr="008D6DF1">
        <w:t xml:space="preserve">, 82 </w:t>
      </w:r>
      <w:r w:rsidRPr="008D6DF1">
        <w:rPr>
          <w:smallCaps/>
        </w:rPr>
        <w:t>Notre Dame L. Rev</w:t>
      </w:r>
      <w:r w:rsidRPr="008D6DF1">
        <w:t>. 1839 (2007).</w:t>
      </w:r>
    </w:p>
  </w:footnote>
  <w:footnote w:id="6">
    <w:p w14:paraId="23024AC1" w14:textId="0B9BAFB3" w:rsidR="008D6DF1" w:rsidRPr="00146534" w:rsidRDefault="008D6DF1" w:rsidP="008D6DF1">
      <w:pPr>
        <w:pStyle w:val="FootnoteText"/>
      </w:pPr>
      <w:r w:rsidRPr="008D6DF1">
        <w:rPr>
          <w:vertAlign w:val="superscript"/>
        </w:rPr>
        <w:footnoteRef/>
      </w:r>
      <w:r w:rsidRPr="008D6DF1">
        <w:t>This is essentially what passing off is about.</w:t>
      </w:r>
    </w:p>
  </w:footnote>
  <w:footnote w:id="7">
    <w:p w14:paraId="583C976F" w14:textId="2B6BA1EC" w:rsidR="008D6DF1" w:rsidRPr="00146534" w:rsidRDefault="008D6DF1" w:rsidP="008D6DF1">
      <w:pPr>
        <w:pStyle w:val="FootnoteText"/>
      </w:pPr>
      <w:r w:rsidRPr="008D6DF1">
        <w:rPr>
          <w:vertAlign w:val="superscript"/>
        </w:rPr>
        <w:footnoteRef/>
      </w:r>
      <w:r w:rsidRPr="008D6DF1">
        <w:rPr>
          <w:i/>
        </w:rPr>
        <w:t>E</w:t>
      </w:r>
      <w:r w:rsidRPr="008D6DF1">
        <w:t>.</w:t>
      </w:r>
      <w:r w:rsidRPr="008D6DF1">
        <w:rPr>
          <w:i/>
        </w:rPr>
        <w:t>g</w:t>
      </w:r>
      <w:r w:rsidRPr="008D6DF1">
        <w:t xml:space="preserve">., Boston Athletic </w:t>
      </w:r>
      <w:proofErr w:type="spellStart"/>
      <w:r w:rsidRPr="008D6DF1">
        <w:t>Ass’n</w:t>
      </w:r>
      <w:proofErr w:type="spellEnd"/>
      <w:r w:rsidRPr="008D6DF1">
        <w:t xml:space="preserve"> v. Sullivan, 867 F.2d 22, 28–29, 9 USPQ2d 1690 (1st Cir. 1989); National Football League v. Governor of Del., 435 F. Supp. 1372, 1380–81, 195 USPQ 803 (D. Del. 1977).</w:t>
      </w:r>
    </w:p>
  </w:footnote>
  <w:footnote w:id="8">
    <w:p w14:paraId="700CF836" w14:textId="47D7BC05" w:rsidR="008D6DF1" w:rsidRPr="00146534" w:rsidRDefault="008D6DF1" w:rsidP="008D6DF1">
      <w:pPr>
        <w:pStyle w:val="FootnoteText"/>
      </w:pPr>
      <w:r w:rsidRPr="008D6DF1">
        <w:rPr>
          <w:vertAlign w:val="superscript"/>
        </w:rPr>
        <w:footnoteRef/>
      </w:r>
      <w:r w:rsidRPr="008D6DF1">
        <w:rPr>
          <w:i/>
        </w:rPr>
        <w:t>E</w:t>
      </w:r>
      <w:r w:rsidRPr="008D6DF1">
        <w:t>.</w:t>
      </w:r>
      <w:r w:rsidRPr="008D6DF1">
        <w:rPr>
          <w:i/>
        </w:rPr>
        <w:t>g</w:t>
      </w:r>
      <w:r w:rsidRPr="008D6DF1">
        <w:t xml:space="preserve">., </w:t>
      </w:r>
      <w:proofErr w:type="spellStart"/>
      <w:r w:rsidRPr="008D6DF1">
        <w:t>Insty</w:t>
      </w:r>
      <w:proofErr w:type="spellEnd"/>
      <w:r w:rsidRPr="008D6DF1">
        <w:t xml:space="preserve">*Bit, Inc. v. Poly-Tech Indus., Inc., 95 F.3d 663, 671–72, 39 USPQ2d 1961 (8th Cir. 1996), </w:t>
      </w:r>
      <w:r w:rsidRPr="008D6DF1">
        <w:rPr>
          <w:i/>
        </w:rPr>
        <w:t>cert</w:t>
      </w:r>
      <w:r w:rsidRPr="008D6DF1">
        <w:t xml:space="preserve">. </w:t>
      </w:r>
      <w:r w:rsidRPr="008D6DF1">
        <w:rPr>
          <w:i/>
        </w:rPr>
        <w:t>denied</w:t>
      </w:r>
      <w:r w:rsidRPr="008D6DF1">
        <w:t xml:space="preserve">, 519 U.S. 1151 (1997); Ferrari S.P.A. </w:t>
      </w:r>
      <w:proofErr w:type="spellStart"/>
      <w:r w:rsidRPr="008D6DF1">
        <w:t>Esercizio</w:t>
      </w:r>
      <w:proofErr w:type="spellEnd"/>
      <w:r w:rsidRPr="008D6DF1">
        <w:t xml:space="preserve"> </w:t>
      </w:r>
      <w:proofErr w:type="spellStart"/>
      <w:r w:rsidRPr="008D6DF1">
        <w:t>Fabriche</w:t>
      </w:r>
      <w:proofErr w:type="spellEnd"/>
      <w:r w:rsidRPr="008D6DF1">
        <w:t xml:space="preserve"> </w:t>
      </w:r>
      <w:proofErr w:type="spellStart"/>
      <w:r w:rsidRPr="008D6DF1">
        <w:t>Automobili</w:t>
      </w:r>
      <w:proofErr w:type="spellEnd"/>
      <w:r w:rsidRPr="008D6DF1">
        <w:t xml:space="preserve"> E Corse v. Roberts, 944 F.2d 1235, 1244–45, 20 USPQ2d 1001 (6th Cir. 1991), </w:t>
      </w:r>
      <w:r w:rsidRPr="008D6DF1">
        <w:rPr>
          <w:i/>
        </w:rPr>
        <w:t>cert</w:t>
      </w:r>
      <w:r w:rsidRPr="008D6DF1">
        <w:t xml:space="preserve">. </w:t>
      </w:r>
      <w:r w:rsidRPr="008D6DF1">
        <w:rPr>
          <w:i/>
        </w:rPr>
        <w:t>denied</w:t>
      </w:r>
      <w:r w:rsidRPr="008D6DF1">
        <w:t>, 505 U.S. 1219 (1992).</w:t>
      </w:r>
    </w:p>
  </w:footnote>
  <w:footnote w:id="9">
    <w:p w14:paraId="536915C7" w14:textId="65855501" w:rsidR="008D6DF1" w:rsidRPr="00DA0AA8" w:rsidRDefault="008D6DF1" w:rsidP="008D6DF1">
      <w:pPr>
        <w:pStyle w:val="FootnoteText"/>
      </w:pPr>
      <w:r w:rsidRPr="008D6DF1">
        <w:rPr>
          <w:vertAlign w:val="superscript"/>
        </w:rPr>
        <w:footnoteRef/>
      </w:r>
      <w:r w:rsidRPr="008D6DF1">
        <w:t xml:space="preserve">The doctrine of initial interest confusion is most often used where an Internet user mistakenly accesses the Web site of B, thinking it is the Web site of A, usually because of the similarity between the domain name of B’s site and the trademark used by A for its goods or services. </w:t>
      </w:r>
      <w:r w:rsidRPr="008D6DF1">
        <w:rPr>
          <w:i/>
        </w:rPr>
        <w:t>See</w:t>
      </w:r>
      <w:r w:rsidRPr="008D6DF1">
        <w:t xml:space="preserve"> Brookfield Commc’ns, Inc. v. West Coast Entm’t Corp., 174 F.3d 1036, 1057, 50 USPQ2d 1545 (9th Cir. 1999); </w:t>
      </w:r>
      <w:r w:rsidRPr="008D6DF1">
        <w:rPr>
          <w:i/>
        </w:rPr>
        <w:t>see also</w:t>
      </w:r>
      <w:r w:rsidRPr="008D6DF1">
        <w:t xml:space="preserve"> Network Automation, Inc. v. Advanced Sys. Concepts, Inc., 638 F.3d 1137, 1152–53, 97 USPQ2d 2036 (9th Cir. 2011) (indicating that consumers may now be more sophisticated about the use of search engines and that this affects the analysis of initial interest confusion).</w:t>
      </w:r>
    </w:p>
  </w:footnote>
  <w:footnote w:id="10">
    <w:p w14:paraId="78379D6C" w14:textId="74C32AC5" w:rsidR="008D6DF1" w:rsidRPr="00146534" w:rsidRDefault="008D6DF1" w:rsidP="008D6DF1">
      <w:pPr>
        <w:pStyle w:val="FootnoteText"/>
      </w:pPr>
      <w:r w:rsidRPr="008D6DF1">
        <w:rPr>
          <w:vertAlign w:val="superscript"/>
        </w:rPr>
        <w:footnoteRef/>
      </w:r>
      <w:r w:rsidRPr="008D6DF1">
        <w:t xml:space="preserve">Frank I. Schechter, </w:t>
      </w:r>
      <w:r w:rsidRPr="008D6DF1">
        <w:rPr>
          <w:i/>
        </w:rPr>
        <w:t>The Rational Basis of Trademark Protection</w:t>
      </w:r>
      <w:r w:rsidRPr="008D6DF1">
        <w:t xml:space="preserve">, 40 </w:t>
      </w:r>
      <w:r w:rsidRPr="008D6DF1">
        <w:rPr>
          <w:smallCaps/>
        </w:rPr>
        <w:t xml:space="preserve">Harv. L. Rev. </w:t>
      </w:r>
      <w:r w:rsidRPr="008D6DF1">
        <w:t xml:space="preserve">813, 825 (1927) (describing dilution as the “whittling away or dispersion of the identity and hold upon the public mind of the mark”). The assumption that such diluting uses are commonplace is challenged by a study by Professors Paul Heald and Robert Brauneis. </w:t>
      </w:r>
      <w:r w:rsidRPr="008D6DF1">
        <w:rPr>
          <w:i/>
        </w:rPr>
        <w:t>See generally</w:t>
      </w:r>
      <w:r w:rsidRPr="008D6DF1">
        <w:t xml:space="preserve"> Paul J. Heald &amp; Robert Brauneis, </w:t>
      </w:r>
      <w:r w:rsidRPr="008D6DF1">
        <w:rPr>
          <w:i/>
        </w:rPr>
        <w:t>The Myth of Buick Aspirin: An Empirical Study of Trademark Dilution by Product and Trade Names</w:t>
      </w:r>
      <w:r w:rsidRPr="008D6DF1">
        <w:t>, 32 Cardozo L. Rev. 2533 (2011).</w:t>
      </w:r>
    </w:p>
  </w:footnote>
  <w:footnote w:id="11">
    <w:p w14:paraId="61D0AF3A" w14:textId="5E6B3A85" w:rsidR="008D6DF1" w:rsidRPr="00146534" w:rsidRDefault="008D6DF1" w:rsidP="008D6DF1">
      <w:pPr>
        <w:pStyle w:val="FootnoteText"/>
      </w:pPr>
      <w:r w:rsidRPr="008D6DF1">
        <w:rPr>
          <w:vertAlign w:val="superscript"/>
        </w:rPr>
        <w:footnoteRef/>
      </w:r>
      <w:r w:rsidRPr="008D6DF1">
        <w:t xml:space="preserve">Moseley v. V Secret Catalogue, Inc., 537 U.S. 418, 429, 65 USPQ2d 1801 (2003) (“Unlike traditional infringement law, the prohibitions against trademark dilution are not the product of common-law development, and are not motivated by an interest in protecting consumers.”); Rosetta Stone, Inc. v. Google, Inc., 676 F.3d 144, 167, 102 USPQ2d 1473 (4th Cir. 2012) (same, quoting </w:t>
      </w:r>
      <w:r w:rsidRPr="008D6DF1">
        <w:rPr>
          <w:i/>
        </w:rPr>
        <w:t>Moseley</w:t>
      </w:r>
      <w:r w:rsidRPr="008D6DF1">
        <w:t>); TCPIP Holding Co. v. Haar Commc’ns, Inc., 244 F.3d 88, 95, 57 USPQ2d 1969 (2d Cir. 2001) (“The Dilution Act offers no benefit to the consumer public—only to the owner.”).</w:t>
      </w:r>
    </w:p>
  </w:footnote>
  <w:footnote w:id="12">
    <w:p w14:paraId="5CCF466F" w14:textId="653426F4" w:rsidR="008D6DF1" w:rsidRPr="00451D59" w:rsidRDefault="008D6DF1" w:rsidP="008D6DF1">
      <w:pPr>
        <w:pStyle w:val="FootnoteText"/>
      </w:pPr>
      <w:r w:rsidRPr="008D6DF1">
        <w:rPr>
          <w:rStyle w:val="FootnoteReference"/>
        </w:rPr>
        <w:footnoteRef/>
      </w:r>
      <w:r w:rsidRPr="008D6DF1">
        <w:rPr>
          <w:rFonts w:eastAsia="Arial Unicode MS"/>
          <w:i/>
        </w:rPr>
        <w:t>E</w:t>
      </w:r>
      <w:r w:rsidRPr="008D6DF1">
        <w:rPr>
          <w:rFonts w:eastAsia="Arial Unicode MS"/>
        </w:rPr>
        <w:t>.</w:t>
      </w:r>
      <w:r w:rsidRPr="008D6DF1">
        <w:rPr>
          <w:rFonts w:eastAsia="Arial Unicode MS"/>
          <w:i/>
        </w:rPr>
        <w:t>g</w:t>
      </w:r>
      <w:r w:rsidRPr="008D6DF1">
        <w:rPr>
          <w:rFonts w:eastAsia="Arial Unicode MS"/>
        </w:rPr>
        <w:t xml:space="preserve">., Ty, Inc. v. Perryman, 306 F.3d 509, 511 (7th Cir. 2002), </w:t>
      </w:r>
      <w:r w:rsidRPr="008D6DF1">
        <w:rPr>
          <w:rFonts w:eastAsia="Arial Unicode MS"/>
          <w:i/>
        </w:rPr>
        <w:t>cert</w:t>
      </w:r>
      <w:r w:rsidRPr="008D6DF1">
        <w:rPr>
          <w:rFonts w:eastAsia="Arial Unicode MS"/>
        </w:rPr>
        <w:t xml:space="preserve">. </w:t>
      </w:r>
      <w:r w:rsidRPr="008D6DF1">
        <w:rPr>
          <w:rFonts w:eastAsia="Arial Unicode MS"/>
          <w:i/>
        </w:rPr>
        <w:t>denied</w:t>
      </w:r>
      <w:r w:rsidRPr="008D6DF1">
        <w:rPr>
          <w:rFonts w:eastAsia="Arial Unicode MS"/>
        </w:rPr>
        <w:t>, 538 U.S. 971 (2003).</w:t>
      </w:r>
    </w:p>
  </w:footnote>
  <w:footnote w:id="13">
    <w:p w14:paraId="3E445B32" w14:textId="7E4CC06C" w:rsidR="008D6DF1" w:rsidRPr="0049116B" w:rsidRDefault="008D6DF1" w:rsidP="008D6DF1">
      <w:pPr>
        <w:pStyle w:val="FootnoteText"/>
      </w:pPr>
      <w:r w:rsidRPr="008D6DF1">
        <w:rPr>
          <w:rStyle w:val="FootnoteReference"/>
        </w:rPr>
        <w:footnoteRef/>
      </w:r>
      <w:r w:rsidRPr="008D6DF1">
        <w:rPr>
          <w:rFonts w:eastAsia="Arial Unicode MS"/>
          <w:i/>
        </w:rPr>
        <w:t>E</w:t>
      </w:r>
      <w:r w:rsidRPr="008D6DF1">
        <w:rPr>
          <w:rFonts w:eastAsia="Arial Unicode MS"/>
        </w:rPr>
        <w:t>.</w:t>
      </w:r>
      <w:r w:rsidRPr="008D6DF1">
        <w:rPr>
          <w:rFonts w:eastAsia="Arial Unicode MS"/>
          <w:i/>
        </w:rPr>
        <w:t>g</w:t>
      </w:r>
      <w:r w:rsidRPr="008D6DF1">
        <w:rPr>
          <w:rFonts w:eastAsia="Arial Unicode MS"/>
        </w:rPr>
        <w:t xml:space="preserve">., Rebecca Tushnet, </w:t>
      </w:r>
      <w:r w:rsidRPr="008D6DF1">
        <w:rPr>
          <w:rFonts w:eastAsia="Arial Unicode MS"/>
          <w:i/>
        </w:rPr>
        <w:t>Gone in Sixty Milliseconds: Trademark Law and Cognitive Science</w:t>
      </w:r>
      <w:r w:rsidRPr="008D6DF1">
        <w:rPr>
          <w:rFonts w:eastAsia="Arial Unicode MS"/>
        </w:rPr>
        <w:t xml:space="preserve">, 86 </w:t>
      </w:r>
      <w:r w:rsidRPr="008D6DF1">
        <w:rPr>
          <w:rFonts w:eastAsia="Arial Unicode MS"/>
          <w:smallCaps/>
        </w:rPr>
        <w:t>Tex. L. Rev</w:t>
      </w:r>
      <w:r w:rsidRPr="008D6DF1">
        <w:rPr>
          <w:rFonts w:eastAsia="Arial Unicode MS"/>
        </w:rPr>
        <w:t>. 507 (2008).</w:t>
      </w:r>
    </w:p>
  </w:footnote>
  <w:footnote w:id="14">
    <w:p w14:paraId="278BACEB" w14:textId="376F066F" w:rsidR="008D6DF1" w:rsidRPr="009B6D17" w:rsidRDefault="008D6DF1" w:rsidP="008D6DF1">
      <w:pPr>
        <w:pStyle w:val="FootnoteText"/>
      </w:pPr>
      <w:r w:rsidRPr="008D6DF1">
        <w:rPr>
          <w:vertAlign w:val="superscript"/>
        </w:rPr>
        <w:footnoteRef/>
      </w:r>
      <w:r w:rsidRPr="008D6DF1">
        <w:rPr>
          <w:i/>
        </w:rPr>
        <w:t>E</w:t>
      </w:r>
      <w:r w:rsidRPr="008D6DF1">
        <w:t>.</w:t>
      </w:r>
      <w:r w:rsidRPr="008D6DF1">
        <w:rPr>
          <w:i/>
        </w:rPr>
        <w:t>g</w:t>
      </w:r>
      <w:r w:rsidRPr="008D6DF1">
        <w:t xml:space="preserve">., Ringling Bros.–Barnum &amp; Bailey Combined Shows, Inc. v. Utah Div. of Travel Dev., 170 F.3d 449, 456, 50 USPQ2d 1065 (4th Cir.), </w:t>
      </w:r>
      <w:r w:rsidRPr="008D6DF1">
        <w:rPr>
          <w:i/>
        </w:rPr>
        <w:t>cert</w:t>
      </w:r>
      <w:r w:rsidRPr="008D6DF1">
        <w:t xml:space="preserve">. </w:t>
      </w:r>
      <w:r w:rsidRPr="008D6DF1">
        <w:rPr>
          <w:i/>
        </w:rPr>
        <w:t>denied</w:t>
      </w:r>
      <w:r w:rsidRPr="008D6DF1">
        <w:t xml:space="preserve">, 528 U.S. 923 (1999); Coffee Dan’s, Inc. v. Coffee Don’s Charcoal Broiler, 305 F. Supp. 1210, 1217 n.13, 163 USPQ 602 (N.D. Cal. 1969); </w:t>
      </w:r>
      <w:r w:rsidRPr="008D6DF1">
        <w:rPr>
          <w:i/>
        </w:rPr>
        <w:t>see</w:t>
      </w:r>
      <w:r w:rsidRPr="008D6DF1">
        <w:t xml:space="preserve"> Rosetta Stone, Inc. v. Google, Inc., 676 F.3d 144, 171, 102 USPQ2d 1473 (4th Cir. 2012) (quoting Nissan Motor Co. v. Nissan Computer Corp., 378 F.3d 1002, 1011 (9th Cir. 2004)).</w:t>
      </w:r>
    </w:p>
  </w:footnote>
  <w:footnote w:id="15">
    <w:p w14:paraId="393E1369" w14:textId="7FC4770E" w:rsidR="008D6DF1" w:rsidRPr="00C72FFD" w:rsidRDefault="008D6DF1" w:rsidP="008D6DF1">
      <w:pPr>
        <w:pStyle w:val="FootnoteText"/>
      </w:pPr>
      <w:r w:rsidRPr="008D6DF1">
        <w:rPr>
          <w:vertAlign w:val="superscript"/>
        </w:rPr>
        <w:footnoteRef/>
      </w:r>
      <w:r w:rsidRPr="008D6DF1">
        <w:t xml:space="preserve">Sally Gee, Inc. v. Myra Hogan, Inc., 699 F.2d 621, 625, 217 USPQ (2d Cir. 1983) (“extremely strong” mark needed); Lanham Act §43(c)(1), 15 U.S.C. §1125(c)(1) (“famous” mark required); </w:t>
      </w:r>
      <w:r w:rsidRPr="008D6DF1">
        <w:rPr>
          <w:smallCaps/>
        </w:rPr>
        <w:t>Model State Trademark Bill</w:t>
      </w:r>
      <w:r w:rsidRPr="008D6DF1">
        <w:t xml:space="preserve"> §13(a) (INTA 2007) (“famous” mark required). See Chapter 2, §I, and Chapter 8 for discussions of this issue; </w:t>
      </w:r>
      <w:r w:rsidRPr="008D6DF1">
        <w:rPr>
          <w:b/>
        </w:rPr>
        <w:t>s</w:t>
      </w:r>
      <w:r w:rsidRPr="008D6DF1">
        <w:t>ee also §II.D, below, for discussion of the Model State Trademark Bill.</w:t>
      </w:r>
    </w:p>
  </w:footnote>
  <w:footnote w:id="16">
    <w:p w14:paraId="57147AF1" w14:textId="39569209" w:rsidR="008D6DF1" w:rsidRPr="00146534" w:rsidRDefault="008D6DF1" w:rsidP="008D6DF1">
      <w:pPr>
        <w:pStyle w:val="FootnoteText"/>
      </w:pPr>
      <w:r w:rsidRPr="008D6DF1">
        <w:rPr>
          <w:vertAlign w:val="superscript"/>
        </w:rPr>
        <w:footnoteRef/>
      </w:r>
      <w:r w:rsidRPr="008D6DF1">
        <w:rPr>
          <w:i/>
        </w:rPr>
        <w:t>See</w:t>
      </w:r>
      <w:r w:rsidRPr="008D6DF1">
        <w:t xml:space="preserve"> Chapter 3, §I.C.</w:t>
      </w:r>
    </w:p>
  </w:footnote>
  <w:footnote w:id="17">
    <w:p w14:paraId="3A8F78FF" w14:textId="5A88FB1D" w:rsidR="008D6DF1" w:rsidRPr="00146534" w:rsidRDefault="008D6DF1" w:rsidP="008D6DF1">
      <w:pPr>
        <w:pStyle w:val="FootnoteText"/>
      </w:pPr>
      <w:r w:rsidRPr="008D6DF1">
        <w:rPr>
          <w:vertAlign w:val="superscript"/>
        </w:rPr>
        <w:footnoteRef/>
      </w:r>
      <w:r w:rsidRPr="008D6DF1">
        <w:t>International News Serv. v. Associated Press, 248 U.S. 215, 239 (1918).</w:t>
      </w:r>
    </w:p>
  </w:footnote>
  <w:footnote w:id="18">
    <w:p w14:paraId="27044228" w14:textId="13920717" w:rsidR="008D6DF1" w:rsidRPr="00146534" w:rsidRDefault="008D6DF1" w:rsidP="008D6DF1">
      <w:pPr>
        <w:pStyle w:val="FootnoteText"/>
      </w:pPr>
      <w:r w:rsidRPr="008D6DF1">
        <w:rPr>
          <w:vertAlign w:val="superscript"/>
        </w:rPr>
        <w:footnoteRef/>
      </w:r>
      <w:r w:rsidRPr="008D6DF1">
        <w:t>“Language of dilution” means an emphasis on protecting the commercial aura or goodwill of the mark, as opposed to an emphasis on protecting against consumer confusion.</w:t>
      </w:r>
    </w:p>
  </w:footnote>
  <w:footnote w:id="19">
    <w:p w14:paraId="3B16A17D" w14:textId="785FDFCF" w:rsidR="008D6DF1" w:rsidRPr="00146534" w:rsidRDefault="008D6DF1" w:rsidP="008D6DF1">
      <w:pPr>
        <w:pStyle w:val="FootnoteText"/>
      </w:pPr>
      <w:r w:rsidRPr="008D6DF1">
        <w:rPr>
          <w:vertAlign w:val="superscript"/>
        </w:rPr>
        <w:footnoteRef/>
      </w:r>
      <w:r w:rsidRPr="008D6DF1">
        <w:t>Yale Elec. Corp. v. Robertson, 26 F.2d 972 (2d Cir. 1928); Eastman Photographic Materials Co. v. John Griffith’s Cycle Corp., 15 R.P.C. 105 (1898).</w:t>
      </w:r>
    </w:p>
  </w:footnote>
  <w:footnote w:id="20">
    <w:p w14:paraId="6F225F5E" w14:textId="5DA32E35" w:rsidR="008D6DF1" w:rsidRPr="008D6DF1" w:rsidRDefault="008D6DF1" w:rsidP="008D6DF1">
      <w:pPr>
        <w:pStyle w:val="FootnoteText"/>
      </w:pPr>
      <w:r w:rsidRPr="008D6DF1">
        <w:rPr>
          <w:vertAlign w:val="superscript"/>
        </w:rPr>
        <w:footnoteRef/>
      </w:r>
      <w:r w:rsidRPr="008D6DF1">
        <w:t xml:space="preserve">Frank I. Schechter, </w:t>
      </w:r>
      <w:r w:rsidRPr="008D6DF1">
        <w:rPr>
          <w:i/>
        </w:rPr>
        <w:t>The Rational Basis of Trademark Protection</w:t>
      </w:r>
      <w:r w:rsidRPr="008D6DF1">
        <w:t xml:space="preserve">, 40 </w:t>
      </w:r>
      <w:r w:rsidRPr="008D6DF1">
        <w:rPr>
          <w:smallCaps/>
        </w:rPr>
        <w:t xml:space="preserve">Harv. L. Rev. </w:t>
      </w:r>
      <w:r w:rsidRPr="008D6DF1">
        <w:t>813 (1927).</w:t>
      </w:r>
    </w:p>
    <w:p w14:paraId="14B188CB" w14:textId="77777777" w:rsidR="008D6DF1" w:rsidRPr="00A22803" w:rsidRDefault="008D6DF1" w:rsidP="0099732A">
      <w:pPr>
        <w:pStyle w:val="TMDFootnote"/>
        <w:rPr>
          <w:b/>
        </w:rPr>
      </w:pPr>
    </w:p>
  </w:footnote>
  <w:footnote w:id="21">
    <w:p w14:paraId="3801661E" w14:textId="6945F90E" w:rsidR="008D6DF1" w:rsidRPr="00146534" w:rsidRDefault="008D6DF1" w:rsidP="008D6DF1">
      <w:pPr>
        <w:pStyle w:val="FootnoteText"/>
      </w:pPr>
      <w:r w:rsidRPr="008D6DF1">
        <w:rPr>
          <w:vertAlign w:val="superscript"/>
        </w:rPr>
        <w:footnoteRef/>
      </w:r>
      <w:r w:rsidRPr="008D6DF1">
        <w:rPr>
          <w:i/>
        </w:rPr>
        <w:t>Id</w:t>
      </w:r>
      <w:r w:rsidRPr="008D6DF1">
        <w:t>. at 819.</w:t>
      </w:r>
    </w:p>
  </w:footnote>
  <w:footnote w:id="22">
    <w:p w14:paraId="1B3317E0" w14:textId="597A2E03" w:rsidR="008D6DF1" w:rsidRPr="00146534" w:rsidRDefault="008D6DF1" w:rsidP="008D6DF1">
      <w:pPr>
        <w:pStyle w:val="FootnoteText"/>
      </w:pPr>
      <w:r w:rsidRPr="008D6DF1">
        <w:rPr>
          <w:vertAlign w:val="superscript"/>
        </w:rPr>
        <w:footnoteRef/>
      </w:r>
      <w:r w:rsidRPr="008D6DF1">
        <w:rPr>
          <w:i/>
        </w:rPr>
        <w:t>Id</w:t>
      </w:r>
      <w:r w:rsidRPr="008D6DF1">
        <w:t xml:space="preserve">. at 818–19. Schechter called this “the </w:t>
      </w:r>
      <w:r w:rsidRPr="008D6DF1">
        <w:rPr>
          <w:i/>
        </w:rPr>
        <w:t>creation and retention of custom</w:t>
      </w:r>
      <w:r w:rsidRPr="008D6DF1">
        <w:t xml:space="preserve">.” </w:t>
      </w:r>
      <w:r w:rsidRPr="008D6DF1">
        <w:rPr>
          <w:i/>
        </w:rPr>
        <w:t>Id</w:t>
      </w:r>
      <w:r w:rsidRPr="008D6DF1">
        <w:t>. at 822.</w:t>
      </w:r>
    </w:p>
  </w:footnote>
  <w:footnote w:id="23">
    <w:p w14:paraId="731431EE" w14:textId="3F44149D" w:rsidR="008D6DF1" w:rsidRPr="00146534" w:rsidRDefault="008D6DF1" w:rsidP="008D6DF1">
      <w:pPr>
        <w:pStyle w:val="FootnoteText"/>
      </w:pPr>
      <w:r w:rsidRPr="008D6DF1">
        <w:rPr>
          <w:vertAlign w:val="superscript"/>
        </w:rPr>
        <w:footnoteRef/>
      </w:r>
      <w:r w:rsidRPr="008D6DF1">
        <w:rPr>
          <w:i/>
        </w:rPr>
        <w:t>Id</w:t>
      </w:r>
      <w:r w:rsidRPr="008D6DF1">
        <w:t>. at 823.</w:t>
      </w:r>
    </w:p>
  </w:footnote>
  <w:footnote w:id="24">
    <w:p w14:paraId="00D02779" w14:textId="31D7979D" w:rsidR="008D6DF1" w:rsidRPr="00146534" w:rsidRDefault="008D6DF1" w:rsidP="008D6DF1">
      <w:pPr>
        <w:pStyle w:val="FootnoteText"/>
      </w:pPr>
      <w:r w:rsidRPr="008D6DF1">
        <w:rPr>
          <w:vertAlign w:val="superscript"/>
        </w:rPr>
        <w:footnoteRef/>
      </w:r>
      <w:r w:rsidRPr="008D6DF1">
        <w:rPr>
          <w:i/>
        </w:rPr>
        <w:t>Id</w:t>
      </w:r>
      <w:r w:rsidRPr="008D6DF1">
        <w:t>. at 825.</w:t>
      </w:r>
    </w:p>
  </w:footnote>
  <w:footnote w:id="25">
    <w:p w14:paraId="25FAE93C" w14:textId="514F2A1A" w:rsidR="008D6DF1" w:rsidRPr="00146534" w:rsidRDefault="008D6DF1" w:rsidP="008D6DF1">
      <w:pPr>
        <w:pStyle w:val="FootnoteText"/>
      </w:pPr>
      <w:r w:rsidRPr="008D6DF1">
        <w:rPr>
          <w:vertAlign w:val="superscript"/>
        </w:rPr>
        <w:footnoteRef/>
      </w:r>
      <w:r w:rsidRPr="008D6DF1">
        <w:rPr>
          <w:i/>
        </w:rPr>
        <w:t>See</w:t>
      </w:r>
      <w:r w:rsidRPr="008D6DF1">
        <w:t xml:space="preserve"> </w:t>
      </w:r>
      <w:r w:rsidRPr="008D6DF1">
        <w:rPr>
          <w:i/>
        </w:rPr>
        <w:t>id</w:t>
      </w:r>
      <w:r w:rsidRPr="008D6DF1">
        <w:t>. at 821, 831.</w:t>
      </w:r>
    </w:p>
  </w:footnote>
  <w:footnote w:id="26">
    <w:p w14:paraId="1D6BB7CA" w14:textId="650F0015" w:rsidR="008D6DF1" w:rsidRPr="00146534" w:rsidRDefault="008D6DF1" w:rsidP="008D6DF1">
      <w:pPr>
        <w:pStyle w:val="FootnoteText"/>
      </w:pPr>
      <w:r w:rsidRPr="008D6DF1">
        <w:rPr>
          <w:vertAlign w:val="superscript"/>
        </w:rPr>
        <w:footnoteRef/>
      </w:r>
      <w:r w:rsidRPr="008D6DF1">
        <w:rPr>
          <w:i/>
        </w:rPr>
        <w:t>Id</w:t>
      </w:r>
      <w:r w:rsidRPr="008D6DF1">
        <w:t>. at 831 (emphasis added).</w:t>
      </w:r>
    </w:p>
  </w:footnote>
  <w:footnote w:id="27">
    <w:p w14:paraId="3885FEDA" w14:textId="409FD5F1" w:rsidR="008D6DF1" w:rsidRPr="00146534" w:rsidRDefault="008D6DF1" w:rsidP="008D6DF1">
      <w:pPr>
        <w:pStyle w:val="FootnoteText"/>
      </w:pPr>
      <w:r w:rsidRPr="008D6DF1">
        <w:rPr>
          <w:vertAlign w:val="superscript"/>
        </w:rPr>
        <w:footnoteRef/>
      </w:r>
      <w:r w:rsidRPr="008D6DF1">
        <w:rPr>
          <w:i/>
        </w:rPr>
        <w:t>Id</w:t>
      </w:r>
      <w:r w:rsidRPr="008D6DF1">
        <w:t xml:space="preserve">. at 831–32 (discussing the </w:t>
      </w:r>
      <w:r w:rsidRPr="008D6DF1">
        <w:rPr>
          <w:i/>
        </w:rPr>
        <w:t>Odol</w:t>
      </w:r>
      <w:r w:rsidRPr="008D6DF1">
        <w:t xml:space="preserve"> case in Germany).</w:t>
      </w:r>
    </w:p>
  </w:footnote>
  <w:footnote w:id="28">
    <w:p w14:paraId="26BF99BC" w14:textId="4EDF46C8" w:rsidR="008D6DF1" w:rsidRPr="00146534" w:rsidRDefault="008D6DF1" w:rsidP="008D6DF1">
      <w:pPr>
        <w:pStyle w:val="FootnoteText"/>
      </w:pPr>
      <w:r w:rsidRPr="008D6DF1">
        <w:rPr>
          <w:vertAlign w:val="superscript"/>
        </w:rPr>
        <w:footnoteRef/>
      </w:r>
      <w:r w:rsidRPr="008D6DF1">
        <w:rPr>
          <w:i/>
        </w:rPr>
        <w:t>Id</w:t>
      </w:r>
      <w:r w:rsidRPr="008D6DF1">
        <w:t>. at 828.</w:t>
      </w:r>
    </w:p>
  </w:footnote>
  <w:footnote w:id="29">
    <w:p w14:paraId="241C68AC" w14:textId="60F675E7" w:rsidR="008D6DF1" w:rsidRPr="00146534" w:rsidRDefault="008D6DF1" w:rsidP="008D6DF1">
      <w:pPr>
        <w:pStyle w:val="FootnoteText"/>
      </w:pPr>
      <w:r w:rsidRPr="008D6DF1">
        <w:rPr>
          <w:vertAlign w:val="superscript"/>
        </w:rPr>
        <w:footnoteRef/>
      </w:r>
      <w:r w:rsidRPr="008D6DF1">
        <w:rPr>
          <w:i/>
        </w:rPr>
        <w:t>See</w:t>
      </w:r>
      <w:r w:rsidRPr="008D6DF1">
        <w:t xml:space="preserve"> </w:t>
      </w:r>
      <w:r w:rsidRPr="008D6DF1">
        <w:rPr>
          <w:i/>
        </w:rPr>
        <w:t>id</w:t>
      </w:r>
      <w:r w:rsidRPr="008D6DF1">
        <w:t xml:space="preserve">. at 829. Apparently, Schechter also did not contemplate dilution protection for marks that consist of the products themselves (“product configurations”). He noted that “[t]he owner of a distinctive mark or name … obtains thereby no monopoly of goods or services; these may be freely sold on their own merits and under their own trade symbols.” </w:t>
      </w:r>
      <w:r w:rsidRPr="008D6DF1">
        <w:rPr>
          <w:i/>
        </w:rPr>
        <w:t>Id</w:t>
      </w:r>
      <w:r w:rsidRPr="008D6DF1">
        <w:t>. at 833. Of course, when Schechter wrote, the idea of protecting product configurations as trademarks was not an established concept.</w:t>
      </w:r>
    </w:p>
  </w:footnote>
  <w:footnote w:id="30">
    <w:p w14:paraId="2E857051" w14:textId="5830A056" w:rsidR="008D6DF1" w:rsidRPr="00146534" w:rsidRDefault="008D6DF1" w:rsidP="008D6DF1">
      <w:pPr>
        <w:pStyle w:val="FootnoteText"/>
      </w:pPr>
      <w:r w:rsidRPr="008D6DF1">
        <w:rPr>
          <w:vertAlign w:val="superscript"/>
        </w:rPr>
        <w:footnoteRef/>
      </w:r>
      <w:r w:rsidRPr="008D6DF1">
        <w:t xml:space="preserve">Moseley v. V Secret Catalogue, Inc., 537 U.S. 418, 429, 65 USPQ2d 1801 (2003) (quoting 40 </w:t>
      </w:r>
      <w:r w:rsidRPr="008D6DF1">
        <w:rPr>
          <w:smallCaps/>
        </w:rPr>
        <w:t xml:space="preserve">Harv. L. Rev. </w:t>
      </w:r>
      <w:r w:rsidRPr="008D6DF1">
        <w:t xml:space="preserve">at 829); </w:t>
      </w:r>
      <w:r w:rsidRPr="008D6DF1">
        <w:rPr>
          <w:i/>
        </w:rPr>
        <w:t>see id</w:t>
      </w:r>
      <w:r w:rsidRPr="008D6DF1">
        <w:t>. at 429 n.10 (discussing Schechter’s findings as to the commonality of various marks).</w:t>
      </w:r>
    </w:p>
  </w:footnote>
  <w:footnote w:id="31">
    <w:p w14:paraId="48515084" w14:textId="6922CE91" w:rsidR="008D6DF1" w:rsidRPr="008D6DF1" w:rsidRDefault="008D6DF1" w:rsidP="008D6DF1">
      <w:pPr>
        <w:pStyle w:val="FootnoteText"/>
      </w:pPr>
      <w:r w:rsidRPr="008D6DF1">
        <w:rPr>
          <w:rStyle w:val="FootnoteReference"/>
        </w:rPr>
        <w:footnoteRef/>
      </w:r>
      <w:r w:rsidRPr="008D6DF1">
        <w:rPr>
          <w:i/>
        </w:rPr>
        <w:t>Cf</w:t>
      </w:r>
      <w:r w:rsidRPr="008D6DF1">
        <w:t xml:space="preserve">. Visa Int’l Serv. </w:t>
      </w:r>
      <w:proofErr w:type="spellStart"/>
      <w:r w:rsidRPr="008D6DF1">
        <w:t>Ass’n</w:t>
      </w:r>
      <w:proofErr w:type="spellEnd"/>
      <w:r w:rsidRPr="008D6DF1">
        <w:t xml:space="preserve"> v. JSL Corp., 610 F.3d 1088, 1090, 95 USPQ2d 1571 (9th Cir. 2010) (finding Visa mark diluted by “</w:t>
      </w:r>
      <w:proofErr w:type="spellStart"/>
      <w:r w:rsidRPr="008D6DF1">
        <w:t>eVisa</w:t>
      </w:r>
      <w:proofErr w:type="spellEnd"/>
      <w:r w:rsidRPr="008D6DF1">
        <w:t>” under federal dilution law).</w:t>
      </w:r>
    </w:p>
    <w:p w14:paraId="728AB097" w14:textId="77777777" w:rsidR="008D6DF1" w:rsidRPr="00BD4208" w:rsidRDefault="008D6DF1" w:rsidP="0099732A">
      <w:pPr>
        <w:pStyle w:val="TMDFootnote"/>
      </w:pPr>
    </w:p>
  </w:footnote>
  <w:footnote w:id="32">
    <w:p w14:paraId="0A400157" w14:textId="5C83F176" w:rsidR="008D6DF1" w:rsidRPr="00D351C9" w:rsidRDefault="008D6DF1" w:rsidP="008D6DF1">
      <w:pPr>
        <w:pStyle w:val="FootnoteText"/>
        <w:rPr>
          <w:lang w:val="da-DK"/>
        </w:rPr>
      </w:pPr>
      <w:r w:rsidRPr="008D6DF1">
        <w:rPr>
          <w:vertAlign w:val="superscript"/>
        </w:rPr>
        <w:footnoteRef/>
      </w:r>
      <w:r w:rsidRPr="008D6DF1">
        <w:rPr>
          <w:i/>
        </w:rPr>
        <w:t>See</w:t>
      </w:r>
      <w:r w:rsidRPr="008D6DF1">
        <w:t xml:space="preserve"> 40 </w:t>
      </w:r>
      <w:r w:rsidRPr="008D6DF1">
        <w:rPr>
          <w:smallCaps/>
        </w:rPr>
        <w:t>Harv. L. Rev</w:t>
      </w:r>
      <w:r w:rsidRPr="008D6DF1">
        <w:t>. at 821–25.</w:t>
      </w:r>
    </w:p>
  </w:footnote>
  <w:footnote w:id="33">
    <w:p w14:paraId="2D27E90D" w14:textId="20A92D4D" w:rsidR="008D6DF1" w:rsidRPr="00146534" w:rsidRDefault="008D6DF1" w:rsidP="008D6DF1">
      <w:pPr>
        <w:pStyle w:val="FootnoteText"/>
      </w:pPr>
      <w:r w:rsidRPr="008D6DF1">
        <w:rPr>
          <w:vertAlign w:val="superscript"/>
        </w:rPr>
        <w:footnoteRef/>
      </w:r>
      <w:r w:rsidRPr="008D6DF1">
        <w:rPr>
          <w:i/>
        </w:rPr>
        <w:t>E</w:t>
      </w:r>
      <w:r w:rsidRPr="008D6DF1">
        <w:t>.</w:t>
      </w:r>
      <w:r w:rsidRPr="008D6DF1">
        <w:rPr>
          <w:i/>
        </w:rPr>
        <w:t>g</w:t>
      </w:r>
      <w:r w:rsidRPr="008D6DF1">
        <w:t xml:space="preserve">., AMF, Inc. v. </w:t>
      </w:r>
      <w:proofErr w:type="spellStart"/>
      <w:r w:rsidRPr="008D6DF1">
        <w:t>Sleekcraft</w:t>
      </w:r>
      <w:proofErr w:type="spellEnd"/>
      <w:r w:rsidRPr="008D6DF1">
        <w:t xml:space="preserve"> Boats, 599 F.2d 341, 348–49, 204 USPQ 808 (9th Cir. 1979) (listing eight factors for “related goods” cases); Polaroid Corp. v. </w:t>
      </w:r>
      <w:proofErr w:type="spellStart"/>
      <w:r w:rsidRPr="008D6DF1">
        <w:t>Polarad</w:t>
      </w:r>
      <w:proofErr w:type="spellEnd"/>
      <w:r w:rsidRPr="008D6DF1">
        <w:t xml:space="preserve"> Elecs. Corp., 287 F.2d 492, 495, 128 USPQ 411 (2d Cir.) (listing eight factors), </w:t>
      </w:r>
      <w:r w:rsidRPr="008D6DF1">
        <w:rPr>
          <w:i/>
        </w:rPr>
        <w:t>cert</w:t>
      </w:r>
      <w:r w:rsidRPr="008D6DF1">
        <w:t xml:space="preserve">. </w:t>
      </w:r>
      <w:r w:rsidRPr="008D6DF1">
        <w:rPr>
          <w:i/>
        </w:rPr>
        <w:t>denied</w:t>
      </w:r>
      <w:r w:rsidRPr="008D6DF1">
        <w:t>, 368 U.S. 820 (1961).</w:t>
      </w:r>
    </w:p>
  </w:footnote>
  <w:footnote w:id="34">
    <w:p w14:paraId="4FF38C91" w14:textId="2DECFE93" w:rsidR="008D6DF1" w:rsidRPr="00146534" w:rsidRDefault="008D6DF1" w:rsidP="008D6DF1">
      <w:pPr>
        <w:pStyle w:val="FootnoteText"/>
      </w:pPr>
      <w:r w:rsidRPr="008D6DF1">
        <w:rPr>
          <w:vertAlign w:val="superscript"/>
        </w:rPr>
        <w:footnoteRef/>
      </w:r>
      <w:r w:rsidRPr="008D6DF1">
        <w:rPr>
          <w:i/>
        </w:rPr>
        <w:t>E</w:t>
      </w:r>
      <w:r w:rsidRPr="008D6DF1">
        <w:t>.</w:t>
      </w:r>
      <w:r w:rsidRPr="008D6DF1">
        <w:rPr>
          <w:i/>
        </w:rPr>
        <w:t>g</w:t>
      </w:r>
      <w:r w:rsidRPr="008D6DF1">
        <w:t xml:space="preserve">., Boston Athletic </w:t>
      </w:r>
      <w:proofErr w:type="spellStart"/>
      <w:r w:rsidRPr="008D6DF1">
        <w:t>Ass’n</w:t>
      </w:r>
      <w:proofErr w:type="spellEnd"/>
      <w:r w:rsidRPr="008D6DF1">
        <w:t xml:space="preserve"> v. Sullivan, 867 F.2d 22, 27, 9 USPQ2d 1690 (1st Cir. 1989).</w:t>
      </w:r>
    </w:p>
  </w:footnote>
  <w:footnote w:id="35">
    <w:p w14:paraId="2A205532" w14:textId="5FCC41E0" w:rsidR="008D6DF1" w:rsidRPr="00146534" w:rsidRDefault="008D6DF1" w:rsidP="008D6DF1">
      <w:pPr>
        <w:pStyle w:val="FootnoteText"/>
      </w:pPr>
      <w:r w:rsidRPr="008D6DF1">
        <w:rPr>
          <w:vertAlign w:val="superscript"/>
        </w:rPr>
        <w:footnoteRef/>
      </w:r>
      <w:proofErr w:type="spellStart"/>
      <w:r w:rsidRPr="008D6DF1">
        <w:t>Insty</w:t>
      </w:r>
      <w:proofErr w:type="spellEnd"/>
      <w:r w:rsidRPr="008D6DF1">
        <w:t xml:space="preserve">*Bit, Inc. v. Poly-Tech Indus., Inc., 95 F.3d 663, 671–72, 39 USPQ2d 1961 (8th Cir. 1996), </w:t>
      </w:r>
      <w:r w:rsidRPr="008D6DF1">
        <w:rPr>
          <w:i/>
        </w:rPr>
        <w:t>cert</w:t>
      </w:r>
      <w:r w:rsidRPr="008D6DF1">
        <w:t xml:space="preserve">. </w:t>
      </w:r>
      <w:r w:rsidRPr="008D6DF1">
        <w:rPr>
          <w:i/>
        </w:rPr>
        <w:t>denied</w:t>
      </w:r>
      <w:r w:rsidRPr="008D6DF1">
        <w:t xml:space="preserve">, 519 U.S. 1151 (1997); Ferrari S.P.A. </w:t>
      </w:r>
      <w:proofErr w:type="spellStart"/>
      <w:r w:rsidRPr="008D6DF1">
        <w:t>Esercizio</w:t>
      </w:r>
      <w:proofErr w:type="spellEnd"/>
      <w:r w:rsidRPr="008D6DF1">
        <w:t xml:space="preserve"> </w:t>
      </w:r>
      <w:proofErr w:type="spellStart"/>
      <w:r w:rsidRPr="008D6DF1">
        <w:t>Fabriche</w:t>
      </w:r>
      <w:proofErr w:type="spellEnd"/>
      <w:r w:rsidRPr="008D6DF1">
        <w:t xml:space="preserve"> </w:t>
      </w:r>
      <w:proofErr w:type="spellStart"/>
      <w:r w:rsidRPr="008D6DF1">
        <w:t>Automobili</w:t>
      </w:r>
      <w:proofErr w:type="spellEnd"/>
      <w:r w:rsidRPr="008D6DF1">
        <w:t xml:space="preserve"> E Corse v. Roberts, 944 F.2d 1235, 1245, 20 USPQ2d 1001 (6th Cir. 1991), </w:t>
      </w:r>
      <w:r w:rsidRPr="008D6DF1">
        <w:rPr>
          <w:i/>
        </w:rPr>
        <w:t>cert</w:t>
      </w:r>
      <w:r w:rsidRPr="008D6DF1">
        <w:t xml:space="preserve">. </w:t>
      </w:r>
      <w:r w:rsidRPr="008D6DF1">
        <w:rPr>
          <w:i/>
        </w:rPr>
        <w:t>denied</w:t>
      </w:r>
      <w:r w:rsidRPr="008D6DF1">
        <w:t>, 505 U.S. 1219 (1992).</w:t>
      </w:r>
    </w:p>
  </w:footnote>
  <w:footnote w:id="36">
    <w:p w14:paraId="78B44E1F" w14:textId="614CB65B" w:rsidR="008D6DF1" w:rsidRPr="00146534" w:rsidRDefault="008D6DF1" w:rsidP="008D6DF1">
      <w:pPr>
        <w:pStyle w:val="FootnoteText"/>
      </w:pPr>
      <w:r w:rsidRPr="008D6DF1">
        <w:rPr>
          <w:vertAlign w:val="superscript"/>
        </w:rPr>
        <w:footnoteRef/>
      </w:r>
      <w:r w:rsidRPr="008D6DF1">
        <w:rPr>
          <w:i/>
        </w:rPr>
        <w:t>See</w:t>
      </w:r>
      <w:r w:rsidRPr="008D6DF1">
        <w:t xml:space="preserve"> </w:t>
      </w:r>
      <w:r w:rsidRPr="008D6DF1">
        <w:rPr>
          <w:i/>
        </w:rPr>
        <w:t>Ferrari</w:t>
      </w:r>
      <w:r w:rsidRPr="008D6DF1">
        <w:t>, 944 F.2d at 1245.</w:t>
      </w:r>
    </w:p>
  </w:footnote>
  <w:footnote w:id="37">
    <w:p w14:paraId="7DCCF261" w14:textId="703E9425" w:rsidR="008D6DF1" w:rsidRPr="00591608" w:rsidRDefault="008D6DF1" w:rsidP="008D6DF1">
      <w:pPr>
        <w:pStyle w:val="FootnoteText"/>
      </w:pPr>
      <w:r w:rsidRPr="008D6DF1">
        <w:rPr>
          <w:vertAlign w:val="superscript"/>
        </w:rPr>
        <w:footnoteRef/>
      </w:r>
      <w:r w:rsidRPr="008D6DF1">
        <w:rPr>
          <w:i/>
        </w:rPr>
        <w:t>See</w:t>
      </w:r>
      <w:r w:rsidRPr="008D6DF1">
        <w:t xml:space="preserve"> Brookfield Commc’ns, Inc. v. West Coast Entm’t Corp., 174 F.3d 1036, 1057, 50 USPQ2d 1545 (9th Cir. 1999). Initial interest confusion is sometimes used outside of the Internet context. </w:t>
      </w:r>
      <w:r w:rsidRPr="008D6DF1">
        <w:rPr>
          <w:i/>
        </w:rPr>
        <w:t>See</w:t>
      </w:r>
      <w:r w:rsidRPr="008D6DF1">
        <w:t>,</w:t>
      </w:r>
      <w:r w:rsidRPr="008D6DF1">
        <w:rPr>
          <w:i/>
        </w:rPr>
        <w:t xml:space="preserve"> e</w:t>
      </w:r>
      <w:r w:rsidRPr="008D6DF1">
        <w:t>.</w:t>
      </w:r>
      <w:r w:rsidRPr="008D6DF1">
        <w:rPr>
          <w:i/>
        </w:rPr>
        <w:t>g</w:t>
      </w:r>
      <w:r w:rsidRPr="008D6DF1">
        <w:t xml:space="preserve">., Gibson Guitar Corp. v. Paul Reed Smith Guitars, LP, 423 F.3d 539, 76 USPQ2d 1372 (6th Cir. 2005), </w:t>
      </w:r>
      <w:r w:rsidRPr="008D6DF1">
        <w:rPr>
          <w:i/>
        </w:rPr>
        <w:t>cert</w:t>
      </w:r>
      <w:r w:rsidRPr="008D6DF1">
        <w:t xml:space="preserve">. </w:t>
      </w:r>
      <w:r w:rsidRPr="008D6DF1">
        <w:rPr>
          <w:i/>
        </w:rPr>
        <w:t>denied</w:t>
      </w:r>
      <w:r w:rsidRPr="008D6DF1">
        <w:t>, 547 U.S. 1179 (analyzing, though ultimately denying, claim of initial interest confusion in a store).</w:t>
      </w:r>
    </w:p>
  </w:footnote>
  <w:footnote w:id="38">
    <w:p w14:paraId="7C18D6B8" w14:textId="61173230" w:rsidR="008D6DF1" w:rsidRPr="002C2F13" w:rsidRDefault="008D6DF1" w:rsidP="008D6DF1">
      <w:pPr>
        <w:pStyle w:val="FootnoteText"/>
      </w:pPr>
      <w:r w:rsidRPr="008D6DF1">
        <w:rPr>
          <w:vertAlign w:val="superscript"/>
        </w:rPr>
        <w:footnoteRef/>
      </w:r>
      <w:r w:rsidRPr="008D6DF1">
        <w:t>Eastman Photographic Materials Co. v. John Griffith’s Cycle Corp., 15 R.P.C. 105 (1898).</w:t>
      </w:r>
    </w:p>
  </w:footnote>
  <w:footnote w:id="39">
    <w:p w14:paraId="64B53DE6" w14:textId="721DFC5C" w:rsidR="008D6DF1" w:rsidRPr="00146534" w:rsidRDefault="008D6DF1" w:rsidP="008D6DF1">
      <w:pPr>
        <w:pStyle w:val="FootnoteText"/>
      </w:pPr>
      <w:r w:rsidRPr="008D6DF1">
        <w:rPr>
          <w:vertAlign w:val="superscript"/>
        </w:rPr>
        <w:footnoteRef/>
      </w:r>
      <w:proofErr w:type="gramStart"/>
      <w:r w:rsidRPr="008D6DF1">
        <w:rPr>
          <w:i/>
        </w:rPr>
        <w:t>Id</w:t>
      </w:r>
      <w:r w:rsidRPr="008D6DF1">
        <w:t>.;</w:t>
      </w:r>
      <w:proofErr w:type="gramEnd"/>
      <w:r w:rsidRPr="008D6DF1">
        <w:t xml:space="preserve"> </w:t>
      </w:r>
      <w:r w:rsidRPr="008D6DF1">
        <w:rPr>
          <w:i/>
        </w:rPr>
        <w:t>see also</w:t>
      </w:r>
      <w:r w:rsidRPr="008D6DF1">
        <w:t xml:space="preserve"> Taittinger S.A. v. </w:t>
      </w:r>
      <w:proofErr w:type="spellStart"/>
      <w:r w:rsidRPr="008D6DF1">
        <w:t>Allbev</w:t>
      </w:r>
      <w:proofErr w:type="spellEnd"/>
      <w:r w:rsidRPr="008D6DF1">
        <w:t>, Ltd., [1994] 4 All E.R. 75, 88, 91, [1993] F.S.R. 641 (Ct. App. (Civil) 1993) (enjoining, on a passing-off rationale, a drink called Elderflower Champagne, with two judges clearly basing their opinions on injury to reputation and goodwill). Dilution under the laws of various other countries is discussed in Chapter 15.</w:t>
      </w:r>
    </w:p>
  </w:footnote>
  <w:footnote w:id="40">
    <w:p w14:paraId="4FB423B8" w14:textId="60B500ED" w:rsidR="008D6DF1" w:rsidRPr="00146534" w:rsidRDefault="008D6DF1" w:rsidP="008D6DF1">
      <w:pPr>
        <w:pStyle w:val="FootnoteText"/>
      </w:pPr>
      <w:r w:rsidRPr="008D6DF1">
        <w:rPr>
          <w:vertAlign w:val="superscript"/>
        </w:rPr>
        <w:footnoteRef/>
      </w:r>
      <w:r w:rsidRPr="008D6DF1">
        <w:t>26 F.2d 972 (2d Cir. 1928).</w:t>
      </w:r>
    </w:p>
  </w:footnote>
  <w:footnote w:id="41">
    <w:p w14:paraId="2EDD8E2F" w14:textId="61022C3F" w:rsidR="008D6DF1" w:rsidRPr="00146534" w:rsidRDefault="008D6DF1" w:rsidP="008D6DF1">
      <w:pPr>
        <w:pStyle w:val="FootnoteText"/>
      </w:pPr>
      <w:r w:rsidRPr="008D6DF1">
        <w:rPr>
          <w:vertAlign w:val="superscript"/>
        </w:rPr>
        <w:footnoteRef/>
      </w:r>
      <w:r w:rsidRPr="008D6DF1">
        <w:rPr>
          <w:i/>
        </w:rPr>
        <w:t>Id</w:t>
      </w:r>
      <w:r w:rsidRPr="008D6DF1">
        <w:t xml:space="preserve">. at 974. Judge Hand did recognize some limits to the protection thus given, even limiting the lower court’s injunction to prohibiting the use of the Yale mark on flashlights and batteries instead of any metal object. </w:t>
      </w:r>
      <w:r w:rsidRPr="008D6DF1">
        <w:rPr>
          <w:i/>
        </w:rPr>
        <w:t>Id</w:t>
      </w:r>
      <w:r w:rsidRPr="008D6DF1">
        <w:t xml:space="preserve">. He later noted that products </w:t>
      </w:r>
      <w:r w:rsidRPr="008D6DF1">
        <w:rPr>
          <w:i/>
        </w:rPr>
        <w:t>could</w:t>
      </w:r>
      <w:r w:rsidRPr="008D6DF1">
        <w:t xml:space="preserve"> be so disparate that no relief would be available. L.E. Waterman Co. v. Gordon, 72 F.2d 272, 273 (2d Cir. 1934) (relating the example of steam shovels versus lipstick).</w:t>
      </w:r>
    </w:p>
  </w:footnote>
  <w:footnote w:id="42">
    <w:p w14:paraId="1A272661" w14:textId="5F7BA50B" w:rsidR="008D6DF1" w:rsidRPr="00146534" w:rsidRDefault="008D6DF1" w:rsidP="008D6DF1">
      <w:pPr>
        <w:pStyle w:val="FootnoteText"/>
      </w:pPr>
      <w:r w:rsidRPr="008D6DF1">
        <w:rPr>
          <w:vertAlign w:val="superscript"/>
        </w:rPr>
        <w:footnoteRef/>
      </w:r>
      <w:r w:rsidRPr="008D6DF1">
        <w:t xml:space="preserve">264 N.Y.S. 459 (N.Y. Sup. Ct.), </w:t>
      </w:r>
      <w:r w:rsidRPr="008D6DF1">
        <w:rPr>
          <w:i/>
        </w:rPr>
        <w:t>aff’d</w:t>
      </w:r>
      <w:r w:rsidRPr="008D6DF1">
        <w:t xml:space="preserve">, 260 N.Y.S. 821 (N.Y. App. Div. 1st Dept. 1932), </w:t>
      </w:r>
      <w:r w:rsidRPr="008D6DF1">
        <w:rPr>
          <w:i/>
        </w:rPr>
        <w:t>aff’d</w:t>
      </w:r>
      <w:r w:rsidRPr="008D6DF1">
        <w:t>, 262 N.Y. 482, 188 N.E. 30 (1933).</w:t>
      </w:r>
    </w:p>
  </w:footnote>
  <w:footnote w:id="43">
    <w:p w14:paraId="1A247F4B" w14:textId="75EAE87A" w:rsidR="008D6DF1" w:rsidRPr="00146534" w:rsidRDefault="008D6DF1" w:rsidP="008D6DF1">
      <w:pPr>
        <w:pStyle w:val="FootnoteText"/>
      </w:pPr>
      <w:r w:rsidRPr="008D6DF1">
        <w:rPr>
          <w:vertAlign w:val="superscript"/>
        </w:rPr>
        <w:footnoteRef/>
      </w:r>
      <w:r w:rsidRPr="008D6DF1">
        <w:rPr>
          <w:i/>
        </w:rPr>
        <w:t>Id</w:t>
      </w:r>
      <w:r w:rsidRPr="008D6DF1">
        <w:t xml:space="preserve">. at 461. This created an inference of bad-faith use. </w:t>
      </w:r>
      <w:r w:rsidRPr="008D6DF1">
        <w:rPr>
          <w:i/>
        </w:rPr>
        <w:t>Id</w:t>
      </w:r>
      <w:r w:rsidRPr="008D6DF1">
        <w:t>. at 463.</w:t>
      </w:r>
    </w:p>
  </w:footnote>
  <w:footnote w:id="44">
    <w:p w14:paraId="0031A4B8" w14:textId="4CD31D20" w:rsidR="008D6DF1" w:rsidRPr="00146534" w:rsidRDefault="008D6DF1" w:rsidP="008D6DF1">
      <w:pPr>
        <w:pStyle w:val="FootnoteText"/>
      </w:pPr>
      <w:r w:rsidRPr="008D6DF1">
        <w:rPr>
          <w:vertAlign w:val="superscript"/>
        </w:rPr>
        <w:footnoteRef/>
      </w:r>
      <w:r w:rsidRPr="008D6DF1">
        <w:rPr>
          <w:i/>
        </w:rPr>
        <w:t>Id</w:t>
      </w:r>
      <w:r w:rsidRPr="008D6DF1">
        <w:t xml:space="preserve">. at 462 (quoting Frank I. Schechter, </w:t>
      </w:r>
      <w:r w:rsidRPr="008D6DF1">
        <w:rPr>
          <w:i/>
        </w:rPr>
        <w:t>The Rational Basis of Trademark Protection</w:t>
      </w:r>
      <w:r w:rsidRPr="008D6DF1">
        <w:t xml:space="preserve">, 40 </w:t>
      </w:r>
      <w:r w:rsidRPr="008D6DF1">
        <w:rPr>
          <w:smallCaps/>
        </w:rPr>
        <w:t xml:space="preserve">Harv. L. Rev. </w:t>
      </w:r>
      <w:r w:rsidRPr="008D6DF1">
        <w:t xml:space="preserve">813, 825 (1927)). The court quoted further from Schechter’s article in this and other parts of its opinion. </w:t>
      </w:r>
      <w:r w:rsidRPr="008D6DF1">
        <w:rPr>
          <w:i/>
        </w:rPr>
        <w:t>Id</w:t>
      </w:r>
      <w:r w:rsidRPr="008D6DF1">
        <w:t>. at 462–63.</w:t>
      </w:r>
    </w:p>
  </w:footnote>
  <w:footnote w:id="45">
    <w:p w14:paraId="2CAFF9F1" w14:textId="1E25C1F4" w:rsidR="008D6DF1" w:rsidRPr="00146534" w:rsidRDefault="008D6DF1" w:rsidP="008D6DF1">
      <w:pPr>
        <w:pStyle w:val="FootnoteText"/>
      </w:pPr>
      <w:r w:rsidRPr="008D6DF1">
        <w:rPr>
          <w:vertAlign w:val="superscript"/>
        </w:rPr>
        <w:footnoteRef/>
      </w:r>
      <w:r w:rsidRPr="008D6DF1">
        <w:rPr>
          <w:i/>
        </w:rPr>
        <w:t>Id</w:t>
      </w:r>
      <w:r w:rsidRPr="008D6DF1">
        <w:t>. at 463. The breadth of the decision was criticized in a dissent in the Appellate Division, 260 N.Y.S. at 822. However, both a majority in the Appellate Division and the Court of Appeals affirmed without opinion.</w:t>
      </w:r>
    </w:p>
  </w:footnote>
  <w:footnote w:id="46">
    <w:p w14:paraId="61475E4B" w14:textId="43F8DB5F" w:rsidR="008D6DF1" w:rsidRPr="00146534" w:rsidRDefault="008D6DF1" w:rsidP="008D6DF1">
      <w:pPr>
        <w:pStyle w:val="FootnoteText"/>
      </w:pPr>
      <w:r w:rsidRPr="008D6DF1">
        <w:rPr>
          <w:vertAlign w:val="superscript"/>
        </w:rPr>
        <w:footnoteRef/>
      </w:r>
      <w:r w:rsidRPr="008D6DF1">
        <w:t>Philadelphia Storage Battery Co. v. Mindlin, 296 N.Y.S. 176, 179–80 (N.Y. Sup. Ct. 1937).</w:t>
      </w:r>
    </w:p>
  </w:footnote>
  <w:footnote w:id="47">
    <w:p w14:paraId="224451F9" w14:textId="298E70B4" w:rsidR="008D6DF1" w:rsidRPr="00146534" w:rsidRDefault="008D6DF1" w:rsidP="008D6DF1">
      <w:pPr>
        <w:pStyle w:val="FootnoteText"/>
      </w:pPr>
      <w:r w:rsidRPr="008D6DF1">
        <w:rPr>
          <w:vertAlign w:val="superscript"/>
        </w:rPr>
        <w:footnoteRef/>
      </w:r>
      <w:r w:rsidRPr="008D6DF1">
        <w:rPr>
          <w:i/>
        </w:rPr>
        <w:t>Id</w:t>
      </w:r>
      <w:r w:rsidRPr="008D6DF1">
        <w:t>. at 181.</w:t>
      </w:r>
    </w:p>
  </w:footnote>
  <w:footnote w:id="48">
    <w:p w14:paraId="45885FBA" w14:textId="63D84CF5" w:rsidR="008D6DF1" w:rsidRPr="00146534" w:rsidRDefault="008D6DF1" w:rsidP="008D6DF1">
      <w:pPr>
        <w:pStyle w:val="FootnoteText"/>
      </w:pPr>
      <w:r w:rsidRPr="008D6DF1">
        <w:rPr>
          <w:vertAlign w:val="superscript"/>
        </w:rPr>
        <w:footnoteRef/>
      </w:r>
      <w:r w:rsidRPr="008D6DF1">
        <w:t>69 F. Supp. 543 (D. Mass. 1947).</w:t>
      </w:r>
    </w:p>
  </w:footnote>
  <w:footnote w:id="49">
    <w:p w14:paraId="1FA0EA83" w14:textId="5A11259F" w:rsidR="008D6DF1" w:rsidRPr="00146534" w:rsidRDefault="008D6DF1" w:rsidP="008D6DF1">
      <w:pPr>
        <w:pStyle w:val="FootnoteText"/>
      </w:pPr>
      <w:r w:rsidRPr="008D6DF1">
        <w:rPr>
          <w:vertAlign w:val="superscript"/>
        </w:rPr>
        <w:footnoteRef/>
      </w:r>
      <w:r w:rsidRPr="008D6DF1">
        <w:rPr>
          <w:i/>
        </w:rPr>
        <w:t>Id</w:t>
      </w:r>
      <w:r w:rsidRPr="008D6DF1">
        <w:t xml:space="preserve">. at 546 (citing Schechter, 40 </w:t>
      </w:r>
      <w:r w:rsidRPr="008D6DF1">
        <w:rPr>
          <w:smallCaps/>
        </w:rPr>
        <w:t xml:space="preserve">Harv. L. Rev. </w:t>
      </w:r>
      <w:r w:rsidRPr="008D6DF1">
        <w:t xml:space="preserve">at 825). Judge Wyzanski’s opinion for the court also cited and quoted at length from Judge Hand’s opinion in </w:t>
      </w:r>
      <w:r w:rsidRPr="008D6DF1">
        <w:rPr>
          <w:i/>
        </w:rPr>
        <w:t>Yale Electric Corp</w:t>
      </w:r>
      <w:r w:rsidRPr="008D6DF1">
        <w:t xml:space="preserve">. </w:t>
      </w:r>
      <w:r w:rsidRPr="008D6DF1">
        <w:rPr>
          <w:i/>
        </w:rPr>
        <w:t>v</w:t>
      </w:r>
      <w:r w:rsidRPr="008D6DF1">
        <w:t xml:space="preserve">. </w:t>
      </w:r>
      <w:r w:rsidRPr="008D6DF1">
        <w:rPr>
          <w:i/>
        </w:rPr>
        <w:t>Robertson</w:t>
      </w:r>
      <w:r w:rsidRPr="008D6DF1">
        <w:t>, 26 F.2d 972 (2d Cir. 1928), discussed above. 69 F. Supp. at 547.</w:t>
      </w:r>
    </w:p>
  </w:footnote>
  <w:footnote w:id="50">
    <w:p w14:paraId="60EC2B9E" w14:textId="5D08C1BA" w:rsidR="008D6DF1" w:rsidRPr="00146534" w:rsidRDefault="008D6DF1" w:rsidP="008D6DF1">
      <w:pPr>
        <w:pStyle w:val="FootnoteText"/>
      </w:pPr>
      <w:r w:rsidRPr="008D6DF1">
        <w:rPr>
          <w:vertAlign w:val="superscript"/>
        </w:rPr>
        <w:footnoteRef/>
      </w:r>
      <w:r w:rsidRPr="008D6DF1">
        <w:t>69 F. Supp. at 547.</w:t>
      </w:r>
    </w:p>
  </w:footnote>
  <w:footnote w:id="51">
    <w:p w14:paraId="661C62DB" w14:textId="58F84251" w:rsidR="008D6DF1" w:rsidRPr="00146534" w:rsidRDefault="008D6DF1" w:rsidP="008D6DF1">
      <w:pPr>
        <w:pStyle w:val="FootnoteText"/>
      </w:pPr>
      <w:r w:rsidRPr="008D6DF1">
        <w:rPr>
          <w:vertAlign w:val="superscript"/>
        </w:rPr>
        <w:footnoteRef/>
      </w:r>
      <w:r w:rsidRPr="008D6DF1">
        <w:t xml:space="preserve">G.B. Kent &amp; Sons, Ltd. v. P. Lorillard Co., 114 F. Supp. 621, 98 USPQ 404 (S.D.N.Y. 1953), </w:t>
      </w:r>
      <w:r w:rsidRPr="008D6DF1">
        <w:rPr>
          <w:i/>
        </w:rPr>
        <w:t>aff’d</w:t>
      </w:r>
      <w:r w:rsidRPr="008D6DF1">
        <w:t>, 210 F.2d 953, 101 USPQ 161 (1954).</w:t>
      </w:r>
    </w:p>
  </w:footnote>
  <w:footnote w:id="52">
    <w:p w14:paraId="5F4B8A5F" w14:textId="4715044D" w:rsidR="008D6DF1" w:rsidRPr="00146534" w:rsidRDefault="008D6DF1" w:rsidP="008D6DF1">
      <w:pPr>
        <w:pStyle w:val="FootnoteText"/>
      </w:pPr>
      <w:r w:rsidRPr="008D6DF1">
        <w:rPr>
          <w:vertAlign w:val="superscript"/>
        </w:rPr>
        <w:footnoteRef/>
      </w:r>
      <w:r w:rsidRPr="008D6DF1">
        <w:rPr>
          <w:i/>
        </w:rPr>
        <w:t>Id</w:t>
      </w:r>
      <w:r w:rsidRPr="008D6DF1">
        <w:t>. at 626.</w:t>
      </w:r>
    </w:p>
  </w:footnote>
  <w:footnote w:id="53">
    <w:p w14:paraId="6941510B" w14:textId="0C52E6E0" w:rsidR="008D6DF1" w:rsidRPr="00146534" w:rsidRDefault="008D6DF1" w:rsidP="008D6DF1">
      <w:pPr>
        <w:pStyle w:val="FootnoteText"/>
      </w:pPr>
      <w:r w:rsidRPr="008D6DF1">
        <w:rPr>
          <w:vertAlign w:val="superscript"/>
        </w:rPr>
        <w:footnoteRef/>
      </w:r>
      <w:r w:rsidRPr="008D6DF1">
        <w:rPr>
          <w:i/>
        </w:rPr>
        <w:t>Id</w:t>
      </w:r>
      <w:r w:rsidRPr="008D6DF1">
        <w:t>. at 627, 628 (“This is not … a case of a trademark so widely and intensively advertised and nationally known as Ford, Tiffany, DuPont or Bulova.”).</w:t>
      </w:r>
    </w:p>
  </w:footnote>
  <w:footnote w:id="54">
    <w:p w14:paraId="3A3DE977" w14:textId="636FDE3D" w:rsidR="008D6DF1" w:rsidRPr="00146534" w:rsidRDefault="008D6DF1" w:rsidP="008D6DF1">
      <w:pPr>
        <w:pStyle w:val="FootnoteText"/>
      </w:pPr>
      <w:r w:rsidRPr="008D6DF1">
        <w:rPr>
          <w:vertAlign w:val="superscript"/>
        </w:rPr>
        <w:footnoteRef/>
      </w:r>
      <w:r w:rsidRPr="008D6DF1">
        <w:rPr>
          <w:i/>
        </w:rPr>
        <w:t>Id</w:t>
      </w:r>
      <w:r w:rsidRPr="008D6DF1">
        <w:t>. at 628–29 (rejecting confusion as to both the name and packaging designs).</w:t>
      </w:r>
    </w:p>
  </w:footnote>
  <w:footnote w:id="55">
    <w:p w14:paraId="4E52931B" w14:textId="55ADB335" w:rsidR="008D6DF1" w:rsidRPr="00146534" w:rsidRDefault="008D6DF1" w:rsidP="008D6DF1">
      <w:pPr>
        <w:pStyle w:val="FootnoteText"/>
      </w:pPr>
      <w:r w:rsidRPr="008D6DF1">
        <w:rPr>
          <w:vertAlign w:val="superscript"/>
        </w:rPr>
        <w:footnoteRef/>
      </w:r>
      <w:r w:rsidRPr="008D6DF1">
        <w:rPr>
          <w:i/>
        </w:rPr>
        <w:t>Id</w:t>
      </w:r>
      <w:r w:rsidRPr="008D6DF1">
        <w:t>. at 630.</w:t>
      </w:r>
    </w:p>
  </w:footnote>
  <w:footnote w:id="56">
    <w:p w14:paraId="2F7297DB" w14:textId="03C0EB6C" w:rsidR="008D6DF1" w:rsidRPr="00146534" w:rsidRDefault="008D6DF1" w:rsidP="008D6DF1">
      <w:pPr>
        <w:pStyle w:val="FootnoteText"/>
      </w:pPr>
      <w:r w:rsidRPr="008D6DF1">
        <w:rPr>
          <w:vertAlign w:val="superscript"/>
        </w:rPr>
        <w:footnoteRef/>
      </w:r>
      <w:r w:rsidRPr="008D6DF1">
        <w:rPr>
          <w:i/>
        </w:rPr>
        <w:t>Id</w:t>
      </w:r>
      <w:r w:rsidRPr="008D6DF1">
        <w:t>. (calling it a “conjecture” that was “fanciful”). Perhaps Judge Weinstein would not have rejected that contention so easily in the twenty-first century, but the case was decided in 1953.</w:t>
      </w:r>
    </w:p>
  </w:footnote>
  <w:footnote w:id="57">
    <w:p w14:paraId="5A7CE0A5" w14:textId="1B1448AE" w:rsidR="008D6DF1" w:rsidRPr="00146534" w:rsidRDefault="008D6DF1" w:rsidP="008D6DF1">
      <w:pPr>
        <w:pStyle w:val="FootnoteText"/>
      </w:pPr>
      <w:r w:rsidRPr="008D6DF1">
        <w:rPr>
          <w:vertAlign w:val="superscript"/>
        </w:rPr>
        <w:footnoteRef/>
      </w:r>
      <w:r w:rsidRPr="008D6DF1">
        <w:rPr>
          <w:i/>
        </w:rPr>
        <w:t>Id</w:t>
      </w:r>
      <w:r w:rsidRPr="008D6DF1">
        <w:t>.</w:t>
      </w:r>
    </w:p>
  </w:footnote>
  <w:footnote w:id="58">
    <w:p w14:paraId="6AA1F9A6" w14:textId="319DFA9B" w:rsidR="008D6DF1" w:rsidRPr="00146534" w:rsidRDefault="008D6DF1" w:rsidP="008D6DF1">
      <w:pPr>
        <w:pStyle w:val="FootnoteText"/>
      </w:pPr>
      <w:r w:rsidRPr="008D6DF1">
        <w:rPr>
          <w:vertAlign w:val="superscript"/>
        </w:rPr>
        <w:footnoteRef/>
      </w:r>
      <w:r w:rsidRPr="008D6DF1">
        <w:rPr>
          <w:i/>
        </w:rPr>
        <w:t>Id</w:t>
      </w:r>
      <w:r w:rsidRPr="008D6DF1">
        <w:t xml:space="preserve">. at 630–31. The court cited the </w:t>
      </w:r>
      <w:r w:rsidRPr="008D6DF1">
        <w:rPr>
          <w:i/>
        </w:rPr>
        <w:t>Robertson</w:t>
      </w:r>
      <w:r w:rsidRPr="008D6DF1">
        <w:t xml:space="preserve"> opinion as supportive of dilution.</w:t>
      </w:r>
    </w:p>
  </w:footnote>
  <w:footnote w:id="59">
    <w:p w14:paraId="1128DF7D" w14:textId="14A3D72A" w:rsidR="008D6DF1" w:rsidRPr="00146534" w:rsidRDefault="008D6DF1" w:rsidP="008D6DF1">
      <w:pPr>
        <w:pStyle w:val="FootnoteText"/>
      </w:pPr>
      <w:r w:rsidRPr="008D6DF1">
        <w:rPr>
          <w:vertAlign w:val="superscript"/>
        </w:rPr>
        <w:footnoteRef/>
      </w:r>
      <w:r w:rsidRPr="008D6DF1">
        <w:rPr>
          <w:i/>
        </w:rPr>
        <w:t>Id</w:t>
      </w:r>
      <w:r w:rsidRPr="008D6DF1">
        <w:t>. at 631.</w:t>
      </w:r>
    </w:p>
  </w:footnote>
  <w:footnote w:id="60">
    <w:p w14:paraId="5E37801B" w14:textId="3A4D8965" w:rsidR="008D6DF1" w:rsidRPr="008D6DF1" w:rsidRDefault="008D6DF1" w:rsidP="008D6DF1">
      <w:pPr>
        <w:pStyle w:val="FootnoteText"/>
      </w:pPr>
      <w:r w:rsidRPr="008D6DF1">
        <w:rPr>
          <w:vertAlign w:val="superscript"/>
        </w:rPr>
        <w:footnoteRef/>
      </w:r>
      <w:r w:rsidRPr="008D6DF1">
        <w:t xml:space="preserve">Champion Paper &amp; </w:t>
      </w:r>
      <w:proofErr w:type="spellStart"/>
      <w:r w:rsidRPr="008D6DF1">
        <w:t>Fibre</w:t>
      </w:r>
      <w:proofErr w:type="spellEnd"/>
      <w:r w:rsidRPr="008D6DF1">
        <w:t xml:space="preserve"> Co. v. National </w:t>
      </w:r>
      <w:proofErr w:type="spellStart"/>
      <w:r w:rsidRPr="008D6DF1">
        <w:t>Ass’n</w:t>
      </w:r>
      <w:proofErr w:type="spellEnd"/>
      <w:r w:rsidRPr="008D6DF1">
        <w:t xml:space="preserve"> of Mut. Ins. Agents, 249 F.2d 525, 526 (D.C. Cir. 1957).</w:t>
      </w:r>
    </w:p>
    <w:p w14:paraId="123A66ED" w14:textId="77777777" w:rsidR="008D6DF1" w:rsidRPr="00D351C9" w:rsidRDefault="008D6DF1" w:rsidP="00E01C54">
      <w:pPr>
        <w:pStyle w:val="footnote"/>
        <w:ind w:firstLine="720"/>
        <w:rPr>
          <w:sz w:val="20"/>
          <w:lang w:val="fr-FR"/>
        </w:rPr>
      </w:pPr>
    </w:p>
  </w:footnote>
  <w:footnote w:id="61">
    <w:p w14:paraId="432339B7" w14:textId="6C822B57" w:rsidR="008D6DF1" w:rsidRPr="008D6DF1" w:rsidRDefault="008D6DF1" w:rsidP="008D6DF1">
      <w:pPr>
        <w:pStyle w:val="FootnoteText"/>
      </w:pPr>
      <w:r w:rsidRPr="008D6DF1">
        <w:rPr>
          <w:vertAlign w:val="superscript"/>
        </w:rPr>
        <w:footnoteRef/>
      </w:r>
      <w:r w:rsidRPr="008D6DF1">
        <w:rPr>
          <w:i/>
        </w:rPr>
        <w:t>Id</w:t>
      </w:r>
      <w:r w:rsidRPr="008D6DF1">
        <w:t>. at 526–27.</w:t>
      </w:r>
    </w:p>
    <w:p w14:paraId="396A0463" w14:textId="77777777" w:rsidR="008D6DF1" w:rsidRDefault="008D6DF1" w:rsidP="00E01C54">
      <w:pPr>
        <w:pStyle w:val="footnote"/>
        <w:ind w:firstLine="720"/>
      </w:pPr>
    </w:p>
  </w:footnote>
  <w:footnote w:id="62">
    <w:p w14:paraId="79C805F1" w14:textId="2EE1C1DE" w:rsidR="008D6DF1" w:rsidRPr="00146534" w:rsidRDefault="008D6DF1" w:rsidP="008D6DF1">
      <w:pPr>
        <w:pStyle w:val="FootnoteText"/>
      </w:pPr>
      <w:r w:rsidRPr="008D6DF1">
        <w:rPr>
          <w:vertAlign w:val="superscript"/>
        </w:rPr>
        <w:footnoteRef/>
      </w:r>
      <w:r w:rsidRPr="008D6DF1">
        <w:rPr>
          <w:i/>
        </w:rPr>
        <w:t>Hearings Before the House Comm</w:t>
      </w:r>
      <w:r w:rsidRPr="008D6DF1">
        <w:t xml:space="preserve">. </w:t>
      </w:r>
      <w:r w:rsidRPr="008D6DF1">
        <w:rPr>
          <w:i/>
        </w:rPr>
        <w:t>on Patents</w:t>
      </w:r>
      <w:r w:rsidRPr="008D6DF1">
        <w:t>, 72nd Cong., 1st Sess. 8–17 (Feb. 8, 1932).</w:t>
      </w:r>
    </w:p>
  </w:footnote>
  <w:footnote w:id="63">
    <w:p w14:paraId="03DF236D" w14:textId="064E3257" w:rsidR="008D6DF1" w:rsidRPr="00146534" w:rsidRDefault="008D6DF1" w:rsidP="008D6DF1">
      <w:pPr>
        <w:pStyle w:val="FootnoteText"/>
      </w:pPr>
      <w:r w:rsidRPr="008D6DF1">
        <w:rPr>
          <w:vertAlign w:val="superscript"/>
        </w:rPr>
        <w:footnoteRef/>
      </w:r>
      <w:r w:rsidRPr="008D6DF1">
        <w:t>H.R. 11592, 72nd Cong. §2(d)(3) (Apr. 25, 1932). This bill, the so-called Perkins bill (it was introduced by Rep. Perkins), and Frank Schechter’s testimony are discussed in further detail in Chapter 6, II.A.2. The pertinent language of the Perkins bill is reproduced in Appendix A to Chapter 6.</w:t>
      </w:r>
    </w:p>
  </w:footnote>
  <w:footnote w:id="64">
    <w:p w14:paraId="3950897A" w14:textId="5EDD2C29" w:rsidR="008D6DF1" w:rsidRPr="00146534" w:rsidRDefault="008D6DF1" w:rsidP="008D6DF1">
      <w:pPr>
        <w:pStyle w:val="FootnoteText"/>
      </w:pPr>
      <w:r w:rsidRPr="008D6DF1">
        <w:rPr>
          <w:vertAlign w:val="superscript"/>
        </w:rPr>
        <w:footnoteRef/>
      </w:r>
      <w:r w:rsidRPr="008D6DF1">
        <w:rPr>
          <w:i/>
        </w:rPr>
        <w:t>See</w:t>
      </w:r>
      <w:r w:rsidRPr="008D6DF1">
        <w:t xml:space="preserve"> Walter J. </w:t>
      </w:r>
      <w:proofErr w:type="spellStart"/>
      <w:r w:rsidRPr="008D6DF1">
        <w:t>Derenberg</w:t>
      </w:r>
      <w:proofErr w:type="spellEnd"/>
      <w:r w:rsidRPr="008D6DF1">
        <w:t xml:space="preserve">, </w:t>
      </w:r>
      <w:r w:rsidRPr="008D6DF1">
        <w:rPr>
          <w:i/>
        </w:rPr>
        <w:t>The Problem of Trademark Dilution and the Antidilution Statutes</w:t>
      </w:r>
      <w:r w:rsidRPr="008D6DF1">
        <w:t xml:space="preserve">, 44 </w:t>
      </w:r>
      <w:r w:rsidRPr="008D6DF1">
        <w:rPr>
          <w:smallCaps/>
        </w:rPr>
        <w:t xml:space="preserve">Cal. L. Rev. </w:t>
      </w:r>
      <w:r w:rsidRPr="008D6DF1">
        <w:t>439, 449–50 (1956).</w:t>
      </w:r>
    </w:p>
  </w:footnote>
  <w:footnote w:id="65">
    <w:p w14:paraId="20BA97C0" w14:textId="65F41435" w:rsidR="008D6DF1" w:rsidRPr="00146534" w:rsidRDefault="008D6DF1" w:rsidP="008D6DF1">
      <w:pPr>
        <w:pStyle w:val="FootnoteText"/>
      </w:pPr>
      <w:r w:rsidRPr="008D6DF1">
        <w:rPr>
          <w:vertAlign w:val="superscript"/>
        </w:rPr>
        <w:footnoteRef/>
      </w:r>
      <w:r w:rsidRPr="008D6DF1">
        <w:t xml:space="preserve">Act of May 2, 1947, </w:t>
      </w:r>
      <w:proofErr w:type="spellStart"/>
      <w:r w:rsidRPr="008D6DF1">
        <w:t>ch.</w:t>
      </w:r>
      <w:proofErr w:type="spellEnd"/>
      <w:r w:rsidRPr="008D6DF1">
        <w:t xml:space="preserve"> 307, §7a, 1947 Mass. Acts 300 (codified as amended at </w:t>
      </w:r>
      <w:r w:rsidRPr="008D6DF1">
        <w:rPr>
          <w:smallCaps/>
        </w:rPr>
        <w:t xml:space="preserve">Mass. Gen. Laws Ann. </w:t>
      </w:r>
      <w:proofErr w:type="spellStart"/>
      <w:r w:rsidRPr="008D6DF1">
        <w:t>ch.</w:t>
      </w:r>
      <w:proofErr w:type="spellEnd"/>
      <w:r w:rsidRPr="008D6DF1">
        <w:t xml:space="preserve"> 110H §13 (West 2011)).</w:t>
      </w:r>
    </w:p>
  </w:footnote>
  <w:footnote w:id="66">
    <w:p w14:paraId="567C08A6" w14:textId="5FB823FF" w:rsidR="008D6DF1" w:rsidRPr="00146534" w:rsidRDefault="008D6DF1" w:rsidP="008D6DF1">
      <w:pPr>
        <w:pStyle w:val="FootnoteText"/>
      </w:pPr>
      <w:r w:rsidRPr="008D6DF1">
        <w:rPr>
          <w:vertAlign w:val="superscript"/>
        </w:rPr>
        <w:footnoteRef/>
      </w:r>
      <w:r w:rsidRPr="008D6DF1">
        <w:t xml:space="preserve">House Bill No. 656, </w:t>
      </w:r>
      <w:r w:rsidRPr="008D6DF1">
        <w:rPr>
          <w:i/>
        </w:rPr>
        <w:t>discussed in</w:t>
      </w:r>
      <w:r w:rsidRPr="008D6DF1">
        <w:t xml:space="preserve"> </w:t>
      </w:r>
      <w:proofErr w:type="spellStart"/>
      <w:r w:rsidRPr="008D6DF1">
        <w:t>Derenberg</w:t>
      </w:r>
      <w:proofErr w:type="spellEnd"/>
      <w:r w:rsidRPr="008D6DF1">
        <w:t xml:space="preserve">, 44 </w:t>
      </w:r>
      <w:r w:rsidRPr="008D6DF1">
        <w:rPr>
          <w:smallCaps/>
        </w:rPr>
        <w:t>Cal. L. Rev</w:t>
      </w:r>
      <w:r w:rsidRPr="008D6DF1">
        <w:t>., at 452.</w:t>
      </w:r>
    </w:p>
  </w:footnote>
  <w:footnote w:id="67">
    <w:p w14:paraId="1509EBA3" w14:textId="3649D94F" w:rsidR="008D6DF1" w:rsidRPr="00D351C9" w:rsidRDefault="008D6DF1" w:rsidP="008D6DF1">
      <w:pPr>
        <w:pStyle w:val="FootnoteText"/>
        <w:rPr>
          <w:lang w:val="da-DK"/>
        </w:rPr>
      </w:pPr>
      <w:r w:rsidRPr="008D6DF1">
        <w:rPr>
          <w:vertAlign w:val="superscript"/>
        </w:rPr>
        <w:footnoteRef/>
      </w:r>
      <w:proofErr w:type="spellStart"/>
      <w:r w:rsidRPr="008D6DF1">
        <w:t>Derenberg</w:t>
      </w:r>
      <w:proofErr w:type="spellEnd"/>
      <w:r w:rsidRPr="008D6DF1">
        <w:t xml:space="preserve">, 44 </w:t>
      </w:r>
      <w:r w:rsidRPr="008D6DF1">
        <w:rPr>
          <w:smallCaps/>
        </w:rPr>
        <w:t>Cal. L. Rev.,</w:t>
      </w:r>
      <w:r w:rsidRPr="008D6DF1">
        <w:t xml:space="preserve"> at 452.</w:t>
      </w:r>
    </w:p>
  </w:footnote>
  <w:footnote w:id="68">
    <w:p w14:paraId="5F68D8C9" w14:textId="4A228636" w:rsidR="008D6DF1" w:rsidRPr="00146534" w:rsidRDefault="008D6DF1" w:rsidP="008D6DF1">
      <w:pPr>
        <w:pStyle w:val="FootnoteText"/>
      </w:pPr>
      <w:r w:rsidRPr="008D6DF1">
        <w:rPr>
          <w:vertAlign w:val="superscript"/>
        </w:rPr>
        <w:footnoteRef/>
      </w:r>
      <w:r w:rsidRPr="008D6DF1">
        <w:rPr>
          <w:smallCaps/>
        </w:rPr>
        <w:t xml:space="preserve">Mass. Gen. Laws Ann. </w:t>
      </w:r>
      <w:proofErr w:type="spellStart"/>
      <w:r w:rsidRPr="008D6DF1">
        <w:t>ch.</w:t>
      </w:r>
      <w:proofErr w:type="spellEnd"/>
      <w:r w:rsidRPr="008D6DF1">
        <w:t xml:space="preserve"> 110H §13 (West 2011).</w:t>
      </w:r>
    </w:p>
  </w:footnote>
  <w:footnote w:id="69">
    <w:p w14:paraId="151D2353" w14:textId="2983AFA4" w:rsidR="008D6DF1" w:rsidRPr="00146534" w:rsidRDefault="008D6DF1" w:rsidP="008D6DF1">
      <w:pPr>
        <w:pStyle w:val="FootnoteText"/>
      </w:pPr>
      <w:r w:rsidRPr="008D6DF1">
        <w:rPr>
          <w:vertAlign w:val="superscript"/>
        </w:rPr>
        <w:footnoteRef/>
      </w:r>
      <w:r w:rsidRPr="008D6DF1">
        <w:rPr>
          <w:i/>
        </w:rPr>
        <w:t>See</w:t>
      </w:r>
      <w:r w:rsidRPr="008D6DF1">
        <w:t xml:space="preserve"> </w:t>
      </w:r>
      <w:proofErr w:type="spellStart"/>
      <w:r w:rsidRPr="008D6DF1">
        <w:t>Derenberg</w:t>
      </w:r>
      <w:proofErr w:type="spellEnd"/>
      <w:r w:rsidRPr="008D6DF1">
        <w:t xml:space="preserve">, 44 </w:t>
      </w:r>
      <w:r w:rsidRPr="008D6DF1">
        <w:rPr>
          <w:smallCaps/>
        </w:rPr>
        <w:t>Cal. L. Rev.</w:t>
      </w:r>
      <w:r w:rsidRPr="008D6DF1">
        <w:t>, at 453–57 (discussing cases).</w:t>
      </w:r>
    </w:p>
  </w:footnote>
  <w:footnote w:id="70">
    <w:p w14:paraId="1BE400B1" w14:textId="679A791E" w:rsidR="008D6DF1" w:rsidRPr="00146534" w:rsidRDefault="008D6DF1" w:rsidP="008D6DF1">
      <w:pPr>
        <w:pStyle w:val="FootnoteText"/>
      </w:pPr>
      <w:r w:rsidRPr="008D6DF1">
        <w:rPr>
          <w:vertAlign w:val="superscript"/>
        </w:rPr>
        <w:footnoteRef/>
      </w:r>
      <w:r w:rsidRPr="008D6DF1">
        <w:t xml:space="preserve">1953 Ill. Laws 455, §1 (codified at 140 </w:t>
      </w:r>
      <w:r w:rsidRPr="008D6DF1">
        <w:rPr>
          <w:smallCaps/>
        </w:rPr>
        <w:t>Ill. Comp. Stat. Ann</w:t>
      </w:r>
      <w:r w:rsidRPr="008D6DF1">
        <w:t xml:space="preserve">. ¶22 (Smith-Hurd 1986)). The Illinois law has since been substantially amended. 765 </w:t>
      </w:r>
      <w:r w:rsidRPr="008D6DF1">
        <w:rPr>
          <w:smallCaps/>
        </w:rPr>
        <w:t xml:space="preserve">Ill. Comp. Stat. Ann. </w:t>
      </w:r>
      <w:r w:rsidRPr="008D6DF1">
        <w:t>§§1036/5, 1036/65 (West 2009) (effective Jan. 1, 1998). The original Illinois statute was essentially the same as the Massachusetts statute, except for the addition of language protecting a “label or form of advertising” from dilution, in addition to trademarks.</w:t>
      </w:r>
    </w:p>
  </w:footnote>
  <w:footnote w:id="71">
    <w:p w14:paraId="18A4BF0B" w14:textId="2C256CAF" w:rsidR="008D6DF1" w:rsidRPr="00146534" w:rsidRDefault="008D6DF1" w:rsidP="008D6DF1">
      <w:pPr>
        <w:pStyle w:val="FootnoteText"/>
      </w:pPr>
      <w:r w:rsidRPr="008D6DF1">
        <w:rPr>
          <w:vertAlign w:val="superscript"/>
        </w:rPr>
        <w:footnoteRef/>
      </w:r>
      <w:r w:rsidRPr="008D6DF1">
        <w:t xml:space="preserve">Act of April 18, 1955, </w:t>
      </w:r>
      <w:proofErr w:type="spellStart"/>
      <w:r w:rsidRPr="008D6DF1">
        <w:t>ch.</w:t>
      </w:r>
      <w:proofErr w:type="spellEnd"/>
      <w:r w:rsidRPr="008D6DF1">
        <w:t xml:space="preserve"> 453, §1 (codified at </w:t>
      </w:r>
      <w:r w:rsidRPr="008D6DF1">
        <w:rPr>
          <w:smallCaps/>
        </w:rPr>
        <w:t>N.Y. Gen. Bus. Law</w:t>
      </w:r>
      <w:r w:rsidRPr="008D6DF1">
        <w:t xml:space="preserve"> §360-</w:t>
      </w:r>
      <w:r w:rsidRPr="008D6DF1">
        <w:rPr>
          <w:i/>
        </w:rPr>
        <w:t>l</w:t>
      </w:r>
      <w:r w:rsidRPr="008D6DF1">
        <w:t xml:space="preserve"> (McKinney Supp. 2012) (formerly §368-d)).</w:t>
      </w:r>
    </w:p>
  </w:footnote>
  <w:footnote w:id="72">
    <w:p w14:paraId="4C5256E7" w14:textId="221EF41D" w:rsidR="008D6DF1" w:rsidRPr="00146534" w:rsidRDefault="008D6DF1" w:rsidP="008D6DF1">
      <w:pPr>
        <w:pStyle w:val="FootnoteText"/>
      </w:pPr>
      <w:r w:rsidRPr="008D6DF1">
        <w:rPr>
          <w:vertAlign w:val="superscript"/>
        </w:rPr>
        <w:footnoteRef/>
      </w:r>
      <w:r w:rsidRPr="008D6DF1">
        <w:t xml:space="preserve">1955 Ga. Laws 453 (codified at </w:t>
      </w:r>
      <w:r w:rsidRPr="008D6DF1">
        <w:rPr>
          <w:smallCaps/>
        </w:rPr>
        <w:t xml:space="preserve">Ga. Code Ann. </w:t>
      </w:r>
      <w:r w:rsidRPr="008D6DF1">
        <w:t xml:space="preserve">§10-1-451(b) (West 2003)). The Georgia and Illinois statutes were the same. </w:t>
      </w:r>
      <w:r w:rsidRPr="008D6DF1">
        <w:rPr>
          <w:i/>
        </w:rPr>
        <w:t>See</w:t>
      </w:r>
      <w:r w:rsidRPr="008D6DF1">
        <w:t xml:space="preserve"> </w:t>
      </w:r>
      <w:proofErr w:type="spellStart"/>
      <w:r w:rsidRPr="008D6DF1">
        <w:t>Derenberg</w:t>
      </w:r>
      <w:proofErr w:type="spellEnd"/>
      <w:r w:rsidRPr="008D6DF1">
        <w:t xml:space="preserve">, 44 </w:t>
      </w:r>
      <w:r w:rsidRPr="008D6DF1">
        <w:rPr>
          <w:smallCaps/>
        </w:rPr>
        <w:t xml:space="preserve">Cal. L. Rev. </w:t>
      </w:r>
      <w:r w:rsidRPr="008D6DF1">
        <w:t>at 441 n.7.</w:t>
      </w:r>
    </w:p>
  </w:footnote>
  <w:footnote w:id="73">
    <w:p w14:paraId="52ECDDBA" w14:textId="1887CC09" w:rsidR="008D6DF1" w:rsidRPr="00D351C9" w:rsidRDefault="008D6DF1" w:rsidP="008D6DF1">
      <w:pPr>
        <w:pStyle w:val="FootnoteText"/>
        <w:rPr>
          <w:lang w:val="nb-NO"/>
        </w:rPr>
      </w:pPr>
      <w:r w:rsidRPr="008D6DF1">
        <w:rPr>
          <w:vertAlign w:val="superscript"/>
        </w:rPr>
        <w:footnoteRef/>
      </w:r>
      <w:r w:rsidRPr="008D6DF1">
        <w:t xml:space="preserve">In </w:t>
      </w:r>
      <w:r w:rsidRPr="008D6DF1">
        <w:rPr>
          <w:i/>
        </w:rPr>
        <w:t>Allied Maintenance Corp</w:t>
      </w:r>
      <w:r w:rsidRPr="008D6DF1">
        <w:t xml:space="preserve">. </w:t>
      </w:r>
      <w:r w:rsidRPr="008D6DF1">
        <w:rPr>
          <w:i/>
        </w:rPr>
        <w:t>v</w:t>
      </w:r>
      <w:r w:rsidRPr="008D6DF1">
        <w:t xml:space="preserve">. </w:t>
      </w:r>
      <w:r w:rsidRPr="008D6DF1">
        <w:rPr>
          <w:i/>
        </w:rPr>
        <w:t>Allied Mechanical Trades</w:t>
      </w:r>
      <w:r w:rsidRPr="008D6DF1">
        <w:t>,</w:t>
      </w:r>
      <w:r w:rsidRPr="008D6DF1">
        <w:rPr>
          <w:i/>
        </w:rPr>
        <w:t xml:space="preserve"> Inc</w:t>
      </w:r>
      <w:r w:rsidRPr="008D6DF1">
        <w:t xml:space="preserve">., 42 N.Y.2d 538, 399 N.Y.S.2d 628, 369 N.E.2d 1162, 198 USPQ 418 (1977), the New York Court of Appeals, quoting the legislative history of the statute, stated that its purpose was to prevent “the whittling away of an established trade-mark’s selling power and value through its unauthorized use by others upon dissimilar products.” 369 N.E.2d at 1164 (quoting </w:t>
      </w:r>
      <w:r w:rsidRPr="008D6DF1">
        <w:rPr>
          <w:smallCaps/>
        </w:rPr>
        <w:t>N.Y. Legis. Ann.,</w:t>
      </w:r>
      <w:r w:rsidRPr="008D6DF1">
        <w:t xml:space="preserve"> 1954, at 49).</w:t>
      </w:r>
    </w:p>
  </w:footnote>
  <w:footnote w:id="74">
    <w:p w14:paraId="61037D54" w14:textId="416BA956" w:rsidR="008D6DF1" w:rsidRPr="00146534" w:rsidRDefault="008D6DF1" w:rsidP="008D6DF1">
      <w:pPr>
        <w:pStyle w:val="FootnoteText"/>
      </w:pPr>
      <w:r w:rsidRPr="008D6DF1">
        <w:rPr>
          <w:vertAlign w:val="superscript"/>
        </w:rPr>
        <w:footnoteRef/>
      </w:r>
      <w:r w:rsidRPr="008D6DF1">
        <w:t xml:space="preserve">Rudolf Callmann, </w:t>
      </w:r>
      <w:r w:rsidRPr="008D6DF1">
        <w:rPr>
          <w:i/>
        </w:rPr>
        <w:t xml:space="preserve">Unfair Competition without Competition? </w:t>
      </w:r>
      <w:r w:rsidRPr="008D6DF1">
        <w:t xml:space="preserve">95 </w:t>
      </w:r>
      <w:r w:rsidRPr="008D6DF1">
        <w:rPr>
          <w:smallCaps/>
        </w:rPr>
        <w:t xml:space="preserve">U. Pa. L. Rev. </w:t>
      </w:r>
      <w:r w:rsidRPr="008D6DF1">
        <w:t xml:space="preserve">443 (1947) [hereinafter </w:t>
      </w:r>
      <w:proofErr w:type="spellStart"/>
      <w:r w:rsidRPr="008D6DF1">
        <w:t>Callmann</w:t>
      </w:r>
      <w:proofErr w:type="spellEnd"/>
      <w:r w:rsidRPr="008D6DF1">
        <w:t xml:space="preserve">, </w:t>
      </w:r>
      <w:r w:rsidRPr="008D6DF1">
        <w:rPr>
          <w:i/>
        </w:rPr>
        <w:t>Unfair Competition</w:t>
      </w:r>
      <w:r w:rsidRPr="008D6DF1">
        <w:t xml:space="preserve">]; </w:t>
      </w:r>
      <w:r w:rsidRPr="008D6DF1">
        <w:rPr>
          <w:i/>
        </w:rPr>
        <w:t>see</w:t>
      </w:r>
      <w:r w:rsidRPr="008D6DF1">
        <w:t xml:space="preserve"> 4 </w:t>
      </w:r>
      <w:r w:rsidRPr="008D6DF1">
        <w:rPr>
          <w:smallCaps/>
        </w:rPr>
        <w:t>R. Callmann, Unfair Competition, Trademarks and Monopolies</w:t>
      </w:r>
      <w:r w:rsidRPr="008D6DF1">
        <w:t xml:space="preserve"> §22.13 (4th ed. 1984 &amp; Supp.).</w:t>
      </w:r>
    </w:p>
  </w:footnote>
  <w:footnote w:id="75">
    <w:p w14:paraId="11DE8A49" w14:textId="5A4C2F7E" w:rsidR="008D6DF1" w:rsidRPr="00146534" w:rsidRDefault="008D6DF1" w:rsidP="008D6DF1">
      <w:pPr>
        <w:pStyle w:val="FootnoteText"/>
      </w:pPr>
      <w:r w:rsidRPr="008D6DF1">
        <w:rPr>
          <w:vertAlign w:val="superscript"/>
        </w:rPr>
        <w:footnoteRef/>
      </w:r>
      <w:r w:rsidRPr="008D6DF1">
        <w:t xml:space="preserve">Callmann, </w:t>
      </w:r>
      <w:r w:rsidRPr="008D6DF1">
        <w:rPr>
          <w:i/>
        </w:rPr>
        <w:t>Unfair Competition</w:t>
      </w:r>
      <w:r w:rsidRPr="008D6DF1">
        <w:t xml:space="preserve">, 95 </w:t>
      </w:r>
      <w:r w:rsidRPr="008D6DF1">
        <w:rPr>
          <w:smallCaps/>
        </w:rPr>
        <w:t xml:space="preserve">U. Pa. L. Rev. </w:t>
      </w:r>
      <w:r w:rsidRPr="008D6DF1">
        <w:t>at 446–47.</w:t>
      </w:r>
    </w:p>
  </w:footnote>
  <w:footnote w:id="76">
    <w:p w14:paraId="3F4AF9A3" w14:textId="6221991A" w:rsidR="008D6DF1" w:rsidRPr="00D351C9" w:rsidRDefault="008D6DF1" w:rsidP="008D6DF1">
      <w:pPr>
        <w:pStyle w:val="FootnoteText"/>
        <w:rPr>
          <w:lang w:val="da-DK"/>
        </w:rPr>
      </w:pPr>
      <w:r w:rsidRPr="008D6DF1">
        <w:rPr>
          <w:vertAlign w:val="superscript"/>
        </w:rPr>
        <w:footnoteRef/>
      </w:r>
      <w:r w:rsidRPr="008D6DF1">
        <w:rPr>
          <w:i/>
        </w:rPr>
        <w:t>Id</w:t>
      </w:r>
      <w:r w:rsidRPr="008D6DF1">
        <w:t>. at 447–48.</w:t>
      </w:r>
    </w:p>
  </w:footnote>
  <w:footnote w:id="77">
    <w:p w14:paraId="23CAFEA8" w14:textId="3DFB6D50" w:rsidR="008D6DF1" w:rsidRPr="00D351C9" w:rsidRDefault="008D6DF1" w:rsidP="008D6DF1">
      <w:pPr>
        <w:pStyle w:val="FootnoteText"/>
        <w:rPr>
          <w:lang w:val="da-DK"/>
        </w:rPr>
      </w:pPr>
      <w:r w:rsidRPr="008D6DF1">
        <w:rPr>
          <w:vertAlign w:val="superscript"/>
        </w:rPr>
        <w:footnoteRef/>
      </w:r>
      <w:r w:rsidRPr="008D6DF1">
        <w:rPr>
          <w:i/>
        </w:rPr>
        <w:t>Id</w:t>
      </w:r>
      <w:r w:rsidRPr="008D6DF1">
        <w:t>. at 452, 454.</w:t>
      </w:r>
    </w:p>
  </w:footnote>
  <w:footnote w:id="78">
    <w:p w14:paraId="5F371DE4" w14:textId="719D5AFE" w:rsidR="008D6DF1" w:rsidRPr="00D351C9" w:rsidRDefault="008D6DF1" w:rsidP="008D6DF1">
      <w:pPr>
        <w:pStyle w:val="FootnoteText"/>
        <w:rPr>
          <w:lang w:val="da-DK"/>
        </w:rPr>
      </w:pPr>
      <w:r w:rsidRPr="008D6DF1">
        <w:rPr>
          <w:vertAlign w:val="superscript"/>
        </w:rPr>
        <w:footnoteRef/>
      </w:r>
      <w:r w:rsidRPr="008D6DF1">
        <w:rPr>
          <w:i/>
        </w:rPr>
        <w:t>Id</w:t>
      </w:r>
      <w:r w:rsidRPr="008D6DF1">
        <w:t>. at 465.</w:t>
      </w:r>
    </w:p>
  </w:footnote>
  <w:footnote w:id="79">
    <w:p w14:paraId="4CAF9308" w14:textId="3CB8C6AC" w:rsidR="008D6DF1" w:rsidRPr="00146534" w:rsidRDefault="008D6DF1" w:rsidP="008D6DF1">
      <w:pPr>
        <w:pStyle w:val="FootnoteText"/>
      </w:pPr>
      <w:r w:rsidRPr="008D6DF1">
        <w:rPr>
          <w:vertAlign w:val="superscript"/>
        </w:rPr>
        <w:footnoteRef/>
      </w:r>
      <w:r w:rsidRPr="008D6DF1">
        <w:rPr>
          <w:i/>
        </w:rPr>
        <w:t>Id</w:t>
      </w:r>
      <w:r w:rsidRPr="008D6DF1">
        <w:t>. at 461.</w:t>
      </w:r>
    </w:p>
  </w:footnote>
  <w:footnote w:id="80">
    <w:p w14:paraId="3FE5C907" w14:textId="17AA8CD4" w:rsidR="008D6DF1" w:rsidRPr="00146534" w:rsidRDefault="008D6DF1" w:rsidP="008D6DF1">
      <w:pPr>
        <w:pStyle w:val="FootnoteText"/>
      </w:pPr>
      <w:r w:rsidRPr="008D6DF1">
        <w:rPr>
          <w:vertAlign w:val="superscript"/>
        </w:rPr>
        <w:footnoteRef/>
      </w:r>
      <w:r w:rsidRPr="008D6DF1">
        <w:rPr>
          <w:i/>
        </w:rPr>
        <w:t>Id</w:t>
      </w:r>
      <w:r w:rsidRPr="008D6DF1">
        <w:t>. at 462.</w:t>
      </w:r>
    </w:p>
  </w:footnote>
  <w:footnote w:id="81">
    <w:p w14:paraId="1A640B2B" w14:textId="62ABDACA" w:rsidR="008D6DF1" w:rsidRPr="00146534" w:rsidRDefault="008D6DF1" w:rsidP="008D6DF1">
      <w:pPr>
        <w:pStyle w:val="FootnoteText"/>
      </w:pPr>
      <w:r w:rsidRPr="008D6DF1">
        <w:rPr>
          <w:vertAlign w:val="superscript"/>
        </w:rPr>
        <w:footnoteRef/>
      </w:r>
      <w:r w:rsidRPr="008D6DF1">
        <w:rPr>
          <w:i/>
        </w:rPr>
        <w:t>E</w:t>
      </w:r>
      <w:r w:rsidRPr="008D6DF1">
        <w:t>.</w:t>
      </w:r>
      <w:r w:rsidRPr="008D6DF1">
        <w:rPr>
          <w:i/>
        </w:rPr>
        <w:t>g</w:t>
      </w:r>
      <w:r w:rsidRPr="008D6DF1">
        <w:t xml:space="preserve">., Beverly M. Pattishall, </w:t>
      </w:r>
      <w:r w:rsidRPr="008D6DF1">
        <w:rPr>
          <w:i/>
        </w:rPr>
        <w:t>The Case for Anti-Dilution Trademark Statutes</w:t>
      </w:r>
      <w:r w:rsidRPr="008D6DF1">
        <w:t xml:space="preserve">, 43 </w:t>
      </w:r>
      <w:r w:rsidRPr="008D6DF1">
        <w:rPr>
          <w:smallCaps/>
        </w:rPr>
        <w:t xml:space="preserve">Trademark Rep. </w:t>
      </w:r>
      <w:r w:rsidRPr="008D6DF1">
        <w:t xml:space="preserve">887 (1953) [hereinafter Pattishall, </w:t>
      </w:r>
      <w:r w:rsidRPr="008D6DF1">
        <w:rPr>
          <w:i/>
        </w:rPr>
        <w:t>Case for Statutes</w:t>
      </w:r>
      <w:r w:rsidRPr="008D6DF1">
        <w:t xml:space="preserve">]; Beverly W. Pattishall, </w:t>
      </w:r>
      <w:r w:rsidRPr="008D6DF1">
        <w:rPr>
          <w:i/>
        </w:rPr>
        <w:t>The Dilution Rationale for Trademark—Trade Identity Protection, Its Progress and Prospects</w:t>
      </w:r>
      <w:r w:rsidRPr="008D6DF1">
        <w:t xml:space="preserve">, 71 </w:t>
      </w:r>
      <w:r w:rsidRPr="008D6DF1">
        <w:rPr>
          <w:smallCaps/>
        </w:rPr>
        <w:t xml:space="preserve">Nw. U. L. Rev. </w:t>
      </w:r>
      <w:r w:rsidRPr="008D6DF1">
        <w:t xml:space="preserve">618 (1976) [hereinafter Pattishall, </w:t>
      </w:r>
      <w:r w:rsidRPr="008D6DF1">
        <w:rPr>
          <w:i/>
        </w:rPr>
        <w:t>Dilution Rationale</w:t>
      </w:r>
      <w:r w:rsidRPr="008D6DF1">
        <w:t>].</w:t>
      </w:r>
    </w:p>
  </w:footnote>
  <w:footnote w:id="82">
    <w:p w14:paraId="2F733C44" w14:textId="75F5624D" w:rsidR="008D6DF1" w:rsidRPr="00146534" w:rsidRDefault="008D6DF1" w:rsidP="008D6DF1">
      <w:pPr>
        <w:pStyle w:val="FootnoteText"/>
      </w:pPr>
      <w:r w:rsidRPr="008D6DF1">
        <w:rPr>
          <w:vertAlign w:val="superscript"/>
        </w:rPr>
        <w:footnoteRef/>
      </w:r>
      <w:r w:rsidRPr="008D6DF1">
        <w:t xml:space="preserve">Pattishall, </w:t>
      </w:r>
      <w:r w:rsidRPr="008D6DF1">
        <w:rPr>
          <w:i/>
        </w:rPr>
        <w:t>Case for Statutes</w:t>
      </w:r>
      <w:r w:rsidRPr="008D6DF1">
        <w:t xml:space="preserve">, 43 </w:t>
      </w:r>
      <w:r w:rsidRPr="008D6DF1">
        <w:rPr>
          <w:smallCaps/>
        </w:rPr>
        <w:t xml:space="preserve">Trademark Rep. </w:t>
      </w:r>
      <w:r w:rsidRPr="008D6DF1">
        <w:t>at 893.</w:t>
      </w:r>
    </w:p>
  </w:footnote>
  <w:footnote w:id="83">
    <w:p w14:paraId="4760C5E5" w14:textId="112CF911" w:rsidR="008D6DF1" w:rsidRPr="00146534" w:rsidRDefault="008D6DF1" w:rsidP="008D6DF1">
      <w:pPr>
        <w:pStyle w:val="FootnoteText"/>
      </w:pPr>
      <w:r w:rsidRPr="008D6DF1">
        <w:rPr>
          <w:vertAlign w:val="superscript"/>
        </w:rPr>
        <w:footnoteRef/>
      </w:r>
      <w:r w:rsidRPr="008D6DF1">
        <w:rPr>
          <w:i/>
        </w:rPr>
        <w:t>See</w:t>
      </w:r>
      <w:r w:rsidRPr="008D6DF1">
        <w:t xml:space="preserve"> </w:t>
      </w:r>
      <w:r w:rsidRPr="008D6DF1">
        <w:rPr>
          <w:i/>
        </w:rPr>
        <w:t>id</w:t>
      </w:r>
      <w:r w:rsidRPr="008D6DF1">
        <w:t>. at 892–93.</w:t>
      </w:r>
    </w:p>
  </w:footnote>
  <w:footnote w:id="84">
    <w:p w14:paraId="120B209F" w14:textId="055BC2AB" w:rsidR="008D6DF1" w:rsidRPr="00146534" w:rsidRDefault="008D6DF1" w:rsidP="008D6DF1">
      <w:pPr>
        <w:pStyle w:val="FootnoteText"/>
      </w:pPr>
      <w:r w:rsidRPr="008D6DF1">
        <w:rPr>
          <w:vertAlign w:val="superscript"/>
        </w:rPr>
        <w:footnoteRef/>
      </w:r>
      <w:r w:rsidRPr="008D6DF1">
        <w:rPr>
          <w:i/>
        </w:rPr>
        <w:t>Id</w:t>
      </w:r>
      <w:r w:rsidRPr="008D6DF1">
        <w:t>.</w:t>
      </w:r>
    </w:p>
  </w:footnote>
  <w:footnote w:id="85">
    <w:p w14:paraId="3BDAC319" w14:textId="61C92BE4" w:rsidR="008D6DF1" w:rsidRPr="00146534" w:rsidRDefault="008D6DF1" w:rsidP="008D6DF1">
      <w:pPr>
        <w:pStyle w:val="FootnoteText"/>
      </w:pPr>
      <w:r w:rsidRPr="008D6DF1">
        <w:rPr>
          <w:vertAlign w:val="superscript"/>
        </w:rPr>
        <w:footnoteRef/>
      </w:r>
      <w:r w:rsidRPr="008D6DF1">
        <w:rPr>
          <w:i/>
        </w:rPr>
        <w:t xml:space="preserve">See </w:t>
      </w:r>
      <w:r w:rsidRPr="008D6DF1">
        <w:t xml:space="preserve">Pattishall, </w:t>
      </w:r>
      <w:r w:rsidRPr="008D6DF1">
        <w:rPr>
          <w:i/>
        </w:rPr>
        <w:t>Dilution Rationale</w:t>
      </w:r>
      <w:r w:rsidRPr="008D6DF1">
        <w:t xml:space="preserve">, 71 </w:t>
      </w:r>
      <w:r w:rsidRPr="008D6DF1">
        <w:rPr>
          <w:smallCaps/>
        </w:rPr>
        <w:t xml:space="preserve">Nw. U. L. Rev. </w:t>
      </w:r>
      <w:r w:rsidRPr="008D6DF1">
        <w:t>at 631, 633.</w:t>
      </w:r>
    </w:p>
  </w:footnote>
  <w:footnote w:id="86">
    <w:p w14:paraId="48AF515C" w14:textId="387DD0C8" w:rsidR="008D6DF1" w:rsidRPr="00146534" w:rsidRDefault="008D6DF1" w:rsidP="008D6DF1">
      <w:pPr>
        <w:pStyle w:val="FootnoteText"/>
      </w:pPr>
      <w:r w:rsidRPr="008D6DF1">
        <w:rPr>
          <w:vertAlign w:val="superscript"/>
        </w:rPr>
        <w:footnoteRef/>
      </w:r>
      <w:r w:rsidRPr="008D6DF1">
        <w:rPr>
          <w:i/>
        </w:rPr>
        <w:t>Id</w:t>
      </w:r>
      <w:r w:rsidRPr="008D6DF1">
        <w:t>. at 633.</w:t>
      </w:r>
    </w:p>
  </w:footnote>
  <w:footnote w:id="87">
    <w:p w14:paraId="19733FCC" w14:textId="4DBF4E0A" w:rsidR="008D6DF1" w:rsidRPr="00146534" w:rsidRDefault="008D6DF1" w:rsidP="008D6DF1">
      <w:pPr>
        <w:pStyle w:val="FootnoteText"/>
      </w:pPr>
      <w:r w:rsidRPr="008D6DF1">
        <w:rPr>
          <w:vertAlign w:val="superscript"/>
        </w:rPr>
        <w:footnoteRef/>
      </w:r>
      <w:r w:rsidRPr="008D6DF1">
        <w:rPr>
          <w:i/>
        </w:rPr>
        <w:t>Id</w:t>
      </w:r>
      <w:r w:rsidRPr="008D6DF1">
        <w:t>.</w:t>
      </w:r>
    </w:p>
  </w:footnote>
  <w:footnote w:id="88">
    <w:p w14:paraId="0A1987DC" w14:textId="3F21B71D" w:rsidR="008D6DF1" w:rsidRPr="00146534" w:rsidRDefault="008D6DF1" w:rsidP="008D6DF1">
      <w:pPr>
        <w:pStyle w:val="FootnoteText"/>
      </w:pPr>
      <w:r w:rsidRPr="008D6DF1">
        <w:rPr>
          <w:vertAlign w:val="superscript"/>
        </w:rPr>
        <w:footnoteRef/>
      </w:r>
      <w:r w:rsidRPr="008D6DF1">
        <w:rPr>
          <w:i/>
        </w:rPr>
        <w:t>Id</w:t>
      </w:r>
      <w:r w:rsidRPr="008D6DF1">
        <w:t>.</w:t>
      </w:r>
    </w:p>
  </w:footnote>
  <w:footnote w:id="89">
    <w:p w14:paraId="6014D8C3" w14:textId="7DA5B6D8" w:rsidR="008D6DF1" w:rsidRPr="00146534" w:rsidRDefault="008D6DF1" w:rsidP="008D6DF1">
      <w:pPr>
        <w:pStyle w:val="FootnoteText"/>
      </w:pPr>
      <w:r w:rsidRPr="008D6DF1">
        <w:rPr>
          <w:vertAlign w:val="superscript"/>
        </w:rPr>
        <w:footnoteRef/>
      </w:r>
      <w:r w:rsidRPr="008D6DF1">
        <w:t xml:space="preserve">Walter J. </w:t>
      </w:r>
      <w:proofErr w:type="spellStart"/>
      <w:r w:rsidRPr="008D6DF1">
        <w:t>Derenberg</w:t>
      </w:r>
      <w:proofErr w:type="spellEnd"/>
      <w:r w:rsidRPr="008D6DF1">
        <w:t xml:space="preserve">, </w:t>
      </w:r>
      <w:r w:rsidRPr="008D6DF1">
        <w:rPr>
          <w:i/>
        </w:rPr>
        <w:t>The Problem of Trademark Dilution and the Antidilution Statutes</w:t>
      </w:r>
      <w:r w:rsidRPr="008D6DF1">
        <w:t xml:space="preserve">, 44 </w:t>
      </w:r>
      <w:r w:rsidRPr="008D6DF1">
        <w:rPr>
          <w:smallCaps/>
        </w:rPr>
        <w:t xml:space="preserve">Cal. L. Rev. </w:t>
      </w:r>
      <w:r w:rsidRPr="008D6DF1">
        <w:t>439, 449–50 (1956).</w:t>
      </w:r>
    </w:p>
  </w:footnote>
  <w:footnote w:id="90">
    <w:p w14:paraId="18ADFF5D" w14:textId="000F25A6" w:rsidR="008D6DF1" w:rsidRPr="00146534" w:rsidRDefault="008D6DF1" w:rsidP="008D6DF1">
      <w:pPr>
        <w:pStyle w:val="FootnoteText"/>
      </w:pPr>
      <w:r w:rsidRPr="008D6DF1">
        <w:rPr>
          <w:vertAlign w:val="superscript"/>
        </w:rPr>
        <w:footnoteRef/>
      </w:r>
      <w:r w:rsidRPr="008D6DF1">
        <w:rPr>
          <w:i/>
        </w:rPr>
        <w:t>See, e</w:t>
      </w:r>
      <w:r w:rsidRPr="008D6DF1">
        <w:t>.</w:t>
      </w:r>
      <w:r w:rsidRPr="008D6DF1">
        <w:rPr>
          <w:i/>
        </w:rPr>
        <w:t>g</w:t>
      </w:r>
      <w:r w:rsidRPr="008D6DF1">
        <w:t>., Champion Spark Plug Co. v. Sanders, 331 U.S. 125, 129–30, 73 USPQ 133 (1947) (allowing use of Champion trademark on reconditioned spark plugs if labeled as reconditioned).</w:t>
      </w:r>
    </w:p>
  </w:footnote>
  <w:footnote w:id="91">
    <w:p w14:paraId="4B1C7B1F" w14:textId="626AAC39" w:rsidR="008D6DF1" w:rsidRPr="00146534" w:rsidRDefault="008D6DF1" w:rsidP="008D6DF1">
      <w:pPr>
        <w:pStyle w:val="FootnoteText"/>
      </w:pPr>
      <w:r w:rsidRPr="008D6DF1">
        <w:rPr>
          <w:vertAlign w:val="superscript"/>
        </w:rPr>
        <w:footnoteRef/>
      </w:r>
      <w:r w:rsidRPr="008D6DF1">
        <w:rPr>
          <w:i/>
        </w:rPr>
        <w:t>See, e</w:t>
      </w:r>
      <w:r w:rsidRPr="008D6DF1">
        <w:t>.</w:t>
      </w:r>
      <w:r w:rsidRPr="008D6DF1">
        <w:rPr>
          <w:i/>
        </w:rPr>
        <w:t>g</w:t>
      </w:r>
      <w:r w:rsidRPr="008D6DF1">
        <w:t xml:space="preserve">., </w:t>
      </w:r>
      <w:proofErr w:type="spellStart"/>
      <w:r w:rsidRPr="008D6DF1">
        <w:t>Prestonettes</w:t>
      </w:r>
      <w:proofErr w:type="spellEnd"/>
      <w:r w:rsidRPr="008D6DF1">
        <w:t xml:space="preserve"> v. Coty, 264 U.S. 359, 368 (1924) (rebottled perfume permitted to use trademark).</w:t>
      </w:r>
    </w:p>
  </w:footnote>
  <w:footnote w:id="92">
    <w:p w14:paraId="58C79009" w14:textId="596487AF" w:rsidR="008D6DF1" w:rsidRPr="00D351C9" w:rsidRDefault="008D6DF1" w:rsidP="008D6DF1">
      <w:pPr>
        <w:pStyle w:val="FootnoteText"/>
        <w:rPr>
          <w:lang w:val="da-DK"/>
        </w:rPr>
      </w:pPr>
      <w:r w:rsidRPr="008D6DF1">
        <w:rPr>
          <w:vertAlign w:val="superscript"/>
        </w:rPr>
        <w:footnoteRef/>
      </w:r>
      <w:proofErr w:type="spellStart"/>
      <w:r w:rsidRPr="008D6DF1">
        <w:t>Derenberg</w:t>
      </w:r>
      <w:proofErr w:type="spellEnd"/>
      <w:r w:rsidRPr="008D6DF1">
        <w:t xml:space="preserve">, 44 </w:t>
      </w:r>
      <w:r w:rsidRPr="008D6DF1">
        <w:rPr>
          <w:smallCaps/>
        </w:rPr>
        <w:t xml:space="preserve">Cal. L. Rev. </w:t>
      </w:r>
      <w:r w:rsidRPr="008D6DF1">
        <w:t>at 479–80.</w:t>
      </w:r>
    </w:p>
  </w:footnote>
  <w:footnote w:id="93">
    <w:p w14:paraId="082CAD01" w14:textId="26CCEB7B" w:rsidR="008D6DF1" w:rsidRPr="00047850" w:rsidRDefault="008D6DF1" w:rsidP="008D6DF1">
      <w:pPr>
        <w:pStyle w:val="FootnoteText"/>
      </w:pPr>
      <w:r w:rsidRPr="008D6DF1">
        <w:rPr>
          <w:vertAlign w:val="superscript"/>
        </w:rPr>
        <w:footnoteRef/>
      </w:r>
      <w:r w:rsidRPr="008D6DF1">
        <w:rPr>
          <w:i/>
        </w:rPr>
        <w:t>Id</w:t>
      </w:r>
      <w:r w:rsidRPr="008D6DF1">
        <w:t xml:space="preserve">. at 480. This idea, however, seems to have been forestalled by decisions such as </w:t>
      </w:r>
      <w:r w:rsidRPr="008D6DF1">
        <w:rPr>
          <w:i/>
        </w:rPr>
        <w:t>Smith v</w:t>
      </w:r>
      <w:r w:rsidRPr="008D6DF1">
        <w:t xml:space="preserve">. </w:t>
      </w:r>
      <w:r w:rsidRPr="008D6DF1">
        <w:rPr>
          <w:i/>
        </w:rPr>
        <w:t>Chanel, Inc</w:t>
      </w:r>
      <w:r w:rsidRPr="008D6DF1">
        <w:t xml:space="preserve">., 402 F.2d 562, 563, 159 USPQ 388 (9th Cir. 1968), permitting truthful comparative advertising under the Lanham Act. Decisions such as </w:t>
      </w:r>
      <w:r w:rsidRPr="008D6DF1">
        <w:rPr>
          <w:i/>
        </w:rPr>
        <w:t>Smith</w:t>
      </w:r>
      <w:r w:rsidRPr="008D6DF1">
        <w:t xml:space="preserve"> lead one to believe that use of state dilution laws in such instances would be preempted. </w:t>
      </w:r>
      <w:r w:rsidRPr="008D6DF1">
        <w:rPr>
          <w:i/>
        </w:rPr>
        <w:t>See</w:t>
      </w:r>
      <w:r w:rsidRPr="008D6DF1">
        <w:t xml:space="preserve"> </w:t>
      </w:r>
      <w:r w:rsidRPr="008D6DF1">
        <w:rPr>
          <w:i/>
        </w:rPr>
        <w:t>also</w:t>
      </w:r>
      <w:r w:rsidRPr="008D6DF1">
        <w:t xml:space="preserve"> Lanham Act §43(c)(3)(A)(</w:t>
      </w:r>
      <w:proofErr w:type="spellStart"/>
      <w:r w:rsidRPr="008D6DF1">
        <w:t>i</w:t>
      </w:r>
      <w:proofErr w:type="spellEnd"/>
      <w:r w:rsidRPr="008D6DF1">
        <w:t>), 15 U.S.C. §1125(c)(3)(A)(</w:t>
      </w:r>
      <w:proofErr w:type="spellStart"/>
      <w:r w:rsidRPr="008D6DF1">
        <w:t>i</w:t>
      </w:r>
      <w:proofErr w:type="spellEnd"/>
      <w:r w:rsidRPr="008D6DF1">
        <w:t xml:space="preserve">) (exempting “fair use” of a famous mark in comparative advertising from a federal dilution claim); </w:t>
      </w:r>
      <w:r w:rsidRPr="008D6DF1">
        <w:rPr>
          <w:smallCaps/>
        </w:rPr>
        <w:t>Model State Trademark Bill §13(</w:t>
      </w:r>
      <w:r w:rsidRPr="008D6DF1">
        <w:t>d</w:t>
      </w:r>
      <w:r w:rsidRPr="008D6DF1">
        <w:rPr>
          <w:smallCaps/>
        </w:rPr>
        <w:t>)(1)(A)</w:t>
      </w:r>
      <w:r w:rsidRPr="008D6DF1">
        <w:t xml:space="preserve"> (INTA 2007) (exempting comparative advertising from state dilution claim); </w:t>
      </w:r>
      <w:r w:rsidRPr="008D6DF1">
        <w:rPr>
          <w:smallCaps/>
        </w:rPr>
        <w:t>Model State Trademark Bill</w:t>
      </w:r>
      <w:r w:rsidRPr="008D6DF1">
        <w:t xml:space="preserve"> §13 (INTA 1996) (same). Several states have included this exemption in their dilution statutes. </w:t>
      </w:r>
      <w:r w:rsidRPr="008D6DF1">
        <w:rPr>
          <w:i/>
        </w:rPr>
        <w:t>E</w:t>
      </w:r>
      <w:r w:rsidRPr="008D6DF1">
        <w:t>.</w:t>
      </w:r>
      <w:r w:rsidRPr="008D6DF1">
        <w:rPr>
          <w:i/>
        </w:rPr>
        <w:t>g</w:t>
      </w:r>
      <w:r w:rsidRPr="008D6DF1">
        <w:t xml:space="preserve">., </w:t>
      </w:r>
      <w:r w:rsidRPr="008D6DF1">
        <w:rPr>
          <w:smallCaps/>
        </w:rPr>
        <w:t xml:space="preserve">Ariz. Rev. Stat. </w:t>
      </w:r>
      <w:r w:rsidRPr="008D6DF1">
        <w:t xml:space="preserve">§44-1448.01 (West 2003); </w:t>
      </w:r>
      <w:r w:rsidRPr="008D6DF1">
        <w:rPr>
          <w:smallCaps/>
        </w:rPr>
        <w:t xml:space="preserve">Ark. Code Ann. </w:t>
      </w:r>
      <w:r w:rsidRPr="008D6DF1">
        <w:t xml:space="preserve">§4-71-213 (West 2004); </w:t>
      </w:r>
      <w:r w:rsidRPr="008D6DF1">
        <w:rPr>
          <w:smallCaps/>
        </w:rPr>
        <w:t xml:space="preserve">Cal. Bus. &amp; Prof. Code </w:t>
      </w:r>
      <w:r w:rsidRPr="008D6DF1">
        <w:t xml:space="preserve">§14247(b)(1)(A) (West 2008); 765 </w:t>
      </w:r>
      <w:r w:rsidRPr="008D6DF1">
        <w:rPr>
          <w:smallCaps/>
        </w:rPr>
        <w:t xml:space="preserve">Ill. Comp. Stat. Ann. </w:t>
      </w:r>
      <w:r w:rsidRPr="008D6DF1">
        <w:t xml:space="preserve">§1036/65 (West 2009); </w:t>
      </w:r>
      <w:r w:rsidRPr="008D6DF1">
        <w:rPr>
          <w:smallCaps/>
        </w:rPr>
        <w:t xml:space="preserve">Kan. Stat. Ann. </w:t>
      </w:r>
      <w:r w:rsidRPr="008D6DF1">
        <w:t xml:space="preserve">§81-214 (Supp. 2009); </w:t>
      </w:r>
      <w:r w:rsidRPr="008D6DF1">
        <w:rPr>
          <w:smallCaps/>
        </w:rPr>
        <w:t xml:space="preserve">Minn. Stat. Ann. </w:t>
      </w:r>
      <w:r w:rsidRPr="008D6DF1">
        <w:t xml:space="preserve">§333.285 (West 2004); </w:t>
      </w:r>
      <w:r w:rsidRPr="008D6DF1">
        <w:rPr>
          <w:smallCaps/>
        </w:rPr>
        <w:t xml:space="preserve">Neb. Rev. Stat. </w:t>
      </w:r>
      <w:r w:rsidRPr="008D6DF1">
        <w:t xml:space="preserve">§87-140 (LexisNexis 2003); 54 </w:t>
      </w:r>
      <w:r w:rsidRPr="008D6DF1">
        <w:rPr>
          <w:smallCaps/>
        </w:rPr>
        <w:t xml:space="preserve">Pa. Cons. Stat. Ann. </w:t>
      </w:r>
      <w:r w:rsidRPr="008D6DF1">
        <w:t xml:space="preserve">§1124 (West Supp. 2012); </w:t>
      </w:r>
      <w:r w:rsidRPr="008D6DF1">
        <w:rPr>
          <w:smallCaps/>
        </w:rPr>
        <w:t xml:space="preserve">Tenn. Code Ann. </w:t>
      </w:r>
      <w:r w:rsidRPr="008D6DF1">
        <w:t>§47-25-513 (LexisNexis 2001);</w:t>
      </w:r>
      <w:r w:rsidRPr="008D6DF1">
        <w:rPr>
          <w:smallCaps/>
        </w:rPr>
        <w:t>Tex. Bus. &amp; Com. Code</w:t>
      </w:r>
      <w:r w:rsidRPr="008D6DF1">
        <w:t xml:space="preserve"> §16.103(d)(1)(A) (2011). See discussion of the Model State Trademark Bill in §II.D, below.</w:t>
      </w:r>
    </w:p>
  </w:footnote>
  <w:footnote w:id="94">
    <w:p w14:paraId="59292398" w14:textId="1E72959E" w:rsidR="008D6DF1" w:rsidRPr="00146534" w:rsidRDefault="008D6DF1" w:rsidP="008D6DF1">
      <w:pPr>
        <w:pStyle w:val="FootnoteText"/>
      </w:pPr>
      <w:r w:rsidRPr="008D6DF1">
        <w:rPr>
          <w:vertAlign w:val="superscript"/>
        </w:rPr>
        <w:footnoteRef/>
      </w:r>
      <w:r w:rsidRPr="008D6DF1">
        <w:t xml:space="preserve">George N. Middleton, </w:t>
      </w:r>
      <w:r w:rsidRPr="008D6DF1">
        <w:rPr>
          <w:i/>
        </w:rPr>
        <w:t>Some Reflections on Dilution</w:t>
      </w:r>
      <w:r w:rsidRPr="008D6DF1">
        <w:t xml:space="preserve">, 42 </w:t>
      </w:r>
      <w:r w:rsidRPr="008D6DF1">
        <w:rPr>
          <w:smallCaps/>
        </w:rPr>
        <w:t xml:space="preserve">Trademark Rep. </w:t>
      </w:r>
      <w:r w:rsidRPr="008D6DF1">
        <w:t>175 (1952).</w:t>
      </w:r>
    </w:p>
  </w:footnote>
  <w:footnote w:id="95">
    <w:p w14:paraId="1B4C6D92" w14:textId="16517ED2" w:rsidR="008D6DF1" w:rsidRPr="00D351C9" w:rsidRDefault="008D6DF1" w:rsidP="008D6DF1">
      <w:pPr>
        <w:pStyle w:val="FootnoteText"/>
        <w:rPr>
          <w:lang w:val="da-DK"/>
        </w:rPr>
      </w:pPr>
      <w:r w:rsidRPr="008D6DF1">
        <w:rPr>
          <w:vertAlign w:val="superscript"/>
        </w:rPr>
        <w:footnoteRef/>
      </w:r>
      <w:r w:rsidRPr="008D6DF1">
        <w:rPr>
          <w:i/>
        </w:rPr>
        <w:t>Id</w:t>
      </w:r>
      <w:r w:rsidRPr="008D6DF1">
        <w:t>. at 177.</w:t>
      </w:r>
    </w:p>
  </w:footnote>
  <w:footnote w:id="96">
    <w:p w14:paraId="32FA58A8" w14:textId="4F7AFE5A" w:rsidR="008D6DF1" w:rsidRPr="00D351C9" w:rsidRDefault="008D6DF1" w:rsidP="008D6DF1">
      <w:pPr>
        <w:pStyle w:val="FootnoteText"/>
        <w:rPr>
          <w:lang w:val="da-DK"/>
        </w:rPr>
      </w:pPr>
      <w:r w:rsidRPr="008D6DF1">
        <w:rPr>
          <w:vertAlign w:val="superscript"/>
        </w:rPr>
        <w:footnoteRef/>
      </w:r>
      <w:r w:rsidRPr="008D6DF1">
        <w:rPr>
          <w:i/>
        </w:rPr>
        <w:t>Id</w:t>
      </w:r>
      <w:r w:rsidRPr="008D6DF1">
        <w:t>. at 179–80.</w:t>
      </w:r>
    </w:p>
  </w:footnote>
  <w:footnote w:id="97">
    <w:p w14:paraId="6B99A7FD" w14:textId="3C7CA826" w:rsidR="008D6DF1" w:rsidRPr="00D351C9" w:rsidRDefault="008D6DF1" w:rsidP="008D6DF1">
      <w:pPr>
        <w:pStyle w:val="FootnoteText"/>
        <w:rPr>
          <w:lang w:val="da-DK"/>
        </w:rPr>
      </w:pPr>
      <w:r w:rsidRPr="008D6DF1">
        <w:rPr>
          <w:vertAlign w:val="superscript"/>
        </w:rPr>
        <w:footnoteRef/>
      </w:r>
      <w:r w:rsidRPr="008D6DF1">
        <w:rPr>
          <w:i/>
        </w:rPr>
        <w:t>Id</w:t>
      </w:r>
      <w:r w:rsidRPr="008D6DF1">
        <w:t>. at 187.</w:t>
      </w:r>
    </w:p>
  </w:footnote>
  <w:footnote w:id="98">
    <w:p w14:paraId="252C8BA8" w14:textId="529FCB7B" w:rsidR="008D6DF1" w:rsidRPr="00146534" w:rsidRDefault="008D6DF1" w:rsidP="008D6DF1">
      <w:pPr>
        <w:pStyle w:val="FootnoteText"/>
      </w:pPr>
      <w:r w:rsidRPr="008D6DF1">
        <w:rPr>
          <w:vertAlign w:val="superscript"/>
        </w:rPr>
        <w:footnoteRef/>
      </w:r>
      <w:r w:rsidRPr="008D6DF1">
        <w:rPr>
          <w:smallCaps/>
        </w:rPr>
        <w:t>Model State Trademark Bill</w:t>
      </w:r>
      <w:r w:rsidRPr="008D6DF1">
        <w:t xml:space="preserve"> (1964) [hereinafter 1964 </w:t>
      </w:r>
      <w:r w:rsidRPr="008D6DF1">
        <w:rPr>
          <w:smallCaps/>
        </w:rPr>
        <w:t>Model Bill</w:t>
      </w:r>
      <w:r w:rsidRPr="008D6DF1">
        <w:t xml:space="preserve">], </w:t>
      </w:r>
      <w:r w:rsidRPr="008D6DF1">
        <w:rPr>
          <w:i/>
        </w:rPr>
        <w:t>reprinted in</w:t>
      </w:r>
      <w:r w:rsidRPr="008D6DF1">
        <w:t xml:space="preserve"> J</w:t>
      </w:r>
      <w:r w:rsidRPr="008D6DF1">
        <w:rPr>
          <w:smallCaps/>
        </w:rPr>
        <w:t>. Thomas McCarthy</w:t>
      </w:r>
      <w:r w:rsidRPr="008D6DF1">
        <w:t xml:space="preserve">, </w:t>
      </w:r>
      <w:r w:rsidRPr="008D6DF1">
        <w:rPr>
          <w:smallCaps/>
        </w:rPr>
        <w:t xml:space="preserve">McCarthy on Trademarks and Unfair Competition </w:t>
      </w:r>
      <w:r w:rsidRPr="008D6DF1">
        <w:t>§22.8</w:t>
      </w:r>
      <w:r w:rsidRPr="008D6DF1">
        <w:rPr>
          <w:smallCaps/>
        </w:rPr>
        <w:t xml:space="preserve"> (</w:t>
      </w:r>
      <w:r w:rsidRPr="008D6DF1">
        <w:t>4th ed</w:t>
      </w:r>
      <w:r w:rsidRPr="008D6DF1">
        <w:rPr>
          <w:smallCaps/>
        </w:rPr>
        <w:t>. 1998 &amp; S</w:t>
      </w:r>
      <w:r w:rsidRPr="008D6DF1">
        <w:t>upp.</w:t>
      </w:r>
      <w:r w:rsidRPr="008D6DF1">
        <w:rPr>
          <w:smallCaps/>
        </w:rPr>
        <w:t xml:space="preserve">); </w:t>
      </w:r>
      <w:r w:rsidRPr="008D6DF1">
        <w:t xml:space="preserve">see Andrew L. Goldstein, </w:t>
      </w:r>
      <w:r w:rsidRPr="008D6DF1">
        <w:rPr>
          <w:i/>
        </w:rPr>
        <w:t>Bringing the Model State Trademark Bill into the ’90s and Beyond</w:t>
      </w:r>
      <w:r w:rsidRPr="008D6DF1">
        <w:t xml:space="preserve">, 83 </w:t>
      </w:r>
      <w:r w:rsidRPr="008D6DF1">
        <w:rPr>
          <w:smallCaps/>
        </w:rPr>
        <w:t xml:space="preserve">Trademark Rep. </w:t>
      </w:r>
      <w:r w:rsidRPr="008D6DF1">
        <w:t xml:space="preserve">226, 226 (1993); </w:t>
      </w:r>
      <w:r w:rsidRPr="008D6DF1">
        <w:rPr>
          <w:i/>
        </w:rPr>
        <w:t>see also</w:t>
      </w:r>
      <w:r w:rsidRPr="008D6DF1">
        <w:t xml:space="preserve"> </w:t>
      </w:r>
      <w:proofErr w:type="spellStart"/>
      <w:r w:rsidRPr="008D6DF1">
        <w:t>Derenberg</w:t>
      </w:r>
      <w:proofErr w:type="spellEnd"/>
      <w:r w:rsidRPr="008D6DF1">
        <w:t xml:space="preserve">,  44 </w:t>
      </w:r>
      <w:r w:rsidRPr="008D6DF1">
        <w:rPr>
          <w:smallCaps/>
        </w:rPr>
        <w:t xml:space="preserve">Cal. L. Rev. </w:t>
      </w:r>
      <w:r w:rsidRPr="008D6DF1">
        <w:t xml:space="preserve">at 439–40. </w:t>
      </w:r>
      <w:proofErr w:type="spellStart"/>
      <w:r w:rsidRPr="008D6DF1">
        <w:t>Derenberg</w:t>
      </w:r>
      <w:proofErr w:type="spellEnd"/>
      <w:r w:rsidRPr="008D6DF1">
        <w:t xml:space="preserve"> calls the Model Bill the “Model Act.”</w:t>
      </w:r>
    </w:p>
  </w:footnote>
  <w:footnote w:id="99">
    <w:p w14:paraId="4D865471" w14:textId="574E1A54" w:rsidR="008D6DF1" w:rsidRPr="008D6DF1" w:rsidRDefault="008D6DF1" w:rsidP="008D6DF1">
      <w:pPr>
        <w:pStyle w:val="FootnoteText"/>
        <w:rPr>
          <w:highlight w:val="yellow"/>
        </w:rPr>
      </w:pPr>
      <w:r w:rsidRPr="008D6DF1">
        <w:rPr>
          <w:vertAlign w:val="superscript"/>
        </w:rPr>
        <w:footnoteRef/>
      </w:r>
      <w:r w:rsidRPr="008D6DF1">
        <w:t xml:space="preserve">Goldstein, 83 </w:t>
      </w:r>
      <w:r w:rsidRPr="008D6DF1">
        <w:rPr>
          <w:smallCaps/>
        </w:rPr>
        <w:t xml:space="preserve">Trademark Rep. </w:t>
      </w:r>
      <w:r w:rsidRPr="008D6DF1">
        <w:t xml:space="preserve">at 236. </w:t>
      </w:r>
    </w:p>
    <w:p w14:paraId="35625C8D" w14:textId="77777777" w:rsidR="008D6DF1" w:rsidRPr="00455B99" w:rsidRDefault="008D6DF1" w:rsidP="0099732A">
      <w:pPr>
        <w:pStyle w:val="TMDFootnote"/>
        <w:rPr>
          <w:b/>
        </w:rPr>
      </w:pPr>
    </w:p>
  </w:footnote>
  <w:footnote w:id="100">
    <w:p w14:paraId="5F4AAACB" w14:textId="1B9AC307" w:rsidR="008D6DF1" w:rsidRPr="00146534" w:rsidRDefault="008D6DF1" w:rsidP="008D6DF1">
      <w:pPr>
        <w:pStyle w:val="FootnoteText"/>
      </w:pPr>
      <w:r w:rsidRPr="008D6DF1">
        <w:rPr>
          <w:vertAlign w:val="superscript"/>
        </w:rPr>
        <w:footnoteRef/>
      </w:r>
      <w:r w:rsidRPr="008D6DF1">
        <w:t>The 1964 Model Bill followed the pattern of existing state laws by including “injury to business reputation” as proscribed conduct, in addition to dilution.</w:t>
      </w:r>
    </w:p>
  </w:footnote>
  <w:footnote w:id="101">
    <w:p w14:paraId="5A4F400D" w14:textId="6A54F0E3" w:rsidR="008D6DF1" w:rsidRPr="00146534" w:rsidRDefault="008D6DF1" w:rsidP="008D6DF1">
      <w:pPr>
        <w:pStyle w:val="FootnoteText"/>
      </w:pPr>
      <w:r w:rsidRPr="008D6DF1">
        <w:rPr>
          <w:vertAlign w:val="superscript"/>
        </w:rPr>
        <w:footnoteRef/>
      </w:r>
      <w:r w:rsidRPr="008D6DF1">
        <w:rPr>
          <w:i/>
        </w:rPr>
        <w:t xml:space="preserve">The United States Trademark Association Review Commission Report and Recommendations to USTA President and Board </w:t>
      </w:r>
      <w:proofErr w:type="gramStart"/>
      <w:r w:rsidRPr="008D6DF1">
        <w:rPr>
          <w:i/>
        </w:rPr>
        <w:t>Of</w:t>
      </w:r>
      <w:proofErr w:type="gramEnd"/>
      <w:r w:rsidRPr="008D6DF1">
        <w:rPr>
          <w:i/>
        </w:rPr>
        <w:t xml:space="preserve"> Directors</w:t>
      </w:r>
      <w:r w:rsidRPr="008D6DF1">
        <w:t xml:space="preserve">, 77 </w:t>
      </w:r>
      <w:r w:rsidRPr="008D6DF1">
        <w:rPr>
          <w:smallCaps/>
        </w:rPr>
        <w:t xml:space="preserve">Trademark Rep. </w:t>
      </w:r>
      <w:r w:rsidRPr="008D6DF1">
        <w:t xml:space="preserve">375 (1987) [hereinafter </w:t>
      </w:r>
      <w:r w:rsidRPr="008D6DF1">
        <w:rPr>
          <w:i/>
        </w:rPr>
        <w:t>USTA Report</w:t>
      </w:r>
      <w:r w:rsidRPr="008D6DF1">
        <w:t>].</w:t>
      </w:r>
    </w:p>
  </w:footnote>
  <w:footnote w:id="102">
    <w:p w14:paraId="22F4613F" w14:textId="6C74FEB9" w:rsidR="008D6DF1" w:rsidRPr="00146534" w:rsidRDefault="008D6DF1" w:rsidP="008D6DF1">
      <w:pPr>
        <w:pStyle w:val="FootnoteText"/>
      </w:pPr>
      <w:r w:rsidRPr="008D6DF1">
        <w:rPr>
          <w:vertAlign w:val="superscript"/>
        </w:rPr>
        <w:footnoteRef/>
      </w:r>
      <w:r w:rsidRPr="008D6DF1">
        <w:rPr>
          <w:i/>
        </w:rPr>
        <w:t>Id</w:t>
      </w:r>
      <w:r w:rsidRPr="008D6DF1">
        <w:t>. at 453–62.</w:t>
      </w:r>
    </w:p>
  </w:footnote>
  <w:footnote w:id="103">
    <w:p w14:paraId="5AD9DF15" w14:textId="504A9083" w:rsidR="008D6DF1" w:rsidRPr="00146534" w:rsidRDefault="008D6DF1" w:rsidP="008D6DF1">
      <w:pPr>
        <w:pStyle w:val="FootnoteText"/>
      </w:pPr>
      <w:r w:rsidRPr="008D6DF1">
        <w:rPr>
          <w:vertAlign w:val="superscript"/>
        </w:rPr>
        <w:footnoteRef/>
      </w:r>
      <w:r w:rsidRPr="008D6DF1">
        <w:t>Pub. L. No. 100-667, 102 Stat. 3935 (1988).</w:t>
      </w:r>
    </w:p>
  </w:footnote>
  <w:footnote w:id="104">
    <w:p w14:paraId="683F3B05" w14:textId="0C252195" w:rsidR="008D6DF1" w:rsidRPr="00146534" w:rsidRDefault="008D6DF1" w:rsidP="008D6DF1">
      <w:pPr>
        <w:pStyle w:val="FootnoteText"/>
      </w:pPr>
      <w:r w:rsidRPr="008D6DF1">
        <w:rPr>
          <w:vertAlign w:val="superscript"/>
        </w:rPr>
        <w:footnoteRef/>
      </w:r>
      <w:r w:rsidRPr="008D6DF1">
        <w:t>See Chapter 6, §II.B, for a discussion of this history.</w:t>
      </w:r>
    </w:p>
  </w:footnote>
  <w:footnote w:id="105">
    <w:p w14:paraId="65A71C0C" w14:textId="57AA35A4" w:rsidR="008D6DF1" w:rsidRPr="00146534" w:rsidRDefault="008D6DF1" w:rsidP="008D6DF1">
      <w:pPr>
        <w:pStyle w:val="FootnoteText"/>
      </w:pPr>
      <w:r w:rsidRPr="008D6DF1">
        <w:rPr>
          <w:vertAlign w:val="superscript"/>
        </w:rPr>
        <w:footnoteRef/>
      </w:r>
      <w:r w:rsidRPr="008D6DF1">
        <w:rPr>
          <w:i/>
        </w:rPr>
        <w:t>See</w:t>
      </w:r>
      <w:r w:rsidRPr="008D6DF1">
        <w:t xml:space="preserve"> Goldstein, 83 </w:t>
      </w:r>
      <w:r w:rsidRPr="008D6DF1">
        <w:rPr>
          <w:smallCaps/>
        </w:rPr>
        <w:t xml:space="preserve">Trademark Rep. </w:t>
      </w:r>
      <w:r w:rsidRPr="008D6DF1">
        <w:t>at 226. The changes are shown in Appendix A to the Goldstein article.</w:t>
      </w:r>
    </w:p>
  </w:footnote>
  <w:footnote w:id="106">
    <w:p w14:paraId="09DA1B4E" w14:textId="0B9FE96A" w:rsidR="008D6DF1" w:rsidRPr="00146534" w:rsidRDefault="008D6DF1" w:rsidP="008D6DF1">
      <w:pPr>
        <w:pStyle w:val="FootnoteText"/>
      </w:pPr>
      <w:r w:rsidRPr="008D6DF1">
        <w:rPr>
          <w:vertAlign w:val="superscript"/>
        </w:rPr>
        <w:footnoteRef/>
      </w:r>
      <w:r w:rsidRPr="008D6DF1">
        <w:rPr>
          <w:i/>
        </w:rPr>
        <w:t>Id</w:t>
      </w:r>
      <w:r w:rsidRPr="008D6DF1">
        <w:t>.</w:t>
      </w:r>
    </w:p>
  </w:footnote>
  <w:footnote w:id="107">
    <w:p w14:paraId="1E4CAA77" w14:textId="10CA2DB9" w:rsidR="008D6DF1" w:rsidRPr="00146534" w:rsidRDefault="008D6DF1" w:rsidP="008D6DF1">
      <w:pPr>
        <w:pStyle w:val="FootnoteText"/>
      </w:pPr>
      <w:r w:rsidRPr="008D6DF1">
        <w:rPr>
          <w:vertAlign w:val="superscript"/>
        </w:rPr>
        <w:footnoteRef/>
      </w:r>
      <w:r w:rsidRPr="008D6DF1">
        <w:rPr>
          <w:i/>
        </w:rPr>
        <w:t>See id</w:t>
      </w:r>
      <w:r w:rsidRPr="008D6DF1">
        <w:t>. at 236.</w:t>
      </w:r>
    </w:p>
  </w:footnote>
  <w:footnote w:id="108">
    <w:p w14:paraId="26EE4B23" w14:textId="3748DE1C" w:rsidR="008D6DF1" w:rsidRPr="00146534" w:rsidRDefault="008D6DF1" w:rsidP="008D6DF1">
      <w:pPr>
        <w:pStyle w:val="FootnoteText"/>
      </w:pPr>
      <w:r w:rsidRPr="008D6DF1">
        <w:rPr>
          <w:vertAlign w:val="superscript"/>
        </w:rPr>
        <w:footnoteRef/>
      </w:r>
      <w:r w:rsidRPr="008D6DF1">
        <w:rPr>
          <w:i/>
        </w:rPr>
        <w:t>Id</w:t>
      </w:r>
      <w:r w:rsidRPr="008D6DF1">
        <w:t>. at 237.</w:t>
      </w:r>
    </w:p>
  </w:footnote>
  <w:footnote w:id="109">
    <w:p w14:paraId="5F12FB04" w14:textId="37D8B41D" w:rsidR="008D6DF1" w:rsidRPr="00146534" w:rsidRDefault="008D6DF1" w:rsidP="008D6DF1">
      <w:pPr>
        <w:pStyle w:val="FootnoteText"/>
      </w:pPr>
      <w:r w:rsidRPr="008D6DF1">
        <w:rPr>
          <w:vertAlign w:val="superscript"/>
        </w:rPr>
        <w:footnoteRef/>
      </w:r>
      <w:r w:rsidRPr="008D6DF1">
        <w:t xml:space="preserve">The USTA proposal assumed that under federal law, marks must be famous in a “substantial portion” of the country. </w:t>
      </w:r>
      <w:r w:rsidRPr="008D6DF1">
        <w:rPr>
          <w:i/>
        </w:rPr>
        <w:t>USTA Report</w:t>
      </w:r>
      <w:r w:rsidRPr="008D6DF1">
        <w:t xml:space="preserve">, 77 </w:t>
      </w:r>
      <w:r w:rsidRPr="008D6DF1">
        <w:rPr>
          <w:smallCaps/>
        </w:rPr>
        <w:t xml:space="preserve">Trademark Rep. </w:t>
      </w:r>
      <w:r w:rsidRPr="008D6DF1">
        <w:t>at 459. It is unclear whether the USTA intended that the Model Bill protect only marks that are famous in a substantial portion of the state.</w:t>
      </w:r>
    </w:p>
  </w:footnote>
  <w:footnote w:id="110">
    <w:p w14:paraId="5DDF7050" w14:textId="4E25CEA2" w:rsidR="008D6DF1" w:rsidRPr="00146534" w:rsidRDefault="008D6DF1" w:rsidP="008D6DF1">
      <w:pPr>
        <w:pStyle w:val="FootnoteText"/>
      </w:pPr>
      <w:r w:rsidRPr="008D6DF1">
        <w:rPr>
          <w:vertAlign w:val="superscript"/>
        </w:rPr>
        <w:footnoteRef/>
      </w:r>
      <w:r w:rsidRPr="008D6DF1">
        <w:rPr>
          <w:i/>
        </w:rPr>
        <w:t>See</w:t>
      </w:r>
      <w:r w:rsidRPr="008D6DF1">
        <w:t xml:space="preserve"> 15 U.S.C. §1125(c)(1).</w:t>
      </w:r>
    </w:p>
  </w:footnote>
  <w:footnote w:id="111">
    <w:p w14:paraId="3BD3F15A" w14:textId="0F8286B8" w:rsidR="008D6DF1" w:rsidRPr="00146534" w:rsidRDefault="008D6DF1" w:rsidP="008D6DF1">
      <w:pPr>
        <w:pStyle w:val="FootnoteText"/>
      </w:pPr>
      <w:r w:rsidRPr="008D6DF1">
        <w:rPr>
          <w:vertAlign w:val="superscript"/>
        </w:rPr>
        <w:footnoteRef/>
      </w:r>
      <w:r w:rsidRPr="008D6DF1">
        <w:rPr>
          <w:i/>
        </w:rPr>
        <w:t>See</w:t>
      </w:r>
      <w:r w:rsidRPr="008D6DF1">
        <w:t xml:space="preserve"> Goldstein, 83 </w:t>
      </w:r>
      <w:r w:rsidRPr="008D6DF1">
        <w:rPr>
          <w:smallCaps/>
        </w:rPr>
        <w:t>Trademark Rep</w:t>
      </w:r>
      <w:r w:rsidRPr="008D6DF1">
        <w:t xml:space="preserve"> at 237 (listing the provisions of the Model Bill).</w:t>
      </w:r>
    </w:p>
  </w:footnote>
  <w:footnote w:id="112">
    <w:p w14:paraId="7629C881" w14:textId="7B65BCC1" w:rsidR="008D6DF1" w:rsidRPr="00146534" w:rsidRDefault="008D6DF1" w:rsidP="008D6DF1">
      <w:pPr>
        <w:pStyle w:val="FootnoteText"/>
      </w:pPr>
      <w:r w:rsidRPr="008D6DF1">
        <w:rPr>
          <w:vertAlign w:val="superscript"/>
        </w:rPr>
        <w:footnoteRef/>
      </w:r>
      <w:r w:rsidRPr="008D6DF1">
        <w:rPr>
          <w:i/>
        </w:rPr>
        <w:t>Compare</w:t>
      </w:r>
      <w:r w:rsidRPr="008D6DF1">
        <w:t xml:space="preserve"> Nabisco, Inc. v. PF Brands, Inc., 191 F.3d 208, 215–16, 51 USPQ2d 1882 (2d Cir. 1999) (distinctiveness is a separate element of a dilution claim), </w:t>
      </w:r>
      <w:r w:rsidRPr="008D6DF1">
        <w:rPr>
          <w:i/>
        </w:rPr>
        <w:t>and</w:t>
      </w:r>
      <w:r w:rsidRPr="008D6DF1">
        <w:t xml:space="preserve"> V Secret Catalogue, Inc. v. Moseley, 259 F.3d 464, 469–70, 59 USPQ2d 1650 (6th Cir. 2001), </w:t>
      </w:r>
      <w:proofErr w:type="spellStart"/>
      <w:r w:rsidRPr="008D6DF1">
        <w:rPr>
          <w:i/>
        </w:rPr>
        <w:t>rev’d</w:t>
      </w:r>
      <w:proofErr w:type="spellEnd"/>
      <w:r w:rsidRPr="008D6DF1">
        <w:rPr>
          <w:i/>
        </w:rPr>
        <w:t xml:space="preserve"> on other grounds</w:t>
      </w:r>
      <w:r w:rsidRPr="008D6DF1">
        <w:t xml:space="preserve">, 537 U.S. 418, 65 USPQ2d 1801 (2003), </w:t>
      </w:r>
      <w:r w:rsidRPr="008D6DF1">
        <w:rPr>
          <w:i/>
        </w:rPr>
        <w:t>with</w:t>
      </w:r>
      <w:r w:rsidRPr="008D6DF1">
        <w:t xml:space="preserve"> Times Mirror Magazines, Inc. v. Las Vegas Sports News, LLC, 212 F.3d 157, 167, 54 USPQ2d 1577 (3d Cir. 2000) (distinctiveness not a separate element), </w:t>
      </w:r>
      <w:r w:rsidRPr="008D6DF1">
        <w:rPr>
          <w:i/>
        </w:rPr>
        <w:t>cert</w:t>
      </w:r>
      <w:r w:rsidRPr="008D6DF1">
        <w:t xml:space="preserve">. </w:t>
      </w:r>
      <w:r w:rsidRPr="008D6DF1">
        <w:rPr>
          <w:i/>
        </w:rPr>
        <w:t>denied</w:t>
      </w:r>
      <w:r w:rsidRPr="008D6DF1">
        <w:t>, 531 U.S. 1071 (2001).</w:t>
      </w:r>
    </w:p>
  </w:footnote>
  <w:footnote w:id="113">
    <w:p w14:paraId="4B469C81" w14:textId="6907B118" w:rsidR="008D6DF1" w:rsidRPr="00146534" w:rsidRDefault="008D6DF1" w:rsidP="008D6DF1">
      <w:pPr>
        <w:pStyle w:val="FootnoteText"/>
      </w:pPr>
      <w:r w:rsidRPr="008D6DF1">
        <w:rPr>
          <w:vertAlign w:val="superscript"/>
        </w:rPr>
        <w:footnoteRef/>
      </w:r>
      <w:r w:rsidRPr="008D6DF1">
        <w:t xml:space="preserve">Goldstein, 83 </w:t>
      </w:r>
      <w:r w:rsidRPr="008D6DF1">
        <w:rPr>
          <w:smallCaps/>
        </w:rPr>
        <w:t>Trademark Rep</w:t>
      </w:r>
      <w:r w:rsidRPr="008D6DF1">
        <w:t xml:space="preserve"> at 237. The provision states: “The owner of a famous mark shall be entitled only to injunctive relief </w:t>
      </w:r>
      <w:r w:rsidRPr="008D6DF1">
        <w:rPr>
          <w:i/>
        </w:rPr>
        <w:t>in this state</w:t>
      </w:r>
      <w:r w:rsidRPr="008D6DF1">
        <w:t xml:space="preserve"> </w:t>
      </w:r>
      <w:proofErr w:type="gramStart"/>
      <w:r w:rsidRPr="008D6DF1">
        <w:t>… .</w:t>
      </w:r>
      <w:proofErr w:type="gramEnd"/>
      <w:r w:rsidRPr="008D6DF1">
        <w:t xml:space="preserve">” </w:t>
      </w:r>
      <w:r w:rsidRPr="008D6DF1">
        <w:rPr>
          <w:smallCaps/>
        </w:rPr>
        <w:t>Model State Trademark Bill</w:t>
      </w:r>
      <w:r w:rsidRPr="008D6DF1">
        <w:t xml:space="preserve"> §13 (1992) (emphasis added) [hereinafter </w:t>
      </w:r>
      <w:r w:rsidRPr="008D6DF1">
        <w:rPr>
          <w:smallCaps/>
        </w:rPr>
        <w:t>1992 Model Bill</w:t>
      </w:r>
      <w:r w:rsidRPr="008D6DF1">
        <w:t>].</w:t>
      </w:r>
    </w:p>
  </w:footnote>
  <w:footnote w:id="114">
    <w:p w14:paraId="36D1CF0F" w14:textId="6721DF07" w:rsidR="008D6DF1" w:rsidRPr="00C3657D" w:rsidRDefault="008D6DF1" w:rsidP="008D6DF1">
      <w:pPr>
        <w:pStyle w:val="FootnoteText"/>
      </w:pPr>
      <w:r w:rsidRPr="008D6DF1">
        <w:rPr>
          <w:vertAlign w:val="superscript"/>
        </w:rPr>
        <w:footnoteRef/>
      </w:r>
      <w:r w:rsidRPr="008D6DF1">
        <w:rPr>
          <w:i/>
        </w:rPr>
        <w:t>Id</w:t>
      </w:r>
      <w:r w:rsidRPr="008D6DF1">
        <w:t xml:space="preserve">. at 237–38. On the issue of geographic scope of injunctive relief, see generally David S. Welkowitz, </w:t>
      </w:r>
      <w:r w:rsidRPr="008D6DF1">
        <w:rPr>
          <w:i/>
        </w:rPr>
        <w:t>Preemption, Extraterritoriality, and the Problem of State Antidilution Laws</w:t>
      </w:r>
      <w:r w:rsidRPr="008D6DF1">
        <w:t xml:space="preserve">, 67 </w:t>
      </w:r>
      <w:r w:rsidRPr="008D6DF1">
        <w:rPr>
          <w:smallCaps/>
        </w:rPr>
        <w:t xml:space="preserve">Tulane L. Rev. </w:t>
      </w:r>
      <w:r w:rsidRPr="008D6DF1">
        <w:t>1 (1992).</w:t>
      </w:r>
    </w:p>
  </w:footnote>
  <w:footnote w:id="115">
    <w:p w14:paraId="19E61CC0" w14:textId="5BF7413A" w:rsidR="008D6DF1" w:rsidRPr="00146534" w:rsidRDefault="008D6DF1" w:rsidP="008D6DF1">
      <w:pPr>
        <w:pStyle w:val="FootnoteText"/>
      </w:pPr>
      <w:r w:rsidRPr="008D6DF1">
        <w:rPr>
          <w:vertAlign w:val="superscript"/>
        </w:rPr>
        <w:footnoteRef/>
      </w:r>
      <w:r w:rsidRPr="008D6DF1">
        <w:rPr>
          <w:smallCaps/>
        </w:rPr>
        <w:t>1992 Model Bill</w:t>
      </w:r>
      <w:r w:rsidRPr="008D6DF1">
        <w:t xml:space="preserve"> §19; </w:t>
      </w:r>
      <w:r w:rsidRPr="008D6DF1">
        <w:rPr>
          <w:i/>
        </w:rPr>
        <w:t>see</w:t>
      </w:r>
      <w:r w:rsidRPr="008D6DF1">
        <w:t xml:space="preserve"> Goldstein, 83 </w:t>
      </w:r>
      <w:r w:rsidRPr="008D6DF1">
        <w:rPr>
          <w:smallCaps/>
        </w:rPr>
        <w:t>Trademark Rep</w:t>
      </w:r>
      <w:r w:rsidRPr="008D6DF1">
        <w:t xml:space="preserve"> at 234. This provision applied to the entire Model Bill, not just the dilution section. Apparently, there were some objections made by state administrators to this requirement because they believed it would make their examination process overly burdensome. </w:t>
      </w:r>
      <w:r w:rsidRPr="008D6DF1">
        <w:rPr>
          <w:i/>
        </w:rPr>
        <w:t>Id</w:t>
      </w:r>
      <w:r w:rsidRPr="008D6DF1">
        <w:t>. However, courts should not find this requirement to be particularly problematic.</w:t>
      </w:r>
    </w:p>
  </w:footnote>
  <w:footnote w:id="116">
    <w:p w14:paraId="5549DA4F" w14:textId="0069DCD3" w:rsidR="008D6DF1" w:rsidRPr="00D5378F" w:rsidRDefault="008D6DF1" w:rsidP="008D6DF1">
      <w:pPr>
        <w:pStyle w:val="FootnoteText"/>
      </w:pPr>
      <w:r w:rsidRPr="008D6DF1">
        <w:rPr>
          <w:vertAlign w:val="superscript"/>
        </w:rPr>
        <w:footnoteRef/>
      </w:r>
      <w:r w:rsidRPr="008D6DF1">
        <w:t>Pub. L. No. 104-98 §3(a), 109 Stat. 985. See §III.C, below.</w:t>
      </w:r>
    </w:p>
  </w:footnote>
  <w:footnote w:id="117">
    <w:p w14:paraId="01E966C4" w14:textId="7F8DB77E" w:rsidR="008D6DF1" w:rsidRPr="008D6DF1" w:rsidRDefault="008D6DF1" w:rsidP="008D6DF1">
      <w:pPr>
        <w:pStyle w:val="FootnoteText"/>
      </w:pPr>
      <w:r w:rsidRPr="008D6DF1">
        <w:rPr>
          <w:rStyle w:val="FootnoteReference"/>
        </w:rPr>
        <w:footnoteRef/>
      </w:r>
      <w:r w:rsidRPr="008D6DF1">
        <w:t>Pub. L. No. 109-312, 120 Stat. 1730 (codified at 15 U.S.C. §1125(c)). See §III.C, below.</w:t>
      </w:r>
    </w:p>
    <w:p w14:paraId="72183116" w14:textId="77777777" w:rsidR="008D6DF1" w:rsidRDefault="008D6DF1" w:rsidP="00771E80">
      <w:pPr>
        <w:pStyle w:val="TMDFootnote"/>
      </w:pPr>
    </w:p>
  </w:footnote>
  <w:footnote w:id="118">
    <w:p w14:paraId="660BB830" w14:textId="1E8CACBD" w:rsidR="008D6DF1" w:rsidRPr="008D6DF1" w:rsidRDefault="008D6DF1" w:rsidP="008D6DF1">
      <w:pPr>
        <w:pStyle w:val="FootnoteText"/>
      </w:pPr>
      <w:r w:rsidRPr="008D6DF1">
        <w:rPr>
          <w:vertAlign w:val="superscript"/>
        </w:rPr>
        <w:footnoteRef/>
      </w:r>
      <w:r w:rsidRPr="008D6DF1">
        <w:t>Not all states with dilution statutes based on the 1992 Model Bill have enacted this intent provision.</w:t>
      </w:r>
    </w:p>
    <w:p w14:paraId="6AA606DD" w14:textId="77777777" w:rsidR="008D6DF1" w:rsidRPr="00825C5B" w:rsidRDefault="008D6DF1" w:rsidP="0099732A">
      <w:pPr>
        <w:pStyle w:val="TMDFootnote"/>
      </w:pPr>
    </w:p>
  </w:footnote>
  <w:footnote w:id="119">
    <w:p w14:paraId="6613739F" w14:textId="6A3F1518" w:rsidR="008D6DF1" w:rsidRDefault="008D6DF1" w:rsidP="008D6DF1">
      <w:pPr>
        <w:pStyle w:val="FootnoteText"/>
      </w:pPr>
      <w:r w:rsidRPr="008D6DF1">
        <w:rPr>
          <w:rStyle w:val="FootnoteReference"/>
        </w:rPr>
        <w:footnoteRef/>
      </w:r>
      <w:r w:rsidRPr="008D6DF1">
        <w:rPr>
          <w:smallCaps/>
        </w:rPr>
        <w:t>Model State Trademark Bill</w:t>
      </w:r>
      <w:r w:rsidRPr="008D6DF1">
        <w:t xml:space="preserve"> (1996) [hereinafter 1996 </w:t>
      </w:r>
      <w:r w:rsidRPr="008D6DF1">
        <w:rPr>
          <w:smallCaps/>
        </w:rPr>
        <w:t>Model Bill</w:t>
      </w:r>
      <w:r w:rsidRPr="008D6DF1">
        <w:t xml:space="preserve">], </w:t>
      </w:r>
      <w:r w:rsidRPr="008D6DF1">
        <w:rPr>
          <w:i/>
        </w:rPr>
        <w:t>reprinted in</w:t>
      </w:r>
      <w:r w:rsidRPr="008D6DF1">
        <w:t xml:space="preserve"> 1 </w:t>
      </w:r>
      <w:r w:rsidRPr="008D6DF1">
        <w:rPr>
          <w:smallCaps/>
        </w:rPr>
        <w:t>Gilson on Trademarks</w:t>
      </w:r>
      <w:r w:rsidRPr="008D6DF1">
        <w:t>, app. 1-A (2008).</w:t>
      </w:r>
    </w:p>
  </w:footnote>
  <w:footnote w:id="120">
    <w:p w14:paraId="3801655C" w14:textId="26334697" w:rsidR="008D6DF1" w:rsidRPr="00146534" w:rsidRDefault="008D6DF1" w:rsidP="008D6DF1">
      <w:pPr>
        <w:pStyle w:val="FootnoteText"/>
      </w:pPr>
      <w:r w:rsidRPr="008D6DF1">
        <w:rPr>
          <w:vertAlign w:val="superscript"/>
        </w:rPr>
        <w:footnoteRef/>
      </w:r>
      <w:r w:rsidRPr="008D6DF1">
        <w:t xml:space="preserve">The same defenses were part of the original FTDA. Lanham Act §43(c)(4), 15 U.S.C. §1125(c)(4), </w:t>
      </w:r>
      <w:r w:rsidRPr="008D6DF1">
        <w:rPr>
          <w:i/>
        </w:rPr>
        <w:t>superseded by</w:t>
      </w:r>
      <w:r w:rsidRPr="008D6DF1">
        <w:t xml:space="preserve"> 15 U.S.C. §1125(c)(3).</w:t>
      </w:r>
    </w:p>
  </w:footnote>
  <w:footnote w:id="121">
    <w:p w14:paraId="4580DCBC" w14:textId="14D44712" w:rsidR="008D6DF1" w:rsidRPr="00146534" w:rsidRDefault="008D6DF1" w:rsidP="008D6DF1">
      <w:pPr>
        <w:pStyle w:val="FootnoteText"/>
      </w:pPr>
      <w:r w:rsidRPr="008D6DF1">
        <w:rPr>
          <w:vertAlign w:val="superscript"/>
        </w:rPr>
        <w:footnoteRef/>
      </w:r>
      <w:r w:rsidRPr="008D6DF1">
        <w:t>Pub. L. No. 109-312, 120 Stat. 1730 (codified at 15 U.S.C. §1125(c)). An overview of the Trademark Dilution Revision Act is contained in §III.C, below, and Chapter 6, §III.</w:t>
      </w:r>
    </w:p>
  </w:footnote>
  <w:footnote w:id="122">
    <w:p w14:paraId="3C2A4FBB" w14:textId="0E09B8D8" w:rsidR="008D6DF1" w:rsidRPr="00146534" w:rsidRDefault="008D6DF1" w:rsidP="008D6DF1">
      <w:pPr>
        <w:pStyle w:val="FootnoteText"/>
        <w:rPr>
          <w:b/>
        </w:rPr>
      </w:pPr>
      <w:r w:rsidRPr="008D6DF1">
        <w:rPr>
          <w:vertAlign w:val="superscript"/>
        </w:rPr>
        <w:footnoteRef/>
      </w:r>
      <w:r w:rsidRPr="008D6DF1">
        <w:rPr>
          <w:smallCaps/>
        </w:rPr>
        <w:t>Model State Trademark Bill</w:t>
      </w:r>
      <w:r w:rsidRPr="008D6DF1">
        <w:t xml:space="preserve"> §1(k) (2007) [hereinafter 2007 </w:t>
      </w:r>
      <w:r w:rsidRPr="008D6DF1">
        <w:rPr>
          <w:smallCaps/>
        </w:rPr>
        <w:t>Model Bill</w:t>
      </w:r>
      <w:r w:rsidRPr="008D6DF1">
        <w:t xml:space="preserve">], </w:t>
      </w:r>
      <w:r w:rsidRPr="008D6DF1">
        <w:rPr>
          <w:i/>
        </w:rPr>
        <w:t xml:space="preserve">available at </w:t>
      </w:r>
      <w:r w:rsidRPr="008D6DF1">
        <w:t>http://www.inta.org/Advocacy/Pages/ModelLawsandGuidelines.aspx. The terms are defined in §1(</w:t>
      </w:r>
      <w:r w:rsidRPr="008D6DF1">
        <w:rPr>
          <w:i/>
        </w:rPr>
        <w:t>l</w:t>
      </w:r>
      <w:r w:rsidRPr="008D6DF1">
        <w:t>) and (m).</w:t>
      </w:r>
    </w:p>
  </w:footnote>
  <w:footnote w:id="123">
    <w:p w14:paraId="3EAC7096" w14:textId="2604E873" w:rsidR="008D6DF1" w:rsidRPr="00146534" w:rsidRDefault="008D6DF1" w:rsidP="008D6DF1">
      <w:pPr>
        <w:pStyle w:val="FootnoteText"/>
      </w:pPr>
      <w:r w:rsidRPr="008D6DF1">
        <w:rPr>
          <w:vertAlign w:val="superscript"/>
        </w:rPr>
        <w:footnoteRef/>
      </w:r>
      <w:r w:rsidRPr="008D6DF1">
        <w:t xml:space="preserve">2007 </w:t>
      </w:r>
      <w:r w:rsidRPr="008D6DF1">
        <w:rPr>
          <w:smallCaps/>
        </w:rPr>
        <w:t>Model Bill</w:t>
      </w:r>
      <w:r w:rsidRPr="008D6DF1">
        <w:t xml:space="preserve"> §13(b). The Model Bill definition makes it possible for a mark to be considered famous in a subregion of the state, thus making it somewhat more protective than the TDRA. On the other hand, the new provisions limit the scope of injunctive relief to the geographic area in which the mark is determined to be famous—and in no case beyond the state’s borders. </w:t>
      </w:r>
      <w:r w:rsidRPr="008D6DF1">
        <w:rPr>
          <w:i/>
        </w:rPr>
        <w:t>Id</w:t>
      </w:r>
      <w:r w:rsidRPr="008D6DF1">
        <w:t>. §13(c).</w:t>
      </w:r>
    </w:p>
  </w:footnote>
  <w:footnote w:id="124">
    <w:p w14:paraId="249BF88E" w14:textId="029275D4" w:rsidR="008D6DF1" w:rsidRPr="00146534" w:rsidRDefault="008D6DF1" w:rsidP="008D6DF1">
      <w:pPr>
        <w:pStyle w:val="FootnoteText"/>
      </w:pPr>
      <w:r w:rsidRPr="008D6DF1">
        <w:rPr>
          <w:vertAlign w:val="superscript"/>
        </w:rPr>
        <w:footnoteRef/>
      </w:r>
      <w:r w:rsidRPr="008D6DF1">
        <w:t xml:space="preserve">The accompanying commentary states that this exclusion reflects the belief of the INTA that the factors were “too lengthy and cumbersome.” Furthermore, the commentary refers to the fact, discussed elsewhere in this text, that state laws tend to include a provision directing their courts to use Lanham Act decisions as guiding (not binding) precedent. Guide to Understanding the Model State Trademark Bill (Overview of 2007 Amendments), </w:t>
      </w:r>
      <w:r w:rsidRPr="008D6DF1">
        <w:rPr>
          <w:i/>
        </w:rPr>
        <w:t>available at</w:t>
      </w:r>
      <w:r w:rsidRPr="008D6DF1">
        <w:t xml:space="preserve"> http://www.inta.org/Advocacy/Pages/ModelLawsandGuidelines.aspx.</w:t>
      </w:r>
    </w:p>
  </w:footnote>
  <w:footnote w:id="125">
    <w:p w14:paraId="2B8D5A41" w14:textId="25563D2D" w:rsidR="008D6DF1" w:rsidRPr="00146534" w:rsidRDefault="008D6DF1" w:rsidP="008D6DF1">
      <w:pPr>
        <w:pStyle w:val="FootnoteText"/>
      </w:pPr>
      <w:r w:rsidRPr="008D6DF1">
        <w:rPr>
          <w:vertAlign w:val="superscript"/>
        </w:rPr>
        <w:footnoteRef/>
      </w:r>
      <w:r w:rsidRPr="008D6DF1">
        <w:t xml:space="preserve">2007 </w:t>
      </w:r>
      <w:r w:rsidRPr="008D6DF1">
        <w:rPr>
          <w:smallCaps/>
        </w:rPr>
        <w:t>Model Bill</w:t>
      </w:r>
      <w:r w:rsidRPr="008D6DF1">
        <w:t xml:space="preserve"> §13(d). This language is discussed in Chapter 10, §II.</w:t>
      </w:r>
    </w:p>
  </w:footnote>
  <w:footnote w:id="126">
    <w:p w14:paraId="11784AB1" w14:textId="47BEED81" w:rsidR="008D6DF1" w:rsidRPr="00146534" w:rsidRDefault="008D6DF1" w:rsidP="008D6DF1">
      <w:pPr>
        <w:pStyle w:val="FootnoteText"/>
      </w:pPr>
      <w:r w:rsidRPr="008D6DF1">
        <w:rPr>
          <w:vertAlign w:val="superscript"/>
        </w:rPr>
        <w:footnoteRef/>
      </w:r>
      <w:r w:rsidRPr="008D6DF1">
        <w:rPr>
          <w:i/>
        </w:rPr>
        <w:t>See</w:t>
      </w:r>
      <w:r w:rsidRPr="008D6DF1">
        <w:t xml:space="preserve"> Chapter 6, §II.A.</w:t>
      </w:r>
    </w:p>
  </w:footnote>
  <w:footnote w:id="127">
    <w:p w14:paraId="0EDBF81D" w14:textId="538A9945" w:rsidR="008D6DF1" w:rsidRPr="00146534" w:rsidRDefault="008D6DF1" w:rsidP="008D6DF1">
      <w:pPr>
        <w:pStyle w:val="FootnoteText"/>
      </w:pPr>
      <w:r w:rsidRPr="008D6DF1">
        <w:rPr>
          <w:vertAlign w:val="superscript"/>
        </w:rPr>
        <w:footnoteRef/>
      </w:r>
      <w:r w:rsidRPr="008D6DF1">
        <w:t xml:space="preserve">Act of May 2, 1947, </w:t>
      </w:r>
      <w:proofErr w:type="spellStart"/>
      <w:r w:rsidRPr="008D6DF1">
        <w:t>ch.</w:t>
      </w:r>
      <w:proofErr w:type="spellEnd"/>
      <w:r w:rsidRPr="008D6DF1">
        <w:t xml:space="preserve"> 307, §7a, 1947 Mass. Acts 300 (codified as amended at </w:t>
      </w:r>
      <w:r w:rsidRPr="008D6DF1">
        <w:rPr>
          <w:smallCaps/>
        </w:rPr>
        <w:t xml:space="preserve">Mass. Gen. Laws Ann. </w:t>
      </w:r>
      <w:proofErr w:type="spellStart"/>
      <w:r w:rsidRPr="008D6DF1">
        <w:t>ch.</w:t>
      </w:r>
      <w:proofErr w:type="spellEnd"/>
      <w:r w:rsidRPr="008D6DF1">
        <w:t xml:space="preserve"> 110H §13 (West 2011)). The history of the statute is discussed in Walter J. </w:t>
      </w:r>
      <w:proofErr w:type="spellStart"/>
      <w:r w:rsidRPr="008D6DF1">
        <w:t>Derenberg</w:t>
      </w:r>
      <w:proofErr w:type="spellEnd"/>
      <w:r w:rsidRPr="008D6DF1">
        <w:t xml:space="preserve">, </w:t>
      </w:r>
      <w:r w:rsidRPr="008D6DF1">
        <w:rPr>
          <w:i/>
        </w:rPr>
        <w:t>The Problem of Trademark Dilution and the Antidilution Statutes</w:t>
      </w:r>
      <w:r w:rsidRPr="008D6DF1">
        <w:t xml:space="preserve">, 44 </w:t>
      </w:r>
      <w:r w:rsidRPr="008D6DF1">
        <w:rPr>
          <w:smallCaps/>
        </w:rPr>
        <w:t xml:space="preserve">Cal. L. Rev. </w:t>
      </w:r>
      <w:r w:rsidRPr="008D6DF1">
        <w:t>439, 452–53 (1956). See also §II.C.1, above.</w:t>
      </w:r>
    </w:p>
  </w:footnote>
  <w:footnote w:id="128">
    <w:p w14:paraId="4FCEF446" w14:textId="783507E9" w:rsidR="008D6DF1" w:rsidRPr="00146534" w:rsidRDefault="008D6DF1" w:rsidP="008D6DF1">
      <w:pPr>
        <w:pStyle w:val="FootnoteText"/>
      </w:pPr>
      <w:r w:rsidRPr="008D6DF1">
        <w:rPr>
          <w:vertAlign w:val="superscript"/>
        </w:rPr>
        <w:footnoteRef/>
      </w:r>
      <w:r w:rsidRPr="008D6DF1">
        <w:t xml:space="preserve">1953 Ill. Laws 455, §1 (codified at 140 </w:t>
      </w:r>
      <w:r w:rsidRPr="008D6DF1">
        <w:rPr>
          <w:smallCaps/>
        </w:rPr>
        <w:t xml:space="preserve">Ill. Comp. Stat. Ann. </w:t>
      </w:r>
      <w:r w:rsidRPr="008D6DF1">
        <w:t xml:space="preserve">¶22 (Smith-Hurd 1986)). The Illinois statute has since been replaced with a newer version. 765 </w:t>
      </w:r>
      <w:r w:rsidRPr="008D6DF1">
        <w:rPr>
          <w:smallCaps/>
        </w:rPr>
        <w:t xml:space="preserve">Ill. Comp. Stat. Ann. </w:t>
      </w:r>
      <w:r w:rsidRPr="008D6DF1">
        <w:t>§§1036/5, 1036/65 (West 2009). See §II.C.2, above.</w:t>
      </w:r>
    </w:p>
  </w:footnote>
  <w:footnote w:id="129">
    <w:p w14:paraId="0175575F" w14:textId="38690189" w:rsidR="008D6DF1" w:rsidRPr="00146534" w:rsidRDefault="008D6DF1" w:rsidP="008D6DF1">
      <w:pPr>
        <w:pStyle w:val="FootnoteText"/>
      </w:pPr>
      <w:r w:rsidRPr="008D6DF1">
        <w:rPr>
          <w:vertAlign w:val="superscript"/>
        </w:rPr>
        <w:footnoteRef/>
      </w:r>
      <w:r w:rsidRPr="008D6DF1">
        <w:t xml:space="preserve">Act of April 18, 1955, </w:t>
      </w:r>
      <w:proofErr w:type="spellStart"/>
      <w:r w:rsidRPr="008D6DF1">
        <w:t>ch.</w:t>
      </w:r>
      <w:proofErr w:type="spellEnd"/>
      <w:r w:rsidRPr="008D6DF1">
        <w:t xml:space="preserve"> 453, §1 (codified at </w:t>
      </w:r>
      <w:r w:rsidRPr="008D6DF1">
        <w:rPr>
          <w:smallCaps/>
        </w:rPr>
        <w:t>N.Y. Gen. Bus. Law</w:t>
      </w:r>
      <w:r w:rsidRPr="008D6DF1">
        <w:t xml:space="preserve"> §368-d (McKinney 1996)). The statute was later repealed and then recodified at </w:t>
      </w:r>
      <w:r w:rsidRPr="008D6DF1">
        <w:rPr>
          <w:smallCaps/>
        </w:rPr>
        <w:t>N.Y. Gen. Bus. Law</w:t>
      </w:r>
      <w:r w:rsidRPr="008D6DF1">
        <w:t xml:space="preserve"> §360-</w:t>
      </w:r>
      <w:r w:rsidRPr="008D6DF1">
        <w:rPr>
          <w:i/>
        </w:rPr>
        <w:t>l</w:t>
      </w:r>
      <w:r w:rsidRPr="008D6DF1">
        <w:t xml:space="preserve"> (McKinney Supp. 2012), though its substance was not changed. See §II.C.2, above. In 1963, Connecticut enacted a dilution statute. 1963 P.A. 51 §9 (codified at </w:t>
      </w:r>
      <w:r w:rsidRPr="008D6DF1">
        <w:rPr>
          <w:smallCaps/>
        </w:rPr>
        <w:t xml:space="preserve">Conn. Gen. Stat. Ann. </w:t>
      </w:r>
      <w:r w:rsidRPr="008D6DF1">
        <w:t>§35-11i(c) (West 2005)).</w:t>
      </w:r>
    </w:p>
  </w:footnote>
  <w:footnote w:id="130">
    <w:p w14:paraId="29A0A111" w14:textId="77B1512C" w:rsidR="008D6DF1" w:rsidRPr="00506877" w:rsidRDefault="008D6DF1" w:rsidP="008D6DF1">
      <w:pPr>
        <w:pStyle w:val="FootnoteText"/>
      </w:pPr>
      <w:r w:rsidRPr="008D6DF1">
        <w:rPr>
          <w:vertAlign w:val="superscript"/>
        </w:rPr>
        <w:footnoteRef/>
      </w:r>
      <w:r w:rsidRPr="008D6DF1">
        <w:rPr>
          <w:smallCaps/>
        </w:rPr>
        <w:t>Model State Trademark Bill §12 (1964),</w:t>
      </w:r>
      <w:r w:rsidRPr="008D6DF1">
        <w:t xml:space="preserve"> </w:t>
      </w:r>
      <w:r w:rsidRPr="008D6DF1">
        <w:rPr>
          <w:i/>
        </w:rPr>
        <w:t>reprinted in</w:t>
      </w:r>
      <w:r w:rsidRPr="008D6DF1">
        <w:t xml:space="preserve"> 3 J</w:t>
      </w:r>
      <w:r w:rsidRPr="008D6DF1">
        <w:rPr>
          <w:smallCaps/>
        </w:rPr>
        <w:t>. Thomas McCarthy, McCarthy on Trademarks and Unfair Competition</w:t>
      </w:r>
      <w:r w:rsidRPr="008D6DF1">
        <w:t xml:space="preserve"> §22:8 (4th ed. 1998 &amp; Supp.).</w:t>
      </w:r>
    </w:p>
  </w:footnote>
  <w:footnote w:id="131">
    <w:p w14:paraId="79F1757D" w14:textId="4FFC39A2" w:rsidR="008D6DF1" w:rsidRPr="00146534" w:rsidRDefault="008D6DF1" w:rsidP="008D6DF1">
      <w:pPr>
        <w:pStyle w:val="FootnoteText"/>
      </w:pPr>
      <w:r w:rsidRPr="008D6DF1">
        <w:rPr>
          <w:vertAlign w:val="superscript"/>
        </w:rPr>
        <w:footnoteRef/>
      </w:r>
      <w:r w:rsidRPr="008D6DF1">
        <w:t xml:space="preserve">These statutes included: </w:t>
      </w:r>
      <w:r w:rsidRPr="008D6DF1">
        <w:rPr>
          <w:smallCaps/>
        </w:rPr>
        <w:t>Ala. Code</w:t>
      </w:r>
      <w:r w:rsidRPr="008D6DF1">
        <w:t xml:space="preserve"> §8-12-17 (Michie 1993); </w:t>
      </w:r>
      <w:r w:rsidRPr="008D6DF1">
        <w:rPr>
          <w:smallCaps/>
        </w:rPr>
        <w:t xml:space="preserve">Ark. Stat. Ann. </w:t>
      </w:r>
      <w:r w:rsidRPr="008D6DF1">
        <w:t xml:space="preserve">§4-71-113 (Michie 1996); </w:t>
      </w:r>
      <w:r w:rsidRPr="008D6DF1">
        <w:rPr>
          <w:smallCaps/>
        </w:rPr>
        <w:t>Cal. Bus. &amp; Prof. Code</w:t>
      </w:r>
      <w:r w:rsidRPr="008D6DF1">
        <w:t xml:space="preserve"> §14330 (West 1987); </w:t>
      </w:r>
      <w:r w:rsidRPr="008D6DF1">
        <w:rPr>
          <w:smallCaps/>
        </w:rPr>
        <w:t xml:space="preserve">Conn. Gen. Stat. Ann. </w:t>
      </w:r>
      <w:r w:rsidRPr="008D6DF1">
        <w:t xml:space="preserve">§35-11i(c) (West 1987); </w:t>
      </w:r>
      <w:r w:rsidRPr="008D6DF1">
        <w:rPr>
          <w:smallCaps/>
        </w:rPr>
        <w:t>Del. Code. Ann.,</w:t>
      </w:r>
      <w:r w:rsidRPr="008D6DF1">
        <w:t xml:space="preserve"> §3313 (Michie 1999); </w:t>
      </w:r>
      <w:r w:rsidRPr="008D6DF1">
        <w:rPr>
          <w:smallCaps/>
        </w:rPr>
        <w:t xml:space="preserve">Fla. Stat. Ann. </w:t>
      </w:r>
      <w:r w:rsidRPr="008D6DF1">
        <w:t xml:space="preserve">§495.151 (West 1997 &amp; Supp. 2002); </w:t>
      </w:r>
      <w:r w:rsidRPr="008D6DF1">
        <w:rPr>
          <w:smallCaps/>
        </w:rPr>
        <w:t xml:space="preserve">Ga. Code. Ann. </w:t>
      </w:r>
      <w:r w:rsidRPr="008D6DF1">
        <w:t xml:space="preserve">§10-1-451(b) (Harrison 1998); </w:t>
      </w:r>
      <w:r w:rsidRPr="008D6DF1">
        <w:rPr>
          <w:smallCaps/>
        </w:rPr>
        <w:t>Idaho Code</w:t>
      </w:r>
      <w:r w:rsidRPr="008D6DF1">
        <w:t xml:space="preserve"> §48-512 (West 1997); 140 </w:t>
      </w:r>
      <w:r w:rsidRPr="008D6DF1">
        <w:rPr>
          <w:smallCaps/>
        </w:rPr>
        <w:t xml:space="preserve">Ill. Comp. Stat. Ann. </w:t>
      </w:r>
      <w:r w:rsidRPr="008D6DF1">
        <w:t xml:space="preserve">¶22 (Smith-Hurd 1986); </w:t>
      </w:r>
      <w:r w:rsidRPr="008D6DF1">
        <w:rPr>
          <w:smallCaps/>
        </w:rPr>
        <w:t xml:space="preserve">Iowa Code Ann. </w:t>
      </w:r>
      <w:r w:rsidRPr="008D6DF1">
        <w:t xml:space="preserve">§548.11(2) (West 1987); </w:t>
      </w:r>
      <w:r w:rsidRPr="008D6DF1">
        <w:rPr>
          <w:smallCaps/>
        </w:rPr>
        <w:t xml:space="preserve">La. Rev. Stat. Ann. </w:t>
      </w:r>
      <w:r w:rsidRPr="008D6DF1">
        <w:t xml:space="preserve">§51:223.1 (West 1987); </w:t>
      </w:r>
      <w:r w:rsidRPr="008D6DF1">
        <w:rPr>
          <w:smallCaps/>
        </w:rPr>
        <w:t xml:space="preserve">Me. Rev. Stat. Ann. </w:t>
      </w:r>
      <w:r w:rsidRPr="008D6DF1">
        <w:t xml:space="preserve">tit. 10, §1530 (West 1997); </w:t>
      </w:r>
      <w:r w:rsidRPr="008D6DF1">
        <w:rPr>
          <w:smallCaps/>
        </w:rPr>
        <w:t xml:space="preserve">Mass. Gen. Laws Ann. </w:t>
      </w:r>
      <w:proofErr w:type="spellStart"/>
      <w:r w:rsidRPr="008D6DF1">
        <w:t>ch.</w:t>
      </w:r>
      <w:proofErr w:type="spellEnd"/>
      <w:r w:rsidRPr="008D6DF1">
        <w:t xml:space="preserve"> 110B, §12 (West 1999); </w:t>
      </w:r>
      <w:r w:rsidRPr="008D6DF1">
        <w:rPr>
          <w:smallCaps/>
        </w:rPr>
        <w:t xml:space="preserve">Mo. Ann. Stat. </w:t>
      </w:r>
      <w:r w:rsidRPr="008D6DF1">
        <w:t xml:space="preserve">§417.061 (West 2001); </w:t>
      </w:r>
      <w:r w:rsidRPr="008D6DF1">
        <w:rPr>
          <w:smallCaps/>
        </w:rPr>
        <w:t xml:space="preserve">Mont. Code Ann. </w:t>
      </w:r>
      <w:r w:rsidRPr="008D6DF1">
        <w:t xml:space="preserve">§30-13-334 (2001); </w:t>
      </w:r>
      <w:r w:rsidRPr="008D6DF1">
        <w:rPr>
          <w:smallCaps/>
        </w:rPr>
        <w:t xml:space="preserve">Neb. Rev. Stat. </w:t>
      </w:r>
      <w:r w:rsidRPr="008D6DF1">
        <w:t xml:space="preserve">§87-122 (Lexis 2000); </w:t>
      </w:r>
      <w:r w:rsidRPr="008D6DF1">
        <w:rPr>
          <w:smallCaps/>
        </w:rPr>
        <w:t xml:space="preserve">N.H. Rev. Stat. Ann. </w:t>
      </w:r>
      <w:r w:rsidRPr="008D6DF1">
        <w:t xml:space="preserve">§350-A:12 (Equity 1984); </w:t>
      </w:r>
      <w:r w:rsidRPr="008D6DF1">
        <w:rPr>
          <w:smallCaps/>
        </w:rPr>
        <w:t xml:space="preserve">N.M. Stat. Ann. </w:t>
      </w:r>
      <w:r w:rsidRPr="008D6DF1">
        <w:t xml:space="preserve">§57-3-10 (Michie 1995); </w:t>
      </w:r>
      <w:r w:rsidRPr="008D6DF1">
        <w:rPr>
          <w:smallCaps/>
        </w:rPr>
        <w:t>N.Y. Gen. Bus. Law</w:t>
      </w:r>
      <w:r w:rsidRPr="008D6DF1">
        <w:t xml:space="preserve"> §368-d (McKinney 1996); </w:t>
      </w:r>
      <w:r w:rsidRPr="008D6DF1">
        <w:rPr>
          <w:smallCaps/>
        </w:rPr>
        <w:t xml:space="preserve">Or. Rev. Stat. Ann. </w:t>
      </w:r>
      <w:r w:rsidRPr="008D6DF1">
        <w:t xml:space="preserve">§647.101 (Butterworth 1987); 54 </w:t>
      </w:r>
      <w:r w:rsidRPr="008D6DF1">
        <w:rPr>
          <w:smallCaps/>
        </w:rPr>
        <w:t xml:space="preserve">Pa. Cons. Stat. Ann. </w:t>
      </w:r>
      <w:r w:rsidRPr="008D6DF1">
        <w:t xml:space="preserve">§1124 (West 1996); </w:t>
      </w:r>
      <w:r w:rsidRPr="008D6DF1">
        <w:rPr>
          <w:smallCaps/>
        </w:rPr>
        <w:t>R.I. Gen. Laws</w:t>
      </w:r>
      <w:r w:rsidRPr="008D6DF1">
        <w:t xml:space="preserve"> §6-2-12 (Michie 1992); </w:t>
      </w:r>
      <w:r w:rsidRPr="008D6DF1">
        <w:rPr>
          <w:smallCaps/>
        </w:rPr>
        <w:t xml:space="preserve">Tenn. Code Ann. </w:t>
      </w:r>
      <w:r w:rsidRPr="008D6DF1">
        <w:t xml:space="preserve">§47-25-512 (Lexis/Nexis); </w:t>
      </w:r>
      <w:r w:rsidRPr="008D6DF1">
        <w:rPr>
          <w:smallCaps/>
        </w:rPr>
        <w:t xml:space="preserve">Wash. Rev. Code Ann. </w:t>
      </w:r>
      <w:r w:rsidRPr="008D6DF1">
        <w:t xml:space="preserve">§19.77.160 (West 1999). (The New York and Massachusetts statutes have since been recodified, but without any substantive change. N.Y. </w:t>
      </w:r>
      <w:r w:rsidRPr="008D6DF1">
        <w:rPr>
          <w:smallCaps/>
        </w:rPr>
        <w:t>Gen. Bus. Law</w:t>
      </w:r>
      <w:r w:rsidRPr="008D6DF1">
        <w:t xml:space="preserve"> §360-</w:t>
      </w:r>
      <w:r w:rsidRPr="008D6DF1">
        <w:rPr>
          <w:i/>
        </w:rPr>
        <w:t>l</w:t>
      </w:r>
      <w:r w:rsidRPr="008D6DF1">
        <w:t xml:space="preserve"> (McKinney Supp. 2012); </w:t>
      </w:r>
      <w:r w:rsidRPr="008D6DF1">
        <w:rPr>
          <w:smallCaps/>
        </w:rPr>
        <w:t>Mass. Gen. Laws Ann</w:t>
      </w:r>
      <w:r w:rsidRPr="008D6DF1">
        <w:t xml:space="preserve">. </w:t>
      </w:r>
      <w:proofErr w:type="spellStart"/>
      <w:r w:rsidRPr="008D6DF1">
        <w:t>ch.</w:t>
      </w:r>
      <w:proofErr w:type="spellEnd"/>
      <w:r w:rsidRPr="008D6DF1">
        <w:t xml:space="preserve"> 110H, §13 (West 2011).) The lone different statute was that of Washington, which was patterned after the USTA’s proposed federal dilution statute.</w:t>
      </w:r>
    </w:p>
  </w:footnote>
  <w:footnote w:id="132">
    <w:p w14:paraId="26897272" w14:textId="0719BB1A" w:rsidR="008D6DF1" w:rsidRPr="00146534" w:rsidRDefault="008D6DF1" w:rsidP="008D6DF1">
      <w:pPr>
        <w:pStyle w:val="FootnoteText"/>
      </w:pPr>
      <w:r w:rsidRPr="008D6DF1">
        <w:rPr>
          <w:vertAlign w:val="superscript"/>
        </w:rPr>
        <w:footnoteRef/>
      </w:r>
      <w:r w:rsidRPr="008D6DF1">
        <w:t xml:space="preserve">133 </w:t>
      </w:r>
      <w:r w:rsidRPr="008D6DF1">
        <w:rPr>
          <w:smallCaps/>
        </w:rPr>
        <w:t xml:space="preserve">Cong. Rec. </w:t>
      </w:r>
      <w:r w:rsidRPr="008D6DF1">
        <w:t xml:space="preserve">S16546 (Nov. 19, 1987) (introduction of S. 1883); 134 </w:t>
      </w:r>
      <w:r w:rsidRPr="008D6DF1">
        <w:rPr>
          <w:smallCaps/>
        </w:rPr>
        <w:t xml:space="preserve">Cong. Rec. </w:t>
      </w:r>
      <w:r w:rsidRPr="008D6DF1">
        <w:t>E665 (Mar. 15, 1988) (introduction of H.R. 4156).</w:t>
      </w:r>
    </w:p>
  </w:footnote>
  <w:footnote w:id="133">
    <w:p w14:paraId="412FE081" w14:textId="012B8E98" w:rsidR="008D6DF1" w:rsidRPr="00146534" w:rsidRDefault="008D6DF1" w:rsidP="008D6DF1">
      <w:pPr>
        <w:pStyle w:val="FootnoteText"/>
      </w:pPr>
      <w:r w:rsidRPr="008D6DF1">
        <w:rPr>
          <w:vertAlign w:val="superscript"/>
        </w:rPr>
        <w:footnoteRef/>
      </w:r>
      <w:r w:rsidRPr="008D6DF1">
        <w:rPr>
          <w:i/>
        </w:rPr>
        <w:t>See</w:t>
      </w:r>
      <w:r w:rsidRPr="008D6DF1">
        <w:t xml:space="preserve"> </w:t>
      </w:r>
      <w:r w:rsidRPr="008D6DF1">
        <w:rPr>
          <w:smallCaps/>
        </w:rPr>
        <w:t xml:space="preserve">S. Rep. No. </w:t>
      </w:r>
      <w:r w:rsidRPr="008D6DF1">
        <w:t>100-515 at 8, 100th Cong., 2d Sess., 1988 U.S.C.C.A.N. 5577, 5584 (Sept. 15, 1988) (noting Senate passage of S. 1883).</w:t>
      </w:r>
    </w:p>
  </w:footnote>
  <w:footnote w:id="134">
    <w:p w14:paraId="79AE81B3" w14:textId="7F0A0EE5" w:rsidR="008D6DF1" w:rsidRPr="00146534" w:rsidRDefault="008D6DF1" w:rsidP="008D6DF1">
      <w:pPr>
        <w:pStyle w:val="FootnoteText"/>
      </w:pPr>
      <w:r w:rsidRPr="008D6DF1">
        <w:rPr>
          <w:vertAlign w:val="superscript"/>
        </w:rPr>
        <w:footnoteRef/>
      </w:r>
      <w:r w:rsidRPr="008D6DF1">
        <w:t xml:space="preserve">Andrew L. Goldstein, </w:t>
      </w:r>
      <w:r w:rsidRPr="008D6DF1">
        <w:rPr>
          <w:i/>
        </w:rPr>
        <w:t xml:space="preserve">Bringing the Model State Trademark Bill into the ’90s and </w:t>
      </w:r>
      <w:proofErr w:type="gramStart"/>
      <w:r w:rsidRPr="008D6DF1">
        <w:rPr>
          <w:i/>
        </w:rPr>
        <w:t>Beyond</w:t>
      </w:r>
      <w:proofErr w:type="gramEnd"/>
      <w:r w:rsidRPr="008D6DF1">
        <w:t xml:space="preserve">, 83 </w:t>
      </w:r>
      <w:r w:rsidRPr="008D6DF1">
        <w:rPr>
          <w:smallCaps/>
        </w:rPr>
        <w:t xml:space="preserve">Trademark Rep. </w:t>
      </w:r>
      <w:r w:rsidRPr="008D6DF1">
        <w:t>226, 236 (1993). The Model Bill was revised again in 1996, and another time in 2007. See §§II.D.3, 4, above.</w:t>
      </w:r>
    </w:p>
  </w:footnote>
  <w:footnote w:id="135">
    <w:p w14:paraId="5C0B75B5" w14:textId="3ACB1053" w:rsidR="008D6DF1" w:rsidRPr="00146534" w:rsidRDefault="008D6DF1" w:rsidP="008D6DF1">
      <w:pPr>
        <w:pStyle w:val="FootnoteText"/>
      </w:pPr>
      <w:r w:rsidRPr="008D6DF1">
        <w:rPr>
          <w:vertAlign w:val="superscript"/>
        </w:rPr>
        <w:footnoteRef/>
      </w:r>
      <w:r w:rsidRPr="008D6DF1">
        <w:rPr>
          <w:i/>
        </w:rPr>
        <w:t>E</w:t>
      </w:r>
      <w:r w:rsidRPr="008D6DF1">
        <w:t>.</w:t>
      </w:r>
      <w:r w:rsidRPr="008D6DF1">
        <w:rPr>
          <w:i/>
        </w:rPr>
        <w:t>g</w:t>
      </w:r>
      <w:r w:rsidRPr="008D6DF1">
        <w:t xml:space="preserve">., </w:t>
      </w:r>
      <w:r w:rsidRPr="008D6DF1">
        <w:rPr>
          <w:smallCaps/>
        </w:rPr>
        <w:t xml:space="preserve">Conn. Gen. Stat. Ann. </w:t>
      </w:r>
      <w:r w:rsidRPr="008D6DF1">
        <w:t xml:space="preserve">§§35-11a(11), 35-11i(c) (West 2005) (effective 1993); </w:t>
      </w:r>
      <w:r w:rsidRPr="008D6DF1">
        <w:rPr>
          <w:smallCaps/>
        </w:rPr>
        <w:t xml:space="preserve">Iowa Code Ann. </w:t>
      </w:r>
      <w:r w:rsidRPr="008D6DF1">
        <w:t xml:space="preserve">§§548.101, 548.113 (West 1997) (effective 1994); </w:t>
      </w:r>
      <w:r w:rsidRPr="008D6DF1">
        <w:rPr>
          <w:smallCaps/>
        </w:rPr>
        <w:t xml:space="preserve">S.C. Code Ann. </w:t>
      </w:r>
      <w:r w:rsidRPr="008D6DF1">
        <w:t xml:space="preserve">§§39-15-1105(2), 39-15-1165 (West Supp. 2009) (effective Oct. 13, 1994); </w:t>
      </w:r>
      <w:r w:rsidRPr="008D6DF1">
        <w:rPr>
          <w:smallCaps/>
        </w:rPr>
        <w:t xml:space="preserve">N.J. Stat. Ann. </w:t>
      </w:r>
      <w:r w:rsidRPr="008D6DF1">
        <w:t>§§56:3-13.1a, 56:3-13.20 (West 2001) (effective 1996).</w:t>
      </w:r>
    </w:p>
  </w:footnote>
  <w:footnote w:id="136">
    <w:p w14:paraId="62D43C9F" w14:textId="55075D60" w:rsidR="008D6DF1" w:rsidRPr="00146534" w:rsidRDefault="008D6DF1" w:rsidP="008D6DF1">
      <w:pPr>
        <w:pStyle w:val="FootnoteText"/>
      </w:pPr>
      <w:r w:rsidRPr="008D6DF1">
        <w:rPr>
          <w:vertAlign w:val="superscript"/>
        </w:rPr>
        <w:footnoteRef/>
      </w:r>
      <w:r w:rsidRPr="008D6DF1">
        <w:t>See §III.A.3, below, for a complete list of the state dilution statutes.</w:t>
      </w:r>
    </w:p>
  </w:footnote>
  <w:footnote w:id="137">
    <w:p w14:paraId="35DDC51E" w14:textId="4B5FB8AC" w:rsidR="008D6DF1" w:rsidRPr="00146534" w:rsidRDefault="008D6DF1" w:rsidP="008D6DF1">
      <w:pPr>
        <w:pStyle w:val="FootnoteText"/>
      </w:pPr>
      <w:r w:rsidRPr="008D6DF1">
        <w:rPr>
          <w:vertAlign w:val="superscript"/>
        </w:rPr>
        <w:footnoteRef/>
      </w:r>
      <w:r w:rsidRPr="008D6DF1">
        <w:t>Alaska, Arizona, Arkansas, Connecticut, Florida, Hawaii, Idaho, Illinois, Indiana, Iowa, Kansas, Minnesota, Montana, Nebraska, Nevada, New Jersey, New Mexico, Pennsylvania, South Carolina, Tennessee, Utah, Washington, West Virginia, and Wyoming all have statutes patterned after either the 1992 or 1996 Model Bill. In 2007, California became the first state to conform to the 2007 Model Bill. Mississippi, which had a statute patterned after the 1992 Model Bill, conformed to the 2007 Model Bill in 2009. This was followed by Oregon, Alabama, and Texas, all following the basic pattern of the 2007 Model Bill. The Puerto Rico statute also follows the basic pattern of the 2007 Model Bill, but with some differences as well.</w:t>
      </w:r>
    </w:p>
  </w:footnote>
  <w:footnote w:id="138">
    <w:p w14:paraId="6DEC1514" w14:textId="513E2043" w:rsidR="008D6DF1" w:rsidRPr="00146534" w:rsidRDefault="008D6DF1" w:rsidP="008D6DF1">
      <w:pPr>
        <w:pStyle w:val="FootnoteText"/>
      </w:pPr>
      <w:r w:rsidRPr="008D6DF1">
        <w:rPr>
          <w:vertAlign w:val="superscript"/>
        </w:rPr>
        <w:footnoteRef/>
      </w:r>
      <w:r w:rsidRPr="008D6DF1">
        <w:t>Alabama, Arkansas, California, Connecticut, Florida, Idaho, Illinois, Iowa, Montana, Nebraska, New Mexico, Oregon, Pennsylvania, Tennessee, and Texas.</w:t>
      </w:r>
    </w:p>
  </w:footnote>
  <w:footnote w:id="139">
    <w:p w14:paraId="0674F0A9" w14:textId="1B3E1B58" w:rsidR="008D6DF1" w:rsidRPr="00146534" w:rsidRDefault="008D6DF1" w:rsidP="008D6DF1">
      <w:pPr>
        <w:pStyle w:val="FootnoteText"/>
      </w:pPr>
      <w:r w:rsidRPr="008D6DF1">
        <w:rPr>
          <w:vertAlign w:val="superscript"/>
        </w:rPr>
        <w:footnoteRef/>
      </w:r>
      <w:r w:rsidRPr="008D6DF1">
        <w:t xml:space="preserve">Those states whose statutes do not incorporate the three exclusions include Connecticut, Idaho, Iowa, New Jersey, New Mexico, South Carolina, West Virginia, and Wyoming. The original Washington statute did not include the exemptions, but effective July 27, 2003, Washington’s statute was amended to incorporate the three exemptions. Mississippi’s former statute, patterned after the 1992 Model Bill, was amended to conform to the 2007 Model Bill, which includes the three exemptions contained in the TDRA, two of which are the same as the FTDA. (Oregon, Alabama, and Texas also have adopted the 2007 Model Bill, as has Puerto Rico.) Nevada’s statute clearly incorporates the “fair use in comparative advertising” exemption. </w:t>
      </w:r>
      <w:r w:rsidRPr="008D6DF1">
        <w:rPr>
          <w:smallCaps/>
        </w:rPr>
        <w:t xml:space="preserve">Nev. Rev. Stat. Ann. </w:t>
      </w:r>
      <w:r w:rsidRPr="008D6DF1">
        <w:t xml:space="preserve">§600.43(4) (LexisNexis 2004). Its implementation of the other two exemptions is rather unusual. The statute requires a “commercial use” as an element of the claim. </w:t>
      </w:r>
      <w:r w:rsidRPr="008D6DF1">
        <w:rPr>
          <w:i/>
        </w:rPr>
        <w:t>Id</w:t>
      </w:r>
      <w:r w:rsidRPr="008D6DF1">
        <w:t xml:space="preserve">. §600.43(1). Another part of the statute provides that the phrase “commercial use … does not include use of a mark for research, criticism, news commentary, news reporting, teaching or any similar use that is not primarily for profit.” This may not entirely encompass the FTDA’s exemption, as interpreted by some courts. </w:t>
      </w:r>
      <w:r w:rsidRPr="008D6DF1">
        <w:rPr>
          <w:i/>
        </w:rPr>
        <w:t>See</w:t>
      </w:r>
      <w:r w:rsidRPr="008D6DF1">
        <w:t xml:space="preserve"> Mattel, Inc. v. MCA Records, Inc., 296 F.3d 894, 63 USPQ2d 1715 (9th Cir. 2002), </w:t>
      </w:r>
      <w:r w:rsidRPr="008D6DF1">
        <w:rPr>
          <w:i/>
        </w:rPr>
        <w:t>cert</w:t>
      </w:r>
      <w:r w:rsidRPr="008D6DF1">
        <w:t xml:space="preserve">. </w:t>
      </w:r>
      <w:r w:rsidRPr="008D6DF1">
        <w:rPr>
          <w:i/>
        </w:rPr>
        <w:t>denied</w:t>
      </w:r>
      <w:r w:rsidRPr="008D6DF1">
        <w:t>, 537 U.S. 1171 (2003) (a use may be “commercial” within the meaning of §43(c)(1) and still be exempted as a “noncommercial use” under [former] §43(c)(4)(B) [now §43(c)(3)(C)] of the Lanham Act).</w:t>
      </w:r>
    </w:p>
  </w:footnote>
  <w:footnote w:id="140">
    <w:p w14:paraId="0048EDA0" w14:textId="00DF87E4" w:rsidR="008D6DF1" w:rsidRPr="00146534" w:rsidRDefault="008D6DF1" w:rsidP="008D6DF1">
      <w:pPr>
        <w:pStyle w:val="FootnoteText"/>
      </w:pPr>
      <w:r w:rsidRPr="008D6DF1">
        <w:rPr>
          <w:vertAlign w:val="superscript"/>
        </w:rPr>
        <w:footnoteRef/>
      </w:r>
      <w:r w:rsidRPr="008D6DF1">
        <w:t>The exclusions are discussed in Chapter 4, §II.</w:t>
      </w:r>
    </w:p>
  </w:footnote>
  <w:footnote w:id="141">
    <w:p w14:paraId="1F8EEB1E" w14:textId="38ABB49E" w:rsidR="008D6DF1" w:rsidRPr="00D351C9" w:rsidRDefault="008D6DF1" w:rsidP="008D6DF1">
      <w:pPr>
        <w:pStyle w:val="FootnoteText"/>
        <w:rPr>
          <w:lang w:val="sv-SE"/>
        </w:rPr>
      </w:pPr>
      <w:r w:rsidRPr="008D6DF1">
        <w:rPr>
          <w:vertAlign w:val="superscript"/>
        </w:rPr>
        <w:footnoteRef/>
      </w:r>
      <w:r w:rsidRPr="008D6DF1">
        <w:rPr>
          <w:smallCaps/>
        </w:rPr>
        <w:t xml:space="preserve">Alaska Stat. </w:t>
      </w:r>
      <w:r w:rsidRPr="008D6DF1">
        <w:t>§45.50.180(b) (Lexis 2000).</w:t>
      </w:r>
    </w:p>
  </w:footnote>
  <w:footnote w:id="142">
    <w:p w14:paraId="576207CC" w14:textId="5A7054B3" w:rsidR="008D6DF1" w:rsidRPr="00146534" w:rsidRDefault="008D6DF1" w:rsidP="008D6DF1">
      <w:pPr>
        <w:pStyle w:val="FootnoteText"/>
      </w:pPr>
      <w:r w:rsidRPr="008D6DF1">
        <w:rPr>
          <w:vertAlign w:val="superscript"/>
        </w:rPr>
        <w:footnoteRef/>
      </w:r>
      <w:r w:rsidRPr="008D6DF1">
        <w:rPr>
          <w:smallCaps/>
        </w:rPr>
        <w:t xml:space="preserve">Mass. Gen. Laws Ann. </w:t>
      </w:r>
      <w:proofErr w:type="spellStart"/>
      <w:r w:rsidRPr="008D6DF1">
        <w:t>ch.</w:t>
      </w:r>
      <w:proofErr w:type="spellEnd"/>
      <w:r w:rsidRPr="008D6DF1">
        <w:t xml:space="preserve"> 110B, §12 (enacted 1947) (now codified at </w:t>
      </w:r>
      <w:proofErr w:type="spellStart"/>
      <w:r w:rsidRPr="008D6DF1">
        <w:t>ch.</w:t>
      </w:r>
      <w:proofErr w:type="spellEnd"/>
      <w:r w:rsidRPr="008D6DF1">
        <w:t xml:space="preserve"> 110H §13); 140 </w:t>
      </w:r>
      <w:r w:rsidRPr="008D6DF1">
        <w:rPr>
          <w:smallCaps/>
        </w:rPr>
        <w:t xml:space="preserve">Ill. Comp. Stat. Ann. </w:t>
      </w:r>
      <w:r w:rsidRPr="008D6DF1">
        <w:t xml:space="preserve">¶22 (effective 1953); </w:t>
      </w:r>
      <w:r w:rsidRPr="008D6DF1">
        <w:rPr>
          <w:smallCaps/>
        </w:rPr>
        <w:t>N.Y. Gen. Bus. Law</w:t>
      </w:r>
      <w:r w:rsidRPr="008D6DF1">
        <w:t xml:space="preserve"> §368-d (enacted 1955) (now codified at §360-</w:t>
      </w:r>
      <w:r w:rsidRPr="008D6DF1">
        <w:rPr>
          <w:i/>
        </w:rPr>
        <w:t>l</w:t>
      </w:r>
      <w:r w:rsidRPr="008D6DF1">
        <w:t xml:space="preserve">); </w:t>
      </w:r>
      <w:r w:rsidRPr="008D6DF1">
        <w:rPr>
          <w:smallCaps/>
        </w:rPr>
        <w:t xml:space="preserve">Ga. Code Ann. </w:t>
      </w:r>
      <w:r w:rsidRPr="008D6DF1">
        <w:t xml:space="preserve">§10-1-451(b) (enacted 1955); </w:t>
      </w:r>
      <w:r w:rsidRPr="008D6DF1">
        <w:rPr>
          <w:smallCaps/>
        </w:rPr>
        <w:t xml:space="preserve">Conn. Gen. Stat. Ann. </w:t>
      </w:r>
      <w:r w:rsidRPr="008D6DF1">
        <w:t>§35-11i(c) (enacted 1963).</w:t>
      </w:r>
    </w:p>
  </w:footnote>
  <w:footnote w:id="143">
    <w:p w14:paraId="3B0DF23E" w14:textId="7B29E5BA" w:rsidR="008D6DF1" w:rsidRPr="008D6DF1" w:rsidRDefault="008D6DF1" w:rsidP="008D6DF1">
      <w:pPr>
        <w:pStyle w:val="FootnoteText"/>
      </w:pPr>
      <w:r w:rsidRPr="008D6DF1">
        <w:rPr>
          <w:vertAlign w:val="superscript"/>
        </w:rPr>
        <w:footnoteRef/>
      </w:r>
      <w:r w:rsidRPr="008D6DF1">
        <w:rPr>
          <w:i/>
        </w:rPr>
        <w:t>E.g.</w:t>
      </w:r>
      <w:r w:rsidRPr="008D6DF1">
        <w:t xml:space="preserve">, </w:t>
      </w:r>
      <w:r w:rsidRPr="008D6DF1">
        <w:rPr>
          <w:smallCaps/>
        </w:rPr>
        <w:t>Idaho Code Ann</w:t>
      </w:r>
      <w:r w:rsidRPr="008D6DF1">
        <w:t xml:space="preserve">. §49-402C(2)(d) (prohibiting any slogan on license plates “that infringes upon, dilutes or compromises, or could be perceived to infringe upon, dilute or compromise, the trademarks of the state of Idaho, including, but not limited to, ‘Idaho Potatoes,’ ‘Grown in Idaho,’ ‘Famous Idaho Potatoes,’ or ‘Famous Potatoes’”); N.Y. </w:t>
      </w:r>
      <w:r w:rsidRPr="008D6DF1">
        <w:rPr>
          <w:smallCaps/>
        </w:rPr>
        <w:t>Alco. Bev. Cont. Law</w:t>
      </w:r>
      <w:r w:rsidRPr="008D6DF1">
        <w:t xml:space="preserve"> §55-c(2)(e)(ii) (McKinney 2013) (in a regulation of beer distributors and wholesalers, defining “good cause” to reach situations “in which the wholesaler acts or threatens to act to significantly impair, harm or dilute the reputation or competitive position of the brewer or otherwise irreparably injure the brewer, its brands or trademarks.”).</w:t>
      </w:r>
    </w:p>
    <w:p w14:paraId="21130945" w14:textId="77777777" w:rsidR="008D6DF1" w:rsidRPr="00E01C54" w:rsidRDefault="008D6DF1" w:rsidP="00E01C54">
      <w:pPr>
        <w:pStyle w:val="footnote"/>
        <w:ind w:firstLine="720"/>
        <w:rPr>
          <w:sz w:val="20"/>
        </w:rPr>
      </w:pPr>
    </w:p>
  </w:footnote>
  <w:footnote w:id="144">
    <w:p w14:paraId="46754507" w14:textId="72C9A19B" w:rsidR="008D6DF1" w:rsidRPr="00146534" w:rsidRDefault="008D6DF1" w:rsidP="008D6DF1">
      <w:pPr>
        <w:pStyle w:val="FootnoteText"/>
      </w:pPr>
      <w:r w:rsidRPr="008D6DF1">
        <w:rPr>
          <w:vertAlign w:val="superscript"/>
        </w:rPr>
        <w:footnoteRef/>
      </w:r>
      <w:r w:rsidRPr="008D6DF1">
        <w:t>Alabama, Arkansas, California, Connecticut, Delaware, Florida, Idaho, Iowa, Louisiana, Maine, Missouri, Montana, New Hampshire, New Mexico, Oregon, Pennsylvania, Rhode Island, Tennessee, Texas, and Washington.</w:t>
      </w:r>
    </w:p>
  </w:footnote>
  <w:footnote w:id="145">
    <w:p w14:paraId="458B55AB" w14:textId="2D85BED0" w:rsidR="008D6DF1" w:rsidRPr="00146534" w:rsidRDefault="008D6DF1" w:rsidP="008D6DF1">
      <w:pPr>
        <w:pStyle w:val="FootnoteText"/>
      </w:pPr>
      <w:r w:rsidRPr="008D6DF1">
        <w:rPr>
          <w:vertAlign w:val="superscript"/>
        </w:rPr>
        <w:footnoteRef/>
      </w:r>
      <w:r w:rsidRPr="008D6DF1">
        <w:t>Washington’s statute was modeled after the 1987 USTA proposed federal law.</w:t>
      </w:r>
    </w:p>
  </w:footnote>
  <w:footnote w:id="146">
    <w:p w14:paraId="271A0D6B" w14:textId="069A931D" w:rsidR="008D6DF1" w:rsidRPr="00146534" w:rsidRDefault="008D6DF1" w:rsidP="008D6DF1">
      <w:pPr>
        <w:pStyle w:val="FootnoteText"/>
      </w:pPr>
      <w:r w:rsidRPr="008D6DF1">
        <w:rPr>
          <w:vertAlign w:val="superscript"/>
        </w:rPr>
        <w:footnoteRef/>
      </w:r>
      <w:r w:rsidRPr="008D6DF1">
        <w:t xml:space="preserve">Connecticut, Iowa, Minnesota, New Jersey, and South Carolina. The exception was Minnesota, whose 1994 statute more closely resembled the 1964 Model Bill, although it was not identical. </w:t>
      </w:r>
      <w:r w:rsidRPr="008D6DF1">
        <w:rPr>
          <w:i/>
        </w:rPr>
        <w:t>See</w:t>
      </w:r>
      <w:r w:rsidRPr="008D6DF1">
        <w:t xml:space="preserve"> </w:t>
      </w:r>
      <w:r w:rsidRPr="008D6DF1">
        <w:rPr>
          <w:smallCaps/>
        </w:rPr>
        <w:t xml:space="preserve">Minn. Stat. Ann. </w:t>
      </w:r>
      <w:r w:rsidRPr="008D6DF1">
        <w:t xml:space="preserve">§325D.165 (West 1995). This statute was replaced in 1998. </w:t>
      </w:r>
      <w:r w:rsidRPr="008D6DF1">
        <w:rPr>
          <w:smallCaps/>
        </w:rPr>
        <w:t xml:space="preserve">Minn. Stat. Ann. </w:t>
      </w:r>
      <w:r w:rsidRPr="008D6DF1">
        <w:t>§333.285 (West 2011).</w:t>
      </w:r>
    </w:p>
  </w:footnote>
  <w:footnote w:id="147">
    <w:p w14:paraId="0545507A" w14:textId="58312A57" w:rsidR="008D6DF1" w:rsidRPr="00146534" w:rsidRDefault="008D6DF1" w:rsidP="008D6DF1">
      <w:pPr>
        <w:pStyle w:val="FootnoteText"/>
      </w:pPr>
      <w:r w:rsidRPr="008D6DF1">
        <w:rPr>
          <w:vertAlign w:val="superscript"/>
        </w:rPr>
        <w:footnoteRef/>
      </w:r>
      <w:r w:rsidRPr="008D6DF1">
        <w:t>Alabama, Alaska, Arizona, Arkansas, California, Florida, Hawaii, Idaho, Illinois, Indiana, Kansas, Minnesota, Mississippi, Montana, Nebraska, Nevada, New Mexico, Oregon, Pennsylvania, Tennessee, Texas, Utah, West Virginia, and Wyoming. In addition, in 2003, Washington state amended its existing statute, which was based on the 1988 federal dilution bill, to conform to the 1996 Model Bill. The California statute was the first to incorporate the revisions reflected in the 2007 Model Bill. Mississippi amended its statute twice in that period, first to conform to the 1992 Model Bill and then, in 2009, to conform to the 2007 Model Bill. Oregon, Alabama, and Texas have since amended their 1964 Model Bill-based laws to conform to the 2007 Model Bill.</w:t>
      </w:r>
    </w:p>
  </w:footnote>
  <w:footnote w:id="148">
    <w:p w14:paraId="029953F0" w14:textId="4D63E4CC" w:rsidR="008D6DF1" w:rsidRPr="00146534" w:rsidRDefault="008D6DF1" w:rsidP="008D6DF1">
      <w:pPr>
        <w:pStyle w:val="FootnoteText"/>
      </w:pPr>
      <w:r w:rsidRPr="008D6DF1">
        <w:rPr>
          <w:vertAlign w:val="superscript"/>
        </w:rPr>
        <w:footnoteRef/>
      </w:r>
      <w:r w:rsidRPr="008D6DF1">
        <w:t>Those states are Alabama, Arkansas, California, Connecticut, Florida, Idaho, Illinois, Iowa, Montana, Nebraska, New Mexico, Oregon, Pennsylvania, Tennessee, and Texas. All but Connecticut and Iowa enacted their statutes after the FTDA was enacted. In 2003, Washington replaced its statute, which was based on the 1988 federal dilution bill, with one conforming to the 1996 Model Bill. Florida’s 2007 statute alters the 1996 Model Bill by allowing relief when the second use is “likely to cause dilution.” It does not, however, incorporate the revisions reflected in the 2007 Model Bill. California was the first state to incorporate the revisions reflected in the 2007 Model Bill. Since then, Mississippi, Oregon, Alabama, and Texas have also adopted the 2007 Model Bill, as has the territory of Puerto Rico.</w:t>
      </w:r>
    </w:p>
  </w:footnote>
  <w:footnote w:id="149">
    <w:p w14:paraId="47DFBBB3" w14:textId="730A66CB" w:rsidR="008D6DF1" w:rsidRPr="00E77A7A" w:rsidRDefault="008D6DF1" w:rsidP="008D6DF1">
      <w:pPr>
        <w:pStyle w:val="FootnoteText"/>
      </w:pPr>
      <w:r w:rsidRPr="008D6DF1">
        <w:rPr>
          <w:vertAlign w:val="superscript"/>
        </w:rPr>
        <w:footnoteRef/>
      </w:r>
      <w:r w:rsidRPr="008D6DF1">
        <w:rPr>
          <w:i/>
        </w:rPr>
        <w:t>E</w:t>
      </w:r>
      <w:r w:rsidRPr="008D6DF1">
        <w:t>.</w:t>
      </w:r>
      <w:r w:rsidRPr="008D6DF1">
        <w:rPr>
          <w:i/>
        </w:rPr>
        <w:t>g</w:t>
      </w:r>
      <w:r w:rsidRPr="008D6DF1">
        <w:t xml:space="preserve">., Tiffany &amp; Co. v. Tiffany Prods., Inc., 147 Misc. 679, 681–82, 264 N.Y.S. 459, 461–62 (N.Y. Sup. Ct.), </w:t>
      </w:r>
      <w:r w:rsidRPr="008D6DF1">
        <w:rPr>
          <w:i/>
        </w:rPr>
        <w:t>aff’d</w:t>
      </w:r>
      <w:r w:rsidRPr="008D6DF1">
        <w:t xml:space="preserve">, 237 A.D. 801, 260 N.Y.S. 821 (N.Y. App. Div. 1932), </w:t>
      </w:r>
      <w:r w:rsidRPr="008D6DF1">
        <w:rPr>
          <w:i/>
        </w:rPr>
        <w:t>aff’d</w:t>
      </w:r>
      <w:r w:rsidRPr="008D6DF1">
        <w:t xml:space="preserve">, 262 N.Y. 482, 188 N.E. 30 (1933) (using “whittling away” language); Philadelphia Storage Battery Co. v. Mindlin, 163 Misc. 52, 54–55, 296 N.Y.S. 176, 179 (N.Y. App. Div. 1937) (citing Frank I. Schechter, </w:t>
      </w:r>
      <w:r w:rsidRPr="008D6DF1">
        <w:rPr>
          <w:i/>
        </w:rPr>
        <w:t>The Rational Basis of Trademark Protection</w:t>
      </w:r>
      <w:r w:rsidRPr="008D6DF1">
        <w:t xml:space="preserve">, 40 </w:t>
      </w:r>
      <w:r w:rsidRPr="008D6DF1">
        <w:rPr>
          <w:smallCaps/>
        </w:rPr>
        <w:t xml:space="preserve">Harv. L. Rev. </w:t>
      </w:r>
      <w:r w:rsidRPr="008D6DF1">
        <w:t>813 (1927)).</w:t>
      </w:r>
    </w:p>
  </w:footnote>
  <w:footnote w:id="150">
    <w:p w14:paraId="6C3A11DC" w14:textId="398F485B" w:rsidR="008D6DF1" w:rsidRPr="00146534" w:rsidRDefault="008D6DF1" w:rsidP="008D6DF1">
      <w:pPr>
        <w:pStyle w:val="FootnoteText"/>
      </w:pPr>
      <w:r w:rsidRPr="008D6DF1">
        <w:rPr>
          <w:vertAlign w:val="superscript"/>
        </w:rPr>
        <w:footnoteRef/>
      </w:r>
      <w:r w:rsidRPr="008D6DF1">
        <w:t xml:space="preserve">Ameritech, Inc. v. American Info. Techs. Corp., 811 F.2d 960, 965, 1 USPQ2d 1861 (6th Cir. 1987). </w:t>
      </w:r>
      <w:r w:rsidRPr="008D6DF1">
        <w:rPr>
          <w:i/>
        </w:rPr>
        <w:t>But see</w:t>
      </w:r>
      <w:r w:rsidRPr="008D6DF1">
        <w:t xml:space="preserve"> Worthington Foods, Inc. v. Kellogg Co., 732 F. Supp. 1417, 1457 &amp; n.94, 14 USPQ2d 1577 (S.D. Ohio 1990) (expressing doubt that Ohio common law recognizes dilution).</w:t>
      </w:r>
    </w:p>
  </w:footnote>
  <w:footnote w:id="151">
    <w:p w14:paraId="70790878" w14:textId="518DBFB8" w:rsidR="008D6DF1" w:rsidRPr="00146534" w:rsidRDefault="008D6DF1" w:rsidP="008D6DF1">
      <w:pPr>
        <w:pStyle w:val="FootnoteText"/>
      </w:pPr>
      <w:r w:rsidRPr="008D6DF1">
        <w:rPr>
          <w:vertAlign w:val="superscript"/>
        </w:rPr>
        <w:footnoteRef/>
      </w:r>
      <w:r w:rsidRPr="008D6DF1">
        <w:rPr>
          <w:i/>
        </w:rPr>
        <w:t>E</w:t>
      </w:r>
      <w:r w:rsidRPr="008D6DF1">
        <w:t>.</w:t>
      </w:r>
      <w:r w:rsidRPr="008D6DF1">
        <w:rPr>
          <w:i/>
        </w:rPr>
        <w:t>g</w:t>
      </w:r>
      <w:r w:rsidRPr="008D6DF1">
        <w:t xml:space="preserve">., Jet, Inc. v. Sewage Aeration Sys., 165 F.3d 419, 424, 49 USPQ2d 1355 (6th Cir. 1999); </w:t>
      </w:r>
      <w:r w:rsidRPr="008D6DF1">
        <w:rPr>
          <w:i/>
        </w:rPr>
        <w:t>see</w:t>
      </w:r>
      <w:r w:rsidRPr="008D6DF1">
        <w:t xml:space="preserve"> United States Playing Card Co. v. Bicycle Club, 695 N.E.2d 1197 (Ohio Ct. App. 1997) (discussing a laches defense to a common-law dilution claim).</w:t>
      </w:r>
    </w:p>
  </w:footnote>
  <w:footnote w:id="152">
    <w:p w14:paraId="7ECB2B3C" w14:textId="10C278A6" w:rsidR="008D6DF1" w:rsidRPr="00C37460" w:rsidRDefault="008D6DF1" w:rsidP="008D6DF1">
      <w:pPr>
        <w:pStyle w:val="FootnoteText"/>
      </w:pPr>
      <w:r w:rsidRPr="008D6DF1">
        <w:rPr>
          <w:vertAlign w:val="superscript"/>
        </w:rPr>
        <w:footnoteRef/>
      </w:r>
      <w:r w:rsidRPr="008D6DF1">
        <w:t xml:space="preserve">Chanel, Inc. v. Casa Flora Co., 241 A.2d 24, 27, 159 USPQ 189 (N.J. Super Ct. App. Div. 1968) (“We do not doubt that dilution of a </w:t>
      </w:r>
      <w:proofErr w:type="gramStart"/>
      <w:r w:rsidRPr="008D6DF1">
        <w:t>trade-mark</w:t>
      </w:r>
      <w:proofErr w:type="gramEnd"/>
      <w:r w:rsidRPr="008D6DF1">
        <w:t xml:space="preserve"> may be enjoined.”).</w:t>
      </w:r>
    </w:p>
  </w:footnote>
  <w:footnote w:id="153">
    <w:p w14:paraId="71B77094" w14:textId="711680D7" w:rsidR="008D6DF1" w:rsidRPr="008D6DF1" w:rsidRDefault="008D6DF1" w:rsidP="008D6DF1">
      <w:pPr>
        <w:pStyle w:val="FootnoteText"/>
      </w:pPr>
      <w:r w:rsidRPr="008D6DF1">
        <w:rPr>
          <w:vertAlign w:val="superscript"/>
        </w:rPr>
        <w:footnoteRef/>
      </w:r>
      <w:r w:rsidRPr="008D6DF1">
        <w:t xml:space="preserve">Board of Dirs. of Sapphire Bay Condos. W. v. Simpson, 2014 U.S. Dist. LEXIS 112570, at *35, 2014 BL 225521 (D.V.I. Aug. 13, 2014). Section 25 of the Restatement clearly states that dilution applies “without proof of a likelihood of confusion.” Moreover, the Restatement also clearly states that dilution liability exists “only under an applicable antidilution statute.” </w:t>
      </w:r>
      <w:r w:rsidRPr="008D6DF1">
        <w:rPr>
          <w:smallCaps/>
        </w:rPr>
        <w:t>Restatement (Third) Unfair Competition</w:t>
      </w:r>
      <w:r w:rsidRPr="008D6DF1">
        <w:t xml:space="preserve"> §25(1) (1995).</w:t>
      </w:r>
    </w:p>
    <w:p w14:paraId="2566C265" w14:textId="77777777" w:rsidR="008D6DF1" w:rsidRPr="00E01C54" w:rsidRDefault="008D6DF1" w:rsidP="002E5E25">
      <w:pPr>
        <w:pStyle w:val="footnote"/>
        <w:ind w:firstLine="720"/>
        <w:rPr>
          <w:sz w:val="20"/>
        </w:rPr>
      </w:pPr>
    </w:p>
  </w:footnote>
  <w:footnote w:id="154">
    <w:p w14:paraId="7FADC5F0" w14:textId="7308B6D3" w:rsidR="008D6DF1" w:rsidRPr="008D6DF1" w:rsidRDefault="008D6DF1" w:rsidP="008D6DF1">
      <w:pPr>
        <w:pStyle w:val="FootnoteText"/>
      </w:pPr>
      <w:r w:rsidRPr="008D6DF1">
        <w:rPr>
          <w:vertAlign w:val="superscript"/>
        </w:rPr>
        <w:footnoteRef/>
      </w:r>
      <w:r w:rsidRPr="008D6DF1">
        <w:t xml:space="preserve">Schlumberger Tech. Corp. v. Coil Tubing Sols., LLC, 103 F. Supp. 3d 846, 850 (S.D. Tex. 2015). A Florida plaintiff, apparently ignoring the state’s statute (or perhaps trying to avoid showing that its mark was famous) asserted a common-law dilution claim, but the court did not address it. Millenia Prop. Owners </w:t>
      </w:r>
      <w:proofErr w:type="spellStart"/>
      <w:r w:rsidRPr="008D6DF1">
        <w:t>Ass’n</w:t>
      </w:r>
      <w:proofErr w:type="spellEnd"/>
      <w:r w:rsidRPr="008D6DF1">
        <w:t xml:space="preserve"> v. Heartwood 21, LLC, 2013 WL 12167534, at *1 (M.D. Fla. Oct. 16, 2013).</w:t>
      </w:r>
    </w:p>
    <w:p w14:paraId="488F7A87" w14:textId="77777777" w:rsidR="008D6DF1" w:rsidRPr="00E01C54" w:rsidRDefault="008D6DF1" w:rsidP="00E01C54">
      <w:pPr>
        <w:pStyle w:val="footnote"/>
        <w:ind w:firstLine="720"/>
        <w:rPr>
          <w:sz w:val="20"/>
        </w:rPr>
      </w:pPr>
    </w:p>
  </w:footnote>
  <w:footnote w:id="155">
    <w:p w14:paraId="06A5A305" w14:textId="4600D23B" w:rsidR="008D6DF1" w:rsidRPr="008D6DF1" w:rsidRDefault="008D6DF1" w:rsidP="008D6DF1">
      <w:pPr>
        <w:pStyle w:val="FootnoteText"/>
      </w:pPr>
      <w:r w:rsidRPr="008D6DF1">
        <w:rPr>
          <w:vertAlign w:val="superscript"/>
        </w:rPr>
        <w:footnoteRef/>
      </w:r>
      <w:r w:rsidRPr="008D6DF1">
        <w:t xml:space="preserve">Jericho Baptist Church Ministries, Inc. (D.C.) v. Jericho Baptist Church Ministries, Inc. (Md.), 223 F. Supp. 3d 1, 12–13 (D.D.C. 2016) (discussing the applicable statute of limitations for trademark claims). The case the court relied on, however, appears to have mentioned dilution only in relation to irreparable harm, not a cause of action. </w:t>
      </w:r>
      <w:r w:rsidRPr="008D6DF1">
        <w:rPr>
          <w:i/>
        </w:rPr>
        <w:t>See</w:t>
      </w:r>
      <w:r w:rsidRPr="008D6DF1">
        <w:t xml:space="preserve"> Malarkey-Taylor Assocs. v. Cellular </w:t>
      </w:r>
      <w:proofErr w:type="spellStart"/>
      <w:r w:rsidRPr="008D6DF1">
        <w:t>Telecomms</w:t>
      </w:r>
      <w:proofErr w:type="spellEnd"/>
      <w:r w:rsidRPr="008D6DF1">
        <w:t xml:space="preserve">. Indus. </w:t>
      </w:r>
      <w:proofErr w:type="spellStart"/>
      <w:r w:rsidRPr="008D6DF1">
        <w:t>Ass’n</w:t>
      </w:r>
      <w:proofErr w:type="spellEnd"/>
      <w:r w:rsidRPr="008D6DF1">
        <w:t>, 929 F. Supp. 473, 478 (D.D.C. 1996).</w:t>
      </w:r>
    </w:p>
    <w:p w14:paraId="1B6B9E75" w14:textId="77777777" w:rsidR="008D6DF1" w:rsidRDefault="008D6DF1" w:rsidP="00E01C54">
      <w:pPr>
        <w:pStyle w:val="footnote"/>
        <w:ind w:firstLine="720"/>
      </w:pPr>
    </w:p>
  </w:footnote>
  <w:footnote w:id="156">
    <w:p w14:paraId="19DC012B" w14:textId="44F96E7B" w:rsidR="008D6DF1" w:rsidRPr="00146534" w:rsidRDefault="008D6DF1" w:rsidP="008D6DF1">
      <w:pPr>
        <w:pStyle w:val="FootnoteText"/>
      </w:pPr>
      <w:r w:rsidRPr="008D6DF1">
        <w:rPr>
          <w:vertAlign w:val="superscript"/>
        </w:rPr>
        <w:footnoteRef/>
      </w:r>
      <w:r w:rsidRPr="008D6DF1">
        <w:rPr>
          <w:i/>
        </w:rPr>
        <w:t>Hearings on H</w:t>
      </w:r>
      <w:r w:rsidRPr="008D6DF1">
        <w:t>.</w:t>
      </w:r>
      <w:r w:rsidRPr="008D6DF1">
        <w:rPr>
          <w:i/>
        </w:rPr>
        <w:t>R</w:t>
      </w:r>
      <w:r w:rsidRPr="008D6DF1">
        <w:t xml:space="preserve">. </w:t>
      </w:r>
      <w:r w:rsidRPr="008D6DF1">
        <w:rPr>
          <w:i/>
        </w:rPr>
        <w:t>1295 and H</w:t>
      </w:r>
      <w:r w:rsidRPr="008D6DF1">
        <w:t>.</w:t>
      </w:r>
      <w:r w:rsidRPr="008D6DF1">
        <w:rPr>
          <w:i/>
        </w:rPr>
        <w:t>R</w:t>
      </w:r>
      <w:r w:rsidRPr="008D6DF1">
        <w:t xml:space="preserve">. </w:t>
      </w:r>
      <w:r w:rsidRPr="008D6DF1">
        <w:rPr>
          <w:i/>
        </w:rPr>
        <w:t xml:space="preserve">1270 Before the </w:t>
      </w:r>
      <w:proofErr w:type="spellStart"/>
      <w:r w:rsidRPr="008D6DF1">
        <w:rPr>
          <w:i/>
        </w:rPr>
        <w:t>Subcomm</w:t>
      </w:r>
      <w:proofErr w:type="spellEnd"/>
      <w:r w:rsidRPr="008D6DF1">
        <w:t xml:space="preserve">. </w:t>
      </w:r>
      <w:r w:rsidRPr="008D6DF1">
        <w:rPr>
          <w:i/>
        </w:rPr>
        <w:t>on Courts and Intellectual Property of the Comm</w:t>
      </w:r>
      <w:r w:rsidRPr="008D6DF1">
        <w:t xml:space="preserve">. </w:t>
      </w:r>
      <w:r w:rsidRPr="008D6DF1">
        <w:rPr>
          <w:i/>
        </w:rPr>
        <w:t>on the Judiciary</w:t>
      </w:r>
      <w:r w:rsidRPr="008D6DF1">
        <w:t xml:space="preserve">, 104th Cong., 1st Sess. (July 19, 1995) (statement of Mary Ann Alford, International Trademark Association); </w:t>
      </w:r>
      <w:r w:rsidRPr="008D6DF1">
        <w:rPr>
          <w:i/>
        </w:rPr>
        <w:t>see</w:t>
      </w:r>
      <w:r w:rsidRPr="008D6DF1">
        <w:t xml:space="preserve"> Consolidated Cosmetics v. Neilson Chem. Co., 109 F. Supp. 300, 310, 96 USPQ 320 (E.D. Mich. 1952).</w:t>
      </w:r>
    </w:p>
  </w:footnote>
  <w:footnote w:id="157">
    <w:p w14:paraId="47E8FBD0" w14:textId="203A6F5B" w:rsidR="008D6DF1" w:rsidRPr="00146534" w:rsidRDefault="008D6DF1" w:rsidP="008D6DF1">
      <w:pPr>
        <w:pStyle w:val="FootnoteText"/>
      </w:pPr>
      <w:r w:rsidRPr="008D6DF1">
        <w:rPr>
          <w:vertAlign w:val="superscript"/>
        </w:rPr>
        <w:footnoteRef/>
      </w:r>
      <w:r w:rsidRPr="008D6DF1">
        <w:t xml:space="preserve">Bowling Proprietors’ </w:t>
      </w:r>
      <w:proofErr w:type="spellStart"/>
      <w:r w:rsidRPr="008D6DF1">
        <w:t>Ass’n</w:t>
      </w:r>
      <w:proofErr w:type="spellEnd"/>
      <w:r w:rsidRPr="008D6DF1">
        <w:t xml:space="preserve"> of Am. v. Greater Mich. Bowling Proprietors’ </w:t>
      </w:r>
      <w:proofErr w:type="spellStart"/>
      <w:r w:rsidRPr="008D6DF1">
        <w:t>Ass’n</w:t>
      </w:r>
      <w:proofErr w:type="spellEnd"/>
      <w:r w:rsidRPr="008D6DF1">
        <w:t xml:space="preserve">, 2008 U.S. Dist. LEXIS 90972, at *11 (E.D. Mich. Nov. 3, 2008) (Michigan common law does not recognize a claim for dilution); Herman Miller, Inc. v. A. Studio S.R.L., 79 USPQ2d 1905, 1913–14 (W.D. Mich. 2006) (Michigan common law does not recognize a claim for dilution); Sports Auth., Inc. v. Abercrombie &amp; Fitch, Inc., 965 F. Supp. 925, 932 n.3, 42 USPQ2d 1662 (E.D. Mich. 1997); Aero-Motive Co. v. U.S. </w:t>
      </w:r>
      <w:proofErr w:type="spellStart"/>
      <w:r w:rsidRPr="008D6DF1">
        <w:t>Aeromotive</w:t>
      </w:r>
      <w:proofErr w:type="spellEnd"/>
      <w:r w:rsidRPr="008D6DF1">
        <w:t>, Inc., 922 F. Supp. 29, 47 (W.D. Mich. 1996).</w:t>
      </w:r>
    </w:p>
  </w:footnote>
  <w:footnote w:id="158">
    <w:p w14:paraId="42722E26" w14:textId="7921B906" w:rsidR="008D6DF1" w:rsidRPr="00587817" w:rsidRDefault="008D6DF1" w:rsidP="008D6DF1">
      <w:pPr>
        <w:pStyle w:val="FootnoteText"/>
        <w:rPr>
          <w:rFonts w:ascii="Georgia" w:hAnsi="Georgia" w:cs="Georgia"/>
        </w:rPr>
      </w:pPr>
      <w:r w:rsidRPr="008D6DF1">
        <w:rPr>
          <w:vertAlign w:val="superscript"/>
        </w:rPr>
        <w:footnoteRef/>
      </w:r>
      <w:r w:rsidRPr="008D6DF1">
        <w:t xml:space="preserve">Black &amp; Decker (U.S.), Inc. v. Pro-Tech Power, Inc., 26 F. Supp. 2d 834, 857 (E.D. Va. 1998); </w:t>
      </w:r>
      <w:r w:rsidRPr="008D6DF1">
        <w:rPr>
          <w:i/>
        </w:rPr>
        <w:t>accord</w:t>
      </w:r>
      <w:r w:rsidRPr="008D6DF1">
        <w:t xml:space="preserve"> Pro-Concepts, LLC v. Resh, 2014 U.S. Dist. LEXIS 18416, at *43 (E.D. Va. Feb. 11, 2014); </w:t>
      </w:r>
      <w:r w:rsidRPr="008D6DF1">
        <w:rPr>
          <w:i/>
        </w:rPr>
        <w:t>see</w:t>
      </w:r>
      <w:r w:rsidRPr="008D6DF1">
        <w:t xml:space="preserve"> Performance Plumbing, Inc. v. Atlantic Heating &amp; Cooling Serv. Inc., 2017 WL 11508383, at *3, 2017 BL 542725 (E.D. Va. June 19, 2017) (acknowledging Virginia’s lack of a dilution statute); Norm Thompson Outfitters, Inc. v. General Motors Corp., 448 F.2d 1293, 1299, 171 USPQ 328 (9th Cir. 1971) (common-law dilution action not recognized in Oregon).</w:t>
      </w:r>
    </w:p>
  </w:footnote>
  <w:footnote w:id="159">
    <w:p w14:paraId="786B8D89" w14:textId="149EE8DE" w:rsidR="008D6DF1" w:rsidRPr="008172C0" w:rsidRDefault="008D6DF1" w:rsidP="008D6DF1">
      <w:pPr>
        <w:pStyle w:val="FootnoteText"/>
      </w:pPr>
      <w:r w:rsidRPr="008D6DF1">
        <w:rPr>
          <w:rStyle w:val="FootnoteReference"/>
        </w:rPr>
        <w:footnoteRef/>
      </w:r>
      <w:r w:rsidRPr="008D6DF1">
        <w:t>In an odd case, a New York federal court allowed a claim it denominated as a common-law dilution claim to go forward, without any citation to New York’s dilution statute. National Hockey League v. Hockey Cup LLC, 129 USPQ2d 1354, 1361–62 (S.D.N.Y. 2019). In another odd situation, a Pennsylvania federal court asserted that the state’s “common law” dilution claim was the same as the federal, except for the requirement of interstate commerce, ignoring the fact that Pennsylvania has a dilution statute. Cornette v. Graver, 2020 WL 1643370, at *4 n.9, 2020 BL 124076 (W.D. Pa. Apr.2, 2020).</w:t>
      </w:r>
    </w:p>
  </w:footnote>
  <w:footnote w:id="160">
    <w:p w14:paraId="2DD57201" w14:textId="1DC408CD" w:rsidR="008D6DF1" w:rsidRPr="00146534" w:rsidRDefault="008D6DF1" w:rsidP="008D6DF1">
      <w:pPr>
        <w:pStyle w:val="FootnoteText"/>
      </w:pPr>
      <w:r w:rsidRPr="008D6DF1">
        <w:rPr>
          <w:vertAlign w:val="superscript"/>
        </w:rPr>
        <w:footnoteRef/>
      </w:r>
      <w:r w:rsidRPr="008D6DF1">
        <w:rPr>
          <w:i/>
        </w:rPr>
        <w:t>See</w:t>
      </w:r>
      <w:r w:rsidRPr="008D6DF1">
        <w:t xml:space="preserve"> Chapter 6, §II.A.1.</w:t>
      </w:r>
    </w:p>
  </w:footnote>
  <w:footnote w:id="161">
    <w:p w14:paraId="5472246F" w14:textId="4A287F99" w:rsidR="008D6DF1" w:rsidRPr="00146534" w:rsidRDefault="008D6DF1" w:rsidP="008D6DF1">
      <w:pPr>
        <w:pStyle w:val="FootnoteText"/>
      </w:pPr>
      <w:r w:rsidRPr="008D6DF1">
        <w:rPr>
          <w:vertAlign w:val="superscript"/>
        </w:rPr>
        <w:footnoteRef/>
      </w:r>
      <w:r w:rsidRPr="008D6DF1">
        <w:t xml:space="preserve">Trade-mark Act of 1946, </w:t>
      </w:r>
      <w:proofErr w:type="spellStart"/>
      <w:r w:rsidRPr="008D6DF1">
        <w:t>ch.</w:t>
      </w:r>
      <w:proofErr w:type="spellEnd"/>
      <w:r w:rsidRPr="008D6DF1">
        <w:t xml:space="preserve"> 540, 60 Stat. 427 (codified as amended at 15 U.S.C. §§1051–1127 (2001)). The Lanham Act was not the first federal trademark statute. The first one was enacted in 1870. </w:t>
      </w:r>
      <w:r w:rsidRPr="008D6DF1">
        <w:rPr>
          <w:i/>
        </w:rPr>
        <w:t>See</w:t>
      </w:r>
      <w:r w:rsidRPr="008D6DF1">
        <w:t xml:space="preserve"> Act of July 8, 1870, </w:t>
      </w:r>
      <w:proofErr w:type="spellStart"/>
      <w:r w:rsidRPr="008D6DF1">
        <w:t>ch.</w:t>
      </w:r>
      <w:proofErr w:type="spellEnd"/>
      <w:r w:rsidRPr="008D6DF1">
        <w:t xml:space="preserve"> 230, §§77–84, 16 Stat. 198, 210–12. In </w:t>
      </w:r>
      <w:r w:rsidRPr="008D6DF1">
        <w:rPr>
          <w:i/>
        </w:rPr>
        <w:t>Trademark Cases</w:t>
      </w:r>
      <w:r w:rsidRPr="008D6DF1">
        <w:t xml:space="preserve">, 100 U.S. 82 (1879), however, the Supreme Court held the statute unconstitutional on the grounds that it exceeded Congress’s power to regulate interstate commerce. </w:t>
      </w:r>
      <w:r w:rsidRPr="008D6DF1">
        <w:rPr>
          <w:i/>
        </w:rPr>
        <w:t>Id</w:t>
      </w:r>
      <w:r w:rsidRPr="008D6DF1">
        <w:t xml:space="preserve">. at 99. A far less comprehensive statute was passed in 1881. </w:t>
      </w:r>
      <w:r w:rsidRPr="008D6DF1">
        <w:rPr>
          <w:i/>
        </w:rPr>
        <w:t>See</w:t>
      </w:r>
      <w:r w:rsidRPr="008D6DF1">
        <w:t xml:space="preserve"> Act of Mar. 3, 1881, </w:t>
      </w:r>
      <w:proofErr w:type="spellStart"/>
      <w:r w:rsidRPr="008D6DF1">
        <w:t>ch.</w:t>
      </w:r>
      <w:proofErr w:type="spellEnd"/>
      <w:r w:rsidRPr="008D6DF1">
        <w:t xml:space="preserve"> 138, 21 Stat. 502. Another statute was passed in 1905, </w:t>
      </w:r>
      <w:r w:rsidRPr="008D6DF1">
        <w:rPr>
          <w:i/>
        </w:rPr>
        <w:t>see</w:t>
      </w:r>
      <w:r w:rsidRPr="008D6DF1">
        <w:t xml:space="preserve"> Act of Feb. 20, 1905, </w:t>
      </w:r>
      <w:proofErr w:type="spellStart"/>
      <w:r w:rsidRPr="008D6DF1">
        <w:t>ch.</w:t>
      </w:r>
      <w:proofErr w:type="spellEnd"/>
      <w:r w:rsidRPr="008D6DF1">
        <w:t xml:space="preserve"> 592, 33 Stat 724, and amended in 1920. </w:t>
      </w:r>
      <w:r w:rsidRPr="008D6DF1">
        <w:rPr>
          <w:i/>
        </w:rPr>
        <w:t>See</w:t>
      </w:r>
      <w:r w:rsidRPr="008D6DF1">
        <w:t xml:space="preserve"> Act of Mar. 19, 1920, </w:t>
      </w:r>
      <w:proofErr w:type="spellStart"/>
      <w:r w:rsidRPr="008D6DF1">
        <w:t>ch.</w:t>
      </w:r>
      <w:proofErr w:type="spellEnd"/>
      <w:r w:rsidRPr="008D6DF1">
        <w:t xml:space="preserve"> 104, 41 Stat. 553.</w:t>
      </w:r>
    </w:p>
  </w:footnote>
  <w:footnote w:id="162">
    <w:p w14:paraId="2144FD56" w14:textId="26210F53" w:rsidR="008D6DF1" w:rsidRPr="00146534" w:rsidRDefault="008D6DF1" w:rsidP="008D6DF1">
      <w:pPr>
        <w:pStyle w:val="FootnoteText"/>
      </w:pPr>
      <w:r w:rsidRPr="008D6DF1">
        <w:rPr>
          <w:vertAlign w:val="superscript"/>
        </w:rPr>
        <w:footnoteRef/>
      </w:r>
      <w:r w:rsidRPr="008D6DF1">
        <w:t xml:space="preserve">Community Fed. Sav. &amp; Loan </w:t>
      </w:r>
      <w:proofErr w:type="spellStart"/>
      <w:r w:rsidRPr="008D6DF1">
        <w:t>Ass’n</w:t>
      </w:r>
      <w:proofErr w:type="spellEnd"/>
      <w:r w:rsidRPr="008D6DF1">
        <w:t xml:space="preserve"> v. </w:t>
      </w:r>
      <w:proofErr w:type="spellStart"/>
      <w:r w:rsidRPr="008D6DF1">
        <w:t>Orondorff</w:t>
      </w:r>
      <w:proofErr w:type="spellEnd"/>
      <w:r w:rsidRPr="008D6DF1">
        <w:t xml:space="preserve">, 678 F.2d 1034, 1036 n.7, 215 USPQ 26 (11th Cir. 1982); Tiffany &amp; Co. v. National Gypsum Co., 459 F.2d 527, 530, 173 USPQ 793 (C.C.P.A. 1972); Champion Paper &amp; </w:t>
      </w:r>
      <w:proofErr w:type="spellStart"/>
      <w:r w:rsidRPr="008D6DF1">
        <w:t>Fibre</w:t>
      </w:r>
      <w:proofErr w:type="spellEnd"/>
      <w:r w:rsidRPr="008D6DF1">
        <w:t xml:space="preserve"> Co. v. National </w:t>
      </w:r>
      <w:proofErr w:type="spellStart"/>
      <w:r w:rsidRPr="008D6DF1">
        <w:t>Ass’n</w:t>
      </w:r>
      <w:proofErr w:type="spellEnd"/>
      <w:r w:rsidRPr="008D6DF1">
        <w:t xml:space="preserve"> of Mut. Ins. Agents, 249 F.2d 525, 526 (D.C. Cir. 1957); </w:t>
      </w:r>
      <w:r w:rsidRPr="008D6DF1">
        <w:rPr>
          <w:i/>
        </w:rPr>
        <w:t>see</w:t>
      </w:r>
      <w:r w:rsidRPr="008D6DF1">
        <w:t xml:space="preserve"> R.G. Barry Corp. v. Mushroom Makers, Inc., 612 F.2d 651, 658 (2d Cir. 1979). </w:t>
      </w:r>
      <w:r w:rsidRPr="008D6DF1">
        <w:rPr>
          <w:i/>
        </w:rPr>
        <w:t>But cf</w:t>
      </w:r>
      <w:r w:rsidRPr="008D6DF1">
        <w:t xml:space="preserve">. Champions Golf Club, Inc. v. Sunrise Land Corp., 846 F. Supp. 742, 758, 32 USPQ2d 1419 (W.D. Ark. 1994) (claiming authority to enjoin dilution under general equity power even in the absence of statutory authority); Adolph Coors Co. v. A. </w:t>
      </w:r>
      <w:proofErr w:type="spellStart"/>
      <w:r w:rsidRPr="008D6DF1">
        <w:t>Genderson</w:t>
      </w:r>
      <w:proofErr w:type="spellEnd"/>
      <w:r w:rsidRPr="008D6DF1">
        <w:t xml:space="preserve"> &amp; Sons, Inc., 486 F. Supp. 131, 136, 209 USPQ 103 (D. Colo. 1980) (asserting that defendant’s actions “are …likely to dilute the distinctive quality of Adolph Coors Company trademarks and trade name”).</w:t>
      </w:r>
    </w:p>
  </w:footnote>
  <w:footnote w:id="163">
    <w:p w14:paraId="6EA077FD" w14:textId="352233F9" w:rsidR="008D6DF1" w:rsidRPr="008D6DF1" w:rsidRDefault="008D6DF1" w:rsidP="008D6DF1">
      <w:pPr>
        <w:pStyle w:val="FootnoteText"/>
      </w:pPr>
      <w:r w:rsidRPr="008D6DF1">
        <w:rPr>
          <w:vertAlign w:val="superscript"/>
        </w:rPr>
        <w:footnoteRef/>
      </w:r>
      <w:r w:rsidRPr="008D6DF1">
        <w:rPr>
          <w:i/>
        </w:rPr>
        <w:t>E.g.</w:t>
      </w:r>
      <w:r w:rsidRPr="008D6DF1">
        <w:t xml:space="preserve">, K2 Corp. v. Philip Morris, Inc., 192 USPQ 174, 177 (T.T.A.B. 1976); Leo Burnett Co. v. Analog Tech. Corp., 173 USPQ 632, 635 (T.T.A.B. 1972); Max Factor &amp; Co. v. Clairol, Inc., 163 USPQ 240, 243 (T.T.A.B. 1969) (also indicating that dilution requires confusion); Coca-Cola Co. v. Fanta, 155 USPQ 276, 278 (T.T.A.B. 1967); </w:t>
      </w:r>
      <w:r w:rsidRPr="008D6DF1">
        <w:rPr>
          <w:i/>
        </w:rPr>
        <w:t>In re</w:t>
      </w:r>
      <w:r w:rsidRPr="008D6DF1">
        <w:t xml:space="preserve"> The Standard Mattress Co., 153 USPQ 864, 865 (T.T.A.B. 1967); Mister Donut of Am., Inc. v. Mr. Steak, Inc., 150 USPQ 712, 714–15 (T.T.A.B. 1966) (no dilution claim under Lanham Act, and state law claims are not cognizable in the TTAB); Interwoven Stocking Co. v. Crest Hosiery Mill, 134 USPQ 43, 45 (T.T.A.B. 1962); </w:t>
      </w:r>
      <w:r w:rsidRPr="008D6DF1">
        <w:rPr>
          <w:i/>
        </w:rPr>
        <w:t>see</w:t>
      </w:r>
      <w:r w:rsidRPr="008D6DF1">
        <w:t xml:space="preserve"> E. M. Bailey Distrib. Co. v. Petro-Vend, Inc., 207 USPQ 769, 772 (T.T.A.B. 1980) (dilution claim “do[es] not state a claim for legal damage to petitioner”). </w:t>
      </w:r>
      <w:r w:rsidRPr="008D6DF1">
        <w:rPr>
          <w:i/>
        </w:rPr>
        <w:t xml:space="preserve">But cf. </w:t>
      </w:r>
      <w:r w:rsidRPr="008D6DF1">
        <w:t>Campana Corp. v. Atlas Int’l Corp., 114 USPQ 458 (Comm’r Patents 1957) (rejecting dilution claim on the merits but indicating that a claim of “hitching a free ride on the reputation and goodwill developed by another” could be a basis to refuse registration).</w:t>
      </w:r>
    </w:p>
    <w:p w14:paraId="1D282976" w14:textId="77777777" w:rsidR="008D6DF1" w:rsidRPr="008172C0" w:rsidRDefault="008D6DF1" w:rsidP="008172C0">
      <w:pPr>
        <w:pStyle w:val="footnote"/>
        <w:ind w:firstLine="720"/>
        <w:rPr>
          <w:sz w:val="20"/>
        </w:rPr>
      </w:pPr>
    </w:p>
  </w:footnote>
  <w:footnote w:id="164">
    <w:p w14:paraId="3F95439C" w14:textId="0759A521" w:rsidR="008D6DF1" w:rsidRPr="00146534" w:rsidRDefault="008D6DF1" w:rsidP="008D6DF1">
      <w:pPr>
        <w:pStyle w:val="FootnoteText"/>
      </w:pPr>
      <w:r w:rsidRPr="008D6DF1">
        <w:rPr>
          <w:vertAlign w:val="superscript"/>
        </w:rPr>
        <w:footnoteRef/>
      </w:r>
      <w:r w:rsidRPr="008D6DF1">
        <w:t xml:space="preserve">S. 1883, </w:t>
      </w:r>
      <w:r w:rsidRPr="008D6DF1">
        <w:rPr>
          <w:i/>
        </w:rPr>
        <w:t>reprinted in</w:t>
      </w:r>
      <w:r w:rsidRPr="008D6DF1">
        <w:t xml:space="preserve"> </w:t>
      </w:r>
      <w:r w:rsidRPr="008D6DF1">
        <w:rPr>
          <w:smallCaps/>
        </w:rPr>
        <w:t xml:space="preserve">S. Rep. No. </w:t>
      </w:r>
      <w:r w:rsidRPr="008D6DF1">
        <w:t>100-515 (Sept. 15, 1988).</w:t>
      </w:r>
    </w:p>
  </w:footnote>
  <w:footnote w:id="165">
    <w:p w14:paraId="01EC90C1" w14:textId="704DE485" w:rsidR="008D6DF1" w:rsidRPr="00146534" w:rsidRDefault="008D6DF1" w:rsidP="008D6DF1">
      <w:pPr>
        <w:pStyle w:val="FootnoteText"/>
      </w:pPr>
      <w:r w:rsidRPr="008D6DF1">
        <w:rPr>
          <w:vertAlign w:val="superscript"/>
        </w:rPr>
        <w:footnoteRef/>
      </w:r>
      <w:r w:rsidRPr="008D6DF1">
        <w:t>Pub. L. No. 104-98 §3(a), 109 Stat. 985. The FTDA became effective when signed by President Clinton on January 16, 1996.</w:t>
      </w:r>
    </w:p>
  </w:footnote>
  <w:footnote w:id="166">
    <w:p w14:paraId="48F5BBF2" w14:textId="7F0AB504" w:rsidR="008D6DF1" w:rsidRPr="00146534" w:rsidRDefault="008D6DF1" w:rsidP="008D6DF1">
      <w:pPr>
        <w:pStyle w:val="FootnoteText"/>
      </w:pPr>
      <w:r w:rsidRPr="008D6DF1">
        <w:rPr>
          <w:vertAlign w:val="superscript"/>
        </w:rPr>
        <w:footnoteRef/>
      </w:r>
      <w:r w:rsidRPr="008D6DF1">
        <w:t>Lanham Act §43(c)(1)(A)–(H), 15 U.S.C. §1125(c)(1)(A)–(H) (amended and replaced in 2006 by the Trademark Dilution Revision Act of 2006).</w:t>
      </w:r>
    </w:p>
  </w:footnote>
  <w:footnote w:id="167">
    <w:p w14:paraId="7C1B4E96" w14:textId="7028E3A5" w:rsidR="008D6DF1" w:rsidRPr="00146534" w:rsidRDefault="008D6DF1" w:rsidP="008D6DF1">
      <w:pPr>
        <w:pStyle w:val="FootnoteText"/>
      </w:pPr>
      <w:r w:rsidRPr="008D6DF1">
        <w:rPr>
          <w:vertAlign w:val="superscript"/>
        </w:rPr>
        <w:footnoteRef/>
      </w:r>
      <w:r w:rsidRPr="008D6DF1">
        <w:rPr>
          <w:i/>
        </w:rPr>
        <w:t>Id</w:t>
      </w:r>
      <w:r w:rsidRPr="008D6DF1">
        <w:t>. §45, 15 U.S.C. §1127 (definition of “dilution”) (deleted by amendment in 2006). The meaning of this definition, and the significance of the 2006 amendments, are discussed in Chapter 9.</w:t>
      </w:r>
    </w:p>
  </w:footnote>
  <w:footnote w:id="168">
    <w:p w14:paraId="635AE5B1" w14:textId="57D9149A" w:rsidR="008D6DF1" w:rsidRPr="00146534" w:rsidRDefault="008D6DF1" w:rsidP="008D6DF1">
      <w:pPr>
        <w:pStyle w:val="FootnoteText"/>
      </w:pPr>
      <w:r w:rsidRPr="008D6DF1">
        <w:rPr>
          <w:vertAlign w:val="superscript"/>
        </w:rPr>
        <w:footnoteRef/>
      </w:r>
      <w:r w:rsidRPr="008D6DF1">
        <w:t>Moseley v. V Secret Catalogue, 537 U.S. 418, 433, 65 USPQ2d 1801 (2003) (requiring showing of actual dilution under FTDA).</w:t>
      </w:r>
    </w:p>
  </w:footnote>
  <w:footnote w:id="169">
    <w:p w14:paraId="1B1BE898" w14:textId="1662D76D" w:rsidR="008D6DF1" w:rsidRPr="00146534" w:rsidRDefault="008D6DF1" w:rsidP="008D6DF1">
      <w:pPr>
        <w:pStyle w:val="FootnoteText"/>
      </w:pPr>
      <w:r w:rsidRPr="008D6DF1">
        <w:rPr>
          <w:vertAlign w:val="superscript"/>
        </w:rPr>
        <w:footnoteRef/>
      </w:r>
      <w:r w:rsidRPr="008D6DF1">
        <w:t>Pub. L. No. 109-312, 120 Stat. 1730 (codified at 15 U.S.C. §1125(c)).</w:t>
      </w:r>
    </w:p>
  </w:footnote>
  <w:footnote w:id="170">
    <w:p w14:paraId="30624268" w14:textId="33A9C58F" w:rsidR="008D6DF1" w:rsidRPr="00146534" w:rsidRDefault="008D6DF1" w:rsidP="008D6DF1">
      <w:pPr>
        <w:pStyle w:val="FootnoteText"/>
      </w:pPr>
      <w:r w:rsidRPr="008D6DF1">
        <w:rPr>
          <w:vertAlign w:val="superscript"/>
        </w:rPr>
        <w:footnoteRef/>
      </w:r>
      <w:r w:rsidRPr="008D6DF1">
        <w:t>The TDRA is discussed in detail in Chapters 6–11.</w:t>
      </w:r>
    </w:p>
  </w:footnote>
  <w:footnote w:id="171">
    <w:p w14:paraId="2097604A" w14:textId="7E969216" w:rsidR="008D6DF1" w:rsidRPr="00146534" w:rsidRDefault="008D6DF1" w:rsidP="008D6DF1">
      <w:pPr>
        <w:pStyle w:val="FootnoteText"/>
      </w:pPr>
      <w:r w:rsidRPr="008D6DF1">
        <w:rPr>
          <w:vertAlign w:val="superscript"/>
        </w:rPr>
        <w:footnoteRef/>
      </w:r>
      <w:r w:rsidRPr="008D6DF1">
        <w:t>Lanham Act §43(c)(2)(B), (C), 15 U.S.C. §1125(c)(2)(B), (C).</w:t>
      </w:r>
    </w:p>
  </w:footnote>
  <w:footnote w:id="172">
    <w:p w14:paraId="6DED9F02" w14:textId="2C5F3DD9" w:rsidR="008D6DF1" w:rsidRPr="00146534" w:rsidRDefault="008D6DF1" w:rsidP="008D6DF1">
      <w:pPr>
        <w:pStyle w:val="FootnoteText"/>
      </w:pPr>
      <w:r w:rsidRPr="008D6DF1">
        <w:rPr>
          <w:vertAlign w:val="superscript"/>
        </w:rPr>
        <w:footnoteRef/>
      </w:r>
      <w:r w:rsidRPr="008D6DF1">
        <w:rPr>
          <w:i/>
        </w:rPr>
        <w:t>Id</w:t>
      </w:r>
      <w:r w:rsidRPr="008D6DF1">
        <w:t xml:space="preserve">. §43(c)(3), 15 U.S.C. §1125(c)(3). (The exclusions were formerly contained in §43(c)(4)(A)–(C).) The original “fair use” exclusion was amended significantly by the TDRA. </w:t>
      </w:r>
      <w:r w:rsidRPr="008D6DF1">
        <w:rPr>
          <w:i/>
        </w:rPr>
        <w:t>See</w:t>
      </w:r>
      <w:r w:rsidRPr="008D6DF1">
        <w:t xml:space="preserve"> Chapter 10, §II.</w:t>
      </w:r>
    </w:p>
  </w:footnote>
  <w:footnote w:id="173">
    <w:p w14:paraId="3F23A517" w14:textId="1520A18E" w:rsidR="008D6DF1" w:rsidRPr="00146534" w:rsidRDefault="008D6DF1" w:rsidP="008D6DF1">
      <w:pPr>
        <w:pStyle w:val="FootnoteText"/>
      </w:pPr>
      <w:r w:rsidRPr="008D6DF1">
        <w:rPr>
          <w:vertAlign w:val="superscript"/>
        </w:rPr>
        <w:footnoteRef/>
      </w:r>
      <w:r w:rsidRPr="008D6DF1">
        <w:rPr>
          <w:i/>
        </w:rPr>
        <w:t>See</w:t>
      </w:r>
      <w:r w:rsidRPr="008D6DF1">
        <w:t xml:space="preserve"> </w:t>
      </w:r>
      <w:r w:rsidRPr="008D6DF1">
        <w:rPr>
          <w:smallCaps/>
        </w:rPr>
        <w:t xml:space="preserve">H.R. Rep. No. </w:t>
      </w:r>
      <w:r w:rsidRPr="008D6DF1">
        <w:t xml:space="preserve">104-374, at 3 (need for consistency), 4, 8, 1995 U.S.C.C.A.N. 1029, 1030, 1031, 1035 (no preemption). The one instance of preemption is §43(c)(6), which bars a dilution action under state law against a federally registered trademark. </w:t>
      </w:r>
      <w:r w:rsidRPr="008D6DF1">
        <w:rPr>
          <w:i/>
        </w:rPr>
        <w:t>See</w:t>
      </w:r>
      <w:r w:rsidRPr="008D6DF1">
        <w:t xml:space="preserve"> Chapter 10, §V. Other possible preemption issues are discussed Chapter 4, §III.</w:t>
      </w:r>
    </w:p>
  </w:footnote>
  <w:footnote w:id="174">
    <w:p w14:paraId="33BA28A4" w14:textId="375C0A62" w:rsidR="008D6DF1" w:rsidRPr="00146534" w:rsidRDefault="008D6DF1" w:rsidP="008D6DF1">
      <w:pPr>
        <w:pStyle w:val="FootnoteText"/>
      </w:pPr>
      <w:r w:rsidRPr="008D6DF1">
        <w:rPr>
          <w:vertAlign w:val="superscript"/>
        </w:rPr>
        <w:footnoteRef/>
      </w:r>
      <w:r w:rsidRPr="008D6DF1">
        <w:t xml:space="preserve">A total of 29 states now </w:t>
      </w:r>
      <w:proofErr w:type="gramStart"/>
      <w:r w:rsidRPr="008D6DF1">
        <w:t>have</w:t>
      </w:r>
      <w:proofErr w:type="gramEnd"/>
      <w:r w:rsidRPr="008D6DF1">
        <w:t xml:space="preserve"> a newer version. Of that group, five states—Alabama, California, Mississippi, Oregon, and Texas—have amended their statutes to conform to the 2007 Model Bill. Puerto Rico also has adopted a statute that is somewhat like the 2007 Model Bill.</w:t>
      </w:r>
    </w:p>
  </w:footnote>
  <w:footnote w:id="175">
    <w:p w14:paraId="61B33ACC" w14:textId="2B35C04F" w:rsidR="008D6DF1" w:rsidRPr="00146534" w:rsidRDefault="008D6DF1" w:rsidP="008D6DF1">
      <w:pPr>
        <w:pStyle w:val="FootnoteText"/>
      </w:pPr>
      <w:r w:rsidRPr="008D6DF1">
        <w:rPr>
          <w:vertAlign w:val="superscript"/>
        </w:rPr>
        <w:footnoteRef/>
      </w:r>
      <w:r w:rsidRPr="008D6DF1">
        <w:rPr>
          <w:smallCaps/>
        </w:rPr>
        <w:t xml:space="preserve">Ark. Code Ann. </w:t>
      </w:r>
      <w:r w:rsidRPr="008D6DF1">
        <w:t xml:space="preserve">§4-71-218 (LexisNexis 2001); </w:t>
      </w:r>
      <w:r w:rsidRPr="008D6DF1">
        <w:rPr>
          <w:smallCaps/>
        </w:rPr>
        <w:t>Cal. Bus. &amp; Prof. Code</w:t>
      </w:r>
      <w:r w:rsidRPr="008D6DF1">
        <w:t xml:space="preserve"> §14272 (West. 2008); </w:t>
      </w:r>
      <w:r w:rsidRPr="008D6DF1">
        <w:rPr>
          <w:smallCaps/>
        </w:rPr>
        <w:t>Fla. Stat. Ann</w:t>
      </w:r>
      <w:r w:rsidRPr="008D6DF1">
        <w:t xml:space="preserve">. §495.181 (West 2010); </w:t>
      </w:r>
      <w:r w:rsidRPr="008D6DF1">
        <w:rPr>
          <w:smallCaps/>
        </w:rPr>
        <w:t>Idaho Code</w:t>
      </w:r>
      <w:r w:rsidRPr="008D6DF1">
        <w:t xml:space="preserve"> §48-518 (LexisNexis 2003); 765 </w:t>
      </w:r>
      <w:r w:rsidRPr="008D6DF1">
        <w:rPr>
          <w:smallCaps/>
        </w:rPr>
        <w:t>Ill. Comp. Stat. Ann</w:t>
      </w:r>
      <w:r w:rsidRPr="008D6DF1">
        <w:t xml:space="preserve">. §1036/90 (West 2009); </w:t>
      </w:r>
      <w:r w:rsidRPr="008D6DF1">
        <w:rPr>
          <w:smallCaps/>
        </w:rPr>
        <w:t>Ind. Code</w:t>
      </w:r>
      <w:r w:rsidRPr="008D6DF1">
        <w:t xml:space="preserve"> §24-2-1-0.5 (LexisNexis 2006); </w:t>
      </w:r>
      <w:r w:rsidRPr="008D6DF1">
        <w:rPr>
          <w:smallCaps/>
        </w:rPr>
        <w:t>Kan. Stat. Ann</w:t>
      </w:r>
      <w:r w:rsidRPr="008D6DF1">
        <w:t xml:space="preserve">. §81-220 (Supp. 2009); </w:t>
      </w:r>
      <w:r w:rsidRPr="008D6DF1">
        <w:rPr>
          <w:smallCaps/>
        </w:rPr>
        <w:t>Miss. Code Ann</w:t>
      </w:r>
      <w:r w:rsidRPr="008D6DF1">
        <w:t xml:space="preserve">. §75-25-37 (2009); </w:t>
      </w:r>
      <w:r w:rsidRPr="008D6DF1">
        <w:rPr>
          <w:smallCaps/>
        </w:rPr>
        <w:t xml:space="preserve">Neb. Rev. Stat. </w:t>
      </w:r>
      <w:r w:rsidRPr="008D6DF1">
        <w:t xml:space="preserve">§87-127 (West 2003); </w:t>
      </w:r>
      <w:r w:rsidRPr="008D6DF1">
        <w:rPr>
          <w:smallCaps/>
        </w:rPr>
        <w:t xml:space="preserve">N.J. Stat. Ann. </w:t>
      </w:r>
      <w:r w:rsidRPr="008D6DF1">
        <w:t xml:space="preserve">§56:3-13a (West 2001); </w:t>
      </w:r>
      <w:r w:rsidRPr="008D6DF1">
        <w:rPr>
          <w:smallCaps/>
        </w:rPr>
        <w:t xml:space="preserve">N.M. Stat. Ann. </w:t>
      </w:r>
      <w:r w:rsidRPr="008D6DF1">
        <w:t xml:space="preserve">§57-3B-2 (Michie 2000); </w:t>
      </w:r>
      <w:r w:rsidRPr="008D6DF1">
        <w:rPr>
          <w:smallCaps/>
        </w:rPr>
        <w:t>Or. Rev. Stat</w:t>
      </w:r>
      <w:r w:rsidRPr="008D6DF1">
        <w:t xml:space="preserve">. §647.115(3) (2009); </w:t>
      </w:r>
      <w:r w:rsidRPr="008D6DF1">
        <w:rPr>
          <w:smallCaps/>
        </w:rPr>
        <w:t xml:space="preserve">Tenn. Code Ann. </w:t>
      </w:r>
      <w:r w:rsidRPr="008D6DF1">
        <w:t xml:space="preserve">§47-25-518 (LexisNexis 2001); </w:t>
      </w:r>
      <w:r w:rsidRPr="008D6DF1">
        <w:rPr>
          <w:smallCaps/>
        </w:rPr>
        <w:t xml:space="preserve">Utah Code Ann. </w:t>
      </w:r>
      <w:r w:rsidRPr="008D6DF1">
        <w:t xml:space="preserve">§70-3a-102 (West 2004); </w:t>
      </w:r>
      <w:r w:rsidRPr="008D6DF1">
        <w:rPr>
          <w:smallCaps/>
        </w:rPr>
        <w:t xml:space="preserve">Wash. Rev. Code Ann. </w:t>
      </w:r>
      <w:r w:rsidRPr="008D6DF1">
        <w:t xml:space="preserve">§19.77.930 (West 1999); </w:t>
      </w:r>
      <w:r w:rsidRPr="008D6DF1">
        <w:rPr>
          <w:smallCaps/>
        </w:rPr>
        <w:t>W. Va. Code</w:t>
      </w:r>
      <w:r w:rsidRPr="008D6DF1">
        <w:t xml:space="preserve"> §47-2-19 (West 2002). Many of those provisions assert that the intent of the statute is to harmonize state law with federal law.</w:t>
      </w:r>
    </w:p>
  </w:footnote>
  <w:footnote w:id="176">
    <w:p w14:paraId="5EBF7C97" w14:textId="481F56B0" w:rsidR="008D6DF1" w:rsidRPr="006B283C" w:rsidRDefault="008D6DF1" w:rsidP="008D6DF1">
      <w:pPr>
        <w:pStyle w:val="FootnoteText"/>
        <w:rPr>
          <w:b/>
        </w:rPr>
      </w:pPr>
      <w:r w:rsidRPr="008D6DF1">
        <w:rPr>
          <w:vertAlign w:val="superscript"/>
        </w:rPr>
        <w:footnoteRef/>
      </w:r>
      <w:r w:rsidRPr="008D6DF1">
        <w:rPr>
          <w:i/>
        </w:rPr>
        <w:t>See</w:t>
      </w:r>
      <w:r w:rsidRPr="008D6DF1">
        <w:t xml:space="preserve"> David S. Welkowitz, </w:t>
      </w:r>
      <w:r w:rsidRPr="008D6DF1">
        <w:rPr>
          <w:i/>
        </w:rPr>
        <w:t xml:space="preserve">State of the State: Is There a Future for State Dilution Laws? </w:t>
      </w:r>
      <w:r w:rsidRPr="008D6DF1">
        <w:t xml:space="preserve">24 </w:t>
      </w:r>
      <w:r w:rsidRPr="008D6DF1">
        <w:rPr>
          <w:smallCaps/>
        </w:rPr>
        <w:t>Santa Clara Comp. &amp; High Tech. L.J</w:t>
      </w:r>
      <w:r w:rsidRPr="008D6DF1">
        <w:t xml:space="preserve">. 681 (2008) (discussing the effect of the TDRA on state laws). Most state laws are worded like the original FTDA and may be subject to the same interpretation given to that statute by the Supreme Court. Moseley v. V Secret Catalogue, Inc., 537 U.S. 418, 433, 65 USPQ2d 1801 (2003) (requiring showing of actual dilution under FTDA). See §III.A.3, above (table indicating the different types of state laws). On the other hand, several states, such as Massachusetts and New York, still retain statutes that are worded like the 1964 Model Bill. </w:t>
      </w:r>
      <w:r w:rsidRPr="008D6DF1">
        <w:rPr>
          <w:i/>
        </w:rPr>
        <w:t>See</w:t>
      </w:r>
      <w:r w:rsidRPr="008D6DF1">
        <w:t xml:space="preserve"> Savin Corp. v. Savin Grp., 391 F.3d 439, 455–56, 73 USPQ2d 1273 (2d Cir. 2004) (</w:t>
      </w:r>
      <w:r w:rsidRPr="008D6DF1">
        <w:rPr>
          <w:i/>
        </w:rPr>
        <w:t>Moseley</w:t>
      </w:r>
      <w:r w:rsidRPr="008D6DF1">
        <w:t xml:space="preserve"> not applicable to claim under New York law), </w:t>
      </w:r>
      <w:r w:rsidRPr="008D6DF1">
        <w:rPr>
          <w:i/>
        </w:rPr>
        <w:t>cert</w:t>
      </w:r>
      <w:r w:rsidRPr="008D6DF1">
        <w:t xml:space="preserve">. </w:t>
      </w:r>
      <w:r w:rsidRPr="008D6DF1">
        <w:rPr>
          <w:i/>
        </w:rPr>
        <w:t>denied</w:t>
      </w:r>
      <w:r w:rsidRPr="008D6DF1">
        <w:t xml:space="preserve">, 546 U.S. 822 (2005); Tommy Hilfiger Licensing, Inc. v. Goody’s Family Clothing, Inc., 2003 U.S. Dist. LEXIS 8788, at *109 n.11 (N.D. Ga. May 9, 2003) (dismissing FTDA claim; noting plaintiff’s failure to assert a claim under Georgia law, which is differently worded). </w:t>
      </w:r>
      <w:r w:rsidRPr="008D6DF1">
        <w:rPr>
          <w:i/>
        </w:rPr>
        <w:t>But see</w:t>
      </w:r>
      <w:r w:rsidRPr="008D6DF1">
        <w:t xml:space="preserve"> Playboy Enters., Inc. v. Netscape Commc’ns Corp., 354 F.3d 1020, 1031 n.48, 69 USPQ2d 1417 (9th Cir. 2004) (California law is interpreted to be the same as federal law). It is submitted that the Ninth Circuit’s understanding of the California dilution statute was flawed, but California now has a statute based on the 2007 Model bill. Several other states, plus Puerto Rico, also have statutes based on the 2007 Model Bill, which is in some ways broader than the TDRA. See generally Chapters 2</w:t>
      </w:r>
      <w:r w:rsidRPr="008D6DF1">
        <w:sym w:font="Symbol" w:char="F02D"/>
      </w:r>
      <w:r w:rsidRPr="008D6DF1">
        <w:t>5.</w:t>
      </w:r>
    </w:p>
  </w:footnote>
  <w:footnote w:id="177">
    <w:p w14:paraId="7E618C67" w14:textId="585DF56C" w:rsidR="008D6DF1" w:rsidRPr="00146534" w:rsidRDefault="008D6DF1" w:rsidP="008D6DF1">
      <w:pPr>
        <w:pStyle w:val="FootnoteText"/>
      </w:pPr>
      <w:r w:rsidRPr="008D6DF1">
        <w:rPr>
          <w:vertAlign w:val="superscript"/>
        </w:rPr>
        <w:footnoteRef/>
      </w:r>
      <w:r w:rsidRPr="008D6DF1">
        <w:t>The work was completed by 1994, as can be seen from the foreword date (April 29, 1994).</w:t>
      </w:r>
    </w:p>
  </w:footnote>
  <w:footnote w:id="178">
    <w:p w14:paraId="24BBF720" w14:textId="38AB16F3" w:rsidR="008D6DF1" w:rsidRPr="00146534" w:rsidRDefault="008D6DF1" w:rsidP="008D6DF1">
      <w:pPr>
        <w:pStyle w:val="FootnoteText"/>
      </w:pPr>
      <w:r w:rsidRPr="008D6DF1">
        <w:rPr>
          <w:vertAlign w:val="superscript"/>
        </w:rPr>
        <w:footnoteRef/>
      </w:r>
      <w:r w:rsidRPr="008D6DF1">
        <w:t xml:space="preserve">There were no earlier versions of the </w:t>
      </w:r>
      <w:r w:rsidRPr="008D6DF1">
        <w:rPr>
          <w:i/>
        </w:rPr>
        <w:t>Restatement of Unfair Competition</w:t>
      </w:r>
      <w:r w:rsidRPr="008D6DF1">
        <w:t xml:space="preserve">. The </w:t>
      </w:r>
      <w:r w:rsidRPr="008D6DF1">
        <w:rPr>
          <w:i/>
        </w:rPr>
        <w:t>Restatement (First) of Torts</w:t>
      </w:r>
      <w:r w:rsidRPr="008D6DF1">
        <w:t xml:space="preserve"> included various sections dealing with unfair competition. The </w:t>
      </w:r>
      <w:r w:rsidRPr="008D6DF1">
        <w:rPr>
          <w:i/>
        </w:rPr>
        <w:t>Restatement (Second) of Torts</w:t>
      </w:r>
      <w:r w:rsidRPr="008D6DF1">
        <w:t xml:space="preserve"> also was to have included a discussion of unfair competition, but that portion was removed before it was promulgated. The drafters believed that unfair competition had evolved into its own area of law. This begat the </w:t>
      </w:r>
      <w:r w:rsidRPr="008D6DF1">
        <w:rPr>
          <w:i/>
        </w:rPr>
        <w:t>Restatement (Third) of Unfair Competition</w:t>
      </w:r>
      <w:r w:rsidRPr="008D6DF1">
        <w:t xml:space="preserve">. </w:t>
      </w:r>
      <w:r w:rsidRPr="008D6DF1">
        <w:rPr>
          <w:i/>
        </w:rPr>
        <w:t>See</w:t>
      </w:r>
      <w:r w:rsidRPr="008D6DF1">
        <w:t xml:space="preserve"> </w:t>
      </w:r>
      <w:r w:rsidRPr="008D6DF1">
        <w:rPr>
          <w:smallCaps/>
        </w:rPr>
        <w:t>Geoffrey C. Hazard, Jr.,</w:t>
      </w:r>
      <w:r w:rsidRPr="008D6DF1">
        <w:t xml:space="preserve"> </w:t>
      </w:r>
      <w:r w:rsidRPr="008D6DF1">
        <w:rPr>
          <w:i/>
        </w:rPr>
        <w:t>Foreword</w:t>
      </w:r>
      <w:r w:rsidRPr="008D6DF1">
        <w:t xml:space="preserve">, </w:t>
      </w:r>
      <w:r w:rsidRPr="008D6DF1">
        <w:rPr>
          <w:smallCaps/>
        </w:rPr>
        <w:t>Restatement (Third) of Unfair Competition</w:t>
      </w:r>
      <w:r w:rsidRPr="008D6DF1">
        <w:t xml:space="preserve"> xi (1995).</w:t>
      </w:r>
    </w:p>
  </w:footnote>
  <w:footnote w:id="179">
    <w:p w14:paraId="4BDAEF5A" w14:textId="169C2858" w:rsidR="008D6DF1" w:rsidRDefault="008D6DF1" w:rsidP="008D6DF1">
      <w:pPr>
        <w:pStyle w:val="FootnoteText"/>
      </w:pPr>
      <w:r w:rsidRPr="008D6DF1">
        <w:rPr>
          <w:rStyle w:val="FootnoteReference"/>
        </w:rPr>
        <w:footnoteRef/>
      </w:r>
      <w:r w:rsidRPr="008D6DF1">
        <w:rPr>
          <w:smallCaps/>
        </w:rPr>
        <w:t>Restatement (Third) of Unfair Competition</w:t>
      </w:r>
      <w:r w:rsidRPr="008D6DF1">
        <w:t xml:space="preserve"> §25.</w:t>
      </w:r>
    </w:p>
  </w:footnote>
  <w:footnote w:id="180">
    <w:p w14:paraId="2D275BD1" w14:textId="532EF09E" w:rsidR="008D6DF1" w:rsidRPr="00146534" w:rsidRDefault="008D6DF1" w:rsidP="008D6DF1">
      <w:pPr>
        <w:pStyle w:val="FootnoteText"/>
      </w:pPr>
      <w:r w:rsidRPr="008D6DF1">
        <w:rPr>
          <w:vertAlign w:val="superscript"/>
        </w:rPr>
        <w:footnoteRef/>
      </w:r>
      <w:r w:rsidRPr="008D6DF1">
        <w:rPr>
          <w:i/>
        </w:rPr>
        <w:t>See,</w:t>
      </w:r>
      <w:r w:rsidRPr="008D6DF1">
        <w:t xml:space="preserve"> </w:t>
      </w:r>
      <w:r w:rsidRPr="008D6DF1">
        <w:rPr>
          <w:i/>
        </w:rPr>
        <w:t>e</w:t>
      </w:r>
      <w:r w:rsidRPr="008D6DF1">
        <w:t>.</w:t>
      </w:r>
      <w:r w:rsidRPr="008D6DF1">
        <w:rPr>
          <w:i/>
        </w:rPr>
        <w:t>g</w:t>
      </w:r>
      <w:r w:rsidRPr="008D6DF1">
        <w:t xml:space="preserve">., Great S. Bank v. First S. Bank, 625 So.2d 463, 470, 30 USPQ2d 1522 (Fla. 1993) (using standards from the </w:t>
      </w:r>
      <w:r w:rsidRPr="008D6DF1">
        <w:rPr>
          <w:i/>
        </w:rPr>
        <w:t>Restatement</w:t>
      </w:r>
      <w:r w:rsidRPr="008D6DF1">
        <w:t xml:space="preserve"> to describe the level of distinctiveness required under the state’s dilution statute).</w:t>
      </w:r>
    </w:p>
  </w:footnote>
  <w:footnote w:id="181">
    <w:p w14:paraId="535028D3" w14:textId="4AD1CE64" w:rsidR="008D6DF1" w:rsidRPr="00146534" w:rsidRDefault="008D6DF1" w:rsidP="008D6DF1">
      <w:pPr>
        <w:pStyle w:val="FootnoteText"/>
      </w:pPr>
      <w:r w:rsidRPr="008D6DF1">
        <w:rPr>
          <w:vertAlign w:val="superscript"/>
        </w:rPr>
        <w:footnoteRef/>
      </w:r>
      <w:r w:rsidRPr="008D6DF1">
        <w:t xml:space="preserve">See Chapter 12, §I, for a discussion of federal subject matter jurisdiction over such claims. </w:t>
      </w:r>
      <w:r w:rsidRPr="008D6DF1">
        <w:rPr>
          <w:i/>
        </w:rPr>
        <w:t>See also</w:t>
      </w:r>
      <w:r w:rsidRPr="008D6DF1">
        <w:t xml:space="preserve"> Nabisco, Inc. v. PF Brands, Inc., 191 F.3d 208, 225 n.7, 51 USPQ2d 1882 (2d Cir. 1999) (dilution claim brought under New York law may be broader than FTDA claim).</w:t>
      </w:r>
    </w:p>
  </w:footnote>
  <w:footnote w:id="182">
    <w:p w14:paraId="5ADC4D00" w14:textId="6DE7A8DE" w:rsidR="008D6DF1" w:rsidRPr="00146534" w:rsidRDefault="008D6DF1" w:rsidP="008D6DF1">
      <w:pPr>
        <w:pStyle w:val="FootnoteText"/>
      </w:pPr>
      <w:r w:rsidRPr="008D6DF1">
        <w:rPr>
          <w:vertAlign w:val="superscript"/>
        </w:rPr>
        <w:footnoteRef/>
      </w:r>
      <w:r w:rsidRPr="008D6DF1">
        <w:rPr>
          <w:i/>
        </w:rPr>
        <w:t>See</w:t>
      </w:r>
      <w:r w:rsidRPr="008D6DF1">
        <w:t xml:space="preserve"> Advantage Rent-A-Car, Inc. v. Enterprise Rent-A-Car Co., 238 F.3d 378, 380–81, 57 USPQ2d 1561 (5th Cir. 2001) (claims brought under the FTDA and the laws of Arkansas, Louisiana, New Mexico, and Texas); R.L. Winston Rod Co. v. Sage Mfg. Co., 838 F. Supp. 1396, 1398 n.2, 29 USPQ2d 1779 (D. Mont. 1993) (claims brought under eight different state dilution laws).</w:t>
      </w:r>
    </w:p>
  </w:footnote>
  <w:footnote w:id="183">
    <w:p w14:paraId="2AB1F7B2" w14:textId="01D1469A" w:rsidR="008D6DF1" w:rsidRPr="00146534" w:rsidRDefault="008D6DF1" w:rsidP="008D6DF1">
      <w:pPr>
        <w:pStyle w:val="FootnoteText"/>
      </w:pPr>
      <w:r w:rsidRPr="008D6DF1">
        <w:rPr>
          <w:vertAlign w:val="superscript"/>
        </w:rPr>
        <w:footnoteRef/>
      </w:r>
      <w:r w:rsidRPr="008D6DF1">
        <w:rPr>
          <w:i/>
        </w:rPr>
        <w:t>See</w:t>
      </w:r>
      <w:r w:rsidRPr="008D6DF1">
        <w:t xml:space="preserve"> Abbott Labs. v. </w:t>
      </w:r>
      <w:proofErr w:type="spellStart"/>
      <w:r w:rsidRPr="008D6DF1">
        <w:t>Nutramax</w:t>
      </w:r>
      <w:proofErr w:type="spellEnd"/>
      <w:r w:rsidRPr="008D6DF1">
        <w:t xml:space="preserve"> Prods., Inc., 844 F. Supp. 443, 446, 30 USPQ2d 1873 (N.D. Ill. 1994) (choice-of-law analysis required to select between Massachusetts and Illinois dilution laws); </w:t>
      </w:r>
      <w:r w:rsidRPr="008D6DF1">
        <w:rPr>
          <w:i/>
        </w:rPr>
        <w:t>cf</w:t>
      </w:r>
      <w:r w:rsidRPr="008D6DF1">
        <w:t xml:space="preserve">. WHS Entm’t Ventures v. </w:t>
      </w:r>
      <w:proofErr w:type="spellStart"/>
      <w:r w:rsidRPr="008D6DF1">
        <w:t>Paperworkers</w:t>
      </w:r>
      <w:proofErr w:type="spellEnd"/>
      <w:r w:rsidRPr="008D6DF1">
        <w:t xml:space="preserve">, 997 F. Supp. 946, 955 (M.D. Tenn. 1998) (after dismissing federal claims, declining jurisdiction over state trademark claims citing, inter alia, concerns that state law had received little attention from state courts). Moore v. Weinstein Co., 545 F. </w:t>
      </w:r>
      <w:proofErr w:type="spellStart"/>
      <w:r w:rsidRPr="008D6DF1">
        <w:t>App’x</w:t>
      </w:r>
      <w:proofErr w:type="spellEnd"/>
      <w:r w:rsidRPr="008D6DF1">
        <w:t xml:space="preserve"> 405, 411 (6th Cir. 2013) (finding the dilution laws of Tennessee and Arizona to be the same—thus, no conflict existed).</w:t>
      </w:r>
    </w:p>
  </w:footnote>
  <w:footnote w:id="184">
    <w:p w14:paraId="5A12337C" w14:textId="32CB8E3B" w:rsidR="008D6DF1" w:rsidRPr="00146534" w:rsidRDefault="008D6DF1" w:rsidP="008D6DF1">
      <w:pPr>
        <w:pStyle w:val="FootnoteText"/>
      </w:pPr>
      <w:r w:rsidRPr="008D6DF1">
        <w:rPr>
          <w:vertAlign w:val="superscript"/>
        </w:rPr>
        <w:footnoteRef/>
      </w:r>
      <w:r w:rsidRPr="008D6DF1">
        <w:rPr>
          <w:i/>
        </w:rPr>
        <w:t>See, e</w:t>
      </w:r>
      <w:r w:rsidRPr="008D6DF1">
        <w:t>.</w:t>
      </w:r>
      <w:r w:rsidRPr="008D6DF1">
        <w:rPr>
          <w:i/>
        </w:rPr>
        <w:t>g</w:t>
      </w:r>
      <w:r w:rsidRPr="008D6DF1">
        <w:t xml:space="preserve">., </w:t>
      </w:r>
      <w:r w:rsidRPr="008D6DF1">
        <w:rPr>
          <w:i/>
        </w:rPr>
        <w:t>Advantage Rent-A-Car</w:t>
      </w:r>
      <w:r w:rsidRPr="008D6DF1">
        <w:t>, 238 F.3d 378 (suit included claims under dilution laws of four different states—Arkansas, Louisiana, New Mexico, and Texas).</w:t>
      </w:r>
    </w:p>
  </w:footnote>
  <w:footnote w:id="185">
    <w:p w14:paraId="084DEE41" w14:textId="461C38E3" w:rsidR="008D6DF1" w:rsidRPr="00146534" w:rsidRDefault="008D6DF1" w:rsidP="008D6DF1">
      <w:pPr>
        <w:pStyle w:val="FootnoteText"/>
      </w:pPr>
      <w:r w:rsidRPr="008D6DF1">
        <w:rPr>
          <w:vertAlign w:val="superscript"/>
        </w:rPr>
        <w:footnoteRef/>
      </w:r>
      <w:r w:rsidRPr="008D6DF1">
        <w:t xml:space="preserve">2002 WL 1837402 (S.D.N.Y. Aug. 9, 2002), </w:t>
      </w:r>
      <w:r w:rsidRPr="008D6DF1">
        <w:rPr>
          <w:i/>
        </w:rPr>
        <w:t>adhered to on reconsideration</w:t>
      </w:r>
      <w:r w:rsidRPr="008D6DF1">
        <w:t>, 2002 WL 31357692 (S.D.N.Y. Oct. 17, 2002).</w:t>
      </w:r>
    </w:p>
  </w:footnote>
  <w:footnote w:id="186">
    <w:p w14:paraId="255794A2" w14:textId="1911C5D5" w:rsidR="008D6DF1" w:rsidRPr="00146534" w:rsidRDefault="008D6DF1" w:rsidP="008D6DF1">
      <w:pPr>
        <w:pStyle w:val="FootnoteText"/>
      </w:pPr>
      <w:r w:rsidRPr="008D6DF1">
        <w:rPr>
          <w:vertAlign w:val="superscript"/>
        </w:rPr>
        <w:footnoteRef/>
      </w:r>
      <w:r w:rsidRPr="008D6DF1">
        <w:rPr>
          <w:i/>
        </w:rPr>
        <w:t>Id</w:t>
      </w:r>
      <w:r w:rsidRPr="008D6DF1">
        <w:t xml:space="preserve">. at *4; </w:t>
      </w:r>
      <w:r w:rsidRPr="008D6DF1">
        <w:rPr>
          <w:i/>
        </w:rPr>
        <w:t>see also</w:t>
      </w:r>
      <w:r w:rsidRPr="008D6DF1">
        <w:t xml:space="preserve"> Rolex Watch USA, Inc. v. JBJ </w:t>
      </w:r>
      <w:proofErr w:type="spellStart"/>
      <w:r w:rsidRPr="008D6DF1">
        <w:t>Distribs</w:t>
      </w:r>
      <w:proofErr w:type="spellEnd"/>
      <w:r w:rsidRPr="008D6DF1">
        <w:t xml:space="preserve">., Inc., 77 F. </w:t>
      </w:r>
      <w:proofErr w:type="spellStart"/>
      <w:r w:rsidRPr="008D6DF1">
        <w:t>App’x</w:t>
      </w:r>
      <w:proofErr w:type="spellEnd"/>
      <w:r w:rsidRPr="008D6DF1">
        <w:t>. 208 (5th Cir. 2003) (unpublished opinion) (district court should not have applied New York law where there was no jurisdictional nexus with New York).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EAFE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61C09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52246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1AC8E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33E42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E46F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EAE4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ECCCDE9E"/>
    <w:lvl w:ilvl="0">
      <w:start w:val="1"/>
      <w:numFmt w:val="decimal"/>
      <w:lvlText w:val="%1."/>
      <w:lvlJc w:val="left"/>
      <w:pPr>
        <w:tabs>
          <w:tab w:val="num" w:pos="360"/>
        </w:tabs>
        <w:ind w:left="360" w:hanging="360"/>
      </w:pPr>
    </w:lvl>
  </w:abstractNum>
  <w:abstractNum w:abstractNumId="8"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12" w15:restartNumberingAfterBreak="0">
    <w:nsid w:val="114A754E"/>
    <w:multiLevelType w:val="hybridMultilevel"/>
    <w:tmpl w:val="AE5ECF46"/>
    <w:name w:val="ParaNum A2"/>
    <w:lvl w:ilvl="0" w:tplc="634AA1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22"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7"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2"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927DD3"/>
    <w:multiLevelType w:val="hybridMultilevel"/>
    <w:tmpl w:val="BA7E09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DB517D"/>
    <w:multiLevelType w:val="hybridMultilevel"/>
    <w:tmpl w:val="CF4E9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3A2B20"/>
    <w:multiLevelType w:val="hybridMultilevel"/>
    <w:tmpl w:val="65E6B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4F00AB"/>
    <w:multiLevelType w:val="hybridMultilevel"/>
    <w:tmpl w:val="56FE9ECC"/>
    <w:lvl w:ilvl="0" w:tplc="A26488DE">
      <w:start w:val="1"/>
      <w:numFmt w:val="bullet"/>
      <w:pStyle w:val="BListitembul"/>
      <w:lvlText w:val=""/>
      <w:lvlJc w:val="left"/>
      <w:pPr>
        <w:ind w:left="720" w:hanging="360"/>
      </w:pPr>
      <w:rPr>
        <w:rFonts w:ascii="Symbol" w:hAnsi="Symbol" w:hint="default"/>
      </w:rPr>
    </w:lvl>
    <w:lvl w:ilvl="1" w:tplc="A5D0BAB2">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6816798">
    <w:abstractNumId w:val="38"/>
  </w:num>
  <w:num w:numId="2" w16cid:durableId="1796212711">
    <w:abstractNumId w:val="42"/>
  </w:num>
  <w:num w:numId="3" w16cid:durableId="560215516">
    <w:abstractNumId w:val="10"/>
  </w:num>
  <w:num w:numId="4" w16cid:durableId="127167174">
    <w:abstractNumId w:val="15"/>
  </w:num>
  <w:num w:numId="5" w16cid:durableId="530146565">
    <w:abstractNumId w:val="16"/>
  </w:num>
  <w:num w:numId="6" w16cid:durableId="1308701023">
    <w:abstractNumId w:val="14"/>
  </w:num>
  <w:num w:numId="7" w16cid:durableId="1164586576">
    <w:abstractNumId w:val="24"/>
  </w:num>
  <w:num w:numId="8" w16cid:durableId="390078248">
    <w:abstractNumId w:val="40"/>
  </w:num>
  <w:num w:numId="9" w16cid:durableId="1709836850">
    <w:abstractNumId w:val="30"/>
  </w:num>
  <w:num w:numId="10" w16cid:durableId="1514031139">
    <w:abstractNumId w:val="8"/>
  </w:num>
  <w:num w:numId="11" w16cid:durableId="439372092">
    <w:abstractNumId w:val="17"/>
  </w:num>
  <w:num w:numId="12" w16cid:durableId="1176964315">
    <w:abstractNumId w:val="11"/>
  </w:num>
  <w:num w:numId="13" w16cid:durableId="57481982">
    <w:abstractNumId w:val="37"/>
  </w:num>
  <w:num w:numId="14" w16cid:durableId="616182069">
    <w:abstractNumId w:val="34"/>
  </w:num>
  <w:num w:numId="15" w16cid:durableId="1331370395">
    <w:abstractNumId w:val="32"/>
  </w:num>
  <w:num w:numId="16" w16cid:durableId="2048220565">
    <w:abstractNumId w:val="18"/>
  </w:num>
  <w:num w:numId="17" w16cid:durableId="1376926949">
    <w:abstractNumId w:val="41"/>
  </w:num>
  <w:num w:numId="18" w16cid:durableId="353920111">
    <w:abstractNumId w:val="19"/>
  </w:num>
  <w:num w:numId="19" w16cid:durableId="1125343429">
    <w:abstractNumId w:val="27"/>
  </w:num>
  <w:num w:numId="20" w16cid:durableId="72313112">
    <w:abstractNumId w:val="21"/>
  </w:num>
  <w:num w:numId="21" w16cid:durableId="1413089690">
    <w:abstractNumId w:val="23"/>
  </w:num>
  <w:num w:numId="22" w16cid:durableId="1946451628">
    <w:abstractNumId w:val="28"/>
  </w:num>
  <w:num w:numId="23" w16cid:durableId="1714229662">
    <w:abstractNumId w:val="29"/>
  </w:num>
  <w:num w:numId="24" w16cid:durableId="1864049548">
    <w:abstractNumId w:val="42"/>
  </w:num>
  <w:num w:numId="25" w16cid:durableId="1312754695">
    <w:abstractNumId w:val="42"/>
  </w:num>
  <w:num w:numId="26" w16cid:durableId="1166363704">
    <w:abstractNumId w:val="20"/>
  </w:num>
  <w:num w:numId="27" w16cid:durableId="789670048">
    <w:abstractNumId w:val="26"/>
  </w:num>
  <w:num w:numId="28" w16cid:durableId="971784460">
    <w:abstractNumId w:val="31"/>
  </w:num>
  <w:num w:numId="29" w16cid:durableId="1803688727">
    <w:abstractNumId w:val="13"/>
  </w:num>
  <w:num w:numId="30" w16cid:durableId="154415689">
    <w:abstractNumId w:val="36"/>
  </w:num>
  <w:num w:numId="31" w16cid:durableId="109083732">
    <w:abstractNumId w:val="9"/>
  </w:num>
  <w:num w:numId="32" w16cid:durableId="1136098287">
    <w:abstractNumId w:val="25"/>
  </w:num>
  <w:num w:numId="33" w16cid:durableId="329909884">
    <w:abstractNumId w:val="22"/>
  </w:num>
  <w:num w:numId="34" w16cid:durableId="1326783886">
    <w:abstractNumId w:val="39"/>
  </w:num>
  <w:num w:numId="35" w16cid:durableId="1557355429">
    <w:abstractNumId w:val="6"/>
  </w:num>
  <w:num w:numId="36" w16cid:durableId="765922959">
    <w:abstractNumId w:val="5"/>
  </w:num>
  <w:num w:numId="37" w16cid:durableId="2071725111">
    <w:abstractNumId w:val="4"/>
  </w:num>
  <w:num w:numId="38" w16cid:durableId="474840607">
    <w:abstractNumId w:val="7"/>
  </w:num>
  <w:num w:numId="39" w16cid:durableId="288167526">
    <w:abstractNumId w:val="3"/>
  </w:num>
  <w:num w:numId="40" w16cid:durableId="1097289998">
    <w:abstractNumId w:val="2"/>
  </w:num>
  <w:num w:numId="41" w16cid:durableId="566844896">
    <w:abstractNumId w:val="1"/>
  </w:num>
  <w:num w:numId="42" w16cid:durableId="1650749282">
    <w:abstractNumId w:val="0"/>
  </w:num>
  <w:num w:numId="43" w16cid:durableId="242960769">
    <w:abstractNumId w:val="35"/>
  </w:num>
  <w:num w:numId="44" w16cid:durableId="536233793">
    <w:abstractNumId w:val="3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PersonalInformation/>
  <w:removeDateAndTime/>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770"/>
    <w:rsid w:val="00000446"/>
    <w:rsid w:val="0000050A"/>
    <w:rsid w:val="000006F9"/>
    <w:rsid w:val="00000756"/>
    <w:rsid w:val="00000CB6"/>
    <w:rsid w:val="00000FE0"/>
    <w:rsid w:val="00001941"/>
    <w:rsid w:val="00001C06"/>
    <w:rsid w:val="000023AE"/>
    <w:rsid w:val="00002F39"/>
    <w:rsid w:val="0000318E"/>
    <w:rsid w:val="0000402F"/>
    <w:rsid w:val="00004110"/>
    <w:rsid w:val="000041F3"/>
    <w:rsid w:val="0000433E"/>
    <w:rsid w:val="0000483B"/>
    <w:rsid w:val="00004FCA"/>
    <w:rsid w:val="000059C3"/>
    <w:rsid w:val="00005F5A"/>
    <w:rsid w:val="00006207"/>
    <w:rsid w:val="000063A3"/>
    <w:rsid w:val="00006D31"/>
    <w:rsid w:val="00006D3C"/>
    <w:rsid w:val="00007206"/>
    <w:rsid w:val="000074FB"/>
    <w:rsid w:val="00007CF6"/>
    <w:rsid w:val="00010B25"/>
    <w:rsid w:val="00010D6B"/>
    <w:rsid w:val="000110A9"/>
    <w:rsid w:val="0001179E"/>
    <w:rsid w:val="0001230A"/>
    <w:rsid w:val="00012925"/>
    <w:rsid w:val="00012A5B"/>
    <w:rsid w:val="000131ED"/>
    <w:rsid w:val="0001492B"/>
    <w:rsid w:val="00014CB2"/>
    <w:rsid w:val="00015949"/>
    <w:rsid w:val="00015AA3"/>
    <w:rsid w:val="00015CB9"/>
    <w:rsid w:val="00016466"/>
    <w:rsid w:val="000167C7"/>
    <w:rsid w:val="00016E51"/>
    <w:rsid w:val="000203B5"/>
    <w:rsid w:val="00020568"/>
    <w:rsid w:val="00020FF7"/>
    <w:rsid w:val="00021067"/>
    <w:rsid w:val="0002130F"/>
    <w:rsid w:val="00021907"/>
    <w:rsid w:val="00021B97"/>
    <w:rsid w:val="00022120"/>
    <w:rsid w:val="00022422"/>
    <w:rsid w:val="00022ABB"/>
    <w:rsid w:val="000233AF"/>
    <w:rsid w:val="00025439"/>
    <w:rsid w:val="0002618E"/>
    <w:rsid w:val="0002716D"/>
    <w:rsid w:val="0002776F"/>
    <w:rsid w:val="0002787F"/>
    <w:rsid w:val="0003034E"/>
    <w:rsid w:val="000305E3"/>
    <w:rsid w:val="0003159C"/>
    <w:rsid w:val="000316FA"/>
    <w:rsid w:val="00031779"/>
    <w:rsid w:val="00031B8A"/>
    <w:rsid w:val="00031FC5"/>
    <w:rsid w:val="00032000"/>
    <w:rsid w:val="0003217F"/>
    <w:rsid w:val="00033F16"/>
    <w:rsid w:val="00034295"/>
    <w:rsid w:val="00034683"/>
    <w:rsid w:val="00034FDE"/>
    <w:rsid w:val="000356A4"/>
    <w:rsid w:val="00036D08"/>
    <w:rsid w:val="000375BB"/>
    <w:rsid w:val="000402C3"/>
    <w:rsid w:val="00040468"/>
    <w:rsid w:val="00040D9E"/>
    <w:rsid w:val="00041150"/>
    <w:rsid w:val="00041C2E"/>
    <w:rsid w:val="00041F05"/>
    <w:rsid w:val="00044690"/>
    <w:rsid w:val="00044C8D"/>
    <w:rsid w:val="00045200"/>
    <w:rsid w:val="0004717C"/>
    <w:rsid w:val="000478DB"/>
    <w:rsid w:val="00047B10"/>
    <w:rsid w:val="00050ACB"/>
    <w:rsid w:val="00052406"/>
    <w:rsid w:val="000524DB"/>
    <w:rsid w:val="000529E5"/>
    <w:rsid w:val="00052D03"/>
    <w:rsid w:val="00052E1F"/>
    <w:rsid w:val="000531F8"/>
    <w:rsid w:val="00053B65"/>
    <w:rsid w:val="000569C3"/>
    <w:rsid w:val="00056C9E"/>
    <w:rsid w:val="00056EE0"/>
    <w:rsid w:val="00060655"/>
    <w:rsid w:val="00060C6E"/>
    <w:rsid w:val="00060CEB"/>
    <w:rsid w:val="00061205"/>
    <w:rsid w:val="000615ED"/>
    <w:rsid w:val="00061A5C"/>
    <w:rsid w:val="00064030"/>
    <w:rsid w:val="00064463"/>
    <w:rsid w:val="00065095"/>
    <w:rsid w:val="00065198"/>
    <w:rsid w:val="000661A6"/>
    <w:rsid w:val="000678D8"/>
    <w:rsid w:val="00067A51"/>
    <w:rsid w:val="00067B9C"/>
    <w:rsid w:val="0007159C"/>
    <w:rsid w:val="00072E47"/>
    <w:rsid w:val="00073C1D"/>
    <w:rsid w:val="00073CC7"/>
    <w:rsid w:val="00074A62"/>
    <w:rsid w:val="00074B5D"/>
    <w:rsid w:val="00074C79"/>
    <w:rsid w:val="00075284"/>
    <w:rsid w:val="00075463"/>
    <w:rsid w:val="00075C32"/>
    <w:rsid w:val="00075F96"/>
    <w:rsid w:val="000762F0"/>
    <w:rsid w:val="00076824"/>
    <w:rsid w:val="00076CDA"/>
    <w:rsid w:val="0007754A"/>
    <w:rsid w:val="00080010"/>
    <w:rsid w:val="0008005D"/>
    <w:rsid w:val="00080331"/>
    <w:rsid w:val="000815C3"/>
    <w:rsid w:val="000816C4"/>
    <w:rsid w:val="000818F1"/>
    <w:rsid w:val="00081DF4"/>
    <w:rsid w:val="00081FE2"/>
    <w:rsid w:val="00082326"/>
    <w:rsid w:val="000826CD"/>
    <w:rsid w:val="00083897"/>
    <w:rsid w:val="00083EA3"/>
    <w:rsid w:val="0008400E"/>
    <w:rsid w:val="00084417"/>
    <w:rsid w:val="000849E0"/>
    <w:rsid w:val="000852E8"/>
    <w:rsid w:val="00085ABC"/>
    <w:rsid w:val="0008600E"/>
    <w:rsid w:val="0008659E"/>
    <w:rsid w:val="00086CE5"/>
    <w:rsid w:val="00086EF6"/>
    <w:rsid w:val="000872D6"/>
    <w:rsid w:val="000902BA"/>
    <w:rsid w:val="00090583"/>
    <w:rsid w:val="00090601"/>
    <w:rsid w:val="000909AD"/>
    <w:rsid w:val="00090B35"/>
    <w:rsid w:val="00090C49"/>
    <w:rsid w:val="0009141F"/>
    <w:rsid w:val="00091917"/>
    <w:rsid w:val="00091A13"/>
    <w:rsid w:val="00093ECA"/>
    <w:rsid w:val="0009404F"/>
    <w:rsid w:val="000946D9"/>
    <w:rsid w:val="00094700"/>
    <w:rsid w:val="0009668C"/>
    <w:rsid w:val="00096CD0"/>
    <w:rsid w:val="00096DA5"/>
    <w:rsid w:val="00096EBA"/>
    <w:rsid w:val="00097135"/>
    <w:rsid w:val="00097793"/>
    <w:rsid w:val="000A08CD"/>
    <w:rsid w:val="000A095A"/>
    <w:rsid w:val="000A0D54"/>
    <w:rsid w:val="000A187E"/>
    <w:rsid w:val="000A1CDA"/>
    <w:rsid w:val="000A26AF"/>
    <w:rsid w:val="000A2B2C"/>
    <w:rsid w:val="000A2BA8"/>
    <w:rsid w:val="000A3459"/>
    <w:rsid w:val="000A34C9"/>
    <w:rsid w:val="000A3A02"/>
    <w:rsid w:val="000A43A5"/>
    <w:rsid w:val="000A4908"/>
    <w:rsid w:val="000A522A"/>
    <w:rsid w:val="000A555B"/>
    <w:rsid w:val="000A58AD"/>
    <w:rsid w:val="000A59F7"/>
    <w:rsid w:val="000A6526"/>
    <w:rsid w:val="000A6C92"/>
    <w:rsid w:val="000A7B9F"/>
    <w:rsid w:val="000B07DC"/>
    <w:rsid w:val="000B0B0A"/>
    <w:rsid w:val="000B11CE"/>
    <w:rsid w:val="000B1239"/>
    <w:rsid w:val="000B16D7"/>
    <w:rsid w:val="000B1DF4"/>
    <w:rsid w:val="000B22AA"/>
    <w:rsid w:val="000B42CA"/>
    <w:rsid w:val="000B5BD7"/>
    <w:rsid w:val="000C0184"/>
    <w:rsid w:val="000C0560"/>
    <w:rsid w:val="000C06BD"/>
    <w:rsid w:val="000C0F6C"/>
    <w:rsid w:val="000C1009"/>
    <w:rsid w:val="000C1A19"/>
    <w:rsid w:val="000C377E"/>
    <w:rsid w:val="000C451B"/>
    <w:rsid w:val="000C49AB"/>
    <w:rsid w:val="000C4B4B"/>
    <w:rsid w:val="000C5FFD"/>
    <w:rsid w:val="000C6CB9"/>
    <w:rsid w:val="000C7595"/>
    <w:rsid w:val="000C7FF6"/>
    <w:rsid w:val="000D080E"/>
    <w:rsid w:val="000D1A75"/>
    <w:rsid w:val="000D2662"/>
    <w:rsid w:val="000D2D89"/>
    <w:rsid w:val="000D3544"/>
    <w:rsid w:val="000D3846"/>
    <w:rsid w:val="000D3AE2"/>
    <w:rsid w:val="000D3CA7"/>
    <w:rsid w:val="000D5162"/>
    <w:rsid w:val="000D6B77"/>
    <w:rsid w:val="000D7536"/>
    <w:rsid w:val="000D75EC"/>
    <w:rsid w:val="000D7623"/>
    <w:rsid w:val="000D762E"/>
    <w:rsid w:val="000D788F"/>
    <w:rsid w:val="000E0357"/>
    <w:rsid w:val="000E13C5"/>
    <w:rsid w:val="000E17F0"/>
    <w:rsid w:val="000E1CF7"/>
    <w:rsid w:val="000E2157"/>
    <w:rsid w:val="000E2E02"/>
    <w:rsid w:val="000E5547"/>
    <w:rsid w:val="000E597E"/>
    <w:rsid w:val="000F000A"/>
    <w:rsid w:val="000F0137"/>
    <w:rsid w:val="000F07AB"/>
    <w:rsid w:val="000F11B5"/>
    <w:rsid w:val="000F1FD1"/>
    <w:rsid w:val="000F250C"/>
    <w:rsid w:val="000F279F"/>
    <w:rsid w:val="000F2A11"/>
    <w:rsid w:val="000F2AB4"/>
    <w:rsid w:val="000F39AF"/>
    <w:rsid w:val="000F475A"/>
    <w:rsid w:val="000F5239"/>
    <w:rsid w:val="000F71BB"/>
    <w:rsid w:val="000F72B7"/>
    <w:rsid w:val="000F766C"/>
    <w:rsid w:val="000F76BD"/>
    <w:rsid w:val="001002C5"/>
    <w:rsid w:val="0010045A"/>
    <w:rsid w:val="00100482"/>
    <w:rsid w:val="001008BB"/>
    <w:rsid w:val="00100D3B"/>
    <w:rsid w:val="00100E1B"/>
    <w:rsid w:val="00100E82"/>
    <w:rsid w:val="00101193"/>
    <w:rsid w:val="00101365"/>
    <w:rsid w:val="001014A3"/>
    <w:rsid w:val="001017E4"/>
    <w:rsid w:val="00102139"/>
    <w:rsid w:val="001021A5"/>
    <w:rsid w:val="00103331"/>
    <w:rsid w:val="001033DF"/>
    <w:rsid w:val="00103557"/>
    <w:rsid w:val="001036A3"/>
    <w:rsid w:val="00104F3D"/>
    <w:rsid w:val="0010513E"/>
    <w:rsid w:val="00105D9A"/>
    <w:rsid w:val="00105EAB"/>
    <w:rsid w:val="00106B8F"/>
    <w:rsid w:val="00106E4E"/>
    <w:rsid w:val="00107875"/>
    <w:rsid w:val="00111494"/>
    <w:rsid w:val="00112492"/>
    <w:rsid w:val="0011267B"/>
    <w:rsid w:val="00112D64"/>
    <w:rsid w:val="001141CD"/>
    <w:rsid w:val="0011420C"/>
    <w:rsid w:val="00114403"/>
    <w:rsid w:val="00114779"/>
    <w:rsid w:val="00114C97"/>
    <w:rsid w:val="00114C9D"/>
    <w:rsid w:val="001155D1"/>
    <w:rsid w:val="00116695"/>
    <w:rsid w:val="0011708D"/>
    <w:rsid w:val="001176E8"/>
    <w:rsid w:val="00117C76"/>
    <w:rsid w:val="00117EA1"/>
    <w:rsid w:val="00120194"/>
    <w:rsid w:val="00120D41"/>
    <w:rsid w:val="00121942"/>
    <w:rsid w:val="001223A1"/>
    <w:rsid w:val="001223F8"/>
    <w:rsid w:val="001230EC"/>
    <w:rsid w:val="0012314C"/>
    <w:rsid w:val="0012322A"/>
    <w:rsid w:val="00123475"/>
    <w:rsid w:val="001236F1"/>
    <w:rsid w:val="001241EF"/>
    <w:rsid w:val="00124436"/>
    <w:rsid w:val="001253AE"/>
    <w:rsid w:val="00125460"/>
    <w:rsid w:val="00126138"/>
    <w:rsid w:val="00126764"/>
    <w:rsid w:val="00127426"/>
    <w:rsid w:val="0012791E"/>
    <w:rsid w:val="00127AA3"/>
    <w:rsid w:val="00130152"/>
    <w:rsid w:val="00130425"/>
    <w:rsid w:val="001304EE"/>
    <w:rsid w:val="00130582"/>
    <w:rsid w:val="00130A38"/>
    <w:rsid w:val="00130D1A"/>
    <w:rsid w:val="00130F17"/>
    <w:rsid w:val="00130F7D"/>
    <w:rsid w:val="001311D9"/>
    <w:rsid w:val="00131612"/>
    <w:rsid w:val="00131BAE"/>
    <w:rsid w:val="001321E2"/>
    <w:rsid w:val="001327AD"/>
    <w:rsid w:val="00132ADA"/>
    <w:rsid w:val="001331A2"/>
    <w:rsid w:val="0013357A"/>
    <w:rsid w:val="00134E05"/>
    <w:rsid w:val="00137C66"/>
    <w:rsid w:val="001402D7"/>
    <w:rsid w:val="00140EC4"/>
    <w:rsid w:val="00142A0F"/>
    <w:rsid w:val="0014387C"/>
    <w:rsid w:val="001438D6"/>
    <w:rsid w:val="00144152"/>
    <w:rsid w:val="001441B9"/>
    <w:rsid w:val="001442BE"/>
    <w:rsid w:val="00144851"/>
    <w:rsid w:val="00144AB7"/>
    <w:rsid w:val="00144B17"/>
    <w:rsid w:val="00145BC6"/>
    <w:rsid w:val="0014647D"/>
    <w:rsid w:val="001476C0"/>
    <w:rsid w:val="001478F2"/>
    <w:rsid w:val="00147DAE"/>
    <w:rsid w:val="00150325"/>
    <w:rsid w:val="0015042B"/>
    <w:rsid w:val="001505F7"/>
    <w:rsid w:val="00150614"/>
    <w:rsid w:val="00150730"/>
    <w:rsid w:val="00152300"/>
    <w:rsid w:val="0015247F"/>
    <w:rsid w:val="00153379"/>
    <w:rsid w:val="00153834"/>
    <w:rsid w:val="0015420F"/>
    <w:rsid w:val="001546D1"/>
    <w:rsid w:val="0015501B"/>
    <w:rsid w:val="00155DBC"/>
    <w:rsid w:val="00155EB1"/>
    <w:rsid w:val="00156511"/>
    <w:rsid w:val="001565F7"/>
    <w:rsid w:val="0015697D"/>
    <w:rsid w:val="00156AB1"/>
    <w:rsid w:val="00156FDC"/>
    <w:rsid w:val="00160055"/>
    <w:rsid w:val="00162260"/>
    <w:rsid w:val="00162714"/>
    <w:rsid w:val="00163542"/>
    <w:rsid w:val="0016397D"/>
    <w:rsid w:val="00163AAE"/>
    <w:rsid w:val="00164466"/>
    <w:rsid w:val="001645E9"/>
    <w:rsid w:val="00164622"/>
    <w:rsid w:val="00164F88"/>
    <w:rsid w:val="001670DD"/>
    <w:rsid w:val="001671A5"/>
    <w:rsid w:val="0016750B"/>
    <w:rsid w:val="00167862"/>
    <w:rsid w:val="00167C8C"/>
    <w:rsid w:val="00167C92"/>
    <w:rsid w:val="0017017E"/>
    <w:rsid w:val="00170A05"/>
    <w:rsid w:val="00173F8A"/>
    <w:rsid w:val="001740EB"/>
    <w:rsid w:val="0017583F"/>
    <w:rsid w:val="001776DE"/>
    <w:rsid w:val="00177975"/>
    <w:rsid w:val="00177F9E"/>
    <w:rsid w:val="00180654"/>
    <w:rsid w:val="001809F2"/>
    <w:rsid w:val="00181472"/>
    <w:rsid w:val="00181FEA"/>
    <w:rsid w:val="00182FBF"/>
    <w:rsid w:val="00182FCD"/>
    <w:rsid w:val="00184500"/>
    <w:rsid w:val="00184749"/>
    <w:rsid w:val="00184C89"/>
    <w:rsid w:val="00184D41"/>
    <w:rsid w:val="001853D7"/>
    <w:rsid w:val="0018611C"/>
    <w:rsid w:val="001862DC"/>
    <w:rsid w:val="00186653"/>
    <w:rsid w:val="001873BD"/>
    <w:rsid w:val="0019116F"/>
    <w:rsid w:val="001923AD"/>
    <w:rsid w:val="00192482"/>
    <w:rsid w:val="00192777"/>
    <w:rsid w:val="001927C6"/>
    <w:rsid w:val="001930A8"/>
    <w:rsid w:val="00193850"/>
    <w:rsid w:val="0019426C"/>
    <w:rsid w:val="00194A9F"/>
    <w:rsid w:val="00194DAE"/>
    <w:rsid w:val="00195923"/>
    <w:rsid w:val="001A17DE"/>
    <w:rsid w:val="001A277D"/>
    <w:rsid w:val="001A3005"/>
    <w:rsid w:val="001A3539"/>
    <w:rsid w:val="001A3622"/>
    <w:rsid w:val="001A3AA0"/>
    <w:rsid w:val="001A5C52"/>
    <w:rsid w:val="001A6040"/>
    <w:rsid w:val="001A666C"/>
    <w:rsid w:val="001A6778"/>
    <w:rsid w:val="001A69D5"/>
    <w:rsid w:val="001A72B4"/>
    <w:rsid w:val="001A76EA"/>
    <w:rsid w:val="001B0130"/>
    <w:rsid w:val="001B0F29"/>
    <w:rsid w:val="001B1847"/>
    <w:rsid w:val="001B4B38"/>
    <w:rsid w:val="001B723E"/>
    <w:rsid w:val="001C17C3"/>
    <w:rsid w:val="001C1D63"/>
    <w:rsid w:val="001C245C"/>
    <w:rsid w:val="001C260F"/>
    <w:rsid w:val="001C2C2E"/>
    <w:rsid w:val="001C4AE7"/>
    <w:rsid w:val="001C5460"/>
    <w:rsid w:val="001C563F"/>
    <w:rsid w:val="001C63AC"/>
    <w:rsid w:val="001C6A4D"/>
    <w:rsid w:val="001C6D4E"/>
    <w:rsid w:val="001C72A7"/>
    <w:rsid w:val="001C7B74"/>
    <w:rsid w:val="001C7E31"/>
    <w:rsid w:val="001D0A93"/>
    <w:rsid w:val="001D1253"/>
    <w:rsid w:val="001D1827"/>
    <w:rsid w:val="001D2650"/>
    <w:rsid w:val="001D3C37"/>
    <w:rsid w:val="001D3DDF"/>
    <w:rsid w:val="001D475E"/>
    <w:rsid w:val="001D54F9"/>
    <w:rsid w:val="001D5A71"/>
    <w:rsid w:val="001D5B32"/>
    <w:rsid w:val="001D5FBE"/>
    <w:rsid w:val="001D6EAB"/>
    <w:rsid w:val="001D743A"/>
    <w:rsid w:val="001D744D"/>
    <w:rsid w:val="001D7B86"/>
    <w:rsid w:val="001E0677"/>
    <w:rsid w:val="001E0922"/>
    <w:rsid w:val="001E3505"/>
    <w:rsid w:val="001E3D18"/>
    <w:rsid w:val="001E4CF5"/>
    <w:rsid w:val="001E5FF4"/>
    <w:rsid w:val="001E6154"/>
    <w:rsid w:val="001E6322"/>
    <w:rsid w:val="001E685D"/>
    <w:rsid w:val="001E74FF"/>
    <w:rsid w:val="001F0682"/>
    <w:rsid w:val="001F0DF1"/>
    <w:rsid w:val="001F16BC"/>
    <w:rsid w:val="001F3848"/>
    <w:rsid w:val="001F3E09"/>
    <w:rsid w:val="001F438F"/>
    <w:rsid w:val="001F4D92"/>
    <w:rsid w:val="001F5423"/>
    <w:rsid w:val="001F5619"/>
    <w:rsid w:val="001F56D3"/>
    <w:rsid w:val="001F71BD"/>
    <w:rsid w:val="001F7DAF"/>
    <w:rsid w:val="002003C9"/>
    <w:rsid w:val="002027C7"/>
    <w:rsid w:val="002028B9"/>
    <w:rsid w:val="00202C31"/>
    <w:rsid w:val="00203269"/>
    <w:rsid w:val="00204388"/>
    <w:rsid w:val="00204D09"/>
    <w:rsid w:val="00206109"/>
    <w:rsid w:val="002063EF"/>
    <w:rsid w:val="00206964"/>
    <w:rsid w:val="0021000D"/>
    <w:rsid w:val="0021003F"/>
    <w:rsid w:val="002113BA"/>
    <w:rsid w:val="0021197D"/>
    <w:rsid w:val="002119CE"/>
    <w:rsid w:val="00211FC4"/>
    <w:rsid w:val="002131CA"/>
    <w:rsid w:val="002146A8"/>
    <w:rsid w:val="00214D1E"/>
    <w:rsid w:val="00215565"/>
    <w:rsid w:val="00215BC6"/>
    <w:rsid w:val="00215F56"/>
    <w:rsid w:val="002160C4"/>
    <w:rsid w:val="002160E9"/>
    <w:rsid w:val="002163A7"/>
    <w:rsid w:val="00216459"/>
    <w:rsid w:val="002165D1"/>
    <w:rsid w:val="00217386"/>
    <w:rsid w:val="00220C88"/>
    <w:rsid w:val="00220CA8"/>
    <w:rsid w:val="00220D69"/>
    <w:rsid w:val="00220DF5"/>
    <w:rsid w:val="00220E6F"/>
    <w:rsid w:val="00223427"/>
    <w:rsid w:val="00223928"/>
    <w:rsid w:val="00223C05"/>
    <w:rsid w:val="00224494"/>
    <w:rsid w:val="00225465"/>
    <w:rsid w:val="00225631"/>
    <w:rsid w:val="002256A2"/>
    <w:rsid w:val="00226024"/>
    <w:rsid w:val="0022676B"/>
    <w:rsid w:val="00226A8F"/>
    <w:rsid w:val="00227F18"/>
    <w:rsid w:val="00231290"/>
    <w:rsid w:val="00232390"/>
    <w:rsid w:val="00232480"/>
    <w:rsid w:val="00232633"/>
    <w:rsid w:val="0023268B"/>
    <w:rsid w:val="002339E7"/>
    <w:rsid w:val="00233FB9"/>
    <w:rsid w:val="00234635"/>
    <w:rsid w:val="00234FB9"/>
    <w:rsid w:val="00236037"/>
    <w:rsid w:val="002360BA"/>
    <w:rsid w:val="00236284"/>
    <w:rsid w:val="0023723B"/>
    <w:rsid w:val="0024011E"/>
    <w:rsid w:val="002418C9"/>
    <w:rsid w:val="00242B4D"/>
    <w:rsid w:val="00242F24"/>
    <w:rsid w:val="002451DA"/>
    <w:rsid w:val="002452CD"/>
    <w:rsid w:val="002453B2"/>
    <w:rsid w:val="00245F67"/>
    <w:rsid w:val="00246153"/>
    <w:rsid w:val="00246239"/>
    <w:rsid w:val="00250C97"/>
    <w:rsid w:val="00250CF8"/>
    <w:rsid w:val="00250EA7"/>
    <w:rsid w:val="00251135"/>
    <w:rsid w:val="00251228"/>
    <w:rsid w:val="002529A6"/>
    <w:rsid w:val="0025346E"/>
    <w:rsid w:val="002535FF"/>
    <w:rsid w:val="00253DA1"/>
    <w:rsid w:val="002542EF"/>
    <w:rsid w:val="00254A2F"/>
    <w:rsid w:val="00255319"/>
    <w:rsid w:val="00255403"/>
    <w:rsid w:val="002571F3"/>
    <w:rsid w:val="0026049E"/>
    <w:rsid w:val="002604B9"/>
    <w:rsid w:val="00260900"/>
    <w:rsid w:val="00261085"/>
    <w:rsid w:val="00261533"/>
    <w:rsid w:val="0026169B"/>
    <w:rsid w:val="002628AA"/>
    <w:rsid w:val="00262DCA"/>
    <w:rsid w:val="0026310F"/>
    <w:rsid w:val="0026510A"/>
    <w:rsid w:val="00266340"/>
    <w:rsid w:val="00266CD7"/>
    <w:rsid w:val="00270CC2"/>
    <w:rsid w:val="00271060"/>
    <w:rsid w:val="00271366"/>
    <w:rsid w:val="00271475"/>
    <w:rsid w:val="002715B6"/>
    <w:rsid w:val="002721EA"/>
    <w:rsid w:val="00272D5C"/>
    <w:rsid w:val="00272E13"/>
    <w:rsid w:val="0027364C"/>
    <w:rsid w:val="002754BE"/>
    <w:rsid w:val="00275770"/>
    <w:rsid w:val="00275930"/>
    <w:rsid w:val="0027671C"/>
    <w:rsid w:val="00280211"/>
    <w:rsid w:val="002803FF"/>
    <w:rsid w:val="0028048D"/>
    <w:rsid w:val="00280CE9"/>
    <w:rsid w:val="0028117A"/>
    <w:rsid w:val="00282AD3"/>
    <w:rsid w:val="00282D69"/>
    <w:rsid w:val="0028346D"/>
    <w:rsid w:val="00283805"/>
    <w:rsid w:val="00284045"/>
    <w:rsid w:val="00285B0E"/>
    <w:rsid w:val="00285F24"/>
    <w:rsid w:val="002862B5"/>
    <w:rsid w:val="0028690D"/>
    <w:rsid w:val="00286BCB"/>
    <w:rsid w:val="00291376"/>
    <w:rsid w:val="002914B7"/>
    <w:rsid w:val="0029182F"/>
    <w:rsid w:val="0029188B"/>
    <w:rsid w:val="00291C5E"/>
    <w:rsid w:val="00291CAB"/>
    <w:rsid w:val="0029202B"/>
    <w:rsid w:val="0029221E"/>
    <w:rsid w:val="00292899"/>
    <w:rsid w:val="00292D66"/>
    <w:rsid w:val="0029300F"/>
    <w:rsid w:val="00293686"/>
    <w:rsid w:val="00293D8B"/>
    <w:rsid w:val="00293ED9"/>
    <w:rsid w:val="002947C7"/>
    <w:rsid w:val="00295C49"/>
    <w:rsid w:val="00296485"/>
    <w:rsid w:val="00297343"/>
    <w:rsid w:val="00297AF4"/>
    <w:rsid w:val="002A0D49"/>
    <w:rsid w:val="002A1269"/>
    <w:rsid w:val="002A2C94"/>
    <w:rsid w:val="002A3A8F"/>
    <w:rsid w:val="002A3BD4"/>
    <w:rsid w:val="002A3DC8"/>
    <w:rsid w:val="002A40AB"/>
    <w:rsid w:val="002A4509"/>
    <w:rsid w:val="002A45E3"/>
    <w:rsid w:val="002A476A"/>
    <w:rsid w:val="002A47A4"/>
    <w:rsid w:val="002A47E9"/>
    <w:rsid w:val="002A5682"/>
    <w:rsid w:val="002A7A94"/>
    <w:rsid w:val="002A7C21"/>
    <w:rsid w:val="002A7DDC"/>
    <w:rsid w:val="002B0E28"/>
    <w:rsid w:val="002B12D8"/>
    <w:rsid w:val="002B1890"/>
    <w:rsid w:val="002B29A0"/>
    <w:rsid w:val="002B29F4"/>
    <w:rsid w:val="002B2E28"/>
    <w:rsid w:val="002B31D1"/>
    <w:rsid w:val="002B3469"/>
    <w:rsid w:val="002B3A86"/>
    <w:rsid w:val="002B3D4B"/>
    <w:rsid w:val="002B3E57"/>
    <w:rsid w:val="002B58C7"/>
    <w:rsid w:val="002B59C0"/>
    <w:rsid w:val="002B627A"/>
    <w:rsid w:val="002B63F8"/>
    <w:rsid w:val="002B7560"/>
    <w:rsid w:val="002C11B1"/>
    <w:rsid w:val="002C131D"/>
    <w:rsid w:val="002C18FB"/>
    <w:rsid w:val="002C260A"/>
    <w:rsid w:val="002C2DE3"/>
    <w:rsid w:val="002C31DA"/>
    <w:rsid w:val="002C47A2"/>
    <w:rsid w:val="002C4E29"/>
    <w:rsid w:val="002C5652"/>
    <w:rsid w:val="002C6278"/>
    <w:rsid w:val="002C7443"/>
    <w:rsid w:val="002D07ED"/>
    <w:rsid w:val="002D0D90"/>
    <w:rsid w:val="002D1510"/>
    <w:rsid w:val="002D2949"/>
    <w:rsid w:val="002D3710"/>
    <w:rsid w:val="002D4465"/>
    <w:rsid w:val="002D44F7"/>
    <w:rsid w:val="002D5129"/>
    <w:rsid w:val="002D5685"/>
    <w:rsid w:val="002D66E2"/>
    <w:rsid w:val="002D72FC"/>
    <w:rsid w:val="002D7391"/>
    <w:rsid w:val="002D7D5E"/>
    <w:rsid w:val="002E0BB0"/>
    <w:rsid w:val="002E0F2A"/>
    <w:rsid w:val="002E1CF2"/>
    <w:rsid w:val="002E20AB"/>
    <w:rsid w:val="002E2E43"/>
    <w:rsid w:val="002E2E67"/>
    <w:rsid w:val="002E3021"/>
    <w:rsid w:val="002E3492"/>
    <w:rsid w:val="002E3560"/>
    <w:rsid w:val="002E40C4"/>
    <w:rsid w:val="002E55DE"/>
    <w:rsid w:val="002E5D48"/>
    <w:rsid w:val="002E6A27"/>
    <w:rsid w:val="002E6BF0"/>
    <w:rsid w:val="002F03F4"/>
    <w:rsid w:val="002F150F"/>
    <w:rsid w:val="002F168A"/>
    <w:rsid w:val="002F1C72"/>
    <w:rsid w:val="002F32A4"/>
    <w:rsid w:val="002F34C1"/>
    <w:rsid w:val="002F45CB"/>
    <w:rsid w:val="002F4BF9"/>
    <w:rsid w:val="002F4DB6"/>
    <w:rsid w:val="002F519E"/>
    <w:rsid w:val="002F557B"/>
    <w:rsid w:val="002F5A79"/>
    <w:rsid w:val="002F61EC"/>
    <w:rsid w:val="002F6810"/>
    <w:rsid w:val="002F68F8"/>
    <w:rsid w:val="002F76A3"/>
    <w:rsid w:val="0030049D"/>
    <w:rsid w:val="003004D6"/>
    <w:rsid w:val="003017DC"/>
    <w:rsid w:val="00301A3D"/>
    <w:rsid w:val="00301C45"/>
    <w:rsid w:val="003021BC"/>
    <w:rsid w:val="00303B91"/>
    <w:rsid w:val="00303F76"/>
    <w:rsid w:val="00304AC6"/>
    <w:rsid w:val="00304B63"/>
    <w:rsid w:val="00304D22"/>
    <w:rsid w:val="003056E7"/>
    <w:rsid w:val="003066D3"/>
    <w:rsid w:val="00306EBD"/>
    <w:rsid w:val="0030719D"/>
    <w:rsid w:val="00307BCD"/>
    <w:rsid w:val="003100F1"/>
    <w:rsid w:val="003103B8"/>
    <w:rsid w:val="0031042A"/>
    <w:rsid w:val="00310A47"/>
    <w:rsid w:val="00310B11"/>
    <w:rsid w:val="00311088"/>
    <w:rsid w:val="00311482"/>
    <w:rsid w:val="003114A4"/>
    <w:rsid w:val="003114D6"/>
    <w:rsid w:val="003114E5"/>
    <w:rsid w:val="003118BE"/>
    <w:rsid w:val="00311E70"/>
    <w:rsid w:val="003126BC"/>
    <w:rsid w:val="003126D4"/>
    <w:rsid w:val="00312D69"/>
    <w:rsid w:val="0031381F"/>
    <w:rsid w:val="003138C2"/>
    <w:rsid w:val="00313916"/>
    <w:rsid w:val="00314A02"/>
    <w:rsid w:val="00315139"/>
    <w:rsid w:val="00315849"/>
    <w:rsid w:val="00315B62"/>
    <w:rsid w:val="00316721"/>
    <w:rsid w:val="00316B5C"/>
    <w:rsid w:val="00316F01"/>
    <w:rsid w:val="00317169"/>
    <w:rsid w:val="00320203"/>
    <w:rsid w:val="00320729"/>
    <w:rsid w:val="0032098C"/>
    <w:rsid w:val="003214EC"/>
    <w:rsid w:val="00321C16"/>
    <w:rsid w:val="00321DFD"/>
    <w:rsid w:val="0032363E"/>
    <w:rsid w:val="00323962"/>
    <w:rsid w:val="0032477B"/>
    <w:rsid w:val="00324DA6"/>
    <w:rsid w:val="00324DC6"/>
    <w:rsid w:val="0032587B"/>
    <w:rsid w:val="00325B39"/>
    <w:rsid w:val="00326356"/>
    <w:rsid w:val="003265A7"/>
    <w:rsid w:val="00327290"/>
    <w:rsid w:val="00327629"/>
    <w:rsid w:val="00327DA8"/>
    <w:rsid w:val="003301FB"/>
    <w:rsid w:val="00332ADE"/>
    <w:rsid w:val="00332D9F"/>
    <w:rsid w:val="003341FE"/>
    <w:rsid w:val="003353B8"/>
    <w:rsid w:val="003374EE"/>
    <w:rsid w:val="00340C30"/>
    <w:rsid w:val="003413B8"/>
    <w:rsid w:val="00341480"/>
    <w:rsid w:val="0034175B"/>
    <w:rsid w:val="003422BC"/>
    <w:rsid w:val="00342866"/>
    <w:rsid w:val="00342AEC"/>
    <w:rsid w:val="00342E8A"/>
    <w:rsid w:val="003434E0"/>
    <w:rsid w:val="00343EE7"/>
    <w:rsid w:val="00344557"/>
    <w:rsid w:val="003453C8"/>
    <w:rsid w:val="00346469"/>
    <w:rsid w:val="0035023C"/>
    <w:rsid w:val="0035031C"/>
    <w:rsid w:val="00350DBF"/>
    <w:rsid w:val="00350FDC"/>
    <w:rsid w:val="0035235F"/>
    <w:rsid w:val="00352BB1"/>
    <w:rsid w:val="00352CBF"/>
    <w:rsid w:val="00354775"/>
    <w:rsid w:val="0035492C"/>
    <w:rsid w:val="00355C45"/>
    <w:rsid w:val="003562AE"/>
    <w:rsid w:val="003574C9"/>
    <w:rsid w:val="00360B25"/>
    <w:rsid w:val="003610B7"/>
    <w:rsid w:val="0036394D"/>
    <w:rsid w:val="0036420C"/>
    <w:rsid w:val="00365937"/>
    <w:rsid w:val="00365D23"/>
    <w:rsid w:val="00366069"/>
    <w:rsid w:val="003663BF"/>
    <w:rsid w:val="0036661C"/>
    <w:rsid w:val="00366F11"/>
    <w:rsid w:val="00367717"/>
    <w:rsid w:val="00367E12"/>
    <w:rsid w:val="003700EB"/>
    <w:rsid w:val="00370441"/>
    <w:rsid w:val="00371B83"/>
    <w:rsid w:val="0037269C"/>
    <w:rsid w:val="00372AAF"/>
    <w:rsid w:val="00373016"/>
    <w:rsid w:val="0037476A"/>
    <w:rsid w:val="003754AC"/>
    <w:rsid w:val="003755CC"/>
    <w:rsid w:val="003758F5"/>
    <w:rsid w:val="003763D6"/>
    <w:rsid w:val="003769F1"/>
    <w:rsid w:val="003772DE"/>
    <w:rsid w:val="003824B2"/>
    <w:rsid w:val="00383660"/>
    <w:rsid w:val="00383D86"/>
    <w:rsid w:val="00384AF2"/>
    <w:rsid w:val="00384E50"/>
    <w:rsid w:val="00385740"/>
    <w:rsid w:val="00385AFC"/>
    <w:rsid w:val="00386D50"/>
    <w:rsid w:val="00386EDA"/>
    <w:rsid w:val="00386FB7"/>
    <w:rsid w:val="003872DB"/>
    <w:rsid w:val="00387D2C"/>
    <w:rsid w:val="00390A1B"/>
    <w:rsid w:val="00391411"/>
    <w:rsid w:val="00391C59"/>
    <w:rsid w:val="00392DD7"/>
    <w:rsid w:val="0039306D"/>
    <w:rsid w:val="003930D7"/>
    <w:rsid w:val="00393A92"/>
    <w:rsid w:val="003948B1"/>
    <w:rsid w:val="0039498A"/>
    <w:rsid w:val="0039507D"/>
    <w:rsid w:val="00395E98"/>
    <w:rsid w:val="00396E7C"/>
    <w:rsid w:val="003976BA"/>
    <w:rsid w:val="003A11A2"/>
    <w:rsid w:val="003A14EB"/>
    <w:rsid w:val="003A1ED7"/>
    <w:rsid w:val="003A207F"/>
    <w:rsid w:val="003A24C9"/>
    <w:rsid w:val="003A26D8"/>
    <w:rsid w:val="003A2F0F"/>
    <w:rsid w:val="003A2FF1"/>
    <w:rsid w:val="003A3018"/>
    <w:rsid w:val="003A3B8C"/>
    <w:rsid w:val="003A4F5D"/>
    <w:rsid w:val="003A6216"/>
    <w:rsid w:val="003A6998"/>
    <w:rsid w:val="003A7361"/>
    <w:rsid w:val="003A74F8"/>
    <w:rsid w:val="003A7E3E"/>
    <w:rsid w:val="003B05BF"/>
    <w:rsid w:val="003B082F"/>
    <w:rsid w:val="003B089E"/>
    <w:rsid w:val="003B1CBA"/>
    <w:rsid w:val="003B1D83"/>
    <w:rsid w:val="003B2DDC"/>
    <w:rsid w:val="003B3140"/>
    <w:rsid w:val="003B4759"/>
    <w:rsid w:val="003B541C"/>
    <w:rsid w:val="003B7261"/>
    <w:rsid w:val="003B7511"/>
    <w:rsid w:val="003B7AAF"/>
    <w:rsid w:val="003B7E54"/>
    <w:rsid w:val="003B7EE1"/>
    <w:rsid w:val="003C1A7D"/>
    <w:rsid w:val="003C2006"/>
    <w:rsid w:val="003C23D7"/>
    <w:rsid w:val="003C23DC"/>
    <w:rsid w:val="003C2622"/>
    <w:rsid w:val="003C2A91"/>
    <w:rsid w:val="003C2E32"/>
    <w:rsid w:val="003C3568"/>
    <w:rsid w:val="003C4D4F"/>
    <w:rsid w:val="003C4EE1"/>
    <w:rsid w:val="003C514C"/>
    <w:rsid w:val="003C6410"/>
    <w:rsid w:val="003D0740"/>
    <w:rsid w:val="003D0B7B"/>
    <w:rsid w:val="003D0B99"/>
    <w:rsid w:val="003D0C45"/>
    <w:rsid w:val="003D1516"/>
    <w:rsid w:val="003D1999"/>
    <w:rsid w:val="003D2E2E"/>
    <w:rsid w:val="003D3376"/>
    <w:rsid w:val="003D3734"/>
    <w:rsid w:val="003D39A9"/>
    <w:rsid w:val="003D4746"/>
    <w:rsid w:val="003D5BF1"/>
    <w:rsid w:val="003D5F30"/>
    <w:rsid w:val="003D6F71"/>
    <w:rsid w:val="003D71BA"/>
    <w:rsid w:val="003D76AD"/>
    <w:rsid w:val="003E0154"/>
    <w:rsid w:val="003E050B"/>
    <w:rsid w:val="003E116B"/>
    <w:rsid w:val="003E13BE"/>
    <w:rsid w:val="003E1E6F"/>
    <w:rsid w:val="003E25F3"/>
    <w:rsid w:val="003E2980"/>
    <w:rsid w:val="003E3BC9"/>
    <w:rsid w:val="003E3C4F"/>
    <w:rsid w:val="003E3F32"/>
    <w:rsid w:val="003E5457"/>
    <w:rsid w:val="003E6780"/>
    <w:rsid w:val="003E6A82"/>
    <w:rsid w:val="003E70F6"/>
    <w:rsid w:val="003E7F79"/>
    <w:rsid w:val="003F0493"/>
    <w:rsid w:val="003F07C4"/>
    <w:rsid w:val="003F0A61"/>
    <w:rsid w:val="003F1A3E"/>
    <w:rsid w:val="003F2CAA"/>
    <w:rsid w:val="003F416E"/>
    <w:rsid w:val="003F4BDF"/>
    <w:rsid w:val="003F5929"/>
    <w:rsid w:val="003F5EA5"/>
    <w:rsid w:val="003F68AA"/>
    <w:rsid w:val="003F71DC"/>
    <w:rsid w:val="003F7342"/>
    <w:rsid w:val="004006DB"/>
    <w:rsid w:val="00400BAE"/>
    <w:rsid w:val="004026CD"/>
    <w:rsid w:val="00402F54"/>
    <w:rsid w:val="004039F2"/>
    <w:rsid w:val="00405189"/>
    <w:rsid w:val="0040539C"/>
    <w:rsid w:val="00405439"/>
    <w:rsid w:val="00405DC1"/>
    <w:rsid w:val="004062BD"/>
    <w:rsid w:val="004068E6"/>
    <w:rsid w:val="0040762C"/>
    <w:rsid w:val="004078A3"/>
    <w:rsid w:val="00407E5E"/>
    <w:rsid w:val="0041094F"/>
    <w:rsid w:val="00410F7E"/>
    <w:rsid w:val="00411022"/>
    <w:rsid w:val="00411B16"/>
    <w:rsid w:val="00412338"/>
    <w:rsid w:val="004128E2"/>
    <w:rsid w:val="00412970"/>
    <w:rsid w:val="00412D97"/>
    <w:rsid w:val="004140F0"/>
    <w:rsid w:val="00414112"/>
    <w:rsid w:val="00414E15"/>
    <w:rsid w:val="00415073"/>
    <w:rsid w:val="004163F5"/>
    <w:rsid w:val="00417D57"/>
    <w:rsid w:val="00420150"/>
    <w:rsid w:val="00420226"/>
    <w:rsid w:val="0042060C"/>
    <w:rsid w:val="004213B5"/>
    <w:rsid w:val="00421975"/>
    <w:rsid w:val="004235DF"/>
    <w:rsid w:val="00423A79"/>
    <w:rsid w:val="004241D4"/>
    <w:rsid w:val="00425329"/>
    <w:rsid w:val="00426548"/>
    <w:rsid w:val="004270C4"/>
    <w:rsid w:val="00427563"/>
    <w:rsid w:val="004276EF"/>
    <w:rsid w:val="004277B9"/>
    <w:rsid w:val="004307AA"/>
    <w:rsid w:val="00430B3C"/>
    <w:rsid w:val="00430D0E"/>
    <w:rsid w:val="00431B2B"/>
    <w:rsid w:val="00432CF4"/>
    <w:rsid w:val="00433797"/>
    <w:rsid w:val="00433EBE"/>
    <w:rsid w:val="004340A0"/>
    <w:rsid w:val="00434276"/>
    <w:rsid w:val="00434940"/>
    <w:rsid w:val="00435093"/>
    <w:rsid w:val="00435256"/>
    <w:rsid w:val="00435383"/>
    <w:rsid w:val="004358F0"/>
    <w:rsid w:val="00437656"/>
    <w:rsid w:val="00441105"/>
    <w:rsid w:val="00441208"/>
    <w:rsid w:val="00441331"/>
    <w:rsid w:val="00441938"/>
    <w:rsid w:val="00441C6E"/>
    <w:rsid w:val="00441EA0"/>
    <w:rsid w:val="00441EDE"/>
    <w:rsid w:val="004425B8"/>
    <w:rsid w:val="00442DB2"/>
    <w:rsid w:val="00443244"/>
    <w:rsid w:val="004441FB"/>
    <w:rsid w:val="00444C9C"/>
    <w:rsid w:val="004451B8"/>
    <w:rsid w:val="0044546F"/>
    <w:rsid w:val="004457D4"/>
    <w:rsid w:val="00445936"/>
    <w:rsid w:val="004476FF"/>
    <w:rsid w:val="00447CCA"/>
    <w:rsid w:val="00450DE2"/>
    <w:rsid w:val="0045100D"/>
    <w:rsid w:val="00452142"/>
    <w:rsid w:val="004526AE"/>
    <w:rsid w:val="00452731"/>
    <w:rsid w:val="00452778"/>
    <w:rsid w:val="00452A10"/>
    <w:rsid w:val="00453754"/>
    <w:rsid w:val="00454126"/>
    <w:rsid w:val="00454F90"/>
    <w:rsid w:val="0045520D"/>
    <w:rsid w:val="00455BA7"/>
    <w:rsid w:val="004562A7"/>
    <w:rsid w:val="004562FA"/>
    <w:rsid w:val="004571B2"/>
    <w:rsid w:val="004574C2"/>
    <w:rsid w:val="00457F7F"/>
    <w:rsid w:val="004602D8"/>
    <w:rsid w:val="00460850"/>
    <w:rsid w:val="004611E4"/>
    <w:rsid w:val="00462203"/>
    <w:rsid w:val="00462BC2"/>
    <w:rsid w:val="0046341F"/>
    <w:rsid w:val="00463F8B"/>
    <w:rsid w:val="00464038"/>
    <w:rsid w:val="004640BC"/>
    <w:rsid w:val="00464345"/>
    <w:rsid w:val="00464AFE"/>
    <w:rsid w:val="0046534A"/>
    <w:rsid w:val="004663FC"/>
    <w:rsid w:val="00467493"/>
    <w:rsid w:val="00467A1F"/>
    <w:rsid w:val="00470CED"/>
    <w:rsid w:val="00471238"/>
    <w:rsid w:val="004718B8"/>
    <w:rsid w:val="00471AEB"/>
    <w:rsid w:val="00472420"/>
    <w:rsid w:val="00475A77"/>
    <w:rsid w:val="00476823"/>
    <w:rsid w:val="00480B03"/>
    <w:rsid w:val="00480F67"/>
    <w:rsid w:val="004814E2"/>
    <w:rsid w:val="00481AAC"/>
    <w:rsid w:val="00482375"/>
    <w:rsid w:val="004825EF"/>
    <w:rsid w:val="004829B2"/>
    <w:rsid w:val="00482D99"/>
    <w:rsid w:val="004834EB"/>
    <w:rsid w:val="004836AE"/>
    <w:rsid w:val="004841B4"/>
    <w:rsid w:val="004846C2"/>
    <w:rsid w:val="004849FF"/>
    <w:rsid w:val="00484C7C"/>
    <w:rsid w:val="004857FC"/>
    <w:rsid w:val="004859E8"/>
    <w:rsid w:val="00487E58"/>
    <w:rsid w:val="0049024C"/>
    <w:rsid w:val="00490C7A"/>
    <w:rsid w:val="00490F7C"/>
    <w:rsid w:val="00491072"/>
    <w:rsid w:val="0049165C"/>
    <w:rsid w:val="00492169"/>
    <w:rsid w:val="00492192"/>
    <w:rsid w:val="00493533"/>
    <w:rsid w:val="00494245"/>
    <w:rsid w:val="0049480B"/>
    <w:rsid w:val="00494D54"/>
    <w:rsid w:val="00495134"/>
    <w:rsid w:val="00495311"/>
    <w:rsid w:val="004955F9"/>
    <w:rsid w:val="004958F0"/>
    <w:rsid w:val="00495A3E"/>
    <w:rsid w:val="00496918"/>
    <w:rsid w:val="00497CBC"/>
    <w:rsid w:val="004A12DB"/>
    <w:rsid w:val="004A19FF"/>
    <w:rsid w:val="004A1C3C"/>
    <w:rsid w:val="004A1DCD"/>
    <w:rsid w:val="004A2B15"/>
    <w:rsid w:val="004A3025"/>
    <w:rsid w:val="004A3EFC"/>
    <w:rsid w:val="004A4021"/>
    <w:rsid w:val="004A493A"/>
    <w:rsid w:val="004A5808"/>
    <w:rsid w:val="004A59FB"/>
    <w:rsid w:val="004A5A64"/>
    <w:rsid w:val="004A5BCE"/>
    <w:rsid w:val="004A7A96"/>
    <w:rsid w:val="004A7B75"/>
    <w:rsid w:val="004A7C15"/>
    <w:rsid w:val="004B073F"/>
    <w:rsid w:val="004B27FD"/>
    <w:rsid w:val="004B3696"/>
    <w:rsid w:val="004B3894"/>
    <w:rsid w:val="004B3AF1"/>
    <w:rsid w:val="004B3C12"/>
    <w:rsid w:val="004B3F9B"/>
    <w:rsid w:val="004B45D1"/>
    <w:rsid w:val="004B4769"/>
    <w:rsid w:val="004B4BE0"/>
    <w:rsid w:val="004B5248"/>
    <w:rsid w:val="004B627E"/>
    <w:rsid w:val="004B78F5"/>
    <w:rsid w:val="004B7938"/>
    <w:rsid w:val="004B7AF1"/>
    <w:rsid w:val="004B7CE8"/>
    <w:rsid w:val="004C0059"/>
    <w:rsid w:val="004C0DEE"/>
    <w:rsid w:val="004C10D7"/>
    <w:rsid w:val="004C159E"/>
    <w:rsid w:val="004C1EC7"/>
    <w:rsid w:val="004C20A0"/>
    <w:rsid w:val="004C2EE1"/>
    <w:rsid w:val="004C3351"/>
    <w:rsid w:val="004C47E0"/>
    <w:rsid w:val="004C607F"/>
    <w:rsid w:val="004C611E"/>
    <w:rsid w:val="004C68D9"/>
    <w:rsid w:val="004C6CCD"/>
    <w:rsid w:val="004C7DA9"/>
    <w:rsid w:val="004D066D"/>
    <w:rsid w:val="004D112E"/>
    <w:rsid w:val="004D2640"/>
    <w:rsid w:val="004D355E"/>
    <w:rsid w:val="004D3C2D"/>
    <w:rsid w:val="004D47B9"/>
    <w:rsid w:val="004D48A2"/>
    <w:rsid w:val="004D4E77"/>
    <w:rsid w:val="004D5DC0"/>
    <w:rsid w:val="004D607D"/>
    <w:rsid w:val="004D62A6"/>
    <w:rsid w:val="004D6955"/>
    <w:rsid w:val="004D7076"/>
    <w:rsid w:val="004D7757"/>
    <w:rsid w:val="004E04A5"/>
    <w:rsid w:val="004E0B3C"/>
    <w:rsid w:val="004E266E"/>
    <w:rsid w:val="004E26BC"/>
    <w:rsid w:val="004E2A3B"/>
    <w:rsid w:val="004E2E17"/>
    <w:rsid w:val="004E330B"/>
    <w:rsid w:val="004E3B8D"/>
    <w:rsid w:val="004E4411"/>
    <w:rsid w:val="004E4EB2"/>
    <w:rsid w:val="004E5BEF"/>
    <w:rsid w:val="004E67F5"/>
    <w:rsid w:val="004E68CF"/>
    <w:rsid w:val="004F004D"/>
    <w:rsid w:val="004F0C57"/>
    <w:rsid w:val="004F1204"/>
    <w:rsid w:val="004F367B"/>
    <w:rsid w:val="004F4059"/>
    <w:rsid w:val="004F4336"/>
    <w:rsid w:val="004F638E"/>
    <w:rsid w:val="004F6A1E"/>
    <w:rsid w:val="004F6BF4"/>
    <w:rsid w:val="004F6E00"/>
    <w:rsid w:val="00500A2E"/>
    <w:rsid w:val="0050157E"/>
    <w:rsid w:val="00502054"/>
    <w:rsid w:val="00502641"/>
    <w:rsid w:val="00502933"/>
    <w:rsid w:val="00502D9F"/>
    <w:rsid w:val="00504C08"/>
    <w:rsid w:val="00505E32"/>
    <w:rsid w:val="00506B71"/>
    <w:rsid w:val="00507603"/>
    <w:rsid w:val="00510D71"/>
    <w:rsid w:val="0051104D"/>
    <w:rsid w:val="0051154F"/>
    <w:rsid w:val="00511741"/>
    <w:rsid w:val="00511D16"/>
    <w:rsid w:val="00511EAB"/>
    <w:rsid w:val="005126B3"/>
    <w:rsid w:val="00512B8D"/>
    <w:rsid w:val="00513DD3"/>
    <w:rsid w:val="00515070"/>
    <w:rsid w:val="00515BFA"/>
    <w:rsid w:val="00515FBA"/>
    <w:rsid w:val="005166D2"/>
    <w:rsid w:val="00517040"/>
    <w:rsid w:val="00517197"/>
    <w:rsid w:val="005204C7"/>
    <w:rsid w:val="00521ED4"/>
    <w:rsid w:val="0052259A"/>
    <w:rsid w:val="0052357D"/>
    <w:rsid w:val="00523D4C"/>
    <w:rsid w:val="0052471B"/>
    <w:rsid w:val="005256E3"/>
    <w:rsid w:val="00525847"/>
    <w:rsid w:val="0052593E"/>
    <w:rsid w:val="00526600"/>
    <w:rsid w:val="00526A83"/>
    <w:rsid w:val="00526E3A"/>
    <w:rsid w:val="0052788A"/>
    <w:rsid w:val="00527A19"/>
    <w:rsid w:val="00530628"/>
    <w:rsid w:val="005308EF"/>
    <w:rsid w:val="00530AFF"/>
    <w:rsid w:val="00532C1A"/>
    <w:rsid w:val="00533011"/>
    <w:rsid w:val="005338BE"/>
    <w:rsid w:val="00533A89"/>
    <w:rsid w:val="005345E9"/>
    <w:rsid w:val="00534BE8"/>
    <w:rsid w:val="0053517E"/>
    <w:rsid w:val="00535D16"/>
    <w:rsid w:val="00535D29"/>
    <w:rsid w:val="0053665B"/>
    <w:rsid w:val="00536BD6"/>
    <w:rsid w:val="00536C9E"/>
    <w:rsid w:val="00537F03"/>
    <w:rsid w:val="0054016D"/>
    <w:rsid w:val="00540311"/>
    <w:rsid w:val="00540C39"/>
    <w:rsid w:val="0054182B"/>
    <w:rsid w:val="00541A76"/>
    <w:rsid w:val="00541C84"/>
    <w:rsid w:val="00542944"/>
    <w:rsid w:val="00542BBE"/>
    <w:rsid w:val="00542FE4"/>
    <w:rsid w:val="005434B7"/>
    <w:rsid w:val="00543BFF"/>
    <w:rsid w:val="0054501B"/>
    <w:rsid w:val="0054527B"/>
    <w:rsid w:val="00545452"/>
    <w:rsid w:val="00546B3E"/>
    <w:rsid w:val="00547609"/>
    <w:rsid w:val="005507EC"/>
    <w:rsid w:val="005519AB"/>
    <w:rsid w:val="0055299F"/>
    <w:rsid w:val="00552ACE"/>
    <w:rsid w:val="0055331D"/>
    <w:rsid w:val="00553B55"/>
    <w:rsid w:val="005541CE"/>
    <w:rsid w:val="00554B79"/>
    <w:rsid w:val="00554D81"/>
    <w:rsid w:val="00554E5F"/>
    <w:rsid w:val="005555D7"/>
    <w:rsid w:val="00555954"/>
    <w:rsid w:val="00555F46"/>
    <w:rsid w:val="005562FD"/>
    <w:rsid w:val="00556944"/>
    <w:rsid w:val="00556ED1"/>
    <w:rsid w:val="0055710C"/>
    <w:rsid w:val="0055736B"/>
    <w:rsid w:val="005604B4"/>
    <w:rsid w:val="0056075A"/>
    <w:rsid w:val="0056075C"/>
    <w:rsid w:val="0056078F"/>
    <w:rsid w:val="005607A5"/>
    <w:rsid w:val="00560E41"/>
    <w:rsid w:val="00560E4A"/>
    <w:rsid w:val="0056152A"/>
    <w:rsid w:val="00561DA9"/>
    <w:rsid w:val="0056201E"/>
    <w:rsid w:val="00562B09"/>
    <w:rsid w:val="005632DA"/>
    <w:rsid w:val="0056394D"/>
    <w:rsid w:val="00563FD0"/>
    <w:rsid w:val="0056548B"/>
    <w:rsid w:val="005654DD"/>
    <w:rsid w:val="005659A1"/>
    <w:rsid w:val="00565B29"/>
    <w:rsid w:val="00566B48"/>
    <w:rsid w:val="0056766F"/>
    <w:rsid w:val="00567BDC"/>
    <w:rsid w:val="0057041D"/>
    <w:rsid w:val="005705F9"/>
    <w:rsid w:val="00572592"/>
    <w:rsid w:val="00573BB8"/>
    <w:rsid w:val="00573FB3"/>
    <w:rsid w:val="005741CF"/>
    <w:rsid w:val="00574C57"/>
    <w:rsid w:val="005752BB"/>
    <w:rsid w:val="005754E6"/>
    <w:rsid w:val="0057588C"/>
    <w:rsid w:val="005759EF"/>
    <w:rsid w:val="005764AE"/>
    <w:rsid w:val="00576AFD"/>
    <w:rsid w:val="005779CE"/>
    <w:rsid w:val="00580E57"/>
    <w:rsid w:val="00581BC7"/>
    <w:rsid w:val="00581EF1"/>
    <w:rsid w:val="00582F5B"/>
    <w:rsid w:val="005835BF"/>
    <w:rsid w:val="0058503A"/>
    <w:rsid w:val="005855C6"/>
    <w:rsid w:val="005862AB"/>
    <w:rsid w:val="00586597"/>
    <w:rsid w:val="005865F5"/>
    <w:rsid w:val="00586D75"/>
    <w:rsid w:val="005872A8"/>
    <w:rsid w:val="00587740"/>
    <w:rsid w:val="0058797D"/>
    <w:rsid w:val="005879F0"/>
    <w:rsid w:val="00587F80"/>
    <w:rsid w:val="0059016B"/>
    <w:rsid w:val="005904D2"/>
    <w:rsid w:val="00590CEA"/>
    <w:rsid w:val="005916E0"/>
    <w:rsid w:val="00591FD9"/>
    <w:rsid w:val="005921B3"/>
    <w:rsid w:val="0059225C"/>
    <w:rsid w:val="00592606"/>
    <w:rsid w:val="00593C9E"/>
    <w:rsid w:val="00595CF9"/>
    <w:rsid w:val="0059736D"/>
    <w:rsid w:val="005978C0"/>
    <w:rsid w:val="005978E9"/>
    <w:rsid w:val="005A0174"/>
    <w:rsid w:val="005A042A"/>
    <w:rsid w:val="005A0A4B"/>
    <w:rsid w:val="005A0A4D"/>
    <w:rsid w:val="005A0DDD"/>
    <w:rsid w:val="005A0E33"/>
    <w:rsid w:val="005A1F4F"/>
    <w:rsid w:val="005A26F7"/>
    <w:rsid w:val="005A28AE"/>
    <w:rsid w:val="005A2BE6"/>
    <w:rsid w:val="005A2CF9"/>
    <w:rsid w:val="005A2FD3"/>
    <w:rsid w:val="005A32EA"/>
    <w:rsid w:val="005A3738"/>
    <w:rsid w:val="005A3B5E"/>
    <w:rsid w:val="005A3D5A"/>
    <w:rsid w:val="005A440A"/>
    <w:rsid w:val="005A5814"/>
    <w:rsid w:val="005A636D"/>
    <w:rsid w:val="005A6563"/>
    <w:rsid w:val="005A780F"/>
    <w:rsid w:val="005B0992"/>
    <w:rsid w:val="005B0BD9"/>
    <w:rsid w:val="005B1206"/>
    <w:rsid w:val="005B17F6"/>
    <w:rsid w:val="005B2B24"/>
    <w:rsid w:val="005B2EEF"/>
    <w:rsid w:val="005B4E96"/>
    <w:rsid w:val="005B6980"/>
    <w:rsid w:val="005B7A19"/>
    <w:rsid w:val="005B7E67"/>
    <w:rsid w:val="005C0250"/>
    <w:rsid w:val="005C14A4"/>
    <w:rsid w:val="005C154E"/>
    <w:rsid w:val="005C1A8A"/>
    <w:rsid w:val="005C20E0"/>
    <w:rsid w:val="005C297E"/>
    <w:rsid w:val="005C365E"/>
    <w:rsid w:val="005C36E3"/>
    <w:rsid w:val="005C3DC2"/>
    <w:rsid w:val="005C4676"/>
    <w:rsid w:val="005C52CD"/>
    <w:rsid w:val="005C701D"/>
    <w:rsid w:val="005D1B27"/>
    <w:rsid w:val="005D2122"/>
    <w:rsid w:val="005D2D33"/>
    <w:rsid w:val="005D3BD6"/>
    <w:rsid w:val="005D3E5B"/>
    <w:rsid w:val="005D4879"/>
    <w:rsid w:val="005D50CC"/>
    <w:rsid w:val="005D52C0"/>
    <w:rsid w:val="005D5622"/>
    <w:rsid w:val="005D5FB7"/>
    <w:rsid w:val="005D6C5A"/>
    <w:rsid w:val="005D7076"/>
    <w:rsid w:val="005D7828"/>
    <w:rsid w:val="005D783A"/>
    <w:rsid w:val="005D78ED"/>
    <w:rsid w:val="005E2154"/>
    <w:rsid w:val="005E2BF9"/>
    <w:rsid w:val="005E315E"/>
    <w:rsid w:val="005E3E85"/>
    <w:rsid w:val="005E5246"/>
    <w:rsid w:val="005E6420"/>
    <w:rsid w:val="005E6661"/>
    <w:rsid w:val="005E67A5"/>
    <w:rsid w:val="005E6CB7"/>
    <w:rsid w:val="005E6E53"/>
    <w:rsid w:val="005E72E4"/>
    <w:rsid w:val="005E7B06"/>
    <w:rsid w:val="005F0B51"/>
    <w:rsid w:val="005F21BD"/>
    <w:rsid w:val="005F23E8"/>
    <w:rsid w:val="005F256A"/>
    <w:rsid w:val="005F29BD"/>
    <w:rsid w:val="005F3CC9"/>
    <w:rsid w:val="005F4407"/>
    <w:rsid w:val="005F4AF8"/>
    <w:rsid w:val="005F4EC0"/>
    <w:rsid w:val="005F5BFC"/>
    <w:rsid w:val="005F6138"/>
    <w:rsid w:val="005F6981"/>
    <w:rsid w:val="005F6AE6"/>
    <w:rsid w:val="00601EE7"/>
    <w:rsid w:val="00602234"/>
    <w:rsid w:val="00602371"/>
    <w:rsid w:val="0060307E"/>
    <w:rsid w:val="00604314"/>
    <w:rsid w:val="00604365"/>
    <w:rsid w:val="00604BFA"/>
    <w:rsid w:val="00604D74"/>
    <w:rsid w:val="0060505B"/>
    <w:rsid w:val="006053C8"/>
    <w:rsid w:val="006055EC"/>
    <w:rsid w:val="0060594F"/>
    <w:rsid w:val="0060597E"/>
    <w:rsid w:val="006071DA"/>
    <w:rsid w:val="0060761F"/>
    <w:rsid w:val="0061035F"/>
    <w:rsid w:val="00610F5B"/>
    <w:rsid w:val="00611439"/>
    <w:rsid w:val="00611EED"/>
    <w:rsid w:val="00611F2C"/>
    <w:rsid w:val="00612112"/>
    <w:rsid w:val="00612DF6"/>
    <w:rsid w:val="00613615"/>
    <w:rsid w:val="00613A29"/>
    <w:rsid w:val="00615161"/>
    <w:rsid w:val="00617A25"/>
    <w:rsid w:val="00617D7C"/>
    <w:rsid w:val="00617EB1"/>
    <w:rsid w:val="0062019C"/>
    <w:rsid w:val="00620364"/>
    <w:rsid w:val="0062059C"/>
    <w:rsid w:val="006208D1"/>
    <w:rsid w:val="00620A56"/>
    <w:rsid w:val="006212F3"/>
    <w:rsid w:val="006218FD"/>
    <w:rsid w:val="00622B7E"/>
    <w:rsid w:val="006231BC"/>
    <w:rsid w:val="00623611"/>
    <w:rsid w:val="006239A9"/>
    <w:rsid w:val="00623B59"/>
    <w:rsid w:val="00623B9D"/>
    <w:rsid w:val="00624A09"/>
    <w:rsid w:val="00624C52"/>
    <w:rsid w:val="006251A0"/>
    <w:rsid w:val="0062729A"/>
    <w:rsid w:val="00627EEE"/>
    <w:rsid w:val="00627FC2"/>
    <w:rsid w:val="00630797"/>
    <w:rsid w:val="00630884"/>
    <w:rsid w:val="00630EF7"/>
    <w:rsid w:val="00631144"/>
    <w:rsid w:val="00631283"/>
    <w:rsid w:val="006314B5"/>
    <w:rsid w:val="006327B1"/>
    <w:rsid w:val="006328F5"/>
    <w:rsid w:val="006345D9"/>
    <w:rsid w:val="00634C9A"/>
    <w:rsid w:val="006350B9"/>
    <w:rsid w:val="0063577B"/>
    <w:rsid w:val="00635B33"/>
    <w:rsid w:val="00635F90"/>
    <w:rsid w:val="006367EB"/>
    <w:rsid w:val="00636A70"/>
    <w:rsid w:val="006371CE"/>
    <w:rsid w:val="00637A9A"/>
    <w:rsid w:val="006400E4"/>
    <w:rsid w:val="0064155C"/>
    <w:rsid w:val="00641573"/>
    <w:rsid w:val="00641B2D"/>
    <w:rsid w:val="00642BFE"/>
    <w:rsid w:val="006432C1"/>
    <w:rsid w:val="006436B9"/>
    <w:rsid w:val="00643F72"/>
    <w:rsid w:val="00644E40"/>
    <w:rsid w:val="00647E5E"/>
    <w:rsid w:val="006511FC"/>
    <w:rsid w:val="00651253"/>
    <w:rsid w:val="00651507"/>
    <w:rsid w:val="00651AD7"/>
    <w:rsid w:val="0065254E"/>
    <w:rsid w:val="00653425"/>
    <w:rsid w:val="0065347D"/>
    <w:rsid w:val="00653AD6"/>
    <w:rsid w:val="00654070"/>
    <w:rsid w:val="00654B4B"/>
    <w:rsid w:val="00654C93"/>
    <w:rsid w:val="00654F49"/>
    <w:rsid w:val="00656113"/>
    <w:rsid w:val="00656816"/>
    <w:rsid w:val="00656B46"/>
    <w:rsid w:val="00656F7E"/>
    <w:rsid w:val="0065759C"/>
    <w:rsid w:val="006575F3"/>
    <w:rsid w:val="00657760"/>
    <w:rsid w:val="00657CDF"/>
    <w:rsid w:val="0066165A"/>
    <w:rsid w:val="00661862"/>
    <w:rsid w:val="00662A5B"/>
    <w:rsid w:val="00662DC6"/>
    <w:rsid w:val="006638BF"/>
    <w:rsid w:val="00665167"/>
    <w:rsid w:val="00667773"/>
    <w:rsid w:val="00667CC6"/>
    <w:rsid w:val="00667DF4"/>
    <w:rsid w:val="00667E3A"/>
    <w:rsid w:val="0067059C"/>
    <w:rsid w:val="0067434B"/>
    <w:rsid w:val="00674D18"/>
    <w:rsid w:val="006759C6"/>
    <w:rsid w:val="00676F13"/>
    <w:rsid w:val="00677248"/>
    <w:rsid w:val="00677A85"/>
    <w:rsid w:val="00677C16"/>
    <w:rsid w:val="00677DD0"/>
    <w:rsid w:val="00677FCD"/>
    <w:rsid w:val="0068253F"/>
    <w:rsid w:val="0068273A"/>
    <w:rsid w:val="00682BC0"/>
    <w:rsid w:val="00683D8D"/>
    <w:rsid w:val="00683DED"/>
    <w:rsid w:val="0068439A"/>
    <w:rsid w:val="0068448E"/>
    <w:rsid w:val="00684957"/>
    <w:rsid w:val="006856FF"/>
    <w:rsid w:val="00685FC3"/>
    <w:rsid w:val="00685FD6"/>
    <w:rsid w:val="006865F1"/>
    <w:rsid w:val="00686E02"/>
    <w:rsid w:val="006906E5"/>
    <w:rsid w:val="00690F4B"/>
    <w:rsid w:val="00691039"/>
    <w:rsid w:val="006911E3"/>
    <w:rsid w:val="006913CA"/>
    <w:rsid w:val="00691690"/>
    <w:rsid w:val="00691879"/>
    <w:rsid w:val="0069236E"/>
    <w:rsid w:val="00692D1D"/>
    <w:rsid w:val="006934D1"/>
    <w:rsid w:val="006936A9"/>
    <w:rsid w:val="006937A7"/>
    <w:rsid w:val="00693D96"/>
    <w:rsid w:val="00694584"/>
    <w:rsid w:val="006948F7"/>
    <w:rsid w:val="006957B4"/>
    <w:rsid w:val="00695E3F"/>
    <w:rsid w:val="00696B9A"/>
    <w:rsid w:val="006972C5"/>
    <w:rsid w:val="00697411"/>
    <w:rsid w:val="00697621"/>
    <w:rsid w:val="006977F2"/>
    <w:rsid w:val="00697C76"/>
    <w:rsid w:val="00697E2F"/>
    <w:rsid w:val="006A002A"/>
    <w:rsid w:val="006A049E"/>
    <w:rsid w:val="006A0C6C"/>
    <w:rsid w:val="006A0D0C"/>
    <w:rsid w:val="006A195E"/>
    <w:rsid w:val="006A1BB7"/>
    <w:rsid w:val="006A2FDD"/>
    <w:rsid w:val="006A3337"/>
    <w:rsid w:val="006A3968"/>
    <w:rsid w:val="006A3AAD"/>
    <w:rsid w:val="006A3BDE"/>
    <w:rsid w:val="006A3C26"/>
    <w:rsid w:val="006A4F35"/>
    <w:rsid w:val="006A5239"/>
    <w:rsid w:val="006A532A"/>
    <w:rsid w:val="006A5C05"/>
    <w:rsid w:val="006A65D8"/>
    <w:rsid w:val="006A662F"/>
    <w:rsid w:val="006A70CE"/>
    <w:rsid w:val="006A717D"/>
    <w:rsid w:val="006A7E25"/>
    <w:rsid w:val="006B0604"/>
    <w:rsid w:val="006B06B0"/>
    <w:rsid w:val="006B0BDD"/>
    <w:rsid w:val="006B2779"/>
    <w:rsid w:val="006B27AB"/>
    <w:rsid w:val="006B2C69"/>
    <w:rsid w:val="006B2F73"/>
    <w:rsid w:val="006B47CA"/>
    <w:rsid w:val="006B4AFC"/>
    <w:rsid w:val="006B513F"/>
    <w:rsid w:val="006B54D8"/>
    <w:rsid w:val="006B5836"/>
    <w:rsid w:val="006B5E75"/>
    <w:rsid w:val="006B7A0F"/>
    <w:rsid w:val="006B7EC4"/>
    <w:rsid w:val="006C0320"/>
    <w:rsid w:val="006C0B67"/>
    <w:rsid w:val="006C147E"/>
    <w:rsid w:val="006C1D6B"/>
    <w:rsid w:val="006C1D92"/>
    <w:rsid w:val="006C2139"/>
    <w:rsid w:val="006C2E0A"/>
    <w:rsid w:val="006C35CC"/>
    <w:rsid w:val="006C3A8E"/>
    <w:rsid w:val="006C4A4D"/>
    <w:rsid w:val="006C5209"/>
    <w:rsid w:val="006C6CA7"/>
    <w:rsid w:val="006D043F"/>
    <w:rsid w:val="006D0994"/>
    <w:rsid w:val="006D1B31"/>
    <w:rsid w:val="006D1E0A"/>
    <w:rsid w:val="006D35DF"/>
    <w:rsid w:val="006D3EA9"/>
    <w:rsid w:val="006D4108"/>
    <w:rsid w:val="006D410C"/>
    <w:rsid w:val="006D44FB"/>
    <w:rsid w:val="006D476A"/>
    <w:rsid w:val="006D72DA"/>
    <w:rsid w:val="006D776C"/>
    <w:rsid w:val="006E02D6"/>
    <w:rsid w:val="006E3146"/>
    <w:rsid w:val="006E32E6"/>
    <w:rsid w:val="006E3335"/>
    <w:rsid w:val="006E370B"/>
    <w:rsid w:val="006E3993"/>
    <w:rsid w:val="006E3D73"/>
    <w:rsid w:val="006E4C7C"/>
    <w:rsid w:val="006E52A2"/>
    <w:rsid w:val="006E6B2C"/>
    <w:rsid w:val="006E78FB"/>
    <w:rsid w:val="006F00A3"/>
    <w:rsid w:val="006F1BD3"/>
    <w:rsid w:val="006F1D39"/>
    <w:rsid w:val="006F21AE"/>
    <w:rsid w:val="006F2276"/>
    <w:rsid w:val="006F25CD"/>
    <w:rsid w:val="006F26C2"/>
    <w:rsid w:val="006F34C3"/>
    <w:rsid w:val="006F3A8A"/>
    <w:rsid w:val="006F3C89"/>
    <w:rsid w:val="006F4CF9"/>
    <w:rsid w:val="006F6117"/>
    <w:rsid w:val="006F686B"/>
    <w:rsid w:val="006F7ECF"/>
    <w:rsid w:val="007006AA"/>
    <w:rsid w:val="007008D6"/>
    <w:rsid w:val="00701C76"/>
    <w:rsid w:val="00702882"/>
    <w:rsid w:val="00703228"/>
    <w:rsid w:val="007034EC"/>
    <w:rsid w:val="007034F3"/>
    <w:rsid w:val="007046A2"/>
    <w:rsid w:val="0070475B"/>
    <w:rsid w:val="00704B0D"/>
    <w:rsid w:val="00705041"/>
    <w:rsid w:val="0070626C"/>
    <w:rsid w:val="0070701A"/>
    <w:rsid w:val="00707903"/>
    <w:rsid w:val="0070795E"/>
    <w:rsid w:val="00707C25"/>
    <w:rsid w:val="00707CDC"/>
    <w:rsid w:val="0071028E"/>
    <w:rsid w:val="007102D0"/>
    <w:rsid w:val="00710632"/>
    <w:rsid w:val="0071248A"/>
    <w:rsid w:val="007126A8"/>
    <w:rsid w:val="00712A3A"/>
    <w:rsid w:val="00712DFA"/>
    <w:rsid w:val="0071466A"/>
    <w:rsid w:val="007146DE"/>
    <w:rsid w:val="00714CB6"/>
    <w:rsid w:val="00715393"/>
    <w:rsid w:val="00715724"/>
    <w:rsid w:val="00715C0C"/>
    <w:rsid w:val="00716186"/>
    <w:rsid w:val="0071677C"/>
    <w:rsid w:val="00716DEB"/>
    <w:rsid w:val="00717A76"/>
    <w:rsid w:val="00717B35"/>
    <w:rsid w:val="0072065F"/>
    <w:rsid w:val="0072086D"/>
    <w:rsid w:val="00720ABF"/>
    <w:rsid w:val="00722AD4"/>
    <w:rsid w:val="00722CE9"/>
    <w:rsid w:val="00723836"/>
    <w:rsid w:val="00723D74"/>
    <w:rsid w:val="00724007"/>
    <w:rsid w:val="0072412A"/>
    <w:rsid w:val="007243E9"/>
    <w:rsid w:val="00724705"/>
    <w:rsid w:val="00724B53"/>
    <w:rsid w:val="00725554"/>
    <w:rsid w:val="00725DEB"/>
    <w:rsid w:val="0072601D"/>
    <w:rsid w:val="00727C1B"/>
    <w:rsid w:val="007302C3"/>
    <w:rsid w:val="00730F20"/>
    <w:rsid w:val="007313A5"/>
    <w:rsid w:val="007314B3"/>
    <w:rsid w:val="00731D67"/>
    <w:rsid w:val="00732196"/>
    <w:rsid w:val="00733ACC"/>
    <w:rsid w:val="00734CC8"/>
    <w:rsid w:val="00735903"/>
    <w:rsid w:val="00735D94"/>
    <w:rsid w:val="007368D2"/>
    <w:rsid w:val="00736ACB"/>
    <w:rsid w:val="00736B02"/>
    <w:rsid w:val="00740489"/>
    <w:rsid w:val="0074179F"/>
    <w:rsid w:val="00741B4B"/>
    <w:rsid w:val="00741E0A"/>
    <w:rsid w:val="00742274"/>
    <w:rsid w:val="00742CEE"/>
    <w:rsid w:val="007444DC"/>
    <w:rsid w:val="00744C4C"/>
    <w:rsid w:val="00745215"/>
    <w:rsid w:val="00745F23"/>
    <w:rsid w:val="007463B1"/>
    <w:rsid w:val="00746715"/>
    <w:rsid w:val="007473CE"/>
    <w:rsid w:val="00747506"/>
    <w:rsid w:val="00747CFC"/>
    <w:rsid w:val="00750BB8"/>
    <w:rsid w:val="0075123B"/>
    <w:rsid w:val="00751984"/>
    <w:rsid w:val="0075291D"/>
    <w:rsid w:val="00752DEF"/>
    <w:rsid w:val="007535D1"/>
    <w:rsid w:val="007540BE"/>
    <w:rsid w:val="007542A9"/>
    <w:rsid w:val="00754BF5"/>
    <w:rsid w:val="0075513D"/>
    <w:rsid w:val="00756480"/>
    <w:rsid w:val="00756B7B"/>
    <w:rsid w:val="0075752D"/>
    <w:rsid w:val="00757EB7"/>
    <w:rsid w:val="00760141"/>
    <w:rsid w:val="007607E3"/>
    <w:rsid w:val="00760DCB"/>
    <w:rsid w:val="00761FD5"/>
    <w:rsid w:val="007627FA"/>
    <w:rsid w:val="007646B1"/>
    <w:rsid w:val="00764AD0"/>
    <w:rsid w:val="00765374"/>
    <w:rsid w:val="00767048"/>
    <w:rsid w:val="00770AC0"/>
    <w:rsid w:val="007711EA"/>
    <w:rsid w:val="00772255"/>
    <w:rsid w:val="00772475"/>
    <w:rsid w:val="007724E0"/>
    <w:rsid w:val="00772A65"/>
    <w:rsid w:val="00773640"/>
    <w:rsid w:val="007736F4"/>
    <w:rsid w:val="00773AAF"/>
    <w:rsid w:val="0077411D"/>
    <w:rsid w:val="0077467F"/>
    <w:rsid w:val="0077485E"/>
    <w:rsid w:val="0077495D"/>
    <w:rsid w:val="007752E9"/>
    <w:rsid w:val="00775AFA"/>
    <w:rsid w:val="00775D3F"/>
    <w:rsid w:val="00776D35"/>
    <w:rsid w:val="00776DEF"/>
    <w:rsid w:val="007772AD"/>
    <w:rsid w:val="00777B7A"/>
    <w:rsid w:val="0078050F"/>
    <w:rsid w:val="00780854"/>
    <w:rsid w:val="00782024"/>
    <w:rsid w:val="0078217A"/>
    <w:rsid w:val="007826C6"/>
    <w:rsid w:val="0078281F"/>
    <w:rsid w:val="00782D95"/>
    <w:rsid w:val="00783F04"/>
    <w:rsid w:val="007841A8"/>
    <w:rsid w:val="00784DE9"/>
    <w:rsid w:val="00785962"/>
    <w:rsid w:val="007864CE"/>
    <w:rsid w:val="00786935"/>
    <w:rsid w:val="00786D3A"/>
    <w:rsid w:val="00787762"/>
    <w:rsid w:val="007879BE"/>
    <w:rsid w:val="00787EE5"/>
    <w:rsid w:val="00790109"/>
    <w:rsid w:val="007908F4"/>
    <w:rsid w:val="00791800"/>
    <w:rsid w:val="00791808"/>
    <w:rsid w:val="007920BB"/>
    <w:rsid w:val="007926F4"/>
    <w:rsid w:val="007927F6"/>
    <w:rsid w:val="00792B4C"/>
    <w:rsid w:val="00793A9A"/>
    <w:rsid w:val="007940E8"/>
    <w:rsid w:val="0079438B"/>
    <w:rsid w:val="00796E47"/>
    <w:rsid w:val="00796FD4"/>
    <w:rsid w:val="007978B1"/>
    <w:rsid w:val="007A0E43"/>
    <w:rsid w:val="007A0EC6"/>
    <w:rsid w:val="007A1D13"/>
    <w:rsid w:val="007A2200"/>
    <w:rsid w:val="007A2FF7"/>
    <w:rsid w:val="007A2FFD"/>
    <w:rsid w:val="007A3C08"/>
    <w:rsid w:val="007A414D"/>
    <w:rsid w:val="007A459B"/>
    <w:rsid w:val="007A4F6D"/>
    <w:rsid w:val="007A5BE5"/>
    <w:rsid w:val="007A5DA0"/>
    <w:rsid w:val="007A6306"/>
    <w:rsid w:val="007B09A8"/>
    <w:rsid w:val="007B0BB6"/>
    <w:rsid w:val="007B1D2F"/>
    <w:rsid w:val="007B1F63"/>
    <w:rsid w:val="007B211C"/>
    <w:rsid w:val="007B2486"/>
    <w:rsid w:val="007B2656"/>
    <w:rsid w:val="007B2C45"/>
    <w:rsid w:val="007B45EC"/>
    <w:rsid w:val="007B5A70"/>
    <w:rsid w:val="007B68CE"/>
    <w:rsid w:val="007B6BE0"/>
    <w:rsid w:val="007B727B"/>
    <w:rsid w:val="007C1016"/>
    <w:rsid w:val="007C122B"/>
    <w:rsid w:val="007C25B0"/>
    <w:rsid w:val="007C31EC"/>
    <w:rsid w:val="007C331A"/>
    <w:rsid w:val="007C3B62"/>
    <w:rsid w:val="007C44B9"/>
    <w:rsid w:val="007C4B44"/>
    <w:rsid w:val="007C4DDA"/>
    <w:rsid w:val="007C5646"/>
    <w:rsid w:val="007C57CC"/>
    <w:rsid w:val="007C6E40"/>
    <w:rsid w:val="007C72E3"/>
    <w:rsid w:val="007C7862"/>
    <w:rsid w:val="007C7B86"/>
    <w:rsid w:val="007C7C8C"/>
    <w:rsid w:val="007D00F8"/>
    <w:rsid w:val="007D022D"/>
    <w:rsid w:val="007D0885"/>
    <w:rsid w:val="007D25B6"/>
    <w:rsid w:val="007D375D"/>
    <w:rsid w:val="007D3E82"/>
    <w:rsid w:val="007D4C7D"/>
    <w:rsid w:val="007D626E"/>
    <w:rsid w:val="007D6813"/>
    <w:rsid w:val="007D6C5B"/>
    <w:rsid w:val="007D759D"/>
    <w:rsid w:val="007E0F96"/>
    <w:rsid w:val="007E1B48"/>
    <w:rsid w:val="007E29E2"/>
    <w:rsid w:val="007E4640"/>
    <w:rsid w:val="007E4CD6"/>
    <w:rsid w:val="007E53CB"/>
    <w:rsid w:val="007E5A3F"/>
    <w:rsid w:val="007E5B0B"/>
    <w:rsid w:val="007E5BBD"/>
    <w:rsid w:val="007E6443"/>
    <w:rsid w:val="007E67F1"/>
    <w:rsid w:val="007F0C7E"/>
    <w:rsid w:val="007F0FB8"/>
    <w:rsid w:val="007F2BC3"/>
    <w:rsid w:val="007F2F9F"/>
    <w:rsid w:val="007F4734"/>
    <w:rsid w:val="007F4743"/>
    <w:rsid w:val="007F4FFC"/>
    <w:rsid w:val="007F598A"/>
    <w:rsid w:val="007F5AED"/>
    <w:rsid w:val="007F5EEF"/>
    <w:rsid w:val="007F61A6"/>
    <w:rsid w:val="007F6B6F"/>
    <w:rsid w:val="007F6CA4"/>
    <w:rsid w:val="007F7418"/>
    <w:rsid w:val="007F7449"/>
    <w:rsid w:val="007F78A4"/>
    <w:rsid w:val="007F7A14"/>
    <w:rsid w:val="007F7FF2"/>
    <w:rsid w:val="00800518"/>
    <w:rsid w:val="00800686"/>
    <w:rsid w:val="00800DE7"/>
    <w:rsid w:val="00801D09"/>
    <w:rsid w:val="008020D1"/>
    <w:rsid w:val="00802752"/>
    <w:rsid w:val="00802A59"/>
    <w:rsid w:val="00803512"/>
    <w:rsid w:val="00803F79"/>
    <w:rsid w:val="0080461B"/>
    <w:rsid w:val="0080471F"/>
    <w:rsid w:val="00804ADA"/>
    <w:rsid w:val="008051F9"/>
    <w:rsid w:val="0080549E"/>
    <w:rsid w:val="008062EB"/>
    <w:rsid w:val="0080688F"/>
    <w:rsid w:val="00807053"/>
    <w:rsid w:val="0080736A"/>
    <w:rsid w:val="00807D86"/>
    <w:rsid w:val="00810A86"/>
    <w:rsid w:val="00811ED7"/>
    <w:rsid w:val="008125A4"/>
    <w:rsid w:val="0081281C"/>
    <w:rsid w:val="008138C5"/>
    <w:rsid w:val="0081397C"/>
    <w:rsid w:val="00813B19"/>
    <w:rsid w:val="008140A5"/>
    <w:rsid w:val="008140D1"/>
    <w:rsid w:val="0081466C"/>
    <w:rsid w:val="00814F39"/>
    <w:rsid w:val="0081519C"/>
    <w:rsid w:val="008153BF"/>
    <w:rsid w:val="008165F6"/>
    <w:rsid w:val="00816D16"/>
    <w:rsid w:val="008177E4"/>
    <w:rsid w:val="00817847"/>
    <w:rsid w:val="008201DE"/>
    <w:rsid w:val="008209F4"/>
    <w:rsid w:val="00820A0A"/>
    <w:rsid w:val="00820C2F"/>
    <w:rsid w:val="00820D8D"/>
    <w:rsid w:val="008210BE"/>
    <w:rsid w:val="008219CE"/>
    <w:rsid w:val="00821B1E"/>
    <w:rsid w:val="00821D65"/>
    <w:rsid w:val="008228BD"/>
    <w:rsid w:val="00823622"/>
    <w:rsid w:val="00823709"/>
    <w:rsid w:val="00824F9E"/>
    <w:rsid w:val="0082522E"/>
    <w:rsid w:val="00825BB9"/>
    <w:rsid w:val="00826560"/>
    <w:rsid w:val="0082658C"/>
    <w:rsid w:val="008267CF"/>
    <w:rsid w:val="00826856"/>
    <w:rsid w:val="00826AE1"/>
    <w:rsid w:val="00827D08"/>
    <w:rsid w:val="00827E45"/>
    <w:rsid w:val="00830088"/>
    <w:rsid w:val="0083048C"/>
    <w:rsid w:val="008307E2"/>
    <w:rsid w:val="0083097C"/>
    <w:rsid w:val="00830B0A"/>
    <w:rsid w:val="00831AF9"/>
    <w:rsid w:val="00831EE4"/>
    <w:rsid w:val="008329B2"/>
    <w:rsid w:val="00832E25"/>
    <w:rsid w:val="00832E51"/>
    <w:rsid w:val="00833027"/>
    <w:rsid w:val="00833265"/>
    <w:rsid w:val="00833CE0"/>
    <w:rsid w:val="00833E5E"/>
    <w:rsid w:val="00833F55"/>
    <w:rsid w:val="00833F72"/>
    <w:rsid w:val="008341AD"/>
    <w:rsid w:val="0083435C"/>
    <w:rsid w:val="00836749"/>
    <w:rsid w:val="0083685B"/>
    <w:rsid w:val="00837456"/>
    <w:rsid w:val="008400AF"/>
    <w:rsid w:val="00840E6E"/>
    <w:rsid w:val="0084198D"/>
    <w:rsid w:val="00841F8B"/>
    <w:rsid w:val="00842B23"/>
    <w:rsid w:val="00842D09"/>
    <w:rsid w:val="00843299"/>
    <w:rsid w:val="008445E0"/>
    <w:rsid w:val="00844B60"/>
    <w:rsid w:val="00844DD7"/>
    <w:rsid w:val="00845B75"/>
    <w:rsid w:val="00846099"/>
    <w:rsid w:val="008465CA"/>
    <w:rsid w:val="008474A4"/>
    <w:rsid w:val="008475CA"/>
    <w:rsid w:val="0085118B"/>
    <w:rsid w:val="0085191F"/>
    <w:rsid w:val="0085367D"/>
    <w:rsid w:val="00853E6D"/>
    <w:rsid w:val="008540F6"/>
    <w:rsid w:val="008550D9"/>
    <w:rsid w:val="00855570"/>
    <w:rsid w:val="008558F3"/>
    <w:rsid w:val="00856191"/>
    <w:rsid w:val="00856E5E"/>
    <w:rsid w:val="00856E60"/>
    <w:rsid w:val="008575B1"/>
    <w:rsid w:val="00857D31"/>
    <w:rsid w:val="008600C1"/>
    <w:rsid w:val="008610B5"/>
    <w:rsid w:val="008615FA"/>
    <w:rsid w:val="00861B77"/>
    <w:rsid w:val="00861C5E"/>
    <w:rsid w:val="00861F55"/>
    <w:rsid w:val="00862194"/>
    <w:rsid w:val="00862D36"/>
    <w:rsid w:val="008648A6"/>
    <w:rsid w:val="008658CF"/>
    <w:rsid w:val="00866913"/>
    <w:rsid w:val="008669D0"/>
    <w:rsid w:val="00867D8B"/>
    <w:rsid w:val="0087042C"/>
    <w:rsid w:val="00870467"/>
    <w:rsid w:val="00870534"/>
    <w:rsid w:val="008706CD"/>
    <w:rsid w:val="0087096C"/>
    <w:rsid w:val="00870EFE"/>
    <w:rsid w:val="00870FA6"/>
    <w:rsid w:val="008717E4"/>
    <w:rsid w:val="00871E9F"/>
    <w:rsid w:val="0087251B"/>
    <w:rsid w:val="00873D9B"/>
    <w:rsid w:val="00874056"/>
    <w:rsid w:val="0087478C"/>
    <w:rsid w:val="00874D81"/>
    <w:rsid w:val="008752DD"/>
    <w:rsid w:val="008768D0"/>
    <w:rsid w:val="00876A50"/>
    <w:rsid w:val="00876C29"/>
    <w:rsid w:val="00876D42"/>
    <w:rsid w:val="00876D63"/>
    <w:rsid w:val="00877265"/>
    <w:rsid w:val="00877A5B"/>
    <w:rsid w:val="00881721"/>
    <w:rsid w:val="00881D19"/>
    <w:rsid w:val="008823F2"/>
    <w:rsid w:val="008825E3"/>
    <w:rsid w:val="00882A33"/>
    <w:rsid w:val="008832BA"/>
    <w:rsid w:val="00883FD9"/>
    <w:rsid w:val="00885089"/>
    <w:rsid w:val="0088533B"/>
    <w:rsid w:val="00886CD3"/>
    <w:rsid w:val="00887D55"/>
    <w:rsid w:val="00890361"/>
    <w:rsid w:val="008909FC"/>
    <w:rsid w:val="00890AA3"/>
    <w:rsid w:val="00890C7A"/>
    <w:rsid w:val="00891CB6"/>
    <w:rsid w:val="0089273B"/>
    <w:rsid w:val="0089292C"/>
    <w:rsid w:val="00892CB5"/>
    <w:rsid w:val="00893BCB"/>
    <w:rsid w:val="00894249"/>
    <w:rsid w:val="00895923"/>
    <w:rsid w:val="008974B3"/>
    <w:rsid w:val="008977DF"/>
    <w:rsid w:val="00897AD3"/>
    <w:rsid w:val="008A0698"/>
    <w:rsid w:val="008A1BA3"/>
    <w:rsid w:val="008A1C96"/>
    <w:rsid w:val="008A2194"/>
    <w:rsid w:val="008A30C1"/>
    <w:rsid w:val="008A36CA"/>
    <w:rsid w:val="008A3A1D"/>
    <w:rsid w:val="008A3BFF"/>
    <w:rsid w:val="008A5640"/>
    <w:rsid w:val="008A56CC"/>
    <w:rsid w:val="008A5B0E"/>
    <w:rsid w:val="008A5E79"/>
    <w:rsid w:val="008A5F3B"/>
    <w:rsid w:val="008A6795"/>
    <w:rsid w:val="008A6DA3"/>
    <w:rsid w:val="008A6E21"/>
    <w:rsid w:val="008A6E76"/>
    <w:rsid w:val="008A7320"/>
    <w:rsid w:val="008A77F7"/>
    <w:rsid w:val="008A7D1E"/>
    <w:rsid w:val="008B10AB"/>
    <w:rsid w:val="008B2B4B"/>
    <w:rsid w:val="008B2C16"/>
    <w:rsid w:val="008B2F7F"/>
    <w:rsid w:val="008B34B8"/>
    <w:rsid w:val="008B3F49"/>
    <w:rsid w:val="008B40B6"/>
    <w:rsid w:val="008B4D40"/>
    <w:rsid w:val="008B53B8"/>
    <w:rsid w:val="008B5BD1"/>
    <w:rsid w:val="008B5CBE"/>
    <w:rsid w:val="008B6724"/>
    <w:rsid w:val="008B68E6"/>
    <w:rsid w:val="008B68FE"/>
    <w:rsid w:val="008B7191"/>
    <w:rsid w:val="008C09C8"/>
    <w:rsid w:val="008C0DD6"/>
    <w:rsid w:val="008C0F2C"/>
    <w:rsid w:val="008C15FF"/>
    <w:rsid w:val="008C302C"/>
    <w:rsid w:val="008C3EBF"/>
    <w:rsid w:val="008C7EE0"/>
    <w:rsid w:val="008D11A7"/>
    <w:rsid w:val="008D155D"/>
    <w:rsid w:val="008D26DB"/>
    <w:rsid w:val="008D3093"/>
    <w:rsid w:val="008D30A7"/>
    <w:rsid w:val="008D3AAE"/>
    <w:rsid w:val="008D3ED4"/>
    <w:rsid w:val="008D3FAD"/>
    <w:rsid w:val="008D4357"/>
    <w:rsid w:val="008D6212"/>
    <w:rsid w:val="008D65D4"/>
    <w:rsid w:val="008D6636"/>
    <w:rsid w:val="008D6A75"/>
    <w:rsid w:val="008D6DF1"/>
    <w:rsid w:val="008E03E2"/>
    <w:rsid w:val="008E0748"/>
    <w:rsid w:val="008E0ED9"/>
    <w:rsid w:val="008E1284"/>
    <w:rsid w:val="008E2896"/>
    <w:rsid w:val="008E3BBE"/>
    <w:rsid w:val="008E4579"/>
    <w:rsid w:val="008E4B88"/>
    <w:rsid w:val="008E53D7"/>
    <w:rsid w:val="008E5B12"/>
    <w:rsid w:val="008E68A4"/>
    <w:rsid w:val="008E704E"/>
    <w:rsid w:val="008E70A2"/>
    <w:rsid w:val="008E72CB"/>
    <w:rsid w:val="008E735B"/>
    <w:rsid w:val="008E76D3"/>
    <w:rsid w:val="008E79CC"/>
    <w:rsid w:val="008F05DC"/>
    <w:rsid w:val="008F14B1"/>
    <w:rsid w:val="008F1EAC"/>
    <w:rsid w:val="008F245A"/>
    <w:rsid w:val="008F34AA"/>
    <w:rsid w:val="008F3CFB"/>
    <w:rsid w:val="008F447F"/>
    <w:rsid w:val="008F51CA"/>
    <w:rsid w:val="008F5725"/>
    <w:rsid w:val="008F63C4"/>
    <w:rsid w:val="008F658D"/>
    <w:rsid w:val="008F6D2D"/>
    <w:rsid w:val="008F73BD"/>
    <w:rsid w:val="008F7C06"/>
    <w:rsid w:val="00900A87"/>
    <w:rsid w:val="009013CC"/>
    <w:rsid w:val="0090141E"/>
    <w:rsid w:val="009015D1"/>
    <w:rsid w:val="00901855"/>
    <w:rsid w:val="0090401E"/>
    <w:rsid w:val="00904A48"/>
    <w:rsid w:val="00906B25"/>
    <w:rsid w:val="009075F4"/>
    <w:rsid w:val="009079E2"/>
    <w:rsid w:val="0091018C"/>
    <w:rsid w:val="00911313"/>
    <w:rsid w:val="00911D9C"/>
    <w:rsid w:val="00913856"/>
    <w:rsid w:val="009140E4"/>
    <w:rsid w:val="00914435"/>
    <w:rsid w:val="00914BD3"/>
    <w:rsid w:val="00916328"/>
    <w:rsid w:val="00917550"/>
    <w:rsid w:val="009175E5"/>
    <w:rsid w:val="009177A4"/>
    <w:rsid w:val="00917817"/>
    <w:rsid w:val="009205F1"/>
    <w:rsid w:val="00920638"/>
    <w:rsid w:val="00920B4F"/>
    <w:rsid w:val="009210D2"/>
    <w:rsid w:val="009215E5"/>
    <w:rsid w:val="00922763"/>
    <w:rsid w:val="009230E7"/>
    <w:rsid w:val="00924771"/>
    <w:rsid w:val="00924810"/>
    <w:rsid w:val="00924FC9"/>
    <w:rsid w:val="00925275"/>
    <w:rsid w:val="00925A66"/>
    <w:rsid w:val="0092646F"/>
    <w:rsid w:val="00926F05"/>
    <w:rsid w:val="00930382"/>
    <w:rsid w:val="00930C54"/>
    <w:rsid w:val="00931DBA"/>
    <w:rsid w:val="0093246C"/>
    <w:rsid w:val="00932CE2"/>
    <w:rsid w:val="009337A4"/>
    <w:rsid w:val="00933DD6"/>
    <w:rsid w:val="009340CD"/>
    <w:rsid w:val="00934A01"/>
    <w:rsid w:val="00934FBC"/>
    <w:rsid w:val="00935594"/>
    <w:rsid w:val="00935B6E"/>
    <w:rsid w:val="009362EE"/>
    <w:rsid w:val="00936F02"/>
    <w:rsid w:val="00937CBF"/>
    <w:rsid w:val="00940217"/>
    <w:rsid w:val="00940335"/>
    <w:rsid w:val="0094050F"/>
    <w:rsid w:val="00940860"/>
    <w:rsid w:val="0094144E"/>
    <w:rsid w:val="00942A6B"/>
    <w:rsid w:val="00942B12"/>
    <w:rsid w:val="00943A41"/>
    <w:rsid w:val="0094408E"/>
    <w:rsid w:val="00944CEF"/>
    <w:rsid w:val="00944D63"/>
    <w:rsid w:val="0094633F"/>
    <w:rsid w:val="00946A60"/>
    <w:rsid w:val="009470EA"/>
    <w:rsid w:val="00947EA6"/>
    <w:rsid w:val="00950B8D"/>
    <w:rsid w:val="009518AD"/>
    <w:rsid w:val="0095242A"/>
    <w:rsid w:val="0095261A"/>
    <w:rsid w:val="009544F9"/>
    <w:rsid w:val="00955912"/>
    <w:rsid w:val="00956179"/>
    <w:rsid w:val="009568FD"/>
    <w:rsid w:val="00956A6C"/>
    <w:rsid w:val="0095758D"/>
    <w:rsid w:val="009576DA"/>
    <w:rsid w:val="00960552"/>
    <w:rsid w:val="009609A7"/>
    <w:rsid w:val="00960FBA"/>
    <w:rsid w:val="009613E4"/>
    <w:rsid w:val="00961E52"/>
    <w:rsid w:val="00962149"/>
    <w:rsid w:val="00962360"/>
    <w:rsid w:val="009639C8"/>
    <w:rsid w:val="009643FA"/>
    <w:rsid w:val="0096520B"/>
    <w:rsid w:val="0096564D"/>
    <w:rsid w:val="0096565C"/>
    <w:rsid w:val="00965C8F"/>
    <w:rsid w:val="00966029"/>
    <w:rsid w:val="00966ED8"/>
    <w:rsid w:val="0096751D"/>
    <w:rsid w:val="0097068F"/>
    <w:rsid w:val="00972E6B"/>
    <w:rsid w:val="0097411B"/>
    <w:rsid w:val="0097425E"/>
    <w:rsid w:val="009745D6"/>
    <w:rsid w:val="00974E8C"/>
    <w:rsid w:val="009752FE"/>
    <w:rsid w:val="009759B9"/>
    <w:rsid w:val="00975EC9"/>
    <w:rsid w:val="00976106"/>
    <w:rsid w:val="0097736E"/>
    <w:rsid w:val="00977B07"/>
    <w:rsid w:val="00977D66"/>
    <w:rsid w:val="00977E71"/>
    <w:rsid w:val="0098029D"/>
    <w:rsid w:val="00981A6B"/>
    <w:rsid w:val="009820BC"/>
    <w:rsid w:val="009829F2"/>
    <w:rsid w:val="00982D3C"/>
    <w:rsid w:val="00983560"/>
    <w:rsid w:val="009839A8"/>
    <w:rsid w:val="00983B86"/>
    <w:rsid w:val="0098414E"/>
    <w:rsid w:val="009847DB"/>
    <w:rsid w:val="00984E33"/>
    <w:rsid w:val="00986456"/>
    <w:rsid w:val="00986F8E"/>
    <w:rsid w:val="00987765"/>
    <w:rsid w:val="009878DD"/>
    <w:rsid w:val="00987BF5"/>
    <w:rsid w:val="00987CB2"/>
    <w:rsid w:val="00987E55"/>
    <w:rsid w:val="0099003B"/>
    <w:rsid w:val="00990A98"/>
    <w:rsid w:val="009914EA"/>
    <w:rsid w:val="0099253A"/>
    <w:rsid w:val="00993022"/>
    <w:rsid w:val="009941FB"/>
    <w:rsid w:val="00994780"/>
    <w:rsid w:val="00994948"/>
    <w:rsid w:val="0099677E"/>
    <w:rsid w:val="00996D21"/>
    <w:rsid w:val="00997BDC"/>
    <w:rsid w:val="009A044A"/>
    <w:rsid w:val="009A0662"/>
    <w:rsid w:val="009A1AB3"/>
    <w:rsid w:val="009A25D5"/>
    <w:rsid w:val="009A2F31"/>
    <w:rsid w:val="009A3354"/>
    <w:rsid w:val="009A356C"/>
    <w:rsid w:val="009A39A4"/>
    <w:rsid w:val="009A3F64"/>
    <w:rsid w:val="009A51FF"/>
    <w:rsid w:val="009A59B4"/>
    <w:rsid w:val="009A60F3"/>
    <w:rsid w:val="009A791A"/>
    <w:rsid w:val="009B0302"/>
    <w:rsid w:val="009B05F8"/>
    <w:rsid w:val="009B1143"/>
    <w:rsid w:val="009B16A8"/>
    <w:rsid w:val="009B1C7F"/>
    <w:rsid w:val="009B1F8F"/>
    <w:rsid w:val="009B2402"/>
    <w:rsid w:val="009B2B3D"/>
    <w:rsid w:val="009B2E23"/>
    <w:rsid w:val="009B3398"/>
    <w:rsid w:val="009B3B23"/>
    <w:rsid w:val="009B3BD8"/>
    <w:rsid w:val="009B3EA8"/>
    <w:rsid w:val="009B5DFB"/>
    <w:rsid w:val="009B6AD5"/>
    <w:rsid w:val="009B7301"/>
    <w:rsid w:val="009B7852"/>
    <w:rsid w:val="009C08C3"/>
    <w:rsid w:val="009C106C"/>
    <w:rsid w:val="009C177C"/>
    <w:rsid w:val="009C199E"/>
    <w:rsid w:val="009C44D2"/>
    <w:rsid w:val="009C48D5"/>
    <w:rsid w:val="009C593E"/>
    <w:rsid w:val="009C6D66"/>
    <w:rsid w:val="009C6EC8"/>
    <w:rsid w:val="009C6EF7"/>
    <w:rsid w:val="009C780B"/>
    <w:rsid w:val="009C7EC0"/>
    <w:rsid w:val="009D0560"/>
    <w:rsid w:val="009D0D80"/>
    <w:rsid w:val="009D104B"/>
    <w:rsid w:val="009D1DCD"/>
    <w:rsid w:val="009D24EF"/>
    <w:rsid w:val="009D2B87"/>
    <w:rsid w:val="009D30D6"/>
    <w:rsid w:val="009D35FC"/>
    <w:rsid w:val="009D3F7F"/>
    <w:rsid w:val="009D4760"/>
    <w:rsid w:val="009D4A76"/>
    <w:rsid w:val="009D64AD"/>
    <w:rsid w:val="009D6589"/>
    <w:rsid w:val="009D6711"/>
    <w:rsid w:val="009D7B85"/>
    <w:rsid w:val="009E0441"/>
    <w:rsid w:val="009E1181"/>
    <w:rsid w:val="009E1A93"/>
    <w:rsid w:val="009E1EFB"/>
    <w:rsid w:val="009E1F6B"/>
    <w:rsid w:val="009E26E8"/>
    <w:rsid w:val="009E2784"/>
    <w:rsid w:val="009E2C85"/>
    <w:rsid w:val="009E5589"/>
    <w:rsid w:val="009E6B15"/>
    <w:rsid w:val="009E6E7C"/>
    <w:rsid w:val="009E7453"/>
    <w:rsid w:val="009E78A0"/>
    <w:rsid w:val="009E7EAC"/>
    <w:rsid w:val="009F0237"/>
    <w:rsid w:val="009F051C"/>
    <w:rsid w:val="009F0554"/>
    <w:rsid w:val="009F0B73"/>
    <w:rsid w:val="009F0CDB"/>
    <w:rsid w:val="009F29E1"/>
    <w:rsid w:val="009F2A0C"/>
    <w:rsid w:val="009F2EEB"/>
    <w:rsid w:val="009F2F76"/>
    <w:rsid w:val="009F30CF"/>
    <w:rsid w:val="009F482D"/>
    <w:rsid w:val="009F530D"/>
    <w:rsid w:val="009F5F24"/>
    <w:rsid w:val="009F5FCB"/>
    <w:rsid w:val="009F64FA"/>
    <w:rsid w:val="009F67A3"/>
    <w:rsid w:val="009F6CFD"/>
    <w:rsid w:val="009F7125"/>
    <w:rsid w:val="009F76E3"/>
    <w:rsid w:val="00A006FC"/>
    <w:rsid w:val="00A01F9D"/>
    <w:rsid w:val="00A031D5"/>
    <w:rsid w:val="00A0341F"/>
    <w:rsid w:val="00A0347B"/>
    <w:rsid w:val="00A03B58"/>
    <w:rsid w:val="00A03D60"/>
    <w:rsid w:val="00A0409E"/>
    <w:rsid w:val="00A05027"/>
    <w:rsid w:val="00A05E62"/>
    <w:rsid w:val="00A0665B"/>
    <w:rsid w:val="00A06BF9"/>
    <w:rsid w:val="00A07811"/>
    <w:rsid w:val="00A078A7"/>
    <w:rsid w:val="00A07E59"/>
    <w:rsid w:val="00A10037"/>
    <w:rsid w:val="00A10410"/>
    <w:rsid w:val="00A10A10"/>
    <w:rsid w:val="00A12577"/>
    <w:rsid w:val="00A1339A"/>
    <w:rsid w:val="00A13477"/>
    <w:rsid w:val="00A1431C"/>
    <w:rsid w:val="00A146D5"/>
    <w:rsid w:val="00A14DCC"/>
    <w:rsid w:val="00A15E1F"/>
    <w:rsid w:val="00A163C5"/>
    <w:rsid w:val="00A16545"/>
    <w:rsid w:val="00A1681B"/>
    <w:rsid w:val="00A17206"/>
    <w:rsid w:val="00A17BDD"/>
    <w:rsid w:val="00A20E4D"/>
    <w:rsid w:val="00A21599"/>
    <w:rsid w:val="00A22CEA"/>
    <w:rsid w:val="00A23046"/>
    <w:rsid w:val="00A239EC"/>
    <w:rsid w:val="00A23DC7"/>
    <w:rsid w:val="00A24A0F"/>
    <w:rsid w:val="00A24C5E"/>
    <w:rsid w:val="00A25924"/>
    <w:rsid w:val="00A25BD2"/>
    <w:rsid w:val="00A2728C"/>
    <w:rsid w:val="00A27A42"/>
    <w:rsid w:val="00A27D5E"/>
    <w:rsid w:val="00A306FB"/>
    <w:rsid w:val="00A30C8E"/>
    <w:rsid w:val="00A31BA0"/>
    <w:rsid w:val="00A31BD4"/>
    <w:rsid w:val="00A32AB3"/>
    <w:rsid w:val="00A32CE4"/>
    <w:rsid w:val="00A340A2"/>
    <w:rsid w:val="00A346A3"/>
    <w:rsid w:val="00A34B62"/>
    <w:rsid w:val="00A34F6D"/>
    <w:rsid w:val="00A362F1"/>
    <w:rsid w:val="00A36312"/>
    <w:rsid w:val="00A408F3"/>
    <w:rsid w:val="00A40C60"/>
    <w:rsid w:val="00A40DB0"/>
    <w:rsid w:val="00A4220F"/>
    <w:rsid w:val="00A43F6F"/>
    <w:rsid w:val="00A4521F"/>
    <w:rsid w:val="00A45820"/>
    <w:rsid w:val="00A46C5B"/>
    <w:rsid w:val="00A47305"/>
    <w:rsid w:val="00A504FF"/>
    <w:rsid w:val="00A50836"/>
    <w:rsid w:val="00A50C44"/>
    <w:rsid w:val="00A50C8F"/>
    <w:rsid w:val="00A5136C"/>
    <w:rsid w:val="00A52978"/>
    <w:rsid w:val="00A5374B"/>
    <w:rsid w:val="00A53959"/>
    <w:rsid w:val="00A53E80"/>
    <w:rsid w:val="00A54270"/>
    <w:rsid w:val="00A54FED"/>
    <w:rsid w:val="00A55337"/>
    <w:rsid w:val="00A561D8"/>
    <w:rsid w:val="00A561EC"/>
    <w:rsid w:val="00A5678E"/>
    <w:rsid w:val="00A579B7"/>
    <w:rsid w:val="00A57DB0"/>
    <w:rsid w:val="00A60A31"/>
    <w:rsid w:val="00A61059"/>
    <w:rsid w:val="00A610A4"/>
    <w:rsid w:val="00A613E8"/>
    <w:rsid w:val="00A61649"/>
    <w:rsid w:val="00A61FAA"/>
    <w:rsid w:val="00A6289F"/>
    <w:rsid w:val="00A63261"/>
    <w:rsid w:val="00A6363B"/>
    <w:rsid w:val="00A642DD"/>
    <w:rsid w:val="00A645CA"/>
    <w:rsid w:val="00A64E7C"/>
    <w:rsid w:val="00A65FF8"/>
    <w:rsid w:val="00A6637C"/>
    <w:rsid w:val="00A66CEC"/>
    <w:rsid w:val="00A66EF1"/>
    <w:rsid w:val="00A718E0"/>
    <w:rsid w:val="00A724AE"/>
    <w:rsid w:val="00A72BA2"/>
    <w:rsid w:val="00A73233"/>
    <w:rsid w:val="00A7414C"/>
    <w:rsid w:val="00A74314"/>
    <w:rsid w:val="00A744D4"/>
    <w:rsid w:val="00A7533E"/>
    <w:rsid w:val="00A75354"/>
    <w:rsid w:val="00A76A3D"/>
    <w:rsid w:val="00A76C2F"/>
    <w:rsid w:val="00A77298"/>
    <w:rsid w:val="00A819E3"/>
    <w:rsid w:val="00A81B1B"/>
    <w:rsid w:val="00A81E7F"/>
    <w:rsid w:val="00A81E91"/>
    <w:rsid w:val="00A821B6"/>
    <w:rsid w:val="00A82624"/>
    <w:rsid w:val="00A829A2"/>
    <w:rsid w:val="00A82C69"/>
    <w:rsid w:val="00A832C5"/>
    <w:rsid w:val="00A83378"/>
    <w:rsid w:val="00A839E4"/>
    <w:rsid w:val="00A8402E"/>
    <w:rsid w:val="00A8484B"/>
    <w:rsid w:val="00A84A50"/>
    <w:rsid w:val="00A863B3"/>
    <w:rsid w:val="00A86FE0"/>
    <w:rsid w:val="00A870B4"/>
    <w:rsid w:val="00A8795B"/>
    <w:rsid w:val="00A903B3"/>
    <w:rsid w:val="00A905A0"/>
    <w:rsid w:val="00A9165C"/>
    <w:rsid w:val="00A9270A"/>
    <w:rsid w:val="00A93035"/>
    <w:rsid w:val="00A93123"/>
    <w:rsid w:val="00A93A19"/>
    <w:rsid w:val="00A95385"/>
    <w:rsid w:val="00A9572C"/>
    <w:rsid w:val="00A96D86"/>
    <w:rsid w:val="00A970A2"/>
    <w:rsid w:val="00A9786B"/>
    <w:rsid w:val="00A97CD7"/>
    <w:rsid w:val="00AA05C1"/>
    <w:rsid w:val="00AA0A49"/>
    <w:rsid w:val="00AA1D3E"/>
    <w:rsid w:val="00AA2B0C"/>
    <w:rsid w:val="00AA2E0E"/>
    <w:rsid w:val="00AA31E5"/>
    <w:rsid w:val="00AA3550"/>
    <w:rsid w:val="00AA396A"/>
    <w:rsid w:val="00AA3FE3"/>
    <w:rsid w:val="00AA46F3"/>
    <w:rsid w:val="00AA53B1"/>
    <w:rsid w:val="00AA6BD9"/>
    <w:rsid w:val="00AB0161"/>
    <w:rsid w:val="00AB1691"/>
    <w:rsid w:val="00AB1A6C"/>
    <w:rsid w:val="00AB1A8A"/>
    <w:rsid w:val="00AB27BE"/>
    <w:rsid w:val="00AB27E6"/>
    <w:rsid w:val="00AB2D59"/>
    <w:rsid w:val="00AB3C9F"/>
    <w:rsid w:val="00AB3D30"/>
    <w:rsid w:val="00AB42C2"/>
    <w:rsid w:val="00AB4336"/>
    <w:rsid w:val="00AB47C6"/>
    <w:rsid w:val="00AB606E"/>
    <w:rsid w:val="00AB611B"/>
    <w:rsid w:val="00AB6199"/>
    <w:rsid w:val="00AC16C0"/>
    <w:rsid w:val="00AC3361"/>
    <w:rsid w:val="00AC373D"/>
    <w:rsid w:val="00AC38DA"/>
    <w:rsid w:val="00AC3A62"/>
    <w:rsid w:val="00AC3AAB"/>
    <w:rsid w:val="00AC3E4D"/>
    <w:rsid w:val="00AC45B2"/>
    <w:rsid w:val="00AC5ECB"/>
    <w:rsid w:val="00AC606C"/>
    <w:rsid w:val="00AC68ED"/>
    <w:rsid w:val="00AC6C30"/>
    <w:rsid w:val="00AC76E5"/>
    <w:rsid w:val="00AD0045"/>
    <w:rsid w:val="00AD004B"/>
    <w:rsid w:val="00AD02A6"/>
    <w:rsid w:val="00AD1524"/>
    <w:rsid w:val="00AD1F6C"/>
    <w:rsid w:val="00AD1FFC"/>
    <w:rsid w:val="00AD211E"/>
    <w:rsid w:val="00AD2A9B"/>
    <w:rsid w:val="00AD3A17"/>
    <w:rsid w:val="00AD3C98"/>
    <w:rsid w:val="00AD3D9F"/>
    <w:rsid w:val="00AD5432"/>
    <w:rsid w:val="00AD6325"/>
    <w:rsid w:val="00AD6D38"/>
    <w:rsid w:val="00AE024C"/>
    <w:rsid w:val="00AE033E"/>
    <w:rsid w:val="00AE0AD9"/>
    <w:rsid w:val="00AE0E42"/>
    <w:rsid w:val="00AE0FF4"/>
    <w:rsid w:val="00AE1535"/>
    <w:rsid w:val="00AE273D"/>
    <w:rsid w:val="00AE285D"/>
    <w:rsid w:val="00AE2D66"/>
    <w:rsid w:val="00AE5909"/>
    <w:rsid w:val="00AE5AD7"/>
    <w:rsid w:val="00AE61A4"/>
    <w:rsid w:val="00AE6E1D"/>
    <w:rsid w:val="00AE772F"/>
    <w:rsid w:val="00AE7945"/>
    <w:rsid w:val="00AE79C6"/>
    <w:rsid w:val="00AF00E0"/>
    <w:rsid w:val="00AF02F1"/>
    <w:rsid w:val="00AF0364"/>
    <w:rsid w:val="00AF0B19"/>
    <w:rsid w:val="00AF10EF"/>
    <w:rsid w:val="00AF1100"/>
    <w:rsid w:val="00AF1652"/>
    <w:rsid w:val="00AF2086"/>
    <w:rsid w:val="00AF20D4"/>
    <w:rsid w:val="00AF25FA"/>
    <w:rsid w:val="00AF3809"/>
    <w:rsid w:val="00AF3C0E"/>
    <w:rsid w:val="00AF3F48"/>
    <w:rsid w:val="00AF400D"/>
    <w:rsid w:val="00AF41B1"/>
    <w:rsid w:val="00AF42AF"/>
    <w:rsid w:val="00AF4336"/>
    <w:rsid w:val="00AF44C2"/>
    <w:rsid w:val="00AF5051"/>
    <w:rsid w:val="00AF51D9"/>
    <w:rsid w:val="00AF5B75"/>
    <w:rsid w:val="00AF6932"/>
    <w:rsid w:val="00AF6EE0"/>
    <w:rsid w:val="00AF7039"/>
    <w:rsid w:val="00AF70A8"/>
    <w:rsid w:val="00AF7D82"/>
    <w:rsid w:val="00B0022E"/>
    <w:rsid w:val="00B01224"/>
    <w:rsid w:val="00B01748"/>
    <w:rsid w:val="00B0262A"/>
    <w:rsid w:val="00B02821"/>
    <w:rsid w:val="00B02B86"/>
    <w:rsid w:val="00B02CBF"/>
    <w:rsid w:val="00B031E5"/>
    <w:rsid w:val="00B03413"/>
    <w:rsid w:val="00B03C30"/>
    <w:rsid w:val="00B0482A"/>
    <w:rsid w:val="00B04FEE"/>
    <w:rsid w:val="00B05C1F"/>
    <w:rsid w:val="00B0697B"/>
    <w:rsid w:val="00B0748F"/>
    <w:rsid w:val="00B07657"/>
    <w:rsid w:val="00B10659"/>
    <w:rsid w:val="00B10E4C"/>
    <w:rsid w:val="00B113BA"/>
    <w:rsid w:val="00B11D17"/>
    <w:rsid w:val="00B12264"/>
    <w:rsid w:val="00B1268D"/>
    <w:rsid w:val="00B12F3A"/>
    <w:rsid w:val="00B13233"/>
    <w:rsid w:val="00B134A3"/>
    <w:rsid w:val="00B13AA3"/>
    <w:rsid w:val="00B13FD5"/>
    <w:rsid w:val="00B147AD"/>
    <w:rsid w:val="00B14EB0"/>
    <w:rsid w:val="00B15070"/>
    <w:rsid w:val="00B15303"/>
    <w:rsid w:val="00B1562E"/>
    <w:rsid w:val="00B1652E"/>
    <w:rsid w:val="00B1696E"/>
    <w:rsid w:val="00B16C66"/>
    <w:rsid w:val="00B1704E"/>
    <w:rsid w:val="00B17ABC"/>
    <w:rsid w:val="00B211A0"/>
    <w:rsid w:val="00B220F8"/>
    <w:rsid w:val="00B222E4"/>
    <w:rsid w:val="00B23377"/>
    <w:rsid w:val="00B2338A"/>
    <w:rsid w:val="00B2478A"/>
    <w:rsid w:val="00B248CD"/>
    <w:rsid w:val="00B253CD"/>
    <w:rsid w:val="00B256F0"/>
    <w:rsid w:val="00B25CAA"/>
    <w:rsid w:val="00B25CD5"/>
    <w:rsid w:val="00B26740"/>
    <w:rsid w:val="00B278AF"/>
    <w:rsid w:val="00B27E68"/>
    <w:rsid w:val="00B30152"/>
    <w:rsid w:val="00B3042F"/>
    <w:rsid w:val="00B30F28"/>
    <w:rsid w:val="00B3126C"/>
    <w:rsid w:val="00B31D58"/>
    <w:rsid w:val="00B323B3"/>
    <w:rsid w:val="00B32731"/>
    <w:rsid w:val="00B32A1B"/>
    <w:rsid w:val="00B32F8E"/>
    <w:rsid w:val="00B3349E"/>
    <w:rsid w:val="00B341A5"/>
    <w:rsid w:val="00B34809"/>
    <w:rsid w:val="00B34B07"/>
    <w:rsid w:val="00B35786"/>
    <w:rsid w:val="00B35906"/>
    <w:rsid w:val="00B378B2"/>
    <w:rsid w:val="00B37D87"/>
    <w:rsid w:val="00B40D82"/>
    <w:rsid w:val="00B41089"/>
    <w:rsid w:val="00B41101"/>
    <w:rsid w:val="00B41336"/>
    <w:rsid w:val="00B41A3B"/>
    <w:rsid w:val="00B426C2"/>
    <w:rsid w:val="00B428C6"/>
    <w:rsid w:val="00B42DC9"/>
    <w:rsid w:val="00B43A93"/>
    <w:rsid w:val="00B453FB"/>
    <w:rsid w:val="00B455E9"/>
    <w:rsid w:val="00B45977"/>
    <w:rsid w:val="00B45C07"/>
    <w:rsid w:val="00B46A6A"/>
    <w:rsid w:val="00B47219"/>
    <w:rsid w:val="00B50166"/>
    <w:rsid w:val="00B50626"/>
    <w:rsid w:val="00B5065A"/>
    <w:rsid w:val="00B50D2A"/>
    <w:rsid w:val="00B517BC"/>
    <w:rsid w:val="00B51DDC"/>
    <w:rsid w:val="00B5286C"/>
    <w:rsid w:val="00B532C2"/>
    <w:rsid w:val="00B53878"/>
    <w:rsid w:val="00B54A54"/>
    <w:rsid w:val="00B54B98"/>
    <w:rsid w:val="00B55894"/>
    <w:rsid w:val="00B559D3"/>
    <w:rsid w:val="00B56290"/>
    <w:rsid w:val="00B56B1E"/>
    <w:rsid w:val="00B57AFF"/>
    <w:rsid w:val="00B57D38"/>
    <w:rsid w:val="00B57FB6"/>
    <w:rsid w:val="00B620F5"/>
    <w:rsid w:val="00B63D4E"/>
    <w:rsid w:val="00B6413D"/>
    <w:rsid w:val="00B64661"/>
    <w:rsid w:val="00B6496E"/>
    <w:rsid w:val="00B64C88"/>
    <w:rsid w:val="00B64D03"/>
    <w:rsid w:val="00B64D2F"/>
    <w:rsid w:val="00B6519F"/>
    <w:rsid w:val="00B6763E"/>
    <w:rsid w:val="00B70640"/>
    <w:rsid w:val="00B70E6A"/>
    <w:rsid w:val="00B713A7"/>
    <w:rsid w:val="00B71D22"/>
    <w:rsid w:val="00B72729"/>
    <w:rsid w:val="00B72ABA"/>
    <w:rsid w:val="00B72CDE"/>
    <w:rsid w:val="00B736C6"/>
    <w:rsid w:val="00B73A45"/>
    <w:rsid w:val="00B74982"/>
    <w:rsid w:val="00B74AAD"/>
    <w:rsid w:val="00B75463"/>
    <w:rsid w:val="00B755F9"/>
    <w:rsid w:val="00B767E9"/>
    <w:rsid w:val="00B76AF2"/>
    <w:rsid w:val="00B77562"/>
    <w:rsid w:val="00B776A9"/>
    <w:rsid w:val="00B77C92"/>
    <w:rsid w:val="00B77DA0"/>
    <w:rsid w:val="00B804E5"/>
    <w:rsid w:val="00B80689"/>
    <w:rsid w:val="00B82085"/>
    <w:rsid w:val="00B82CCD"/>
    <w:rsid w:val="00B82EBB"/>
    <w:rsid w:val="00B82F29"/>
    <w:rsid w:val="00B83093"/>
    <w:rsid w:val="00B830BB"/>
    <w:rsid w:val="00B833BD"/>
    <w:rsid w:val="00B83F75"/>
    <w:rsid w:val="00B846B4"/>
    <w:rsid w:val="00B84B7D"/>
    <w:rsid w:val="00B859FC"/>
    <w:rsid w:val="00B860F7"/>
    <w:rsid w:val="00B8654C"/>
    <w:rsid w:val="00B86634"/>
    <w:rsid w:val="00B90464"/>
    <w:rsid w:val="00B90A60"/>
    <w:rsid w:val="00B90B32"/>
    <w:rsid w:val="00B90B37"/>
    <w:rsid w:val="00B91E01"/>
    <w:rsid w:val="00B9215E"/>
    <w:rsid w:val="00B923E1"/>
    <w:rsid w:val="00B93065"/>
    <w:rsid w:val="00B93AF1"/>
    <w:rsid w:val="00B93BCE"/>
    <w:rsid w:val="00B93DDE"/>
    <w:rsid w:val="00B9429C"/>
    <w:rsid w:val="00B94A54"/>
    <w:rsid w:val="00B94C8D"/>
    <w:rsid w:val="00B95590"/>
    <w:rsid w:val="00B9587E"/>
    <w:rsid w:val="00B962F4"/>
    <w:rsid w:val="00B97B02"/>
    <w:rsid w:val="00B97B15"/>
    <w:rsid w:val="00BA012B"/>
    <w:rsid w:val="00BA0446"/>
    <w:rsid w:val="00BA052E"/>
    <w:rsid w:val="00BA1AA3"/>
    <w:rsid w:val="00BA227A"/>
    <w:rsid w:val="00BA252B"/>
    <w:rsid w:val="00BA25F0"/>
    <w:rsid w:val="00BA3A17"/>
    <w:rsid w:val="00BA3C59"/>
    <w:rsid w:val="00BA481B"/>
    <w:rsid w:val="00BA4FE1"/>
    <w:rsid w:val="00BA50C7"/>
    <w:rsid w:val="00BA5ECE"/>
    <w:rsid w:val="00BA61E6"/>
    <w:rsid w:val="00BA624D"/>
    <w:rsid w:val="00BA6BB1"/>
    <w:rsid w:val="00BA77FC"/>
    <w:rsid w:val="00BB0385"/>
    <w:rsid w:val="00BB0DDC"/>
    <w:rsid w:val="00BB10B5"/>
    <w:rsid w:val="00BB26EE"/>
    <w:rsid w:val="00BB274B"/>
    <w:rsid w:val="00BB3937"/>
    <w:rsid w:val="00BB4BCE"/>
    <w:rsid w:val="00BB50C3"/>
    <w:rsid w:val="00BB50E6"/>
    <w:rsid w:val="00BB58AB"/>
    <w:rsid w:val="00BB5BEA"/>
    <w:rsid w:val="00BB6464"/>
    <w:rsid w:val="00BB6D44"/>
    <w:rsid w:val="00BB7023"/>
    <w:rsid w:val="00BC117A"/>
    <w:rsid w:val="00BC305E"/>
    <w:rsid w:val="00BC3905"/>
    <w:rsid w:val="00BC3C31"/>
    <w:rsid w:val="00BC3D5E"/>
    <w:rsid w:val="00BC4994"/>
    <w:rsid w:val="00BC4B79"/>
    <w:rsid w:val="00BC576C"/>
    <w:rsid w:val="00BC5C5A"/>
    <w:rsid w:val="00BC61D7"/>
    <w:rsid w:val="00BD0730"/>
    <w:rsid w:val="00BD0D98"/>
    <w:rsid w:val="00BD1132"/>
    <w:rsid w:val="00BD11C5"/>
    <w:rsid w:val="00BD201A"/>
    <w:rsid w:val="00BD2C78"/>
    <w:rsid w:val="00BD3242"/>
    <w:rsid w:val="00BD3E5F"/>
    <w:rsid w:val="00BD41DE"/>
    <w:rsid w:val="00BD4252"/>
    <w:rsid w:val="00BD51CC"/>
    <w:rsid w:val="00BD6626"/>
    <w:rsid w:val="00BD74CB"/>
    <w:rsid w:val="00BD75FC"/>
    <w:rsid w:val="00BD7F89"/>
    <w:rsid w:val="00BE010D"/>
    <w:rsid w:val="00BE0497"/>
    <w:rsid w:val="00BE111B"/>
    <w:rsid w:val="00BE1714"/>
    <w:rsid w:val="00BE17ED"/>
    <w:rsid w:val="00BE1A2B"/>
    <w:rsid w:val="00BE1D84"/>
    <w:rsid w:val="00BE28B9"/>
    <w:rsid w:val="00BE3C5B"/>
    <w:rsid w:val="00BE453B"/>
    <w:rsid w:val="00BE5146"/>
    <w:rsid w:val="00BE5948"/>
    <w:rsid w:val="00BE5E48"/>
    <w:rsid w:val="00BE64BF"/>
    <w:rsid w:val="00BE6868"/>
    <w:rsid w:val="00BE7689"/>
    <w:rsid w:val="00BF0005"/>
    <w:rsid w:val="00BF0E9A"/>
    <w:rsid w:val="00BF0F6B"/>
    <w:rsid w:val="00BF1784"/>
    <w:rsid w:val="00BF1ACA"/>
    <w:rsid w:val="00BF2316"/>
    <w:rsid w:val="00BF2C77"/>
    <w:rsid w:val="00BF2E01"/>
    <w:rsid w:val="00BF32F6"/>
    <w:rsid w:val="00BF3C7B"/>
    <w:rsid w:val="00BF4127"/>
    <w:rsid w:val="00BF4234"/>
    <w:rsid w:val="00BF523A"/>
    <w:rsid w:val="00BF583D"/>
    <w:rsid w:val="00BF58E3"/>
    <w:rsid w:val="00BF595D"/>
    <w:rsid w:val="00BF59E1"/>
    <w:rsid w:val="00BF5BAE"/>
    <w:rsid w:val="00BF6698"/>
    <w:rsid w:val="00BF74AE"/>
    <w:rsid w:val="00BF7A43"/>
    <w:rsid w:val="00C005C9"/>
    <w:rsid w:val="00C0124B"/>
    <w:rsid w:val="00C017E8"/>
    <w:rsid w:val="00C02A97"/>
    <w:rsid w:val="00C05741"/>
    <w:rsid w:val="00C062BC"/>
    <w:rsid w:val="00C06527"/>
    <w:rsid w:val="00C07067"/>
    <w:rsid w:val="00C10853"/>
    <w:rsid w:val="00C10BFD"/>
    <w:rsid w:val="00C10E6F"/>
    <w:rsid w:val="00C10F26"/>
    <w:rsid w:val="00C12650"/>
    <w:rsid w:val="00C126BE"/>
    <w:rsid w:val="00C13123"/>
    <w:rsid w:val="00C13645"/>
    <w:rsid w:val="00C13C18"/>
    <w:rsid w:val="00C13C90"/>
    <w:rsid w:val="00C14BF7"/>
    <w:rsid w:val="00C15595"/>
    <w:rsid w:val="00C15A62"/>
    <w:rsid w:val="00C1708A"/>
    <w:rsid w:val="00C17906"/>
    <w:rsid w:val="00C17A98"/>
    <w:rsid w:val="00C21920"/>
    <w:rsid w:val="00C23B4A"/>
    <w:rsid w:val="00C23CEF"/>
    <w:rsid w:val="00C244AD"/>
    <w:rsid w:val="00C26D08"/>
    <w:rsid w:val="00C27827"/>
    <w:rsid w:val="00C27D1E"/>
    <w:rsid w:val="00C304E6"/>
    <w:rsid w:val="00C308E4"/>
    <w:rsid w:val="00C30A5F"/>
    <w:rsid w:val="00C31F20"/>
    <w:rsid w:val="00C329F5"/>
    <w:rsid w:val="00C331C4"/>
    <w:rsid w:val="00C3360C"/>
    <w:rsid w:val="00C344AD"/>
    <w:rsid w:val="00C34844"/>
    <w:rsid w:val="00C348D1"/>
    <w:rsid w:val="00C34911"/>
    <w:rsid w:val="00C35300"/>
    <w:rsid w:val="00C357D6"/>
    <w:rsid w:val="00C35B89"/>
    <w:rsid w:val="00C35CD1"/>
    <w:rsid w:val="00C363D5"/>
    <w:rsid w:val="00C36EC8"/>
    <w:rsid w:val="00C4035D"/>
    <w:rsid w:val="00C40A6A"/>
    <w:rsid w:val="00C40BC8"/>
    <w:rsid w:val="00C41142"/>
    <w:rsid w:val="00C41425"/>
    <w:rsid w:val="00C4264F"/>
    <w:rsid w:val="00C427E4"/>
    <w:rsid w:val="00C42ECC"/>
    <w:rsid w:val="00C44BF1"/>
    <w:rsid w:val="00C44C6B"/>
    <w:rsid w:val="00C44FE0"/>
    <w:rsid w:val="00C45258"/>
    <w:rsid w:val="00C45393"/>
    <w:rsid w:val="00C4584A"/>
    <w:rsid w:val="00C458DA"/>
    <w:rsid w:val="00C45E4C"/>
    <w:rsid w:val="00C471B0"/>
    <w:rsid w:val="00C478D2"/>
    <w:rsid w:val="00C47F7D"/>
    <w:rsid w:val="00C50D0C"/>
    <w:rsid w:val="00C50DBF"/>
    <w:rsid w:val="00C5125D"/>
    <w:rsid w:val="00C5145A"/>
    <w:rsid w:val="00C5164D"/>
    <w:rsid w:val="00C518F1"/>
    <w:rsid w:val="00C5221D"/>
    <w:rsid w:val="00C523AF"/>
    <w:rsid w:val="00C539E5"/>
    <w:rsid w:val="00C53C07"/>
    <w:rsid w:val="00C53DA8"/>
    <w:rsid w:val="00C53E99"/>
    <w:rsid w:val="00C5454F"/>
    <w:rsid w:val="00C556AE"/>
    <w:rsid w:val="00C55D3B"/>
    <w:rsid w:val="00C566A3"/>
    <w:rsid w:val="00C57D66"/>
    <w:rsid w:val="00C61025"/>
    <w:rsid w:val="00C63C1E"/>
    <w:rsid w:val="00C649C9"/>
    <w:rsid w:val="00C64C4A"/>
    <w:rsid w:val="00C6503C"/>
    <w:rsid w:val="00C65350"/>
    <w:rsid w:val="00C66377"/>
    <w:rsid w:val="00C66451"/>
    <w:rsid w:val="00C665B5"/>
    <w:rsid w:val="00C674B2"/>
    <w:rsid w:val="00C70628"/>
    <w:rsid w:val="00C7065E"/>
    <w:rsid w:val="00C70838"/>
    <w:rsid w:val="00C7155E"/>
    <w:rsid w:val="00C7335A"/>
    <w:rsid w:val="00C74664"/>
    <w:rsid w:val="00C7468D"/>
    <w:rsid w:val="00C75D22"/>
    <w:rsid w:val="00C75DE4"/>
    <w:rsid w:val="00C75EAF"/>
    <w:rsid w:val="00C75EB3"/>
    <w:rsid w:val="00C767A1"/>
    <w:rsid w:val="00C76C07"/>
    <w:rsid w:val="00C76EED"/>
    <w:rsid w:val="00C7737F"/>
    <w:rsid w:val="00C815F5"/>
    <w:rsid w:val="00C81BD6"/>
    <w:rsid w:val="00C823E3"/>
    <w:rsid w:val="00C824F4"/>
    <w:rsid w:val="00C8323B"/>
    <w:rsid w:val="00C836EF"/>
    <w:rsid w:val="00C8379F"/>
    <w:rsid w:val="00C83BE2"/>
    <w:rsid w:val="00C83D37"/>
    <w:rsid w:val="00C84230"/>
    <w:rsid w:val="00C84636"/>
    <w:rsid w:val="00C84CB4"/>
    <w:rsid w:val="00C85327"/>
    <w:rsid w:val="00C858B0"/>
    <w:rsid w:val="00C86510"/>
    <w:rsid w:val="00C8686A"/>
    <w:rsid w:val="00C8740C"/>
    <w:rsid w:val="00C87AA0"/>
    <w:rsid w:val="00C87E70"/>
    <w:rsid w:val="00C91F80"/>
    <w:rsid w:val="00C924AA"/>
    <w:rsid w:val="00C92A38"/>
    <w:rsid w:val="00C93C80"/>
    <w:rsid w:val="00C94B20"/>
    <w:rsid w:val="00C9517B"/>
    <w:rsid w:val="00C95316"/>
    <w:rsid w:val="00C9746A"/>
    <w:rsid w:val="00C97812"/>
    <w:rsid w:val="00CA0029"/>
    <w:rsid w:val="00CA01B2"/>
    <w:rsid w:val="00CA07FE"/>
    <w:rsid w:val="00CA0CDD"/>
    <w:rsid w:val="00CA100D"/>
    <w:rsid w:val="00CA1539"/>
    <w:rsid w:val="00CA1C2C"/>
    <w:rsid w:val="00CA4072"/>
    <w:rsid w:val="00CA4627"/>
    <w:rsid w:val="00CA48D9"/>
    <w:rsid w:val="00CA5335"/>
    <w:rsid w:val="00CA705B"/>
    <w:rsid w:val="00CA7146"/>
    <w:rsid w:val="00CB0130"/>
    <w:rsid w:val="00CB09F8"/>
    <w:rsid w:val="00CB1F6B"/>
    <w:rsid w:val="00CB2116"/>
    <w:rsid w:val="00CB219A"/>
    <w:rsid w:val="00CB2A14"/>
    <w:rsid w:val="00CB2A54"/>
    <w:rsid w:val="00CB357E"/>
    <w:rsid w:val="00CB3999"/>
    <w:rsid w:val="00CB3FED"/>
    <w:rsid w:val="00CB46A8"/>
    <w:rsid w:val="00CB5167"/>
    <w:rsid w:val="00CB5AD0"/>
    <w:rsid w:val="00CB5B73"/>
    <w:rsid w:val="00CB5D12"/>
    <w:rsid w:val="00CB6127"/>
    <w:rsid w:val="00CB71CC"/>
    <w:rsid w:val="00CB7337"/>
    <w:rsid w:val="00CB79CA"/>
    <w:rsid w:val="00CB7ECC"/>
    <w:rsid w:val="00CC2348"/>
    <w:rsid w:val="00CC271D"/>
    <w:rsid w:val="00CC2D72"/>
    <w:rsid w:val="00CC3B31"/>
    <w:rsid w:val="00CC44AB"/>
    <w:rsid w:val="00CC4D8F"/>
    <w:rsid w:val="00CC5BE2"/>
    <w:rsid w:val="00CC753A"/>
    <w:rsid w:val="00CC7965"/>
    <w:rsid w:val="00CD00D3"/>
    <w:rsid w:val="00CD087D"/>
    <w:rsid w:val="00CD0E50"/>
    <w:rsid w:val="00CD29BB"/>
    <w:rsid w:val="00CD3096"/>
    <w:rsid w:val="00CD35BC"/>
    <w:rsid w:val="00CD4026"/>
    <w:rsid w:val="00CD4052"/>
    <w:rsid w:val="00CD40FF"/>
    <w:rsid w:val="00CD463E"/>
    <w:rsid w:val="00CD4BEC"/>
    <w:rsid w:val="00CD4D60"/>
    <w:rsid w:val="00CD680B"/>
    <w:rsid w:val="00CD68D5"/>
    <w:rsid w:val="00CD7C26"/>
    <w:rsid w:val="00CE049C"/>
    <w:rsid w:val="00CE071E"/>
    <w:rsid w:val="00CE1A26"/>
    <w:rsid w:val="00CE30F3"/>
    <w:rsid w:val="00CE35E7"/>
    <w:rsid w:val="00CE38FD"/>
    <w:rsid w:val="00CE3F6C"/>
    <w:rsid w:val="00CE5FFF"/>
    <w:rsid w:val="00CE68D0"/>
    <w:rsid w:val="00CE6959"/>
    <w:rsid w:val="00CE7074"/>
    <w:rsid w:val="00CE70CE"/>
    <w:rsid w:val="00CE7551"/>
    <w:rsid w:val="00CE75DB"/>
    <w:rsid w:val="00CE791B"/>
    <w:rsid w:val="00CF07A1"/>
    <w:rsid w:val="00CF0E30"/>
    <w:rsid w:val="00CF44D5"/>
    <w:rsid w:val="00CF4B5B"/>
    <w:rsid w:val="00CF5069"/>
    <w:rsid w:val="00CF539E"/>
    <w:rsid w:val="00CF54F3"/>
    <w:rsid w:val="00CF6B94"/>
    <w:rsid w:val="00CF6D5C"/>
    <w:rsid w:val="00CF7445"/>
    <w:rsid w:val="00CF76AC"/>
    <w:rsid w:val="00CF79EB"/>
    <w:rsid w:val="00D00B72"/>
    <w:rsid w:val="00D00BE7"/>
    <w:rsid w:val="00D013E2"/>
    <w:rsid w:val="00D0216B"/>
    <w:rsid w:val="00D023D0"/>
    <w:rsid w:val="00D024FE"/>
    <w:rsid w:val="00D03942"/>
    <w:rsid w:val="00D03B88"/>
    <w:rsid w:val="00D0471A"/>
    <w:rsid w:val="00D04E3A"/>
    <w:rsid w:val="00D05EA4"/>
    <w:rsid w:val="00D06CC1"/>
    <w:rsid w:val="00D07157"/>
    <w:rsid w:val="00D07575"/>
    <w:rsid w:val="00D11542"/>
    <w:rsid w:val="00D115F3"/>
    <w:rsid w:val="00D11F3B"/>
    <w:rsid w:val="00D121C1"/>
    <w:rsid w:val="00D12F3B"/>
    <w:rsid w:val="00D13E68"/>
    <w:rsid w:val="00D154CD"/>
    <w:rsid w:val="00D1609A"/>
    <w:rsid w:val="00D173D6"/>
    <w:rsid w:val="00D17E44"/>
    <w:rsid w:val="00D20097"/>
    <w:rsid w:val="00D21371"/>
    <w:rsid w:val="00D22D7C"/>
    <w:rsid w:val="00D2356A"/>
    <w:rsid w:val="00D23815"/>
    <w:rsid w:val="00D241D7"/>
    <w:rsid w:val="00D241E6"/>
    <w:rsid w:val="00D24E27"/>
    <w:rsid w:val="00D2583D"/>
    <w:rsid w:val="00D25915"/>
    <w:rsid w:val="00D312F7"/>
    <w:rsid w:val="00D334C4"/>
    <w:rsid w:val="00D335A5"/>
    <w:rsid w:val="00D353AE"/>
    <w:rsid w:val="00D35710"/>
    <w:rsid w:val="00D357C5"/>
    <w:rsid w:val="00D3662F"/>
    <w:rsid w:val="00D367B3"/>
    <w:rsid w:val="00D369A5"/>
    <w:rsid w:val="00D36CDA"/>
    <w:rsid w:val="00D3763E"/>
    <w:rsid w:val="00D37F01"/>
    <w:rsid w:val="00D4085B"/>
    <w:rsid w:val="00D40A21"/>
    <w:rsid w:val="00D4159C"/>
    <w:rsid w:val="00D41670"/>
    <w:rsid w:val="00D41C19"/>
    <w:rsid w:val="00D4223F"/>
    <w:rsid w:val="00D422AA"/>
    <w:rsid w:val="00D427F6"/>
    <w:rsid w:val="00D4296F"/>
    <w:rsid w:val="00D42BAD"/>
    <w:rsid w:val="00D43097"/>
    <w:rsid w:val="00D43770"/>
    <w:rsid w:val="00D43B2D"/>
    <w:rsid w:val="00D43EA8"/>
    <w:rsid w:val="00D44386"/>
    <w:rsid w:val="00D44664"/>
    <w:rsid w:val="00D452E9"/>
    <w:rsid w:val="00D45A88"/>
    <w:rsid w:val="00D46D02"/>
    <w:rsid w:val="00D51186"/>
    <w:rsid w:val="00D51AF7"/>
    <w:rsid w:val="00D51BBF"/>
    <w:rsid w:val="00D52026"/>
    <w:rsid w:val="00D52114"/>
    <w:rsid w:val="00D5257D"/>
    <w:rsid w:val="00D532D3"/>
    <w:rsid w:val="00D54FF4"/>
    <w:rsid w:val="00D55474"/>
    <w:rsid w:val="00D563C8"/>
    <w:rsid w:val="00D5647A"/>
    <w:rsid w:val="00D56F5B"/>
    <w:rsid w:val="00D57484"/>
    <w:rsid w:val="00D5775C"/>
    <w:rsid w:val="00D577C6"/>
    <w:rsid w:val="00D61438"/>
    <w:rsid w:val="00D625AE"/>
    <w:rsid w:val="00D63086"/>
    <w:rsid w:val="00D64BB5"/>
    <w:rsid w:val="00D64E2F"/>
    <w:rsid w:val="00D6529B"/>
    <w:rsid w:val="00D6545E"/>
    <w:rsid w:val="00D658FF"/>
    <w:rsid w:val="00D669BD"/>
    <w:rsid w:val="00D66A25"/>
    <w:rsid w:val="00D66DE5"/>
    <w:rsid w:val="00D70EAD"/>
    <w:rsid w:val="00D7154A"/>
    <w:rsid w:val="00D72254"/>
    <w:rsid w:val="00D73B8F"/>
    <w:rsid w:val="00D74C11"/>
    <w:rsid w:val="00D75A46"/>
    <w:rsid w:val="00D768AF"/>
    <w:rsid w:val="00D76B7F"/>
    <w:rsid w:val="00D77E5E"/>
    <w:rsid w:val="00D80320"/>
    <w:rsid w:val="00D8163D"/>
    <w:rsid w:val="00D83644"/>
    <w:rsid w:val="00D83B99"/>
    <w:rsid w:val="00D84E87"/>
    <w:rsid w:val="00D84EFD"/>
    <w:rsid w:val="00D8512C"/>
    <w:rsid w:val="00D85D10"/>
    <w:rsid w:val="00D862C5"/>
    <w:rsid w:val="00D862EF"/>
    <w:rsid w:val="00D86667"/>
    <w:rsid w:val="00D868A0"/>
    <w:rsid w:val="00D87209"/>
    <w:rsid w:val="00D874FA"/>
    <w:rsid w:val="00D87548"/>
    <w:rsid w:val="00D875BD"/>
    <w:rsid w:val="00D87695"/>
    <w:rsid w:val="00D87E7B"/>
    <w:rsid w:val="00D90221"/>
    <w:rsid w:val="00D90879"/>
    <w:rsid w:val="00D90E81"/>
    <w:rsid w:val="00D91180"/>
    <w:rsid w:val="00D91368"/>
    <w:rsid w:val="00D91A81"/>
    <w:rsid w:val="00D91E7A"/>
    <w:rsid w:val="00D920DF"/>
    <w:rsid w:val="00D9480D"/>
    <w:rsid w:val="00D9488B"/>
    <w:rsid w:val="00D9522B"/>
    <w:rsid w:val="00D9526D"/>
    <w:rsid w:val="00D954CA"/>
    <w:rsid w:val="00D95C93"/>
    <w:rsid w:val="00D963A6"/>
    <w:rsid w:val="00D9682F"/>
    <w:rsid w:val="00D96EAC"/>
    <w:rsid w:val="00D972AD"/>
    <w:rsid w:val="00DA0AA2"/>
    <w:rsid w:val="00DA0C46"/>
    <w:rsid w:val="00DA1D71"/>
    <w:rsid w:val="00DA2818"/>
    <w:rsid w:val="00DA2B70"/>
    <w:rsid w:val="00DA3757"/>
    <w:rsid w:val="00DA37EF"/>
    <w:rsid w:val="00DA46AE"/>
    <w:rsid w:val="00DA4D04"/>
    <w:rsid w:val="00DA4D4B"/>
    <w:rsid w:val="00DA7364"/>
    <w:rsid w:val="00DA7C75"/>
    <w:rsid w:val="00DA7D3D"/>
    <w:rsid w:val="00DB05FB"/>
    <w:rsid w:val="00DB08C0"/>
    <w:rsid w:val="00DB17B3"/>
    <w:rsid w:val="00DB2CEC"/>
    <w:rsid w:val="00DB30A4"/>
    <w:rsid w:val="00DB3E9C"/>
    <w:rsid w:val="00DB6B4A"/>
    <w:rsid w:val="00DB738D"/>
    <w:rsid w:val="00DB76D4"/>
    <w:rsid w:val="00DC050C"/>
    <w:rsid w:val="00DC1C6C"/>
    <w:rsid w:val="00DC1E07"/>
    <w:rsid w:val="00DC2CEF"/>
    <w:rsid w:val="00DC2FAB"/>
    <w:rsid w:val="00DC4703"/>
    <w:rsid w:val="00DC4990"/>
    <w:rsid w:val="00DC4F90"/>
    <w:rsid w:val="00DC5D4F"/>
    <w:rsid w:val="00DC5FBA"/>
    <w:rsid w:val="00DC6CCB"/>
    <w:rsid w:val="00DC6E3B"/>
    <w:rsid w:val="00DC7A60"/>
    <w:rsid w:val="00DD1ABE"/>
    <w:rsid w:val="00DD1ADD"/>
    <w:rsid w:val="00DD1F1F"/>
    <w:rsid w:val="00DD1F29"/>
    <w:rsid w:val="00DD203A"/>
    <w:rsid w:val="00DD2E63"/>
    <w:rsid w:val="00DD3174"/>
    <w:rsid w:val="00DD340B"/>
    <w:rsid w:val="00DD39A4"/>
    <w:rsid w:val="00DD4846"/>
    <w:rsid w:val="00DD50D8"/>
    <w:rsid w:val="00DD51CD"/>
    <w:rsid w:val="00DD5BB7"/>
    <w:rsid w:val="00DD65D1"/>
    <w:rsid w:val="00DD704B"/>
    <w:rsid w:val="00DD743C"/>
    <w:rsid w:val="00DD76D3"/>
    <w:rsid w:val="00DD7796"/>
    <w:rsid w:val="00DD785F"/>
    <w:rsid w:val="00DD79C8"/>
    <w:rsid w:val="00DD7F76"/>
    <w:rsid w:val="00DE0079"/>
    <w:rsid w:val="00DE00EF"/>
    <w:rsid w:val="00DE08DE"/>
    <w:rsid w:val="00DE1076"/>
    <w:rsid w:val="00DE16ED"/>
    <w:rsid w:val="00DE2380"/>
    <w:rsid w:val="00DE2FC0"/>
    <w:rsid w:val="00DE3911"/>
    <w:rsid w:val="00DE4CF5"/>
    <w:rsid w:val="00DE5692"/>
    <w:rsid w:val="00DF0505"/>
    <w:rsid w:val="00DF0906"/>
    <w:rsid w:val="00DF1926"/>
    <w:rsid w:val="00DF1DBD"/>
    <w:rsid w:val="00DF259B"/>
    <w:rsid w:val="00DF2AF0"/>
    <w:rsid w:val="00DF2E11"/>
    <w:rsid w:val="00DF3641"/>
    <w:rsid w:val="00DF4DF1"/>
    <w:rsid w:val="00DF530F"/>
    <w:rsid w:val="00DF5447"/>
    <w:rsid w:val="00DF579C"/>
    <w:rsid w:val="00DF6068"/>
    <w:rsid w:val="00DF64AA"/>
    <w:rsid w:val="00DF6B17"/>
    <w:rsid w:val="00DF6B34"/>
    <w:rsid w:val="00E0079D"/>
    <w:rsid w:val="00E00C4E"/>
    <w:rsid w:val="00E00D44"/>
    <w:rsid w:val="00E012C9"/>
    <w:rsid w:val="00E02034"/>
    <w:rsid w:val="00E03A39"/>
    <w:rsid w:val="00E03AEA"/>
    <w:rsid w:val="00E03E1F"/>
    <w:rsid w:val="00E03ED0"/>
    <w:rsid w:val="00E04FE9"/>
    <w:rsid w:val="00E05232"/>
    <w:rsid w:val="00E0613E"/>
    <w:rsid w:val="00E0672D"/>
    <w:rsid w:val="00E1140D"/>
    <w:rsid w:val="00E11696"/>
    <w:rsid w:val="00E116A3"/>
    <w:rsid w:val="00E120F9"/>
    <w:rsid w:val="00E12850"/>
    <w:rsid w:val="00E12952"/>
    <w:rsid w:val="00E12ECA"/>
    <w:rsid w:val="00E12FAA"/>
    <w:rsid w:val="00E13371"/>
    <w:rsid w:val="00E13606"/>
    <w:rsid w:val="00E140AF"/>
    <w:rsid w:val="00E14318"/>
    <w:rsid w:val="00E14605"/>
    <w:rsid w:val="00E1497A"/>
    <w:rsid w:val="00E14CD8"/>
    <w:rsid w:val="00E1569F"/>
    <w:rsid w:val="00E15D63"/>
    <w:rsid w:val="00E15F4E"/>
    <w:rsid w:val="00E16016"/>
    <w:rsid w:val="00E167BE"/>
    <w:rsid w:val="00E16D94"/>
    <w:rsid w:val="00E17088"/>
    <w:rsid w:val="00E216E3"/>
    <w:rsid w:val="00E21822"/>
    <w:rsid w:val="00E21A27"/>
    <w:rsid w:val="00E241A7"/>
    <w:rsid w:val="00E244A3"/>
    <w:rsid w:val="00E254BB"/>
    <w:rsid w:val="00E25F85"/>
    <w:rsid w:val="00E26576"/>
    <w:rsid w:val="00E26738"/>
    <w:rsid w:val="00E26929"/>
    <w:rsid w:val="00E27CC5"/>
    <w:rsid w:val="00E27E70"/>
    <w:rsid w:val="00E3098D"/>
    <w:rsid w:val="00E30C13"/>
    <w:rsid w:val="00E30DE5"/>
    <w:rsid w:val="00E3147C"/>
    <w:rsid w:val="00E31BB0"/>
    <w:rsid w:val="00E322F7"/>
    <w:rsid w:val="00E33407"/>
    <w:rsid w:val="00E338AE"/>
    <w:rsid w:val="00E34320"/>
    <w:rsid w:val="00E345E3"/>
    <w:rsid w:val="00E3500E"/>
    <w:rsid w:val="00E35D3F"/>
    <w:rsid w:val="00E3600D"/>
    <w:rsid w:val="00E367CF"/>
    <w:rsid w:val="00E369FD"/>
    <w:rsid w:val="00E37A61"/>
    <w:rsid w:val="00E37A6E"/>
    <w:rsid w:val="00E37FE8"/>
    <w:rsid w:val="00E40CE3"/>
    <w:rsid w:val="00E41176"/>
    <w:rsid w:val="00E411D6"/>
    <w:rsid w:val="00E411F4"/>
    <w:rsid w:val="00E41BDC"/>
    <w:rsid w:val="00E41FC2"/>
    <w:rsid w:val="00E42385"/>
    <w:rsid w:val="00E42C65"/>
    <w:rsid w:val="00E43EC7"/>
    <w:rsid w:val="00E446F6"/>
    <w:rsid w:val="00E44B3D"/>
    <w:rsid w:val="00E44D94"/>
    <w:rsid w:val="00E4500A"/>
    <w:rsid w:val="00E50113"/>
    <w:rsid w:val="00E50530"/>
    <w:rsid w:val="00E50CD5"/>
    <w:rsid w:val="00E516CD"/>
    <w:rsid w:val="00E5185A"/>
    <w:rsid w:val="00E51A02"/>
    <w:rsid w:val="00E524AB"/>
    <w:rsid w:val="00E52F27"/>
    <w:rsid w:val="00E53715"/>
    <w:rsid w:val="00E54596"/>
    <w:rsid w:val="00E54C22"/>
    <w:rsid w:val="00E550E0"/>
    <w:rsid w:val="00E55C82"/>
    <w:rsid w:val="00E56630"/>
    <w:rsid w:val="00E578E1"/>
    <w:rsid w:val="00E57E1F"/>
    <w:rsid w:val="00E60110"/>
    <w:rsid w:val="00E60D37"/>
    <w:rsid w:val="00E619BF"/>
    <w:rsid w:val="00E63A22"/>
    <w:rsid w:val="00E63D5F"/>
    <w:rsid w:val="00E642F3"/>
    <w:rsid w:val="00E645E4"/>
    <w:rsid w:val="00E64601"/>
    <w:rsid w:val="00E647D7"/>
    <w:rsid w:val="00E64A89"/>
    <w:rsid w:val="00E6512D"/>
    <w:rsid w:val="00E65181"/>
    <w:rsid w:val="00E65449"/>
    <w:rsid w:val="00E667C8"/>
    <w:rsid w:val="00E66966"/>
    <w:rsid w:val="00E701E5"/>
    <w:rsid w:val="00E70CDE"/>
    <w:rsid w:val="00E712B7"/>
    <w:rsid w:val="00E714B7"/>
    <w:rsid w:val="00E716C4"/>
    <w:rsid w:val="00E72169"/>
    <w:rsid w:val="00E73D5E"/>
    <w:rsid w:val="00E74B0E"/>
    <w:rsid w:val="00E758C5"/>
    <w:rsid w:val="00E7641A"/>
    <w:rsid w:val="00E7674B"/>
    <w:rsid w:val="00E76B4C"/>
    <w:rsid w:val="00E76C7A"/>
    <w:rsid w:val="00E77286"/>
    <w:rsid w:val="00E778F6"/>
    <w:rsid w:val="00E80F36"/>
    <w:rsid w:val="00E8115E"/>
    <w:rsid w:val="00E82D46"/>
    <w:rsid w:val="00E836B5"/>
    <w:rsid w:val="00E83C5C"/>
    <w:rsid w:val="00E8530E"/>
    <w:rsid w:val="00E8566A"/>
    <w:rsid w:val="00E85769"/>
    <w:rsid w:val="00E8685E"/>
    <w:rsid w:val="00E86EE2"/>
    <w:rsid w:val="00E86FC1"/>
    <w:rsid w:val="00E87369"/>
    <w:rsid w:val="00E911E2"/>
    <w:rsid w:val="00E92AB3"/>
    <w:rsid w:val="00E9408B"/>
    <w:rsid w:val="00E94DDA"/>
    <w:rsid w:val="00E95611"/>
    <w:rsid w:val="00E9582F"/>
    <w:rsid w:val="00E96061"/>
    <w:rsid w:val="00E96075"/>
    <w:rsid w:val="00E9680A"/>
    <w:rsid w:val="00E968AD"/>
    <w:rsid w:val="00E97744"/>
    <w:rsid w:val="00E97E11"/>
    <w:rsid w:val="00EA23AA"/>
    <w:rsid w:val="00EA282D"/>
    <w:rsid w:val="00EA31D3"/>
    <w:rsid w:val="00EA3578"/>
    <w:rsid w:val="00EA3DB2"/>
    <w:rsid w:val="00EA3E27"/>
    <w:rsid w:val="00EA3E3B"/>
    <w:rsid w:val="00EA4276"/>
    <w:rsid w:val="00EA44B1"/>
    <w:rsid w:val="00EA4C91"/>
    <w:rsid w:val="00EA5836"/>
    <w:rsid w:val="00EA5965"/>
    <w:rsid w:val="00EA6C67"/>
    <w:rsid w:val="00EA6F70"/>
    <w:rsid w:val="00EA7501"/>
    <w:rsid w:val="00EA7E21"/>
    <w:rsid w:val="00EB0B19"/>
    <w:rsid w:val="00EB0B4B"/>
    <w:rsid w:val="00EB1515"/>
    <w:rsid w:val="00EB17FA"/>
    <w:rsid w:val="00EB1F39"/>
    <w:rsid w:val="00EB2325"/>
    <w:rsid w:val="00EB3805"/>
    <w:rsid w:val="00EB3DB9"/>
    <w:rsid w:val="00EB502D"/>
    <w:rsid w:val="00EB61F9"/>
    <w:rsid w:val="00EB638D"/>
    <w:rsid w:val="00EB6E5D"/>
    <w:rsid w:val="00EB797A"/>
    <w:rsid w:val="00EB7CDA"/>
    <w:rsid w:val="00EC11F5"/>
    <w:rsid w:val="00EC17A6"/>
    <w:rsid w:val="00EC272F"/>
    <w:rsid w:val="00EC2887"/>
    <w:rsid w:val="00EC2BCB"/>
    <w:rsid w:val="00EC2DD9"/>
    <w:rsid w:val="00EC33C2"/>
    <w:rsid w:val="00EC4A0A"/>
    <w:rsid w:val="00EC4D9D"/>
    <w:rsid w:val="00EC6558"/>
    <w:rsid w:val="00EC675A"/>
    <w:rsid w:val="00EC6DBE"/>
    <w:rsid w:val="00EC6EA9"/>
    <w:rsid w:val="00EC7C44"/>
    <w:rsid w:val="00ED0691"/>
    <w:rsid w:val="00ED0902"/>
    <w:rsid w:val="00ED112C"/>
    <w:rsid w:val="00ED18E1"/>
    <w:rsid w:val="00ED1F63"/>
    <w:rsid w:val="00ED1F88"/>
    <w:rsid w:val="00ED2560"/>
    <w:rsid w:val="00ED2D41"/>
    <w:rsid w:val="00ED3379"/>
    <w:rsid w:val="00ED400F"/>
    <w:rsid w:val="00ED6869"/>
    <w:rsid w:val="00ED6907"/>
    <w:rsid w:val="00ED6B39"/>
    <w:rsid w:val="00ED6E35"/>
    <w:rsid w:val="00ED75E3"/>
    <w:rsid w:val="00ED7B51"/>
    <w:rsid w:val="00ED7F51"/>
    <w:rsid w:val="00EE0165"/>
    <w:rsid w:val="00EE069B"/>
    <w:rsid w:val="00EE087C"/>
    <w:rsid w:val="00EE2313"/>
    <w:rsid w:val="00EE2553"/>
    <w:rsid w:val="00EE2F77"/>
    <w:rsid w:val="00EE464F"/>
    <w:rsid w:val="00EE4919"/>
    <w:rsid w:val="00EE4AA7"/>
    <w:rsid w:val="00EE4D29"/>
    <w:rsid w:val="00EE6386"/>
    <w:rsid w:val="00EE7167"/>
    <w:rsid w:val="00EE78B4"/>
    <w:rsid w:val="00EE7FE9"/>
    <w:rsid w:val="00EF0042"/>
    <w:rsid w:val="00EF0A87"/>
    <w:rsid w:val="00EF1778"/>
    <w:rsid w:val="00EF2AD6"/>
    <w:rsid w:val="00EF2BFF"/>
    <w:rsid w:val="00EF2E60"/>
    <w:rsid w:val="00EF30EC"/>
    <w:rsid w:val="00EF4129"/>
    <w:rsid w:val="00EF41EB"/>
    <w:rsid w:val="00EF56CB"/>
    <w:rsid w:val="00EF6DC2"/>
    <w:rsid w:val="00EF7402"/>
    <w:rsid w:val="00EF7C03"/>
    <w:rsid w:val="00EF7E3C"/>
    <w:rsid w:val="00F000A1"/>
    <w:rsid w:val="00F002A9"/>
    <w:rsid w:val="00F00561"/>
    <w:rsid w:val="00F00579"/>
    <w:rsid w:val="00F00770"/>
    <w:rsid w:val="00F01276"/>
    <w:rsid w:val="00F013DB"/>
    <w:rsid w:val="00F015FF"/>
    <w:rsid w:val="00F017F5"/>
    <w:rsid w:val="00F017F6"/>
    <w:rsid w:val="00F020D0"/>
    <w:rsid w:val="00F022AB"/>
    <w:rsid w:val="00F02F0B"/>
    <w:rsid w:val="00F033DE"/>
    <w:rsid w:val="00F034BC"/>
    <w:rsid w:val="00F047A7"/>
    <w:rsid w:val="00F04992"/>
    <w:rsid w:val="00F04DE3"/>
    <w:rsid w:val="00F055C5"/>
    <w:rsid w:val="00F060CF"/>
    <w:rsid w:val="00F061F4"/>
    <w:rsid w:val="00F07090"/>
    <w:rsid w:val="00F07544"/>
    <w:rsid w:val="00F1061B"/>
    <w:rsid w:val="00F110AE"/>
    <w:rsid w:val="00F119E4"/>
    <w:rsid w:val="00F1222F"/>
    <w:rsid w:val="00F12954"/>
    <w:rsid w:val="00F12ED3"/>
    <w:rsid w:val="00F12F1B"/>
    <w:rsid w:val="00F1402B"/>
    <w:rsid w:val="00F158B2"/>
    <w:rsid w:val="00F15A65"/>
    <w:rsid w:val="00F1754B"/>
    <w:rsid w:val="00F212DE"/>
    <w:rsid w:val="00F2138F"/>
    <w:rsid w:val="00F2161D"/>
    <w:rsid w:val="00F21709"/>
    <w:rsid w:val="00F22A12"/>
    <w:rsid w:val="00F22AB8"/>
    <w:rsid w:val="00F22B03"/>
    <w:rsid w:val="00F22F39"/>
    <w:rsid w:val="00F232E5"/>
    <w:rsid w:val="00F23AB0"/>
    <w:rsid w:val="00F248A5"/>
    <w:rsid w:val="00F24E08"/>
    <w:rsid w:val="00F254B6"/>
    <w:rsid w:val="00F255EA"/>
    <w:rsid w:val="00F30EA3"/>
    <w:rsid w:val="00F319A8"/>
    <w:rsid w:val="00F319E8"/>
    <w:rsid w:val="00F32028"/>
    <w:rsid w:val="00F32B63"/>
    <w:rsid w:val="00F3381F"/>
    <w:rsid w:val="00F33EFF"/>
    <w:rsid w:val="00F34CDC"/>
    <w:rsid w:val="00F35E55"/>
    <w:rsid w:val="00F36A59"/>
    <w:rsid w:val="00F36AD8"/>
    <w:rsid w:val="00F36E93"/>
    <w:rsid w:val="00F36ED1"/>
    <w:rsid w:val="00F379F1"/>
    <w:rsid w:val="00F37CD3"/>
    <w:rsid w:val="00F4024B"/>
    <w:rsid w:val="00F4066B"/>
    <w:rsid w:val="00F406AB"/>
    <w:rsid w:val="00F40EAC"/>
    <w:rsid w:val="00F40F8A"/>
    <w:rsid w:val="00F40FFB"/>
    <w:rsid w:val="00F41219"/>
    <w:rsid w:val="00F41579"/>
    <w:rsid w:val="00F41A2D"/>
    <w:rsid w:val="00F41CDF"/>
    <w:rsid w:val="00F41DF7"/>
    <w:rsid w:val="00F41E27"/>
    <w:rsid w:val="00F42B1F"/>
    <w:rsid w:val="00F430C5"/>
    <w:rsid w:val="00F4321F"/>
    <w:rsid w:val="00F43F26"/>
    <w:rsid w:val="00F44360"/>
    <w:rsid w:val="00F451EF"/>
    <w:rsid w:val="00F45A3C"/>
    <w:rsid w:val="00F45CA6"/>
    <w:rsid w:val="00F45EFE"/>
    <w:rsid w:val="00F4616A"/>
    <w:rsid w:val="00F46C90"/>
    <w:rsid w:val="00F46E3E"/>
    <w:rsid w:val="00F473C6"/>
    <w:rsid w:val="00F47CE1"/>
    <w:rsid w:val="00F50E5B"/>
    <w:rsid w:val="00F50FE3"/>
    <w:rsid w:val="00F510BE"/>
    <w:rsid w:val="00F5186A"/>
    <w:rsid w:val="00F51ED9"/>
    <w:rsid w:val="00F5203E"/>
    <w:rsid w:val="00F526DA"/>
    <w:rsid w:val="00F52E46"/>
    <w:rsid w:val="00F535EA"/>
    <w:rsid w:val="00F5390F"/>
    <w:rsid w:val="00F53D6D"/>
    <w:rsid w:val="00F53DB7"/>
    <w:rsid w:val="00F557E0"/>
    <w:rsid w:val="00F55C50"/>
    <w:rsid w:val="00F55CEE"/>
    <w:rsid w:val="00F56087"/>
    <w:rsid w:val="00F57878"/>
    <w:rsid w:val="00F57AC4"/>
    <w:rsid w:val="00F600AD"/>
    <w:rsid w:val="00F600B5"/>
    <w:rsid w:val="00F6088E"/>
    <w:rsid w:val="00F610E6"/>
    <w:rsid w:val="00F61E55"/>
    <w:rsid w:val="00F6230E"/>
    <w:rsid w:val="00F6231F"/>
    <w:rsid w:val="00F62376"/>
    <w:rsid w:val="00F626E5"/>
    <w:rsid w:val="00F63321"/>
    <w:rsid w:val="00F63338"/>
    <w:rsid w:val="00F64578"/>
    <w:rsid w:val="00F64F67"/>
    <w:rsid w:val="00F65287"/>
    <w:rsid w:val="00F6535D"/>
    <w:rsid w:val="00F65464"/>
    <w:rsid w:val="00F6554F"/>
    <w:rsid w:val="00F655D5"/>
    <w:rsid w:val="00F6613E"/>
    <w:rsid w:val="00F662D2"/>
    <w:rsid w:val="00F665A9"/>
    <w:rsid w:val="00F666EE"/>
    <w:rsid w:val="00F66CA5"/>
    <w:rsid w:val="00F67BEB"/>
    <w:rsid w:val="00F67DF3"/>
    <w:rsid w:val="00F70656"/>
    <w:rsid w:val="00F706C3"/>
    <w:rsid w:val="00F70FE3"/>
    <w:rsid w:val="00F72056"/>
    <w:rsid w:val="00F724C6"/>
    <w:rsid w:val="00F72635"/>
    <w:rsid w:val="00F73021"/>
    <w:rsid w:val="00F73BE9"/>
    <w:rsid w:val="00F73C75"/>
    <w:rsid w:val="00F7458F"/>
    <w:rsid w:val="00F74A36"/>
    <w:rsid w:val="00F74A63"/>
    <w:rsid w:val="00F7603E"/>
    <w:rsid w:val="00F76A35"/>
    <w:rsid w:val="00F771B5"/>
    <w:rsid w:val="00F777E7"/>
    <w:rsid w:val="00F8030B"/>
    <w:rsid w:val="00F81D51"/>
    <w:rsid w:val="00F837B4"/>
    <w:rsid w:val="00F83934"/>
    <w:rsid w:val="00F83C86"/>
    <w:rsid w:val="00F8401F"/>
    <w:rsid w:val="00F84EA2"/>
    <w:rsid w:val="00F84F27"/>
    <w:rsid w:val="00F8553A"/>
    <w:rsid w:val="00F8598F"/>
    <w:rsid w:val="00F85B0C"/>
    <w:rsid w:val="00F86224"/>
    <w:rsid w:val="00F876E9"/>
    <w:rsid w:val="00F877D4"/>
    <w:rsid w:val="00F902AC"/>
    <w:rsid w:val="00F91693"/>
    <w:rsid w:val="00F9177F"/>
    <w:rsid w:val="00F9197C"/>
    <w:rsid w:val="00F91FC9"/>
    <w:rsid w:val="00F92487"/>
    <w:rsid w:val="00F92767"/>
    <w:rsid w:val="00F92B88"/>
    <w:rsid w:val="00F93DD2"/>
    <w:rsid w:val="00F93FBC"/>
    <w:rsid w:val="00F943E7"/>
    <w:rsid w:val="00F95D54"/>
    <w:rsid w:val="00F96961"/>
    <w:rsid w:val="00F96AB5"/>
    <w:rsid w:val="00F9715A"/>
    <w:rsid w:val="00FA026E"/>
    <w:rsid w:val="00FA0414"/>
    <w:rsid w:val="00FA0943"/>
    <w:rsid w:val="00FA09E7"/>
    <w:rsid w:val="00FA0E70"/>
    <w:rsid w:val="00FA11DA"/>
    <w:rsid w:val="00FA16B0"/>
    <w:rsid w:val="00FA17F2"/>
    <w:rsid w:val="00FA1D17"/>
    <w:rsid w:val="00FA21D8"/>
    <w:rsid w:val="00FA226F"/>
    <w:rsid w:val="00FA236C"/>
    <w:rsid w:val="00FA3FCA"/>
    <w:rsid w:val="00FA4862"/>
    <w:rsid w:val="00FA60A9"/>
    <w:rsid w:val="00FA622B"/>
    <w:rsid w:val="00FA68DC"/>
    <w:rsid w:val="00FA6A0B"/>
    <w:rsid w:val="00FA6EB9"/>
    <w:rsid w:val="00FA78D1"/>
    <w:rsid w:val="00FA7F41"/>
    <w:rsid w:val="00FB0223"/>
    <w:rsid w:val="00FB0A91"/>
    <w:rsid w:val="00FB0D57"/>
    <w:rsid w:val="00FB0EAE"/>
    <w:rsid w:val="00FB1288"/>
    <w:rsid w:val="00FB1D7E"/>
    <w:rsid w:val="00FB2081"/>
    <w:rsid w:val="00FB26F6"/>
    <w:rsid w:val="00FB357B"/>
    <w:rsid w:val="00FB3A2A"/>
    <w:rsid w:val="00FB3C92"/>
    <w:rsid w:val="00FB3D1A"/>
    <w:rsid w:val="00FB435E"/>
    <w:rsid w:val="00FB456A"/>
    <w:rsid w:val="00FB484B"/>
    <w:rsid w:val="00FB497B"/>
    <w:rsid w:val="00FB4BB0"/>
    <w:rsid w:val="00FB514E"/>
    <w:rsid w:val="00FB54EC"/>
    <w:rsid w:val="00FB5879"/>
    <w:rsid w:val="00FB61FE"/>
    <w:rsid w:val="00FB64C1"/>
    <w:rsid w:val="00FB7001"/>
    <w:rsid w:val="00FC1242"/>
    <w:rsid w:val="00FC1580"/>
    <w:rsid w:val="00FC161A"/>
    <w:rsid w:val="00FC18E5"/>
    <w:rsid w:val="00FC2AF4"/>
    <w:rsid w:val="00FC2C71"/>
    <w:rsid w:val="00FC3D4A"/>
    <w:rsid w:val="00FC4770"/>
    <w:rsid w:val="00FC4AB8"/>
    <w:rsid w:val="00FC5A1B"/>
    <w:rsid w:val="00FC5BAB"/>
    <w:rsid w:val="00FC6DD4"/>
    <w:rsid w:val="00FC74BF"/>
    <w:rsid w:val="00FC759D"/>
    <w:rsid w:val="00FC7B14"/>
    <w:rsid w:val="00FC7B7E"/>
    <w:rsid w:val="00FD0433"/>
    <w:rsid w:val="00FD0EC9"/>
    <w:rsid w:val="00FD13A1"/>
    <w:rsid w:val="00FD2D80"/>
    <w:rsid w:val="00FD2E7D"/>
    <w:rsid w:val="00FD3B74"/>
    <w:rsid w:val="00FD3E79"/>
    <w:rsid w:val="00FD469F"/>
    <w:rsid w:val="00FD4B00"/>
    <w:rsid w:val="00FD50F8"/>
    <w:rsid w:val="00FD53FA"/>
    <w:rsid w:val="00FD575B"/>
    <w:rsid w:val="00FD5E72"/>
    <w:rsid w:val="00FD624E"/>
    <w:rsid w:val="00FD6404"/>
    <w:rsid w:val="00FD6AD6"/>
    <w:rsid w:val="00FD6F65"/>
    <w:rsid w:val="00FD7ACF"/>
    <w:rsid w:val="00FE08AC"/>
    <w:rsid w:val="00FE1CC1"/>
    <w:rsid w:val="00FE2129"/>
    <w:rsid w:val="00FE31AC"/>
    <w:rsid w:val="00FE372D"/>
    <w:rsid w:val="00FE3B93"/>
    <w:rsid w:val="00FE3EA7"/>
    <w:rsid w:val="00FE4A9A"/>
    <w:rsid w:val="00FE4BA3"/>
    <w:rsid w:val="00FE7AE5"/>
    <w:rsid w:val="00FE7DEF"/>
    <w:rsid w:val="00FF1194"/>
    <w:rsid w:val="00FF286B"/>
    <w:rsid w:val="00FF5701"/>
    <w:rsid w:val="00FF7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396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en-US" w:eastAsia="en-US" w:bidi="en-US"/>
      </w:rPr>
    </w:rPrDefault>
    <w:pPrDefault>
      <w:pPr>
        <w:spacing w:before="240" w:after="12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C6EC8"/>
  </w:style>
  <w:style w:type="paragraph" w:styleId="Heading1">
    <w:name w:val="heading 1"/>
    <w:aliases w:val="h1"/>
    <w:basedOn w:val="Normal"/>
    <w:link w:val="Heading1Char"/>
    <w:uiPriority w:val="9"/>
    <w:semiHidden/>
    <w:qFormat/>
    <w:rsid w:val="00D03B88"/>
    <w:pPr>
      <w:keepNext/>
      <w:keepLines/>
      <w:spacing w:after="0"/>
      <w:outlineLvl w:val="0"/>
    </w:pPr>
    <w:rPr>
      <w:rFonts w:eastAsiaTheme="majorEastAsia" w:cstheme="majorBidi"/>
      <w:b/>
      <w:bCs/>
      <w:sz w:val="28"/>
      <w:szCs w:val="28"/>
      <w:lang w:bidi="ar-SA"/>
    </w:rPr>
  </w:style>
  <w:style w:type="paragraph" w:styleId="Heading2">
    <w:name w:val="heading 2"/>
    <w:aliases w:val="h2"/>
    <w:basedOn w:val="Normal"/>
    <w:link w:val="Heading2Char"/>
    <w:uiPriority w:val="9"/>
    <w:semiHidden/>
    <w:qFormat/>
    <w:rsid w:val="008210BE"/>
    <w:pPr>
      <w:keepNext/>
      <w:keepLines/>
      <w:spacing w:before="200" w:after="0"/>
      <w:outlineLvl w:val="1"/>
    </w:pPr>
    <w:rPr>
      <w:rFonts w:eastAsiaTheme="majorEastAsia" w:cstheme="majorBidi"/>
      <w:b/>
      <w:bCs/>
      <w:szCs w:val="26"/>
      <w:lang w:bidi="ar-SA"/>
    </w:rPr>
  </w:style>
  <w:style w:type="paragraph" w:styleId="Heading3">
    <w:name w:val="heading 3"/>
    <w:aliases w:val="h3"/>
    <w:basedOn w:val="Normal"/>
    <w:link w:val="Heading3Char"/>
    <w:semiHidden/>
    <w:qFormat/>
    <w:rsid w:val="008210BE"/>
    <w:pPr>
      <w:keepNext/>
      <w:keepLines/>
      <w:spacing w:before="200" w:after="0"/>
      <w:outlineLvl w:val="2"/>
    </w:pPr>
    <w:rPr>
      <w:rFonts w:eastAsiaTheme="majorEastAsia" w:cstheme="majorBidi"/>
      <w:b/>
      <w:bCs/>
      <w:lang w:bidi="ar-SA"/>
    </w:rPr>
  </w:style>
  <w:style w:type="paragraph" w:styleId="Heading4">
    <w:name w:val="heading 4"/>
    <w:aliases w:val="h4"/>
    <w:basedOn w:val="Normal"/>
    <w:link w:val="Heading4Char"/>
    <w:semiHidden/>
    <w:qFormat/>
    <w:rsid w:val="008210BE"/>
    <w:pPr>
      <w:keepNext/>
      <w:keepLines/>
      <w:spacing w:before="200" w:after="0"/>
      <w:outlineLvl w:val="3"/>
    </w:pPr>
    <w:rPr>
      <w:rFonts w:eastAsiaTheme="majorEastAsia" w:cstheme="majorBidi"/>
      <w:b/>
      <w:bCs/>
      <w:i/>
      <w:iCs/>
      <w:lang w:bidi="ar-SA"/>
    </w:rPr>
  </w:style>
  <w:style w:type="paragraph" w:styleId="Heading5">
    <w:name w:val="heading 5"/>
    <w:aliases w:val="h5"/>
    <w:basedOn w:val="Normal"/>
    <w:link w:val="Heading5Char"/>
    <w:semiHidden/>
    <w:qFormat/>
    <w:rsid w:val="008210BE"/>
    <w:pPr>
      <w:keepNext/>
      <w:keepLines/>
      <w:spacing w:before="200" w:after="0"/>
      <w:outlineLvl w:val="4"/>
    </w:pPr>
    <w:rPr>
      <w:rFonts w:eastAsiaTheme="majorEastAsia" w:cstheme="majorBidi"/>
      <w:lang w:bidi="ar-SA"/>
    </w:rPr>
  </w:style>
  <w:style w:type="paragraph" w:styleId="Heading6">
    <w:name w:val="heading 6"/>
    <w:aliases w:val="h6"/>
    <w:basedOn w:val="Normal"/>
    <w:link w:val="Heading6Char"/>
    <w:semiHidden/>
    <w:qFormat/>
    <w:rsid w:val="008210BE"/>
    <w:pPr>
      <w:keepNext/>
      <w:keepLines/>
      <w:spacing w:before="200" w:after="0"/>
      <w:outlineLvl w:val="5"/>
    </w:pPr>
    <w:rPr>
      <w:rFonts w:eastAsiaTheme="majorEastAsia" w:cstheme="majorBidi"/>
      <w:i/>
      <w:iCs/>
      <w:lang w:bidi="ar-SA"/>
    </w:rPr>
  </w:style>
  <w:style w:type="paragraph" w:styleId="Heading7">
    <w:name w:val="heading 7"/>
    <w:aliases w:val="h7"/>
    <w:basedOn w:val="Normal"/>
    <w:link w:val="Heading7Char"/>
    <w:semiHidden/>
    <w:qFormat/>
    <w:rsid w:val="008210BE"/>
    <w:pPr>
      <w:keepNext/>
      <w:keepLines/>
      <w:spacing w:before="200" w:after="0"/>
      <w:outlineLvl w:val="6"/>
    </w:pPr>
    <w:rPr>
      <w:rFonts w:eastAsiaTheme="majorEastAsia" w:cstheme="majorBidi"/>
      <w:i/>
      <w:iCs/>
      <w:lang w:bidi="ar-SA"/>
    </w:rPr>
  </w:style>
  <w:style w:type="paragraph" w:styleId="Heading8">
    <w:name w:val="heading 8"/>
    <w:aliases w:val="h8"/>
    <w:basedOn w:val="Normal"/>
    <w:link w:val="Heading8Char"/>
    <w:semiHidden/>
    <w:qFormat/>
    <w:rsid w:val="008210BE"/>
    <w:pPr>
      <w:keepNext/>
      <w:keepLines/>
      <w:spacing w:before="200" w:after="0"/>
      <w:outlineLvl w:val="7"/>
    </w:pPr>
    <w:rPr>
      <w:rFonts w:eastAsiaTheme="majorEastAsia" w:cstheme="majorBidi"/>
      <w:szCs w:val="20"/>
      <w:lang w:bidi="ar-SA"/>
    </w:rPr>
  </w:style>
  <w:style w:type="paragraph" w:styleId="Heading9">
    <w:name w:val="heading 9"/>
    <w:aliases w:val="h9"/>
    <w:basedOn w:val="Normal"/>
    <w:link w:val="Heading9Char"/>
    <w:semiHidden/>
    <w:qFormat/>
    <w:rsid w:val="008210BE"/>
    <w:pPr>
      <w:keepNext/>
      <w:keepLines/>
      <w:spacing w:before="200" w:after="0"/>
      <w:outlineLvl w:val="8"/>
    </w:pPr>
    <w:rPr>
      <w:rFonts w:eastAsiaTheme="majorEastAsia" w:cstheme="majorBidi"/>
      <w:i/>
      <w:iCs/>
      <w:szCs w:val="20"/>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semiHidden/>
    <w:rsid w:val="00881721"/>
    <w:rPr>
      <w:rFonts w:eastAsiaTheme="majorEastAsia" w:cstheme="majorBidi"/>
      <w:b/>
      <w:bCs/>
      <w:sz w:val="28"/>
      <w:szCs w:val="28"/>
      <w:lang w:bidi="ar-SA"/>
    </w:rPr>
  </w:style>
  <w:style w:type="character" w:customStyle="1" w:styleId="Heading2Char">
    <w:name w:val="Heading 2 Char"/>
    <w:aliases w:val="h2 Char"/>
    <w:basedOn w:val="DefaultParagraphFont"/>
    <w:link w:val="Heading2"/>
    <w:uiPriority w:val="9"/>
    <w:semiHidden/>
    <w:rsid w:val="00881721"/>
    <w:rPr>
      <w:rFonts w:eastAsiaTheme="majorEastAsia" w:cstheme="majorBidi"/>
      <w:b/>
      <w:bCs/>
      <w:szCs w:val="26"/>
      <w:lang w:bidi="ar-SA"/>
    </w:rPr>
  </w:style>
  <w:style w:type="character" w:customStyle="1" w:styleId="Heading3Char">
    <w:name w:val="Heading 3 Char"/>
    <w:aliases w:val="h3 Char"/>
    <w:basedOn w:val="DefaultParagraphFont"/>
    <w:link w:val="Heading3"/>
    <w:semiHidden/>
    <w:rsid w:val="000E1CF7"/>
    <w:rPr>
      <w:rFonts w:eastAsiaTheme="majorEastAsia" w:cstheme="majorBidi"/>
      <w:b/>
      <w:bCs/>
      <w:lang w:bidi="ar-SA"/>
    </w:rPr>
  </w:style>
  <w:style w:type="character" w:customStyle="1" w:styleId="Heading4Char">
    <w:name w:val="Heading 4 Char"/>
    <w:aliases w:val="h4 Char"/>
    <w:basedOn w:val="DefaultParagraphFont"/>
    <w:link w:val="Heading4"/>
    <w:semiHidden/>
    <w:rsid w:val="000E1CF7"/>
    <w:rPr>
      <w:rFonts w:eastAsiaTheme="majorEastAsia" w:cstheme="majorBidi"/>
      <w:b/>
      <w:bCs/>
      <w:i/>
      <w:iCs/>
      <w:lang w:bidi="ar-SA"/>
    </w:rPr>
  </w:style>
  <w:style w:type="character" w:customStyle="1" w:styleId="Heading5Char">
    <w:name w:val="Heading 5 Char"/>
    <w:aliases w:val="h5 Char"/>
    <w:basedOn w:val="DefaultParagraphFont"/>
    <w:link w:val="Heading5"/>
    <w:semiHidden/>
    <w:rsid w:val="000E1CF7"/>
    <w:rPr>
      <w:rFonts w:eastAsiaTheme="majorEastAsia" w:cstheme="majorBidi"/>
      <w:lang w:bidi="ar-SA"/>
    </w:rPr>
  </w:style>
  <w:style w:type="character" w:customStyle="1" w:styleId="Heading6Char">
    <w:name w:val="Heading 6 Char"/>
    <w:aliases w:val="h6 Char"/>
    <w:basedOn w:val="DefaultParagraphFont"/>
    <w:link w:val="Heading6"/>
    <w:semiHidden/>
    <w:rsid w:val="000E1CF7"/>
    <w:rPr>
      <w:rFonts w:eastAsiaTheme="majorEastAsia" w:cstheme="majorBidi"/>
      <w:i/>
      <w:iCs/>
      <w:lang w:bidi="ar-SA"/>
    </w:rPr>
  </w:style>
  <w:style w:type="character" w:customStyle="1" w:styleId="Heading7Char">
    <w:name w:val="Heading 7 Char"/>
    <w:aliases w:val="h7 Char"/>
    <w:basedOn w:val="DefaultParagraphFont"/>
    <w:link w:val="Heading7"/>
    <w:semiHidden/>
    <w:rsid w:val="000E1CF7"/>
    <w:rPr>
      <w:rFonts w:eastAsiaTheme="majorEastAsia" w:cstheme="majorBidi"/>
      <w:i/>
      <w:iCs/>
      <w:lang w:bidi="ar-SA"/>
    </w:rPr>
  </w:style>
  <w:style w:type="character" w:customStyle="1" w:styleId="Heading8Char">
    <w:name w:val="Heading 8 Char"/>
    <w:aliases w:val="h8 Char"/>
    <w:basedOn w:val="DefaultParagraphFont"/>
    <w:link w:val="Heading8"/>
    <w:semiHidden/>
    <w:rsid w:val="000E1CF7"/>
    <w:rPr>
      <w:rFonts w:eastAsiaTheme="majorEastAsia" w:cstheme="majorBidi"/>
      <w:szCs w:val="20"/>
      <w:lang w:bidi="ar-SA"/>
    </w:rPr>
  </w:style>
  <w:style w:type="character" w:customStyle="1" w:styleId="Heading9Char">
    <w:name w:val="Heading 9 Char"/>
    <w:aliases w:val="h9 Char"/>
    <w:basedOn w:val="DefaultParagraphFont"/>
    <w:link w:val="Heading9"/>
    <w:semiHidden/>
    <w:rsid w:val="000E1CF7"/>
    <w:rPr>
      <w:rFonts w:eastAsiaTheme="majorEastAsia" w:cstheme="majorBidi"/>
      <w:i/>
      <w:iCs/>
      <w:szCs w:val="20"/>
      <w:lang w:bidi="ar-SA"/>
    </w:rPr>
  </w:style>
  <w:style w:type="paragraph" w:styleId="MacroText">
    <w:name w:val="macro"/>
    <w:link w:val="MacroTextChar"/>
    <w:uiPriority w:val="99"/>
    <w:semiHidden/>
    <w:unhideWhenUsed/>
    <w:rsid w:val="00163542"/>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F52E46"/>
    <w:rPr>
      <w:rFonts w:ascii="Courier New" w:hAnsi="Courier New" w:cs="Courier New"/>
      <w:kern w:val="24"/>
      <w:sz w:val="20"/>
      <w:szCs w:val="20"/>
    </w:rPr>
  </w:style>
  <w:style w:type="paragraph" w:styleId="NoSpacing">
    <w:name w:val="No Spacing"/>
    <w:uiPriority w:val="1"/>
    <w:semiHidden/>
    <w:qFormat/>
    <w:rsid w:val="005759EF"/>
    <w:pPr>
      <w:spacing w:after="0"/>
    </w:pPr>
  </w:style>
  <w:style w:type="paragraph" w:styleId="NormalIndent">
    <w:name w:val="Normal Indent"/>
    <w:basedOn w:val="Normal"/>
    <w:uiPriority w:val="99"/>
    <w:semiHidden/>
    <w:unhideWhenUsed/>
    <w:rsid w:val="008210BE"/>
    <w:pPr>
      <w:ind w:left="720"/>
    </w:pPr>
  </w:style>
  <w:style w:type="table" w:styleId="TableList1">
    <w:name w:val="Table List 1"/>
    <w:basedOn w:val="TableNormal"/>
    <w:uiPriority w:val="99"/>
    <w:rsid w:val="00163542"/>
    <w:pPr>
      <w:spacing w:after="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B5DFB"/>
    <w:pPr>
      <w:spacing w:after="0"/>
    </w:pPr>
  </w:style>
  <w:style w:type="paragraph" w:styleId="BodyText">
    <w:name w:val="Body Text"/>
    <w:aliases w:val="BT,Body Text (Text of Statute),bt"/>
    <w:basedOn w:val="Normal"/>
    <w:link w:val="BodyTextChar"/>
    <w:semiHidden/>
    <w:rsid w:val="00A61FAA"/>
    <w:rPr>
      <w:rFonts w:eastAsia="Times New Roman"/>
      <w:lang w:bidi="ar-SA"/>
    </w:rPr>
  </w:style>
  <w:style w:type="character" w:customStyle="1" w:styleId="BodyTextChar">
    <w:name w:val="Body Text Char"/>
    <w:aliases w:val="BT Char,Body Text (Text of Statute) Char,bt Char"/>
    <w:basedOn w:val="DefaultParagraphFont"/>
    <w:link w:val="BodyText"/>
    <w:semiHidden/>
    <w:rsid w:val="000E1CF7"/>
    <w:rPr>
      <w:rFonts w:eastAsia="Times New Roman"/>
      <w:lang w:bidi="ar-SA"/>
    </w:rPr>
  </w:style>
  <w:style w:type="character" w:styleId="CommentReference">
    <w:name w:val="annotation reference"/>
    <w:basedOn w:val="DefaultParagraphFont"/>
    <w:uiPriority w:val="99"/>
    <w:semiHidden/>
    <w:rsid w:val="00A61FAA"/>
    <w:rPr>
      <w:sz w:val="16"/>
      <w:szCs w:val="16"/>
    </w:rPr>
  </w:style>
  <w:style w:type="paragraph" w:styleId="CommentText">
    <w:name w:val="annotation text"/>
    <w:basedOn w:val="Normal"/>
    <w:link w:val="CommentTextChar"/>
    <w:uiPriority w:val="99"/>
    <w:rsid w:val="00A61FAA"/>
    <w:pPr>
      <w:spacing w:after="0"/>
    </w:pPr>
    <w:rPr>
      <w:rFonts w:eastAsia="Times New Roman"/>
      <w:sz w:val="20"/>
      <w:szCs w:val="20"/>
      <w:lang w:bidi="ar-SA"/>
    </w:rPr>
  </w:style>
  <w:style w:type="character" w:customStyle="1" w:styleId="CommentTextChar">
    <w:name w:val="Comment Text Char"/>
    <w:basedOn w:val="DefaultParagraphFont"/>
    <w:link w:val="CommentText"/>
    <w:uiPriority w:val="99"/>
    <w:rsid w:val="000E1CF7"/>
    <w:rPr>
      <w:rFonts w:eastAsia="Times New Roman"/>
      <w:sz w:val="20"/>
      <w:szCs w:val="20"/>
      <w:lang w:bidi="ar-SA"/>
    </w:rPr>
  </w:style>
  <w:style w:type="character" w:styleId="FootnoteReference">
    <w:name w:val="footnote reference"/>
    <w:basedOn w:val="DefaultParagraphFont"/>
    <w:semiHidden/>
    <w:rsid w:val="00311088"/>
    <w:rPr>
      <w:vertAlign w:val="superscript"/>
    </w:rPr>
  </w:style>
  <w:style w:type="paragraph" w:styleId="FootnoteText">
    <w:name w:val="footnote text"/>
    <w:basedOn w:val="Normal"/>
    <w:link w:val="FootnoteTextChar"/>
    <w:rsid w:val="005B7A19"/>
    <w:pPr>
      <w:spacing w:before="60" w:after="60"/>
      <w:ind w:firstLine="720"/>
      <w:contextualSpacing/>
    </w:pPr>
    <w:rPr>
      <w:rFonts w:eastAsia="Times New Roman"/>
      <w:kern w:val="0"/>
      <w:sz w:val="20"/>
      <w:szCs w:val="20"/>
      <w:lang w:bidi="ar-SA"/>
    </w:rPr>
  </w:style>
  <w:style w:type="character" w:customStyle="1" w:styleId="FootnoteTextChar">
    <w:name w:val="Footnote Text Char"/>
    <w:basedOn w:val="DefaultParagraphFont"/>
    <w:link w:val="FootnoteText"/>
    <w:uiPriority w:val="99"/>
    <w:rsid w:val="005B7A19"/>
    <w:rPr>
      <w:rFonts w:eastAsia="Times New Roman"/>
      <w:kern w:val="0"/>
      <w:sz w:val="20"/>
      <w:szCs w:val="20"/>
      <w:lang w:bidi="ar-SA"/>
    </w:rPr>
  </w:style>
  <w:style w:type="character" w:styleId="Hyperlink">
    <w:name w:val="Hyperlink"/>
    <w:basedOn w:val="DefaultParagraphFont"/>
    <w:uiPriority w:val="99"/>
    <w:rsid w:val="00A61FAA"/>
    <w:rPr>
      <w:color w:val="0000FF"/>
      <w:u w:val="single"/>
    </w:rPr>
  </w:style>
  <w:style w:type="paragraph" w:styleId="BalloonText">
    <w:name w:val="Balloon Text"/>
    <w:basedOn w:val="Normal"/>
    <w:link w:val="BalloonTextChar"/>
    <w:uiPriority w:val="99"/>
    <w:semiHidden/>
    <w:rsid w:val="00A61F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CF7"/>
    <w:rPr>
      <w:rFonts w:ascii="Tahoma" w:hAnsi="Tahoma" w:cs="Tahoma"/>
      <w:sz w:val="16"/>
      <w:szCs w:val="16"/>
    </w:rPr>
  </w:style>
  <w:style w:type="paragraph" w:customStyle="1" w:styleId="BChapterName">
    <w:name w:val="BChapter_Name"/>
    <w:basedOn w:val="Normal"/>
    <w:link w:val="BChapterNameChar"/>
    <w:qFormat/>
    <w:rsid w:val="00FA11DA"/>
    <w:pPr>
      <w:jc w:val="center"/>
      <w:outlineLvl w:val="0"/>
    </w:pPr>
    <w:rPr>
      <w:b/>
      <w:sz w:val="28"/>
      <w:szCs w:val="28"/>
    </w:rPr>
  </w:style>
  <w:style w:type="character" w:customStyle="1" w:styleId="BChapterNameChar">
    <w:name w:val="BChapter_Name Char"/>
    <w:basedOn w:val="DefaultParagraphFont"/>
    <w:link w:val="BChapterName"/>
    <w:rsid w:val="00FA11DA"/>
    <w:rPr>
      <w:b/>
      <w:sz w:val="28"/>
      <w:szCs w:val="28"/>
    </w:rPr>
  </w:style>
  <w:style w:type="paragraph" w:customStyle="1" w:styleId="BHead1">
    <w:name w:val="BHead1"/>
    <w:next w:val="BNormal"/>
    <w:link w:val="BHead1Char"/>
    <w:qFormat/>
    <w:rsid w:val="00EB638D"/>
    <w:pPr>
      <w:outlineLvl w:val="0"/>
    </w:pPr>
    <w:rPr>
      <w:rFonts w:eastAsiaTheme="majorEastAsia" w:cstheme="majorBidi"/>
      <w:b/>
      <w:bCs/>
      <w:kern w:val="0"/>
      <w:sz w:val="28"/>
      <w:szCs w:val="28"/>
      <w:lang w:eastAsia="ja-JP" w:bidi="ar-SA"/>
    </w:rPr>
  </w:style>
  <w:style w:type="character" w:customStyle="1" w:styleId="BHead1Char">
    <w:name w:val="BHead1 Char"/>
    <w:basedOn w:val="Heading1Char"/>
    <w:link w:val="BHead1"/>
    <w:rsid w:val="00EB638D"/>
    <w:rPr>
      <w:rFonts w:eastAsiaTheme="majorEastAsia" w:cstheme="majorBidi"/>
      <w:b/>
      <w:bCs/>
      <w:kern w:val="0"/>
      <w:sz w:val="28"/>
      <w:szCs w:val="28"/>
      <w:lang w:eastAsia="ja-JP" w:bidi="ar-SA"/>
    </w:rPr>
  </w:style>
  <w:style w:type="paragraph" w:customStyle="1" w:styleId="BNormal">
    <w:name w:val="BNormal"/>
    <w:link w:val="BNormalChar"/>
    <w:qFormat/>
    <w:rsid w:val="0090141E"/>
    <w:pPr>
      <w:spacing w:before="120" w:after="0"/>
    </w:pPr>
    <w:rPr>
      <w:rFonts w:eastAsia="Times New Roman"/>
      <w:kern w:val="0"/>
      <w:lang w:bidi="ar-SA"/>
    </w:rPr>
  </w:style>
  <w:style w:type="character" w:customStyle="1" w:styleId="BNormalChar">
    <w:name w:val="BNormal Char"/>
    <w:basedOn w:val="DefaultParagraphFont"/>
    <w:link w:val="BNormal"/>
    <w:rsid w:val="0090141E"/>
    <w:rPr>
      <w:rFonts w:eastAsia="Times New Roman"/>
      <w:kern w:val="0"/>
      <w:lang w:bidi="ar-SA"/>
    </w:rPr>
  </w:style>
  <w:style w:type="paragraph" w:customStyle="1" w:styleId="BQuotelong">
    <w:name w:val="BQuote_long"/>
    <w:basedOn w:val="BNormal"/>
    <w:link w:val="BQuotelongChar"/>
    <w:qFormat/>
    <w:rsid w:val="00A06BF9"/>
    <w:pPr>
      <w:ind w:left="1080" w:right="720"/>
    </w:pPr>
  </w:style>
  <w:style w:type="character" w:customStyle="1" w:styleId="BQuotelongChar">
    <w:name w:val="BQuote_long Char"/>
    <w:basedOn w:val="BNormalChar"/>
    <w:link w:val="BQuotelong"/>
    <w:rsid w:val="00A06BF9"/>
    <w:rPr>
      <w:rFonts w:eastAsia="Times New Roman"/>
      <w:kern w:val="0"/>
      <w:lang w:bidi="ar-SA"/>
    </w:rPr>
  </w:style>
  <w:style w:type="paragraph" w:customStyle="1" w:styleId="BHead2">
    <w:name w:val="BHead2"/>
    <w:next w:val="BNormal"/>
    <w:link w:val="BHead2Char"/>
    <w:qFormat/>
    <w:rsid w:val="00EB638D"/>
    <w:pPr>
      <w:outlineLvl w:val="1"/>
    </w:pPr>
    <w:rPr>
      <w:rFonts w:eastAsiaTheme="majorEastAsia" w:cstheme="majorBidi"/>
      <w:b/>
      <w:bCs/>
      <w:i/>
      <w:color w:val="000000" w:themeColor="text1"/>
      <w:kern w:val="0"/>
      <w:szCs w:val="26"/>
      <w:lang w:bidi="ar-SA"/>
    </w:rPr>
  </w:style>
  <w:style w:type="character" w:customStyle="1" w:styleId="BHead2Char">
    <w:name w:val="BHead2 Char"/>
    <w:basedOn w:val="BNormalChar"/>
    <w:link w:val="BHead2"/>
    <w:rsid w:val="00EB638D"/>
    <w:rPr>
      <w:rFonts w:eastAsiaTheme="majorEastAsia" w:cstheme="majorBidi"/>
      <w:b/>
      <w:bCs/>
      <w:i/>
      <w:color w:val="000000" w:themeColor="text1"/>
      <w:kern w:val="0"/>
      <w:szCs w:val="26"/>
      <w:lang w:bidi="ar-SA"/>
    </w:rPr>
  </w:style>
  <w:style w:type="paragraph" w:customStyle="1" w:styleId="BListitembul">
    <w:name w:val="BList_item_bul"/>
    <w:basedOn w:val="Normal"/>
    <w:link w:val="BListitembulChar"/>
    <w:qFormat/>
    <w:rsid w:val="008717E4"/>
    <w:pPr>
      <w:numPr>
        <w:numId w:val="25"/>
      </w:numPr>
      <w:spacing w:before="0" w:after="0"/>
      <w:ind w:left="1080"/>
      <w:contextualSpacing/>
    </w:pPr>
    <w:rPr>
      <w:rFonts w:eastAsia="Times New Roman"/>
      <w:kern w:val="0"/>
      <w:lang w:bidi="ar-SA"/>
    </w:rPr>
  </w:style>
  <w:style w:type="character" w:customStyle="1" w:styleId="BListitembulChar">
    <w:name w:val="BList_item_bul Char"/>
    <w:basedOn w:val="DefaultParagraphFont"/>
    <w:link w:val="BListitembul"/>
    <w:rsid w:val="008717E4"/>
    <w:rPr>
      <w:rFonts w:eastAsia="Times New Roman"/>
      <w:kern w:val="0"/>
      <w:lang w:bidi="ar-SA"/>
    </w:rPr>
  </w:style>
  <w:style w:type="paragraph" w:customStyle="1" w:styleId="BHead3">
    <w:name w:val="BHead3"/>
    <w:next w:val="BNormal"/>
    <w:link w:val="BHead3Char"/>
    <w:qFormat/>
    <w:rsid w:val="00EB638D"/>
    <w:pPr>
      <w:ind w:left="720"/>
      <w:outlineLvl w:val="2"/>
    </w:pPr>
    <w:rPr>
      <w:rFonts w:eastAsiaTheme="majorEastAsia" w:cstheme="majorBidi"/>
      <w:bCs/>
      <w:i/>
      <w:kern w:val="0"/>
      <w:lang w:eastAsia="zh-CN" w:bidi="ar-SA"/>
    </w:rPr>
  </w:style>
  <w:style w:type="character" w:customStyle="1" w:styleId="BHead3Char">
    <w:name w:val="BHead3 Char"/>
    <w:basedOn w:val="DefaultParagraphFont"/>
    <w:link w:val="BHead3"/>
    <w:rsid w:val="00EB638D"/>
    <w:rPr>
      <w:rFonts w:eastAsiaTheme="majorEastAsia" w:cstheme="majorBidi"/>
      <w:bCs/>
      <w:i/>
      <w:kern w:val="0"/>
      <w:lang w:eastAsia="zh-CN" w:bidi="ar-SA"/>
    </w:rPr>
  </w:style>
  <w:style w:type="character" w:customStyle="1" w:styleId="PListitemChar">
    <w:name w:val="PList_item Char"/>
    <w:basedOn w:val="DefaultParagraphFont"/>
    <w:semiHidden/>
    <w:rsid w:val="00134E05"/>
  </w:style>
  <w:style w:type="paragraph" w:customStyle="1" w:styleId="BCommentpara">
    <w:name w:val="BComment_para"/>
    <w:basedOn w:val="Normal"/>
    <w:next w:val="BNormal"/>
    <w:link w:val="BCommentparaChar"/>
    <w:qFormat/>
    <w:rsid w:val="002F68F8"/>
    <w:pPr>
      <w:spacing w:before="100" w:beforeAutospacing="1"/>
      <w:ind w:left="720"/>
    </w:pPr>
  </w:style>
  <w:style w:type="character" w:customStyle="1" w:styleId="BCommentparaChar">
    <w:name w:val="BComment_para Char"/>
    <w:basedOn w:val="DefaultParagraphFont"/>
    <w:link w:val="BCommentpara"/>
    <w:rsid w:val="007E29E2"/>
  </w:style>
  <w:style w:type="character" w:customStyle="1" w:styleId="BCommenthead">
    <w:name w:val="BComment_head"/>
    <w:basedOn w:val="DefaultParagraphFont"/>
    <w:uiPriority w:val="1"/>
    <w:qFormat/>
    <w:rsid w:val="004A493A"/>
    <w:rPr>
      <w:b/>
    </w:rPr>
  </w:style>
  <w:style w:type="paragraph" w:customStyle="1" w:styleId="BExamplepara">
    <w:name w:val="BExample_para"/>
    <w:basedOn w:val="Normal"/>
    <w:next w:val="BNormal"/>
    <w:link w:val="BExampleparaChar"/>
    <w:qFormat/>
    <w:rsid w:val="00D56F5B"/>
    <w:pPr>
      <w:ind w:left="720"/>
      <w:jc w:val="both"/>
    </w:pPr>
  </w:style>
  <w:style w:type="character" w:customStyle="1" w:styleId="BExampleparaChar">
    <w:name w:val="BExample_para Char"/>
    <w:basedOn w:val="DefaultParagraphFont"/>
    <w:link w:val="BExamplepara"/>
    <w:rsid w:val="007E29E2"/>
  </w:style>
  <w:style w:type="character" w:customStyle="1" w:styleId="BExamplehead">
    <w:name w:val="BExample_head"/>
    <w:basedOn w:val="BExampleparaChar"/>
    <w:uiPriority w:val="1"/>
    <w:qFormat/>
    <w:rsid w:val="00E35D3F"/>
    <w:rPr>
      <w:rFonts w:eastAsia="Times New Roman"/>
      <w:b/>
      <w:kern w:val="0"/>
      <w:lang w:bidi="ar-SA"/>
    </w:rPr>
  </w:style>
  <w:style w:type="paragraph" w:customStyle="1" w:styleId="BListitemnum">
    <w:name w:val="BList_item_num"/>
    <w:basedOn w:val="BListitembul"/>
    <w:link w:val="BListitemnumChar"/>
    <w:qFormat/>
    <w:rsid w:val="00937CBF"/>
    <w:pPr>
      <w:numPr>
        <w:numId w:val="1"/>
      </w:numPr>
      <w:ind w:left="1080"/>
    </w:pPr>
  </w:style>
  <w:style w:type="character" w:customStyle="1" w:styleId="BListitemnumChar">
    <w:name w:val="BList_item_num Char"/>
    <w:basedOn w:val="BListitembulChar"/>
    <w:link w:val="BListitemnum"/>
    <w:rsid w:val="00937CBF"/>
    <w:rPr>
      <w:rFonts w:eastAsia="Times New Roman"/>
      <w:kern w:val="0"/>
      <w:lang w:bidi="ar-SA"/>
    </w:rPr>
  </w:style>
  <w:style w:type="character" w:customStyle="1" w:styleId="BCasenameshort">
    <w:name w:val="BCasename_short"/>
    <w:basedOn w:val="BCasenamefull"/>
    <w:uiPriority w:val="1"/>
    <w:qFormat/>
    <w:rsid w:val="00630797"/>
    <w:rPr>
      <w:rFonts w:eastAsia="Times New Roman"/>
      <w:i/>
      <w:color w:val="00B050"/>
      <w:kern w:val="0"/>
      <w:lang w:bidi="ar-SA"/>
    </w:rPr>
  </w:style>
  <w:style w:type="character" w:customStyle="1" w:styleId="BCasenamefull">
    <w:name w:val="BCasename_full"/>
    <w:uiPriority w:val="1"/>
    <w:qFormat/>
    <w:rsid w:val="003930D7"/>
    <w:rPr>
      <w:rFonts w:eastAsia="Times New Roman"/>
      <w:i/>
      <w:color w:val="00B050"/>
      <w:kern w:val="0"/>
      <w:lang w:bidi="ar-SA"/>
    </w:rPr>
  </w:style>
  <w:style w:type="paragraph" w:customStyle="1" w:styleId="BHead4">
    <w:name w:val="BHead4"/>
    <w:next w:val="BNormal"/>
    <w:link w:val="BHead4Char"/>
    <w:qFormat/>
    <w:rsid w:val="00EB638D"/>
    <w:pPr>
      <w:ind w:left="720"/>
      <w:outlineLvl w:val="3"/>
    </w:pPr>
    <w:rPr>
      <w:rFonts w:eastAsiaTheme="majorEastAsia" w:cstheme="majorBidi"/>
      <w:bCs/>
      <w:i/>
      <w:iCs/>
      <w:kern w:val="0"/>
      <w:lang w:bidi="ar-SA"/>
    </w:rPr>
  </w:style>
  <w:style w:type="character" w:customStyle="1" w:styleId="BHead4Char">
    <w:name w:val="BHead4 Char"/>
    <w:basedOn w:val="BNormalChar"/>
    <w:link w:val="BHead4"/>
    <w:rsid w:val="00EB638D"/>
    <w:rPr>
      <w:rFonts w:eastAsiaTheme="majorEastAsia" w:cstheme="majorBidi"/>
      <w:bCs/>
      <w:i/>
      <w:iCs/>
      <w:kern w:val="0"/>
      <w:lang w:bidi="ar-SA"/>
    </w:rPr>
  </w:style>
  <w:style w:type="paragraph" w:customStyle="1" w:styleId="BHead5">
    <w:name w:val="BHead5"/>
    <w:next w:val="BNormal"/>
    <w:link w:val="BHead5Char"/>
    <w:qFormat/>
    <w:rsid w:val="00F57AC4"/>
    <w:pPr>
      <w:ind w:left="720"/>
      <w:outlineLvl w:val="4"/>
    </w:pPr>
    <w:rPr>
      <w:rFonts w:eastAsia="Times New Roman"/>
      <w:kern w:val="0"/>
      <w:lang w:bidi="ar-SA"/>
    </w:rPr>
  </w:style>
  <w:style w:type="character" w:customStyle="1" w:styleId="BHead5Char">
    <w:name w:val="BHead5 Char"/>
    <w:basedOn w:val="BNormalChar"/>
    <w:link w:val="BHead5"/>
    <w:rsid w:val="00F57AC4"/>
    <w:rPr>
      <w:rFonts w:eastAsia="Times New Roman"/>
      <w:kern w:val="0"/>
      <w:lang w:bidi="ar-SA"/>
    </w:rPr>
  </w:style>
  <w:style w:type="character" w:customStyle="1" w:styleId="BOnlyinprint">
    <w:name w:val="BOnly_in_print"/>
    <w:basedOn w:val="BNormalChar"/>
    <w:uiPriority w:val="1"/>
    <w:qFormat/>
    <w:rsid w:val="00F30EA3"/>
    <w:rPr>
      <w:rFonts w:eastAsia="Times New Roman"/>
      <w:color w:val="0070C0"/>
      <w:kern w:val="0"/>
      <w:lang w:bidi="ar-SA"/>
    </w:rPr>
  </w:style>
  <w:style w:type="character" w:customStyle="1" w:styleId="BURL">
    <w:name w:val="BURL"/>
    <w:basedOn w:val="DefaultParagraphFont"/>
    <w:uiPriority w:val="1"/>
    <w:qFormat/>
    <w:rsid w:val="003126D4"/>
    <w:rPr>
      <w:color w:val="000000" w:themeColor="text1"/>
      <w:u w:val="wave" w:color="365F91" w:themeColor="accent1" w:themeShade="BF"/>
    </w:rPr>
  </w:style>
  <w:style w:type="paragraph" w:customStyle="1" w:styleId="BObservpara">
    <w:name w:val="BObserv_para"/>
    <w:basedOn w:val="BExamplepara"/>
    <w:link w:val="BObservparaChar"/>
    <w:rsid w:val="005555D7"/>
  </w:style>
  <w:style w:type="character" w:customStyle="1" w:styleId="BObservparaChar">
    <w:name w:val="BObserv_para Char"/>
    <w:basedOn w:val="BExampleparaChar"/>
    <w:link w:val="BObservpara"/>
    <w:rsid w:val="002B59C0"/>
    <w:rPr>
      <w:rFonts w:eastAsia="Times New Roman"/>
      <w:kern w:val="0"/>
      <w:lang w:bidi="ar-SA"/>
    </w:rPr>
  </w:style>
  <w:style w:type="paragraph" w:customStyle="1" w:styleId="BCaseExpara">
    <w:name w:val="BCase_Ex_para"/>
    <w:basedOn w:val="BQuotelong"/>
    <w:qFormat/>
    <w:rsid w:val="00823709"/>
  </w:style>
  <w:style w:type="character" w:customStyle="1" w:styleId="BCaseExhead">
    <w:name w:val="BCase_Ex_head"/>
    <w:basedOn w:val="DefaultParagraphFont"/>
    <w:uiPriority w:val="1"/>
    <w:qFormat/>
    <w:rsid w:val="00BA4FE1"/>
    <w:rPr>
      <w:b/>
      <w:bCs/>
    </w:rPr>
  </w:style>
  <w:style w:type="paragraph" w:customStyle="1" w:styleId="BPracTippara">
    <w:name w:val="BPrac_Tip_para"/>
    <w:basedOn w:val="BCaseExpara"/>
    <w:rsid w:val="00BA4FE1"/>
  </w:style>
  <w:style w:type="character" w:customStyle="1" w:styleId="BPracTiphead">
    <w:name w:val="BPrac_Tip_head"/>
    <w:basedOn w:val="DefaultParagraphFont"/>
    <w:uiPriority w:val="1"/>
    <w:rsid w:val="00BA4FE1"/>
    <w:rPr>
      <w:b/>
    </w:rPr>
  </w:style>
  <w:style w:type="character" w:styleId="PlaceholderText">
    <w:name w:val="Placeholder Text"/>
    <w:basedOn w:val="DefaultParagraphFont"/>
    <w:uiPriority w:val="99"/>
    <w:semiHidden/>
    <w:rsid w:val="00E80F36"/>
    <w:rPr>
      <w:color w:val="808080"/>
    </w:rPr>
  </w:style>
  <w:style w:type="paragraph" w:customStyle="1" w:styleId="BHiddenText">
    <w:name w:val="BHiddenText"/>
    <w:basedOn w:val="Normal"/>
    <w:link w:val="BHiddenTextChar"/>
    <w:unhideWhenUsed/>
    <w:qFormat/>
    <w:rsid w:val="0060307E"/>
    <w:pPr>
      <w:tabs>
        <w:tab w:val="left" w:pos="0"/>
      </w:tabs>
      <w:autoSpaceDE w:val="0"/>
      <w:autoSpaceDN w:val="0"/>
      <w:adjustRightInd w:val="0"/>
    </w:pPr>
    <w:rPr>
      <w:rFonts w:ascii="Courier New" w:hAnsi="Courier New" w:cs="Courier New"/>
      <w:vanish/>
      <w:sz w:val="22"/>
      <w:szCs w:val="22"/>
    </w:rPr>
  </w:style>
  <w:style w:type="character" w:customStyle="1" w:styleId="BHiddenTextChar">
    <w:name w:val="BHiddenText Char"/>
    <w:basedOn w:val="DefaultParagraphFont"/>
    <w:link w:val="BHiddenText"/>
    <w:rsid w:val="000F250C"/>
    <w:rPr>
      <w:rFonts w:ascii="Courier New" w:hAnsi="Courier New" w:cs="Courier New"/>
      <w:vanish/>
      <w:sz w:val="22"/>
      <w:szCs w:val="22"/>
    </w:rPr>
  </w:style>
  <w:style w:type="paragraph" w:styleId="DocumentMap">
    <w:name w:val="Document Map"/>
    <w:basedOn w:val="Normal"/>
    <w:link w:val="DocumentMapChar"/>
    <w:uiPriority w:val="99"/>
    <w:semiHidden/>
    <w:unhideWhenUsed/>
    <w:rsid w:val="00E7674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7674B"/>
    <w:rPr>
      <w:rFonts w:ascii="Tahoma" w:hAnsi="Tahoma" w:cs="Tahoma"/>
      <w:sz w:val="16"/>
      <w:szCs w:val="16"/>
    </w:rPr>
  </w:style>
  <w:style w:type="character" w:customStyle="1" w:styleId="BNotehead">
    <w:name w:val="BNote_head"/>
    <w:basedOn w:val="DefaultParagraphFont"/>
    <w:uiPriority w:val="1"/>
    <w:qFormat/>
    <w:rsid w:val="003663BF"/>
  </w:style>
  <w:style w:type="table" w:customStyle="1" w:styleId="LightList-Accent11">
    <w:name w:val="Light List - Accent 11"/>
    <w:basedOn w:val="TableNormal"/>
    <w:uiPriority w:val="61"/>
    <w:rsid w:val="00D64BB5"/>
    <w:pPr>
      <w:spacing w:after="0"/>
    </w:pPr>
    <w:rPr>
      <w:rFonts w:asciiTheme="minorHAnsi" w:hAnsiTheme="minorHAnsi" w:cstheme="minorBidi"/>
      <w:kern w:val="0"/>
      <w:sz w:val="22"/>
      <w:szCs w:val="22"/>
      <w:lang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List-Accent5">
    <w:name w:val="Colorful List Accent 5"/>
    <w:basedOn w:val="TableNormal"/>
    <w:uiPriority w:val="72"/>
    <w:rsid w:val="00D64BB5"/>
    <w:pPr>
      <w:spacing w:after="0"/>
    </w:pPr>
    <w:rPr>
      <w:rFonts w:asciiTheme="minorHAnsi" w:hAnsiTheme="minorHAnsi" w:cstheme="minorBidi"/>
      <w:color w:val="000000" w:themeColor="text1"/>
      <w:kern w:val="0"/>
      <w:sz w:val="22"/>
      <w:szCs w:val="22"/>
      <w:lang w:bidi="ar-SA"/>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BNotepara">
    <w:name w:val="BNote_para"/>
    <w:basedOn w:val="BObservpara"/>
    <w:link w:val="BNoteparaChar"/>
    <w:qFormat/>
    <w:rsid w:val="002B59C0"/>
    <w:pPr>
      <w:spacing w:before="0"/>
    </w:pPr>
  </w:style>
  <w:style w:type="character" w:customStyle="1" w:styleId="BNoteparaChar">
    <w:name w:val="BNote_para Char"/>
    <w:basedOn w:val="BObservparaChar"/>
    <w:link w:val="BNotepara"/>
    <w:rsid w:val="002B59C0"/>
    <w:rPr>
      <w:rFonts w:eastAsia="Times New Roman"/>
      <w:kern w:val="0"/>
      <w:lang w:bidi="ar-SA"/>
    </w:rPr>
  </w:style>
  <w:style w:type="character" w:customStyle="1" w:styleId="BObservhead">
    <w:name w:val="BObserv_head"/>
    <w:basedOn w:val="DefaultParagraphFont"/>
    <w:uiPriority w:val="1"/>
    <w:qFormat/>
    <w:rsid w:val="002B59C0"/>
    <w:rPr>
      <w:b/>
    </w:rPr>
  </w:style>
  <w:style w:type="paragraph" w:customStyle="1" w:styleId="BUnitStart">
    <w:name w:val="BUnitStart"/>
    <w:basedOn w:val="BNormal"/>
    <w:link w:val="BUnitStartChar"/>
    <w:unhideWhenUsed/>
    <w:qFormat/>
    <w:rsid w:val="002B59C0"/>
    <w:rPr>
      <w:rFonts w:ascii="Courier New" w:hAnsi="Courier New"/>
      <w:vanish/>
      <w:sz w:val="20"/>
    </w:rPr>
  </w:style>
  <w:style w:type="character" w:customStyle="1" w:styleId="BUnitStartChar">
    <w:name w:val="BUnitStart Char"/>
    <w:basedOn w:val="BNormalChar"/>
    <w:link w:val="BUnitStart"/>
    <w:rsid w:val="00CA1C2C"/>
    <w:rPr>
      <w:rFonts w:ascii="Courier New" w:eastAsia="Times New Roman" w:hAnsi="Courier New"/>
      <w:vanish/>
      <w:kern w:val="0"/>
      <w:sz w:val="20"/>
      <w:lang w:bidi="ar-SA"/>
    </w:rPr>
  </w:style>
  <w:style w:type="paragraph" w:customStyle="1" w:styleId="BHeadtable">
    <w:name w:val="BHead_table"/>
    <w:basedOn w:val="Normal"/>
    <w:link w:val="BHeadtableChar"/>
    <w:qFormat/>
    <w:rsid w:val="00994780"/>
    <w:pPr>
      <w:jc w:val="center"/>
    </w:pPr>
    <w:rPr>
      <w:b/>
    </w:rPr>
  </w:style>
  <w:style w:type="character" w:customStyle="1" w:styleId="BHeadtableChar">
    <w:name w:val="BHead_table Char"/>
    <w:basedOn w:val="DefaultParagraphFont"/>
    <w:link w:val="BHeadtable"/>
    <w:rsid w:val="007E29E2"/>
    <w:rPr>
      <w:b/>
    </w:rPr>
  </w:style>
  <w:style w:type="paragraph" w:customStyle="1" w:styleId="BNormaltable">
    <w:name w:val="BNormal_table"/>
    <w:basedOn w:val="BNormal"/>
    <w:link w:val="BNormaltableChar"/>
    <w:qFormat/>
    <w:rsid w:val="00B35906"/>
    <w:pPr>
      <w:spacing w:before="0"/>
    </w:pPr>
    <w:rPr>
      <w:sz w:val="20"/>
      <w:szCs w:val="20"/>
    </w:rPr>
  </w:style>
  <w:style w:type="character" w:customStyle="1" w:styleId="BNormaltableChar">
    <w:name w:val="BNormal_table Char"/>
    <w:basedOn w:val="BNormalChar"/>
    <w:link w:val="BNormaltable"/>
    <w:rsid w:val="00B35906"/>
    <w:rPr>
      <w:rFonts w:eastAsia="Times New Roman"/>
      <w:kern w:val="0"/>
      <w:sz w:val="20"/>
      <w:szCs w:val="20"/>
      <w:lang w:bidi="ar-SA"/>
    </w:rPr>
  </w:style>
  <w:style w:type="paragraph" w:customStyle="1" w:styleId="BNormaltablebold">
    <w:name w:val="BNormal_table_bold"/>
    <w:basedOn w:val="BNormaltable"/>
    <w:link w:val="BNormaltableboldChar"/>
    <w:qFormat/>
    <w:rsid w:val="00B35906"/>
    <w:rPr>
      <w:b/>
    </w:rPr>
  </w:style>
  <w:style w:type="character" w:customStyle="1" w:styleId="BNormaltableboldChar">
    <w:name w:val="BNormal_table_bold Char"/>
    <w:basedOn w:val="BNormaltableChar"/>
    <w:link w:val="BNormaltablebold"/>
    <w:rsid w:val="00B35906"/>
    <w:rPr>
      <w:rFonts w:eastAsia="Times New Roman"/>
      <w:b/>
      <w:kern w:val="0"/>
      <w:sz w:val="20"/>
      <w:szCs w:val="20"/>
      <w:lang w:bidi="ar-SA"/>
    </w:rPr>
  </w:style>
  <w:style w:type="character" w:customStyle="1" w:styleId="FootnoteNumber">
    <w:name w:val="Footnote Number"/>
    <w:semiHidden/>
    <w:rsid w:val="00BA3A17"/>
    <w:rPr>
      <w:b/>
      <w:color w:val="800080"/>
      <w:position w:val="6"/>
      <w:sz w:val="20"/>
    </w:rPr>
  </w:style>
  <w:style w:type="paragraph" w:styleId="Header">
    <w:name w:val="header"/>
    <w:basedOn w:val="Normal"/>
    <w:link w:val="HeaderChar"/>
    <w:uiPriority w:val="99"/>
    <w:semiHidden/>
    <w:qFormat/>
    <w:rsid w:val="00BA3A17"/>
    <w:pPr>
      <w:tabs>
        <w:tab w:val="center" w:pos="4680"/>
        <w:tab w:val="right" w:pos="9360"/>
      </w:tabs>
      <w:spacing w:before="0" w:after="0"/>
    </w:pPr>
    <w:rPr>
      <w:rFonts w:cstheme="minorBidi"/>
      <w:kern w:val="0"/>
      <w:lang w:bidi="ar-SA"/>
    </w:rPr>
  </w:style>
  <w:style w:type="character" w:customStyle="1" w:styleId="HeaderChar">
    <w:name w:val="Header Char"/>
    <w:basedOn w:val="DefaultParagraphFont"/>
    <w:link w:val="Header"/>
    <w:uiPriority w:val="99"/>
    <w:semiHidden/>
    <w:rsid w:val="00881721"/>
    <w:rPr>
      <w:rFonts w:cstheme="minorBidi"/>
      <w:kern w:val="0"/>
      <w:lang w:bidi="ar-SA"/>
    </w:rPr>
  </w:style>
  <w:style w:type="paragraph" w:styleId="Footer">
    <w:name w:val="footer"/>
    <w:basedOn w:val="Normal"/>
    <w:link w:val="FooterChar"/>
    <w:uiPriority w:val="99"/>
    <w:semiHidden/>
    <w:rsid w:val="00BA3A17"/>
    <w:pPr>
      <w:tabs>
        <w:tab w:val="center" w:pos="4680"/>
        <w:tab w:val="right" w:pos="9360"/>
      </w:tabs>
      <w:spacing w:before="0" w:after="0"/>
    </w:pPr>
    <w:rPr>
      <w:rFonts w:cstheme="minorBidi"/>
      <w:kern w:val="0"/>
      <w:lang w:bidi="ar-SA"/>
    </w:rPr>
  </w:style>
  <w:style w:type="character" w:customStyle="1" w:styleId="FooterChar">
    <w:name w:val="Footer Char"/>
    <w:basedOn w:val="DefaultParagraphFont"/>
    <w:link w:val="Footer"/>
    <w:uiPriority w:val="99"/>
    <w:semiHidden/>
    <w:rsid w:val="00881721"/>
    <w:rPr>
      <w:rFonts w:cstheme="minorBidi"/>
      <w:kern w:val="0"/>
      <w:lang w:bidi="ar-SA"/>
    </w:rPr>
  </w:style>
  <w:style w:type="paragraph" w:styleId="TOC1">
    <w:name w:val="toc 1"/>
    <w:basedOn w:val="Normal"/>
    <w:next w:val="Normal"/>
    <w:autoRedefine/>
    <w:uiPriority w:val="39"/>
    <w:semiHidden/>
    <w:rsid w:val="00BA3A17"/>
    <w:pPr>
      <w:spacing w:before="0" w:after="0"/>
      <w:ind w:right="720"/>
    </w:pPr>
    <w:rPr>
      <w:kern w:val="0"/>
      <w:lang w:bidi="ar-SA"/>
    </w:rPr>
  </w:style>
  <w:style w:type="paragraph" w:styleId="EnvelopeAddress">
    <w:name w:val="envelope address"/>
    <w:basedOn w:val="Normal"/>
    <w:uiPriority w:val="99"/>
    <w:semiHidden/>
    <w:unhideWhenUsed/>
    <w:rsid w:val="00BA3A17"/>
    <w:pPr>
      <w:framePr w:w="7920" w:h="1980" w:hRule="exact" w:hSpace="180" w:wrap="auto" w:hAnchor="page" w:xAlign="center" w:yAlign="bottom"/>
      <w:spacing w:before="0" w:after="0"/>
      <w:ind w:left="2880"/>
    </w:pPr>
    <w:rPr>
      <w:rFonts w:eastAsiaTheme="majorEastAsia" w:cstheme="majorBidi"/>
      <w:kern w:val="0"/>
      <w:lang w:bidi="ar-SA"/>
    </w:rPr>
  </w:style>
  <w:style w:type="paragraph" w:styleId="Index1">
    <w:name w:val="index 1"/>
    <w:basedOn w:val="Normal"/>
    <w:next w:val="Normal"/>
    <w:autoRedefine/>
    <w:uiPriority w:val="99"/>
    <w:semiHidden/>
    <w:unhideWhenUsed/>
    <w:rsid w:val="00BA3A17"/>
    <w:pPr>
      <w:spacing w:before="0" w:after="0"/>
      <w:ind w:left="240" w:hanging="240"/>
    </w:pPr>
    <w:rPr>
      <w:rFonts w:cstheme="minorBidi"/>
      <w:kern w:val="0"/>
      <w:lang w:bidi="ar-SA"/>
    </w:rPr>
  </w:style>
  <w:style w:type="character" w:customStyle="1" w:styleId="MessageHeaderChar">
    <w:name w:val="Message Header Char"/>
    <w:basedOn w:val="DefaultParagraphFont"/>
    <w:link w:val="MessageHeader"/>
    <w:uiPriority w:val="99"/>
    <w:semiHidden/>
    <w:rsid w:val="00BA3A17"/>
    <w:rPr>
      <w:rFonts w:eastAsiaTheme="majorEastAsia" w:cstheme="majorBidi"/>
      <w:kern w:val="0"/>
      <w:shd w:val="pct20" w:color="auto" w:fill="auto"/>
      <w:lang w:bidi="ar-SA"/>
    </w:rPr>
  </w:style>
  <w:style w:type="paragraph" w:styleId="MessageHeader">
    <w:name w:val="Message Header"/>
    <w:basedOn w:val="Normal"/>
    <w:link w:val="MessageHeaderChar"/>
    <w:uiPriority w:val="99"/>
    <w:semiHidden/>
    <w:unhideWhenUsed/>
    <w:rsid w:val="00BA3A1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kern w:val="0"/>
      <w:lang w:bidi="ar-SA"/>
    </w:rPr>
  </w:style>
  <w:style w:type="paragraph" w:customStyle="1" w:styleId="TOCPage">
    <w:name w:val="TOC Page"/>
    <w:basedOn w:val="Normal"/>
    <w:next w:val="TOC1"/>
    <w:link w:val="TOCPageChar"/>
    <w:semiHidden/>
    <w:rsid w:val="00BA3A17"/>
    <w:pPr>
      <w:spacing w:after="0"/>
      <w:jc w:val="right"/>
    </w:pPr>
    <w:rPr>
      <w:rFonts w:cstheme="minorBidi"/>
      <w:kern w:val="0"/>
      <w:sz w:val="20"/>
      <w:u w:val="single"/>
      <w:lang w:bidi="ar-SA"/>
    </w:rPr>
  </w:style>
  <w:style w:type="character" w:customStyle="1" w:styleId="TOCPageChar">
    <w:name w:val="TOC Page Char"/>
    <w:basedOn w:val="DefaultParagraphFont"/>
    <w:link w:val="TOCPage"/>
    <w:semiHidden/>
    <w:rsid w:val="00134E05"/>
    <w:rPr>
      <w:sz w:val="20"/>
      <w:u w:val="single"/>
    </w:rPr>
  </w:style>
  <w:style w:type="character" w:customStyle="1" w:styleId="EndnoteTextChar">
    <w:name w:val="Endnote Text Char"/>
    <w:basedOn w:val="DefaultParagraphFont"/>
    <w:link w:val="EndnoteText"/>
    <w:uiPriority w:val="99"/>
    <w:semiHidden/>
    <w:rsid w:val="000E1CF7"/>
    <w:rPr>
      <w:rFonts w:cstheme="minorBidi"/>
      <w:kern w:val="0"/>
      <w:sz w:val="20"/>
      <w:szCs w:val="20"/>
      <w:lang w:bidi="ar-SA"/>
    </w:rPr>
  </w:style>
  <w:style w:type="paragraph" w:styleId="EndnoteText">
    <w:name w:val="endnote text"/>
    <w:basedOn w:val="Normal"/>
    <w:link w:val="EndnoteTextChar"/>
    <w:uiPriority w:val="99"/>
    <w:semiHidden/>
    <w:rsid w:val="00BA3A17"/>
    <w:pPr>
      <w:spacing w:before="0" w:after="0"/>
    </w:pPr>
    <w:rPr>
      <w:rFonts w:cstheme="minorBidi"/>
      <w:kern w:val="0"/>
      <w:sz w:val="20"/>
      <w:szCs w:val="20"/>
      <w:lang w:bidi="ar-SA"/>
    </w:rPr>
  </w:style>
  <w:style w:type="paragraph" w:styleId="List">
    <w:name w:val="List"/>
    <w:basedOn w:val="Normal"/>
    <w:uiPriority w:val="99"/>
    <w:semiHidden/>
    <w:unhideWhenUsed/>
    <w:rsid w:val="00BA3A17"/>
    <w:pPr>
      <w:spacing w:before="0" w:after="0"/>
      <w:ind w:left="360" w:hanging="360"/>
      <w:contextualSpacing/>
    </w:pPr>
    <w:rPr>
      <w:rFonts w:cstheme="minorBidi"/>
      <w:kern w:val="0"/>
      <w:lang w:bidi="ar-SA"/>
    </w:rPr>
  </w:style>
  <w:style w:type="character" w:customStyle="1" w:styleId="ClosingChar">
    <w:name w:val="Closing Char"/>
    <w:basedOn w:val="DefaultParagraphFont"/>
    <w:link w:val="Closing"/>
    <w:uiPriority w:val="99"/>
    <w:semiHidden/>
    <w:rsid w:val="00BA3A17"/>
    <w:rPr>
      <w:rFonts w:cstheme="minorBidi"/>
      <w:kern w:val="0"/>
      <w:lang w:bidi="ar-SA"/>
    </w:rPr>
  </w:style>
  <w:style w:type="paragraph" w:styleId="Closing">
    <w:name w:val="Closing"/>
    <w:basedOn w:val="Normal"/>
    <w:link w:val="ClosingChar"/>
    <w:uiPriority w:val="99"/>
    <w:semiHidden/>
    <w:unhideWhenUsed/>
    <w:rsid w:val="00BA3A17"/>
    <w:pPr>
      <w:spacing w:before="0" w:after="0"/>
      <w:ind w:left="4320"/>
    </w:pPr>
    <w:rPr>
      <w:rFonts w:cstheme="minorBidi"/>
      <w:kern w:val="0"/>
      <w:lang w:bidi="ar-SA"/>
    </w:rPr>
  </w:style>
  <w:style w:type="character" w:customStyle="1" w:styleId="BodyTextIndentChar">
    <w:name w:val="Body Text Indent Char"/>
    <w:basedOn w:val="DefaultParagraphFont"/>
    <w:link w:val="BodyTextIndent"/>
    <w:semiHidden/>
    <w:rsid w:val="000E1CF7"/>
    <w:rPr>
      <w:rFonts w:cstheme="minorBidi"/>
      <w:kern w:val="0"/>
      <w:lang w:bidi="ar-SA"/>
    </w:rPr>
  </w:style>
  <w:style w:type="paragraph" w:styleId="BodyTextIndent">
    <w:name w:val="Body Text Indent"/>
    <w:basedOn w:val="Normal"/>
    <w:link w:val="BodyTextIndentChar"/>
    <w:semiHidden/>
    <w:rsid w:val="00BA3A17"/>
    <w:pPr>
      <w:spacing w:before="0"/>
      <w:ind w:left="360"/>
    </w:pPr>
    <w:rPr>
      <w:rFonts w:cstheme="minorBidi"/>
      <w:kern w:val="0"/>
      <w:lang w:bidi="ar-SA"/>
    </w:rPr>
  </w:style>
  <w:style w:type="character" w:customStyle="1" w:styleId="SalutationChar">
    <w:name w:val="Salutation Char"/>
    <w:basedOn w:val="DefaultParagraphFont"/>
    <w:link w:val="Salutation"/>
    <w:uiPriority w:val="99"/>
    <w:semiHidden/>
    <w:rsid w:val="00BA3A17"/>
    <w:rPr>
      <w:rFonts w:cstheme="minorBidi"/>
      <w:kern w:val="0"/>
      <w:lang w:bidi="ar-SA"/>
    </w:rPr>
  </w:style>
  <w:style w:type="paragraph" w:styleId="Salutation">
    <w:name w:val="Salutation"/>
    <w:basedOn w:val="Normal"/>
    <w:next w:val="Normal"/>
    <w:link w:val="SalutationChar"/>
    <w:uiPriority w:val="99"/>
    <w:semiHidden/>
    <w:unhideWhenUsed/>
    <w:rsid w:val="00BA3A17"/>
    <w:pPr>
      <w:spacing w:before="0" w:after="0"/>
    </w:pPr>
    <w:rPr>
      <w:rFonts w:cstheme="minorBidi"/>
      <w:kern w:val="0"/>
      <w:lang w:bidi="ar-SA"/>
    </w:rPr>
  </w:style>
  <w:style w:type="character" w:customStyle="1" w:styleId="DateChar">
    <w:name w:val="Date Char"/>
    <w:basedOn w:val="DefaultParagraphFont"/>
    <w:link w:val="Date"/>
    <w:uiPriority w:val="99"/>
    <w:semiHidden/>
    <w:rsid w:val="00BA3A17"/>
    <w:rPr>
      <w:rFonts w:cstheme="minorBidi"/>
      <w:kern w:val="0"/>
      <w:lang w:bidi="ar-SA"/>
    </w:rPr>
  </w:style>
  <w:style w:type="paragraph" w:styleId="Date">
    <w:name w:val="Date"/>
    <w:basedOn w:val="Normal"/>
    <w:next w:val="Normal"/>
    <w:link w:val="DateChar"/>
    <w:uiPriority w:val="99"/>
    <w:semiHidden/>
    <w:unhideWhenUsed/>
    <w:rsid w:val="00BA3A17"/>
    <w:pPr>
      <w:spacing w:before="0" w:after="0"/>
    </w:pPr>
    <w:rPr>
      <w:rFonts w:cstheme="minorBidi"/>
      <w:kern w:val="0"/>
      <w:lang w:bidi="ar-SA"/>
    </w:rPr>
  </w:style>
  <w:style w:type="character" w:customStyle="1" w:styleId="BodyTextFirstIndentChar">
    <w:name w:val="Body Text First Indent Char"/>
    <w:aliases w:val="Text of Statute Char"/>
    <w:basedOn w:val="BodyTextChar"/>
    <w:link w:val="BodyTextFirstIndent"/>
    <w:semiHidden/>
    <w:rsid w:val="000E1CF7"/>
    <w:rPr>
      <w:rFonts w:eastAsia="Times New Roman" w:cstheme="minorBidi"/>
      <w:kern w:val="0"/>
      <w:lang w:bidi="ar-SA"/>
    </w:rPr>
  </w:style>
  <w:style w:type="paragraph" w:styleId="BodyTextFirstIndent">
    <w:name w:val="Body Text First Indent"/>
    <w:aliases w:val="Text of Statute"/>
    <w:basedOn w:val="BodyText"/>
    <w:link w:val="BodyTextFirstIndentChar"/>
    <w:semiHidden/>
    <w:rsid w:val="00BA3A17"/>
    <w:pPr>
      <w:spacing w:before="0" w:after="0"/>
      <w:ind w:firstLine="360"/>
    </w:pPr>
    <w:rPr>
      <w:rFonts w:eastAsiaTheme="minorHAnsi" w:cstheme="minorBidi"/>
      <w:kern w:val="0"/>
    </w:rPr>
  </w:style>
  <w:style w:type="character" w:customStyle="1" w:styleId="BodyTextFirstIndent2Char">
    <w:name w:val="Body Text First Indent 2 Char"/>
    <w:basedOn w:val="BodyTextIndentChar"/>
    <w:link w:val="BodyTextFirstIndent2"/>
    <w:uiPriority w:val="99"/>
    <w:semiHidden/>
    <w:rsid w:val="00BA3A17"/>
    <w:rPr>
      <w:rFonts w:cstheme="minorBidi"/>
      <w:kern w:val="0"/>
      <w:lang w:bidi="ar-SA"/>
    </w:rPr>
  </w:style>
  <w:style w:type="paragraph" w:styleId="BodyTextFirstIndent2">
    <w:name w:val="Body Text First Indent 2"/>
    <w:basedOn w:val="BodyTextIndent"/>
    <w:link w:val="BodyTextFirstIndent2Char"/>
    <w:uiPriority w:val="99"/>
    <w:semiHidden/>
    <w:unhideWhenUsed/>
    <w:rsid w:val="00BA3A17"/>
    <w:pPr>
      <w:spacing w:after="0"/>
      <w:ind w:firstLine="360"/>
    </w:pPr>
  </w:style>
  <w:style w:type="character" w:customStyle="1" w:styleId="NoteHeadingChar">
    <w:name w:val="Note Heading Char"/>
    <w:basedOn w:val="DefaultParagraphFont"/>
    <w:link w:val="NoteHeading"/>
    <w:uiPriority w:val="99"/>
    <w:semiHidden/>
    <w:rsid w:val="00BA3A17"/>
    <w:rPr>
      <w:rFonts w:cstheme="minorBidi"/>
      <w:kern w:val="0"/>
      <w:lang w:bidi="ar-SA"/>
    </w:rPr>
  </w:style>
  <w:style w:type="paragraph" w:styleId="NoteHeading">
    <w:name w:val="Note Heading"/>
    <w:basedOn w:val="Normal"/>
    <w:next w:val="Normal"/>
    <w:link w:val="NoteHeadingChar"/>
    <w:uiPriority w:val="99"/>
    <w:semiHidden/>
    <w:unhideWhenUsed/>
    <w:rsid w:val="00BA3A17"/>
    <w:pPr>
      <w:spacing w:before="0" w:after="0"/>
    </w:pPr>
    <w:rPr>
      <w:rFonts w:cstheme="minorBidi"/>
      <w:kern w:val="0"/>
      <w:lang w:bidi="ar-SA"/>
    </w:rPr>
  </w:style>
  <w:style w:type="character" w:customStyle="1" w:styleId="BodyText2Char">
    <w:name w:val="Body Text 2 Char"/>
    <w:basedOn w:val="DefaultParagraphFont"/>
    <w:link w:val="BodyText2"/>
    <w:uiPriority w:val="99"/>
    <w:semiHidden/>
    <w:rsid w:val="00BA3A17"/>
    <w:rPr>
      <w:rFonts w:cstheme="minorBidi"/>
      <w:kern w:val="0"/>
      <w:lang w:bidi="ar-SA"/>
    </w:rPr>
  </w:style>
  <w:style w:type="paragraph" w:styleId="BodyText2">
    <w:name w:val="Body Text 2"/>
    <w:basedOn w:val="Normal"/>
    <w:link w:val="BodyText2Char"/>
    <w:uiPriority w:val="99"/>
    <w:semiHidden/>
    <w:unhideWhenUsed/>
    <w:rsid w:val="00BA3A17"/>
    <w:pPr>
      <w:spacing w:before="0" w:line="480" w:lineRule="auto"/>
    </w:pPr>
    <w:rPr>
      <w:rFonts w:cstheme="minorBidi"/>
      <w:kern w:val="0"/>
      <w:lang w:bidi="ar-SA"/>
    </w:rPr>
  </w:style>
  <w:style w:type="character" w:customStyle="1" w:styleId="BodyText3Char">
    <w:name w:val="Body Text 3 Char"/>
    <w:basedOn w:val="DefaultParagraphFont"/>
    <w:link w:val="BodyText3"/>
    <w:uiPriority w:val="99"/>
    <w:semiHidden/>
    <w:rsid w:val="00BA3A17"/>
    <w:rPr>
      <w:rFonts w:cstheme="minorBidi"/>
      <w:kern w:val="0"/>
      <w:sz w:val="16"/>
      <w:szCs w:val="16"/>
      <w:lang w:bidi="ar-SA"/>
    </w:rPr>
  </w:style>
  <w:style w:type="paragraph" w:styleId="BodyText3">
    <w:name w:val="Body Text 3"/>
    <w:basedOn w:val="Normal"/>
    <w:link w:val="BodyText3Char"/>
    <w:uiPriority w:val="99"/>
    <w:semiHidden/>
    <w:unhideWhenUsed/>
    <w:rsid w:val="00BA3A17"/>
    <w:pPr>
      <w:spacing w:before="0"/>
    </w:pPr>
    <w:rPr>
      <w:rFonts w:cstheme="minorBidi"/>
      <w:kern w:val="0"/>
      <w:sz w:val="16"/>
      <w:szCs w:val="16"/>
      <w:lang w:bidi="ar-SA"/>
    </w:rPr>
  </w:style>
  <w:style w:type="character" w:customStyle="1" w:styleId="BodyTextIndent2Char">
    <w:name w:val="Body Text Indent 2 Char"/>
    <w:basedOn w:val="DefaultParagraphFont"/>
    <w:link w:val="BodyTextIndent2"/>
    <w:uiPriority w:val="99"/>
    <w:semiHidden/>
    <w:rsid w:val="00BA3A17"/>
    <w:rPr>
      <w:rFonts w:cstheme="minorBidi"/>
      <w:kern w:val="0"/>
      <w:lang w:bidi="ar-SA"/>
    </w:rPr>
  </w:style>
  <w:style w:type="paragraph" w:styleId="BodyTextIndent2">
    <w:name w:val="Body Text Indent 2"/>
    <w:basedOn w:val="Normal"/>
    <w:link w:val="BodyTextIndent2Char"/>
    <w:uiPriority w:val="99"/>
    <w:semiHidden/>
    <w:unhideWhenUsed/>
    <w:rsid w:val="00BA3A17"/>
    <w:pPr>
      <w:spacing w:before="0" w:line="480" w:lineRule="auto"/>
      <w:ind w:left="360"/>
    </w:pPr>
    <w:rPr>
      <w:rFonts w:cstheme="minorBidi"/>
      <w:kern w:val="0"/>
      <w:lang w:bidi="ar-SA"/>
    </w:rPr>
  </w:style>
  <w:style w:type="character" w:customStyle="1" w:styleId="BodyTextIndent3Char">
    <w:name w:val="Body Text Indent 3 Char"/>
    <w:basedOn w:val="DefaultParagraphFont"/>
    <w:link w:val="BodyTextIndent3"/>
    <w:uiPriority w:val="99"/>
    <w:semiHidden/>
    <w:rsid w:val="00BA3A17"/>
    <w:rPr>
      <w:rFonts w:cstheme="minorBidi"/>
      <w:kern w:val="0"/>
      <w:sz w:val="16"/>
      <w:szCs w:val="16"/>
      <w:lang w:bidi="ar-SA"/>
    </w:rPr>
  </w:style>
  <w:style w:type="paragraph" w:styleId="BodyTextIndent3">
    <w:name w:val="Body Text Indent 3"/>
    <w:basedOn w:val="Normal"/>
    <w:link w:val="BodyTextIndent3Char"/>
    <w:uiPriority w:val="99"/>
    <w:semiHidden/>
    <w:unhideWhenUsed/>
    <w:rsid w:val="00BA3A17"/>
    <w:pPr>
      <w:spacing w:before="0"/>
      <w:ind w:left="360"/>
    </w:pPr>
    <w:rPr>
      <w:rFonts w:cstheme="minorBidi"/>
      <w:kern w:val="0"/>
      <w:sz w:val="16"/>
      <w:szCs w:val="16"/>
      <w:lang w:bidi="ar-SA"/>
    </w:rPr>
  </w:style>
  <w:style w:type="character" w:customStyle="1" w:styleId="PlainTextChar">
    <w:name w:val="Plain Text Char"/>
    <w:basedOn w:val="DefaultParagraphFont"/>
    <w:link w:val="PlainText"/>
    <w:uiPriority w:val="99"/>
    <w:semiHidden/>
    <w:rsid w:val="000E1CF7"/>
    <w:rPr>
      <w:rFonts w:ascii="Consolas" w:hAnsi="Consolas" w:cstheme="minorBidi"/>
      <w:kern w:val="0"/>
      <w:sz w:val="21"/>
      <w:szCs w:val="21"/>
      <w:lang w:bidi="ar-SA"/>
    </w:rPr>
  </w:style>
  <w:style w:type="paragraph" w:styleId="PlainText">
    <w:name w:val="Plain Text"/>
    <w:basedOn w:val="Normal"/>
    <w:link w:val="PlainTextChar"/>
    <w:uiPriority w:val="99"/>
    <w:semiHidden/>
    <w:rsid w:val="00BA3A17"/>
    <w:pPr>
      <w:spacing w:before="0" w:after="0"/>
    </w:pPr>
    <w:rPr>
      <w:rFonts w:ascii="Consolas" w:hAnsi="Consolas" w:cstheme="minorBidi"/>
      <w:kern w:val="0"/>
      <w:sz w:val="21"/>
      <w:szCs w:val="21"/>
      <w:lang w:bidi="ar-SA"/>
    </w:rPr>
  </w:style>
  <w:style w:type="character" w:customStyle="1" w:styleId="E-mailSignatureChar">
    <w:name w:val="E-mail Signature Char"/>
    <w:basedOn w:val="DefaultParagraphFont"/>
    <w:link w:val="E-mailSignature"/>
    <w:uiPriority w:val="99"/>
    <w:semiHidden/>
    <w:rsid w:val="00BA3A17"/>
    <w:rPr>
      <w:rFonts w:cstheme="minorBidi"/>
      <w:kern w:val="0"/>
      <w:lang w:bidi="ar-SA"/>
    </w:rPr>
  </w:style>
  <w:style w:type="paragraph" w:styleId="E-mailSignature">
    <w:name w:val="E-mail Signature"/>
    <w:basedOn w:val="Normal"/>
    <w:link w:val="E-mailSignatureChar"/>
    <w:uiPriority w:val="99"/>
    <w:semiHidden/>
    <w:unhideWhenUsed/>
    <w:rsid w:val="00BA3A17"/>
    <w:pPr>
      <w:spacing w:before="0" w:after="0"/>
    </w:pPr>
    <w:rPr>
      <w:rFonts w:cstheme="minorBidi"/>
      <w:kern w:val="0"/>
      <w:lang w:bidi="ar-SA"/>
    </w:rPr>
  </w:style>
  <w:style w:type="paragraph" w:styleId="NormalWeb">
    <w:name w:val="Normal (Web)"/>
    <w:basedOn w:val="Normal"/>
    <w:semiHidden/>
    <w:rsid w:val="00BA3A17"/>
    <w:pPr>
      <w:spacing w:before="0" w:after="0"/>
    </w:pPr>
    <w:rPr>
      <w:kern w:val="0"/>
      <w:lang w:bidi="ar-SA"/>
    </w:rPr>
  </w:style>
  <w:style w:type="character" w:customStyle="1" w:styleId="HTMLAddressChar">
    <w:name w:val="HTML Address Char"/>
    <w:basedOn w:val="DefaultParagraphFont"/>
    <w:link w:val="HTMLAddress"/>
    <w:uiPriority w:val="99"/>
    <w:semiHidden/>
    <w:rsid w:val="00BA3A17"/>
    <w:rPr>
      <w:rFonts w:cstheme="minorBidi"/>
      <w:i/>
      <w:iCs/>
      <w:kern w:val="0"/>
      <w:lang w:bidi="ar-SA"/>
    </w:rPr>
  </w:style>
  <w:style w:type="paragraph" w:styleId="HTMLAddress">
    <w:name w:val="HTML Address"/>
    <w:basedOn w:val="Normal"/>
    <w:link w:val="HTMLAddressChar"/>
    <w:uiPriority w:val="99"/>
    <w:semiHidden/>
    <w:unhideWhenUsed/>
    <w:rsid w:val="00BA3A17"/>
    <w:pPr>
      <w:spacing w:before="0" w:after="0"/>
    </w:pPr>
    <w:rPr>
      <w:rFonts w:cstheme="minorBidi"/>
      <w:i/>
      <w:iCs/>
      <w:kern w:val="0"/>
      <w:lang w:bidi="ar-SA"/>
    </w:rPr>
  </w:style>
  <w:style w:type="character" w:customStyle="1" w:styleId="HTMLPreformattedChar">
    <w:name w:val="HTML Preformatted Char"/>
    <w:basedOn w:val="DefaultParagraphFont"/>
    <w:link w:val="HTMLPreformatted"/>
    <w:uiPriority w:val="99"/>
    <w:semiHidden/>
    <w:rsid w:val="00BA3A17"/>
    <w:rPr>
      <w:rFonts w:ascii="Consolas" w:hAnsi="Consolas" w:cstheme="minorBidi"/>
      <w:kern w:val="0"/>
      <w:sz w:val="20"/>
      <w:szCs w:val="20"/>
      <w:lang w:bidi="ar-SA"/>
    </w:rPr>
  </w:style>
  <w:style w:type="paragraph" w:styleId="HTMLPreformatted">
    <w:name w:val="HTML Preformatted"/>
    <w:basedOn w:val="Normal"/>
    <w:link w:val="HTMLPreformattedChar"/>
    <w:uiPriority w:val="99"/>
    <w:semiHidden/>
    <w:unhideWhenUsed/>
    <w:rsid w:val="00BA3A17"/>
    <w:pPr>
      <w:spacing w:before="0" w:after="0"/>
    </w:pPr>
    <w:rPr>
      <w:rFonts w:ascii="Consolas" w:hAnsi="Consolas" w:cstheme="minorBidi"/>
      <w:kern w:val="0"/>
      <w:sz w:val="20"/>
      <w:szCs w:val="20"/>
      <w:lang w:bidi="ar-SA"/>
    </w:rPr>
  </w:style>
  <w:style w:type="character" w:customStyle="1" w:styleId="CommentSubjectChar">
    <w:name w:val="Comment Subject Char"/>
    <w:basedOn w:val="CommentTextChar"/>
    <w:link w:val="CommentSubject"/>
    <w:uiPriority w:val="99"/>
    <w:semiHidden/>
    <w:rsid w:val="000E1CF7"/>
    <w:rPr>
      <w:rFonts w:eastAsia="Times New Roman" w:cstheme="minorBidi"/>
      <w:b/>
      <w:bCs/>
      <w:kern w:val="0"/>
      <w:sz w:val="20"/>
      <w:szCs w:val="20"/>
      <w:lang w:bidi="ar-SA"/>
    </w:rPr>
  </w:style>
  <w:style w:type="paragraph" w:styleId="CommentSubject">
    <w:name w:val="annotation subject"/>
    <w:basedOn w:val="CommentText"/>
    <w:next w:val="CommentText"/>
    <w:link w:val="CommentSubjectChar"/>
    <w:uiPriority w:val="99"/>
    <w:semiHidden/>
    <w:rsid w:val="00BA3A17"/>
    <w:pPr>
      <w:spacing w:before="0"/>
    </w:pPr>
    <w:rPr>
      <w:rFonts w:eastAsiaTheme="minorHAnsi" w:cstheme="minorBidi"/>
      <w:b/>
      <w:bCs/>
      <w:kern w:val="0"/>
    </w:rPr>
  </w:style>
  <w:style w:type="character" w:styleId="BookTitle">
    <w:name w:val="Book Title"/>
    <w:basedOn w:val="DefaultParagraphFont"/>
    <w:uiPriority w:val="33"/>
    <w:semiHidden/>
    <w:rsid w:val="00BA3A17"/>
    <w:rPr>
      <w:b/>
      <w:bCs/>
      <w:smallCaps/>
      <w:spacing w:val="5"/>
    </w:rPr>
  </w:style>
  <w:style w:type="paragraph" w:customStyle="1" w:styleId="Initials">
    <w:name w:val="Initials"/>
    <w:basedOn w:val="Normal"/>
    <w:uiPriority w:val="99"/>
    <w:semiHidden/>
    <w:rsid w:val="00BA3A17"/>
    <w:pPr>
      <w:spacing w:after="0"/>
      <w:contextualSpacing/>
    </w:pPr>
    <w:rPr>
      <w:rFonts w:eastAsia="Times New Roman"/>
      <w:kern w:val="0"/>
      <w:lang w:bidi="ar-SA"/>
    </w:rPr>
  </w:style>
  <w:style w:type="paragraph" w:styleId="ListParagraph">
    <w:name w:val="List Paragraph"/>
    <w:basedOn w:val="Normal"/>
    <w:uiPriority w:val="34"/>
    <w:qFormat/>
    <w:rsid w:val="000B1DF4"/>
    <w:pPr>
      <w:spacing w:before="0" w:after="0"/>
      <w:ind w:left="720"/>
      <w:contextualSpacing/>
      <w:jc w:val="both"/>
    </w:pPr>
    <w:rPr>
      <w:rFonts w:eastAsia="Calibri"/>
      <w:bCs/>
      <w:kern w:val="0"/>
      <w:lang w:eastAsia="da-DK" w:bidi="ar-SA"/>
    </w:rPr>
  </w:style>
  <w:style w:type="character" w:customStyle="1" w:styleId="emphi1">
    <w:name w:val="emphi1"/>
    <w:basedOn w:val="DefaultParagraphFont"/>
    <w:semiHidden/>
    <w:rsid w:val="000B1DF4"/>
    <w:rPr>
      <w:i/>
      <w:iCs/>
    </w:rPr>
  </w:style>
  <w:style w:type="character" w:customStyle="1" w:styleId="emph-i">
    <w:name w:val="emph-i"/>
    <w:basedOn w:val="DefaultParagraphFont"/>
    <w:semiHidden/>
    <w:rsid w:val="000B1DF4"/>
    <w:rPr>
      <w:i/>
      <w:iCs/>
    </w:rPr>
  </w:style>
  <w:style w:type="paragraph" w:customStyle="1" w:styleId="BLevel1">
    <w:name w:val="BLevel1"/>
    <w:basedOn w:val="BNormal"/>
    <w:link w:val="BLevel1Char"/>
    <w:qFormat/>
    <w:rsid w:val="00994780"/>
    <w:pPr>
      <w:outlineLvl w:val="0"/>
    </w:pPr>
    <w:rPr>
      <w:b/>
    </w:rPr>
  </w:style>
  <w:style w:type="character" w:customStyle="1" w:styleId="BLevel1Char">
    <w:name w:val="BLevel1 Char"/>
    <w:basedOn w:val="BNormalChar"/>
    <w:link w:val="BLevel1"/>
    <w:rsid w:val="00994780"/>
    <w:rPr>
      <w:rFonts w:eastAsia="Times New Roman"/>
      <w:b/>
      <w:kern w:val="0"/>
      <w:lang w:bidi="ar-SA"/>
    </w:rPr>
  </w:style>
  <w:style w:type="paragraph" w:customStyle="1" w:styleId="BLevel2">
    <w:name w:val="BLevel2"/>
    <w:basedOn w:val="BNormal"/>
    <w:link w:val="BLevel2Char"/>
    <w:qFormat/>
    <w:rsid w:val="00994780"/>
    <w:pPr>
      <w:ind w:left="720"/>
      <w:outlineLvl w:val="1"/>
    </w:pPr>
  </w:style>
  <w:style w:type="character" w:customStyle="1" w:styleId="BLevel2Char">
    <w:name w:val="BLevel2 Char"/>
    <w:basedOn w:val="BNormalChar"/>
    <w:link w:val="BLevel2"/>
    <w:rsid w:val="00994780"/>
    <w:rPr>
      <w:rFonts w:eastAsia="Times New Roman"/>
      <w:kern w:val="0"/>
      <w:lang w:bidi="ar-SA"/>
    </w:rPr>
  </w:style>
  <w:style w:type="paragraph" w:customStyle="1" w:styleId="BLevel3">
    <w:name w:val="BLevel3"/>
    <w:basedOn w:val="BNormal"/>
    <w:link w:val="BLevel3Char"/>
    <w:qFormat/>
    <w:rsid w:val="00994780"/>
    <w:pPr>
      <w:ind w:left="1440"/>
      <w:outlineLvl w:val="2"/>
    </w:pPr>
  </w:style>
  <w:style w:type="character" w:customStyle="1" w:styleId="BLevel3Char">
    <w:name w:val="BLevel3 Char"/>
    <w:basedOn w:val="BNormalChar"/>
    <w:link w:val="BLevel3"/>
    <w:rsid w:val="00994780"/>
    <w:rPr>
      <w:rFonts w:eastAsia="Times New Roman"/>
      <w:kern w:val="0"/>
      <w:lang w:bidi="ar-SA"/>
    </w:rPr>
  </w:style>
  <w:style w:type="paragraph" w:customStyle="1" w:styleId="BLevel4">
    <w:name w:val="BLevel4"/>
    <w:basedOn w:val="BNormal"/>
    <w:link w:val="BLevel4Char"/>
    <w:qFormat/>
    <w:rsid w:val="006053C8"/>
    <w:pPr>
      <w:ind w:left="2160"/>
      <w:outlineLvl w:val="3"/>
    </w:pPr>
  </w:style>
  <w:style w:type="character" w:customStyle="1" w:styleId="BLevel4Char">
    <w:name w:val="BLevel4 Char"/>
    <w:basedOn w:val="BNormalChar"/>
    <w:link w:val="BLevel4"/>
    <w:rsid w:val="006053C8"/>
    <w:rPr>
      <w:rFonts w:eastAsia="Times New Roman"/>
      <w:kern w:val="0"/>
      <w:lang w:bidi="ar-SA"/>
    </w:rPr>
  </w:style>
  <w:style w:type="paragraph" w:customStyle="1" w:styleId="BLevel5">
    <w:name w:val="BLevel5"/>
    <w:basedOn w:val="BNormal"/>
    <w:link w:val="BLevel5Char"/>
    <w:qFormat/>
    <w:rsid w:val="006053C8"/>
    <w:pPr>
      <w:ind w:left="2880"/>
      <w:outlineLvl w:val="4"/>
    </w:pPr>
  </w:style>
  <w:style w:type="character" w:customStyle="1" w:styleId="BLevel5Char">
    <w:name w:val="BLevel5 Char"/>
    <w:basedOn w:val="BNormalChar"/>
    <w:link w:val="BLevel5"/>
    <w:rsid w:val="006053C8"/>
    <w:rPr>
      <w:rFonts w:eastAsia="Times New Roman"/>
      <w:kern w:val="0"/>
      <w:lang w:bidi="ar-SA"/>
    </w:rPr>
  </w:style>
  <w:style w:type="paragraph" w:customStyle="1" w:styleId="BLevel6">
    <w:name w:val="BLevel6"/>
    <w:basedOn w:val="BNormal"/>
    <w:link w:val="BLevel6Char"/>
    <w:qFormat/>
    <w:rsid w:val="006053C8"/>
    <w:pPr>
      <w:ind w:left="3600"/>
      <w:outlineLvl w:val="5"/>
    </w:pPr>
  </w:style>
  <w:style w:type="character" w:customStyle="1" w:styleId="BLevel6Char">
    <w:name w:val="BLevel6 Char"/>
    <w:basedOn w:val="DefaultParagraphFont"/>
    <w:link w:val="BLevel6"/>
    <w:rsid w:val="00C924AA"/>
    <w:rPr>
      <w:rFonts w:eastAsia="Times New Roman"/>
      <w:kern w:val="0"/>
      <w:lang w:bidi="ar-SA"/>
    </w:rPr>
  </w:style>
  <w:style w:type="paragraph" w:styleId="TOC2">
    <w:name w:val="toc 2"/>
    <w:basedOn w:val="Normal"/>
    <w:next w:val="Normal"/>
    <w:autoRedefine/>
    <w:uiPriority w:val="39"/>
    <w:semiHidden/>
    <w:qFormat/>
    <w:rsid w:val="00D3763E"/>
    <w:pPr>
      <w:spacing w:after="100"/>
      <w:ind w:left="240"/>
    </w:pPr>
  </w:style>
  <w:style w:type="paragraph" w:styleId="TOC3">
    <w:name w:val="toc 3"/>
    <w:basedOn w:val="Normal"/>
    <w:next w:val="Normal"/>
    <w:autoRedefine/>
    <w:semiHidden/>
    <w:qFormat/>
    <w:rsid w:val="00D3763E"/>
    <w:pPr>
      <w:spacing w:after="100"/>
      <w:ind w:left="480"/>
    </w:pPr>
  </w:style>
  <w:style w:type="paragraph" w:styleId="TOC4">
    <w:name w:val="toc 4"/>
    <w:basedOn w:val="Normal"/>
    <w:next w:val="Normal"/>
    <w:autoRedefine/>
    <w:uiPriority w:val="39"/>
    <w:semiHidden/>
    <w:rsid w:val="00D3763E"/>
    <w:pPr>
      <w:spacing w:after="100"/>
      <w:ind w:left="720"/>
    </w:pPr>
  </w:style>
  <w:style w:type="paragraph" w:customStyle="1" w:styleId="Style1">
    <w:name w:val="Style1"/>
    <w:basedOn w:val="Normal"/>
    <w:qFormat/>
    <w:rsid w:val="00685FC3"/>
    <w:pPr>
      <w:spacing w:before="0" w:after="0"/>
      <w:jc w:val="both"/>
    </w:pPr>
    <w:rPr>
      <w:rFonts w:eastAsia="Calibri"/>
      <w:bCs/>
      <w:kern w:val="0"/>
      <w:lang w:eastAsia="da-DK" w:bidi="ar-SA"/>
    </w:rPr>
  </w:style>
  <w:style w:type="paragraph" w:customStyle="1" w:styleId="p">
    <w:name w:val="p"/>
    <w:uiPriority w:val="99"/>
    <w:semiHidden/>
    <w:rsid w:val="000B42CA"/>
    <w:pPr>
      <w:widowControl w:val="0"/>
      <w:autoSpaceDE w:val="0"/>
      <w:autoSpaceDN w:val="0"/>
      <w:adjustRightInd w:val="0"/>
      <w:spacing w:before="100" w:after="0"/>
      <w:ind w:firstLine="150"/>
    </w:pPr>
    <w:rPr>
      <w:rFonts w:eastAsiaTheme="minorEastAsia"/>
      <w:kern w:val="0"/>
      <w:sz w:val="20"/>
      <w:szCs w:val="20"/>
      <w:lang w:bidi="ar-SA"/>
    </w:rPr>
  </w:style>
  <w:style w:type="character" w:customStyle="1" w:styleId="BCautionhead">
    <w:name w:val="BCaution_head"/>
    <w:basedOn w:val="BCommenthead"/>
    <w:uiPriority w:val="1"/>
    <w:qFormat/>
    <w:rsid w:val="007E29E2"/>
    <w:rPr>
      <w:b/>
    </w:rPr>
  </w:style>
  <w:style w:type="paragraph" w:customStyle="1" w:styleId="BCautionpara">
    <w:name w:val="BCaution_para"/>
    <w:basedOn w:val="BCommentpara"/>
    <w:link w:val="BCautionparaChar"/>
    <w:qFormat/>
    <w:rsid w:val="009337A4"/>
  </w:style>
  <w:style w:type="character" w:customStyle="1" w:styleId="BCautionparaChar">
    <w:name w:val="BCaution_para Char"/>
    <w:basedOn w:val="BCommentparaChar"/>
    <w:link w:val="BCautionpara"/>
    <w:rsid w:val="009337A4"/>
    <w:rPr>
      <w:rFonts w:eastAsia="Times New Roman"/>
      <w:kern w:val="0"/>
      <w:lang w:bidi="ar-SA"/>
    </w:rPr>
  </w:style>
  <w:style w:type="paragraph" w:styleId="Bibliography">
    <w:name w:val="Bibliography"/>
    <w:basedOn w:val="Normal"/>
    <w:next w:val="Normal"/>
    <w:uiPriority w:val="99"/>
    <w:semiHidden/>
    <w:rsid w:val="00C4264F"/>
  </w:style>
  <w:style w:type="paragraph" w:customStyle="1" w:styleId="Default">
    <w:name w:val="Default"/>
    <w:semiHidden/>
    <w:rsid w:val="00242B4D"/>
    <w:pPr>
      <w:autoSpaceDE w:val="0"/>
      <w:autoSpaceDN w:val="0"/>
      <w:adjustRightInd w:val="0"/>
      <w:spacing w:before="0" w:after="0"/>
    </w:pPr>
    <w:rPr>
      <w:rFonts w:ascii="Arial" w:eastAsiaTheme="minorEastAsia" w:hAnsi="Arial" w:cs="Arial"/>
      <w:color w:val="000000"/>
      <w:kern w:val="0"/>
      <w:lang w:bidi="ar-SA"/>
    </w:rPr>
  </w:style>
  <w:style w:type="character" w:customStyle="1" w:styleId="apple-converted-space">
    <w:name w:val="apple-converted-space"/>
    <w:basedOn w:val="DefaultParagraphFont"/>
    <w:semiHidden/>
    <w:rsid w:val="00242B4D"/>
    <w:rPr>
      <w:rFonts w:cs="Times New Roman"/>
    </w:rPr>
  </w:style>
  <w:style w:type="paragraph" w:customStyle="1" w:styleId="rvps2">
    <w:name w:val="rvps2"/>
    <w:basedOn w:val="Normal"/>
    <w:semiHidden/>
    <w:rsid w:val="00242B4D"/>
    <w:pPr>
      <w:spacing w:before="100" w:beforeAutospacing="1" w:after="100" w:afterAutospacing="1"/>
    </w:pPr>
    <w:rPr>
      <w:rFonts w:eastAsiaTheme="minorEastAsia"/>
      <w:kern w:val="0"/>
      <w:lang w:bidi="ar-SA"/>
    </w:rPr>
  </w:style>
  <w:style w:type="table" w:styleId="TableGrid">
    <w:name w:val="Table Grid"/>
    <w:basedOn w:val="TableNormal"/>
    <w:uiPriority w:val="59"/>
    <w:rsid w:val="00AA53B1"/>
    <w:pPr>
      <w:spacing w:before="0" w:after="0"/>
    </w:pPr>
    <w:rPr>
      <w:rFonts w:asciiTheme="minorHAnsi" w:eastAsiaTheme="minorEastAsia" w:hAnsiTheme="minorHAnsi"/>
      <w:kern w:val="0"/>
      <w:sz w:val="18"/>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4070"/>
    <w:rPr>
      <w:rFonts w:cs="Times New Roman"/>
      <w:color w:val="800080" w:themeColor="followedHyperlink"/>
      <w:u w:val="single"/>
    </w:rPr>
  </w:style>
  <w:style w:type="character" w:styleId="Strong">
    <w:name w:val="Strong"/>
    <w:basedOn w:val="DefaultParagraphFont"/>
    <w:uiPriority w:val="22"/>
    <w:semiHidden/>
    <w:qFormat/>
    <w:rsid w:val="00654070"/>
    <w:rPr>
      <w:rFonts w:cs="Times New Roman"/>
      <w:b/>
      <w:bCs/>
    </w:rPr>
  </w:style>
  <w:style w:type="paragraph" w:customStyle="1" w:styleId="c2">
    <w:name w:val="c2"/>
    <w:basedOn w:val="Normal"/>
    <w:semiHidden/>
    <w:rsid w:val="00654070"/>
    <w:pPr>
      <w:spacing w:before="100" w:beforeAutospacing="1" w:after="100" w:afterAutospacing="1"/>
    </w:pPr>
    <w:rPr>
      <w:rFonts w:eastAsiaTheme="minorEastAsia"/>
      <w:kern w:val="0"/>
      <w:lang w:val="cs-CZ" w:eastAsia="cs-CZ" w:bidi="ar-SA"/>
    </w:rPr>
  </w:style>
  <w:style w:type="paragraph" w:customStyle="1" w:styleId="hp">
    <w:name w:val="hp"/>
    <w:basedOn w:val="Normal"/>
    <w:semiHidden/>
    <w:rsid w:val="00654070"/>
    <w:pPr>
      <w:spacing w:before="100" w:beforeAutospacing="1" w:after="100" w:afterAutospacing="1"/>
    </w:pPr>
    <w:rPr>
      <w:rFonts w:eastAsiaTheme="minorEastAsia"/>
      <w:kern w:val="0"/>
      <w:lang w:val="cs-CZ" w:eastAsia="cs-CZ" w:bidi="ar-SA"/>
    </w:rPr>
  </w:style>
  <w:style w:type="paragraph" w:customStyle="1" w:styleId="Body">
    <w:name w:val="Body"/>
    <w:basedOn w:val="Normal"/>
    <w:next w:val="BNormal"/>
    <w:semiHidden/>
    <w:rsid w:val="00DF2E11"/>
    <w:pPr>
      <w:pBdr>
        <w:top w:val="none" w:sz="96" w:space="31" w:color="FFFFFF" w:frame="1"/>
        <w:left w:val="none" w:sz="96" w:space="31" w:color="FFFFFF" w:frame="1"/>
        <w:bottom w:val="none" w:sz="96" w:space="31" w:color="FFFFFF" w:frame="1"/>
        <w:right w:val="none" w:sz="96" w:space="31" w:color="FFFFFF" w:frame="1"/>
      </w:pBdr>
      <w:spacing w:before="0" w:after="200" w:line="276" w:lineRule="auto"/>
    </w:pPr>
    <w:rPr>
      <w:rFonts w:eastAsiaTheme="minorEastAsia" w:cs="Calibri"/>
      <w:color w:val="000000"/>
      <w:kern w:val="0"/>
      <w:szCs w:val="22"/>
      <w:u w:color="000000"/>
      <w:lang w:val="pt-PT" w:bidi="ar-SA"/>
    </w:rPr>
  </w:style>
  <w:style w:type="character" w:customStyle="1" w:styleId="ColorfulGrid-Accent1Char">
    <w:name w:val="Colorful Grid - Accent 1 Char"/>
    <w:link w:val="ColorfulGrid-Accent1"/>
    <w:uiPriority w:val="29"/>
    <w:rsid w:val="006251A0"/>
    <w:rPr>
      <w:sz w:val="22"/>
      <w:szCs w:val="22"/>
    </w:rPr>
  </w:style>
  <w:style w:type="table" w:styleId="ColorfulGrid-Accent1">
    <w:name w:val="Colorful Grid Accent 1"/>
    <w:basedOn w:val="TableNormal"/>
    <w:link w:val="ColorfulGrid-Accent1Char"/>
    <w:uiPriority w:val="29"/>
    <w:semiHidden/>
    <w:unhideWhenUsed/>
    <w:rsid w:val="006251A0"/>
    <w:pPr>
      <w:spacing w:before="0" w:after="0"/>
    </w:pPr>
    <w:rPr>
      <w:sz w:val="22"/>
      <w:szCs w:val="22"/>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SourceExtract">
    <w:name w:val="BSourceExtract"/>
    <w:basedOn w:val="BNormal"/>
    <w:rsid w:val="00EA31D3"/>
    <w:pPr>
      <w:ind w:left="720"/>
    </w:pPr>
    <w:rPr>
      <w:sz w:val="20"/>
      <w:szCs w:val="20"/>
    </w:rPr>
  </w:style>
  <w:style w:type="paragraph" w:customStyle="1" w:styleId="BSourceExtractHead">
    <w:name w:val="BSourceExtract_Head"/>
    <w:basedOn w:val="BSourceExtract"/>
    <w:rsid w:val="00EA31D3"/>
    <w:rPr>
      <w:b/>
    </w:rPr>
  </w:style>
  <w:style w:type="paragraph" w:customStyle="1" w:styleId="HBNORMAL">
    <w:name w:val="HBNORMAL"/>
    <w:aliases w:val="NL"/>
    <w:semiHidden/>
    <w:rsid w:val="004857FC"/>
    <w:pPr>
      <w:spacing w:before="0" w:after="0"/>
    </w:pPr>
    <w:rPr>
      <w:rFonts w:eastAsia="Times New Roman"/>
      <w:kern w:val="0"/>
      <w:lang w:bidi="ar-SA"/>
    </w:rPr>
  </w:style>
  <w:style w:type="character" w:styleId="EndnoteReference">
    <w:name w:val="endnote reference"/>
    <w:basedOn w:val="DefaultParagraphFont"/>
    <w:uiPriority w:val="99"/>
    <w:semiHidden/>
    <w:rsid w:val="00E216E3"/>
    <w:rPr>
      <w:rFonts w:ascii="Verdana" w:hAnsi="Verdana"/>
      <w:color w:val="0000FF"/>
      <w:sz w:val="24"/>
      <w:vertAlign w:val="superscript"/>
    </w:rPr>
  </w:style>
  <w:style w:type="paragraph" w:styleId="ListBullet">
    <w:name w:val="List Bullet"/>
    <w:basedOn w:val="Normal"/>
    <w:semiHidden/>
    <w:rsid w:val="00E216E3"/>
    <w:pPr>
      <w:widowControl w:val="0"/>
      <w:numPr>
        <w:numId w:val="3"/>
      </w:numPr>
      <w:spacing w:before="0" w:line="300" w:lineRule="atLeast"/>
      <w:ind w:right="360"/>
      <w:jc w:val="both"/>
    </w:pPr>
    <w:rPr>
      <w:rFonts w:ascii="Verdana" w:eastAsia="Times New Roman" w:hAnsi="Verdana"/>
      <w:kern w:val="0"/>
      <w:lang w:bidi="ar-SA"/>
    </w:rPr>
  </w:style>
  <w:style w:type="paragraph" w:styleId="ListBullet2">
    <w:name w:val="List Bullet 2"/>
    <w:basedOn w:val="ListBullet"/>
    <w:semiHidden/>
    <w:rsid w:val="00E216E3"/>
    <w:pPr>
      <w:numPr>
        <w:ilvl w:val="1"/>
      </w:numPr>
      <w:ind w:right="0"/>
    </w:pPr>
  </w:style>
  <w:style w:type="character" w:customStyle="1" w:styleId="Level1TopicChar">
    <w:name w:val="Level 1 Topic Char"/>
    <w:basedOn w:val="DefaultParagraphFont"/>
    <w:link w:val="Level1Topic"/>
    <w:semiHidden/>
    <w:rsid w:val="000E1CF7"/>
    <w:rPr>
      <w:rFonts w:ascii="Arial" w:hAnsi="Arial" w:cs="Arial"/>
      <w:b/>
      <w:bCs/>
      <w:sz w:val="36"/>
      <w:szCs w:val="36"/>
    </w:rPr>
  </w:style>
  <w:style w:type="character" w:customStyle="1" w:styleId="LawNoteTitleChar">
    <w:name w:val="LawNote Title Char"/>
    <w:basedOn w:val="DefaultParagraphFont"/>
    <w:link w:val="LawNoteTitle"/>
    <w:semiHidden/>
    <w:rsid w:val="000E1CF7"/>
    <w:rPr>
      <w:rFonts w:ascii="Arial" w:hAnsi="Arial" w:cs="Arial"/>
      <w:b/>
      <w:color w:val="3C71A5"/>
      <w:sz w:val="32"/>
      <w:szCs w:val="32"/>
    </w:rPr>
  </w:style>
  <w:style w:type="character" w:styleId="PageNumber">
    <w:name w:val="page number"/>
    <w:basedOn w:val="DefaultParagraphFont"/>
    <w:semiHidden/>
    <w:rsid w:val="00282AD3"/>
  </w:style>
  <w:style w:type="paragraph" w:customStyle="1" w:styleId="CitationNote">
    <w:name w:val="CitationNote"/>
    <w:basedOn w:val="Heading2"/>
    <w:semiHidden/>
    <w:rsid w:val="00BB5BEA"/>
    <w:rPr>
      <w:rFonts w:cs="Times New Roman"/>
      <w:color w:val="31849B" w:themeColor="accent5" w:themeShade="BF"/>
    </w:rPr>
  </w:style>
  <w:style w:type="paragraph" w:customStyle="1" w:styleId="BCitationNote">
    <w:name w:val="BCitationNote"/>
    <w:rsid w:val="00B25CAA"/>
    <w:rPr>
      <w:rFonts w:eastAsiaTheme="majorEastAsia"/>
      <w:b/>
      <w:bCs/>
      <w:color w:val="31849B" w:themeColor="accent5" w:themeShade="BF"/>
      <w:szCs w:val="26"/>
      <w:lang w:bidi="ar-SA"/>
    </w:rPr>
  </w:style>
  <w:style w:type="paragraph" w:customStyle="1" w:styleId="DocID">
    <w:name w:val="DocID"/>
    <w:basedOn w:val="Footer"/>
    <w:next w:val="Footer"/>
    <w:semiHidden/>
    <w:rsid w:val="002B627A"/>
    <w:pPr>
      <w:tabs>
        <w:tab w:val="clear" w:pos="4680"/>
        <w:tab w:val="clear" w:pos="9360"/>
      </w:tabs>
    </w:pPr>
    <w:rPr>
      <w:rFonts w:eastAsia="Times New Roman" w:cs="Times New Roman"/>
      <w:sz w:val="16"/>
      <w:szCs w:val="20"/>
    </w:rPr>
  </w:style>
  <w:style w:type="paragraph" w:customStyle="1" w:styleId="Heading">
    <w:name w:val="Heading"/>
    <w:basedOn w:val="Normal"/>
    <w:semiHidden/>
    <w:rsid w:val="002B627A"/>
    <w:pPr>
      <w:spacing w:before="0" w:after="240"/>
    </w:pPr>
    <w:rPr>
      <w:rFonts w:eastAsia="Times New Roman"/>
      <w:kern w:val="0"/>
      <w:szCs w:val="20"/>
      <w:lang w:bidi="ar-SA"/>
    </w:rPr>
  </w:style>
  <w:style w:type="paragraph" w:customStyle="1" w:styleId="heading1notoc">
    <w:name w:val="heading 1 (no toc)"/>
    <w:basedOn w:val="Heading1"/>
    <w:next w:val="Normal"/>
    <w:link w:val="heading1notocChar"/>
    <w:semiHidden/>
    <w:rsid w:val="002B627A"/>
    <w:pPr>
      <w:keepNext w:val="0"/>
      <w:keepLines w:val="0"/>
      <w:spacing w:before="0" w:after="240"/>
      <w:outlineLvl w:val="9"/>
    </w:pPr>
    <w:rPr>
      <w:rFonts w:eastAsia="Times New Roman" w:cs="Times New Roman"/>
      <w:b w:val="0"/>
      <w:bCs w:val="0"/>
      <w:kern w:val="0"/>
      <w:sz w:val="24"/>
      <w:szCs w:val="20"/>
    </w:rPr>
  </w:style>
  <w:style w:type="paragraph" w:customStyle="1" w:styleId="heading2notoc">
    <w:name w:val="heading 2 (no toc)"/>
    <w:basedOn w:val="Heading2"/>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2B627A"/>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2B627A"/>
    <w:pPr>
      <w:keepNext w:val="0"/>
      <w:keepLines w:val="0"/>
      <w:spacing w:before="0" w:after="240"/>
      <w:outlineLvl w:val="9"/>
    </w:pPr>
    <w:rPr>
      <w:rFonts w:eastAsia="Times New Roman" w:cs="Times New Roman"/>
      <w:kern w:val="0"/>
      <w:szCs w:val="20"/>
    </w:rPr>
  </w:style>
  <w:style w:type="paragraph" w:customStyle="1" w:styleId="Quote1">
    <w:name w:val="Quote1"/>
    <w:aliases w:val="q"/>
    <w:basedOn w:val="Normal"/>
    <w:next w:val="QuoteContinued"/>
    <w:semiHidden/>
    <w:rsid w:val="002B627A"/>
    <w:pPr>
      <w:spacing w:after="0"/>
      <w:ind w:left="1440" w:right="1440"/>
    </w:pPr>
    <w:rPr>
      <w:rFonts w:eastAsia="Times New Roman"/>
      <w:kern w:val="0"/>
      <w:szCs w:val="20"/>
      <w:lang w:bidi="ar-SA"/>
    </w:rPr>
  </w:style>
  <w:style w:type="paragraph" w:customStyle="1" w:styleId="QuoteDoubleSpace">
    <w:name w:val="Quote DoubleSpace"/>
    <w:aliases w:val="qd"/>
    <w:basedOn w:val="Quote1"/>
    <w:next w:val="Normal"/>
    <w:semiHidden/>
    <w:rsid w:val="002B627A"/>
    <w:pPr>
      <w:spacing w:line="480" w:lineRule="auto"/>
    </w:pPr>
  </w:style>
  <w:style w:type="paragraph" w:customStyle="1" w:styleId="QuoteContinued">
    <w:name w:val="Quote Continued"/>
    <w:basedOn w:val="BodyText"/>
    <w:next w:val="BodyText"/>
    <w:semiHidden/>
    <w:rsid w:val="002B627A"/>
    <w:pPr>
      <w:spacing w:before="0" w:after="240"/>
    </w:pPr>
    <w:rPr>
      <w:kern w:val="0"/>
      <w:szCs w:val="20"/>
    </w:rPr>
  </w:style>
  <w:style w:type="paragraph" w:styleId="Title">
    <w:name w:val="Title"/>
    <w:basedOn w:val="Normal"/>
    <w:link w:val="TitleChar"/>
    <w:semiHidden/>
    <w:qFormat/>
    <w:rsid w:val="002B627A"/>
    <w:pPr>
      <w:spacing w:after="60"/>
      <w:jc w:val="center"/>
      <w:outlineLvl w:val="0"/>
    </w:pPr>
    <w:rPr>
      <w:rFonts w:eastAsia="Times New Roman" w:cs="Arial"/>
      <w:b/>
      <w:bCs/>
      <w:kern w:val="28"/>
      <w:sz w:val="28"/>
      <w:szCs w:val="32"/>
      <w:lang w:bidi="ar-SA"/>
    </w:rPr>
  </w:style>
  <w:style w:type="character" w:customStyle="1" w:styleId="TitleChar">
    <w:name w:val="Title Char"/>
    <w:basedOn w:val="DefaultParagraphFont"/>
    <w:link w:val="Title"/>
    <w:semiHidden/>
    <w:rsid w:val="000E1CF7"/>
    <w:rPr>
      <w:rFonts w:eastAsia="Times New Roman" w:cs="Arial"/>
      <w:b/>
      <w:bCs/>
      <w:kern w:val="28"/>
      <w:sz w:val="28"/>
      <w:szCs w:val="32"/>
      <w:lang w:bidi="ar-SA"/>
    </w:rPr>
  </w:style>
  <w:style w:type="paragraph" w:styleId="Subtitle">
    <w:name w:val="Subtitle"/>
    <w:basedOn w:val="Normal"/>
    <w:link w:val="SubtitleChar"/>
    <w:semiHidden/>
    <w:qFormat/>
    <w:rsid w:val="002B627A"/>
    <w:pPr>
      <w:spacing w:before="0" w:after="60"/>
      <w:jc w:val="center"/>
      <w:outlineLvl w:val="1"/>
    </w:pPr>
    <w:rPr>
      <w:rFonts w:eastAsia="Times New Roman" w:cs="Arial"/>
      <w:kern w:val="0"/>
      <w:szCs w:val="20"/>
      <w:lang w:bidi="ar-SA"/>
    </w:rPr>
  </w:style>
  <w:style w:type="character" w:customStyle="1" w:styleId="SubtitleChar">
    <w:name w:val="Subtitle Char"/>
    <w:basedOn w:val="DefaultParagraphFont"/>
    <w:link w:val="Subtitle"/>
    <w:semiHidden/>
    <w:rsid w:val="000E1CF7"/>
    <w:rPr>
      <w:rFonts w:eastAsia="Times New Roman" w:cs="Arial"/>
      <w:kern w:val="0"/>
      <w:szCs w:val="20"/>
      <w:lang w:bidi="ar-SA"/>
    </w:rPr>
  </w:style>
  <w:style w:type="character" w:customStyle="1" w:styleId="ptext-1">
    <w:name w:val="ptext-1"/>
    <w:basedOn w:val="DefaultParagraphFont"/>
    <w:semiHidden/>
    <w:rsid w:val="006F25CD"/>
  </w:style>
  <w:style w:type="character" w:customStyle="1" w:styleId="ptext-2">
    <w:name w:val="ptext-2"/>
    <w:basedOn w:val="DefaultParagraphFont"/>
    <w:semiHidden/>
    <w:rsid w:val="006F25CD"/>
  </w:style>
  <w:style w:type="character" w:customStyle="1" w:styleId="enumbell">
    <w:name w:val="enumbell"/>
    <w:semiHidden/>
    <w:rsid w:val="006F25CD"/>
    <w:rPr>
      <w:b/>
      <w:bCs/>
    </w:rPr>
  </w:style>
  <w:style w:type="paragraph" w:customStyle="1" w:styleId="TableHeading1">
    <w:name w:val="Table Heading 1"/>
    <w:basedOn w:val="Normal"/>
    <w:semiHidden/>
    <w:qFormat/>
    <w:rsid w:val="00A832C5"/>
    <w:pPr>
      <w:shd w:val="clear" w:color="auto" w:fill="FFFFFF" w:themeFill="background1"/>
      <w:spacing w:before="120"/>
    </w:pPr>
    <w:rPr>
      <w:rFonts w:ascii="Arial" w:eastAsia="Times New Roman" w:hAnsi="Arial"/>
      <w:b/>
      <w:color w:val="262626" w:themeColor="text1" w:themeTint="D9"/>
      <w:kern w:val="0"/>
      <w:sz w:val="32"/>
      <w:szCs w:val="22"/>
      <w:lang w:bidi="ar-SA"/>
    </w:rPr>
  </w:style>
  <w:style w:type="paragraph" w:customStyle="1" w:styleId="AuthorByline">
    <w:name w:val="Author Byline"/>
    <w:basedOn w:val="Normal"/>
    <w:next w:val="Normal"/>
    <w:semiHidden/>
    <w:qFormat/>
    <w:rsid w:val="00A832C5"/>
    <w:pPr>
      <w:spacing w:before="120" w:line="360" w:lineRule="auto"/>
      <w:jc w:val="both"/>
    </w:pPr>
    <w:rPr>
      <w:rFonts w:ascii="Verdana" w:eastAsia="Times New Roman" w:hAnsi="Verdana" w:cs="Arial"/>
      <w:kern w:val="0"/>
      <w:sz w:val="22"/>
      <w:lang w:bidi="ar-SA"/>
    </w:rPr>
  </w:style>
  <w:style w:type="paragraph" w:customStyle="1" w:styleId="DocumentTitle">
    <w:name w:val="Document Title"/>
    <w:basedOn w:val="Normal"/>
    <w:next w:val="ArticleText"/>
    <w:link w:val="DocumentTitleChar"/>
    <w:semiHidden/>
    <w:qFormat/>
    <w:rsid w:val="00A832C5"/>
    <w:pPr>
      <w:spacing w:before="100"/>
    </w:pPr>
    <w:rPr>
      <w:rFonts w:ascii="Arial" w:eastAsia="Times New Roman" w:hAnsi="Arial"/>
      <w:kern w:val="0"/>
      <w:sz w:val="28"/>
      <w:szCs w:val="28"/>
      <w:lang w:bidi="ar-SA"/>
    </w:rPr>
  </w:style>
  <w:style w:type="paragraph" w:customStyle="1" w:styleId="PrimaryHeading">
    <w:name w:val="Primary Heading"/>
    <w:basedOn w:val="Normal"/>
    <w:next w:val="Normal"/>
    <w:semiHidden/>
    <w:qFormat/>
    <w:rsid w:val="00A832C5"/>
    <w:pPr>
      <w:spacing w:after="0"/>
    </w:pPr>
    <w:rPr>
      <w:rFonts w:ascii="Arial" w:eastAsia="Times New Roman" w:hAnsi="Arial" w:cs="Arial"/>
      <w:b/>
      <w:kern w:val="0"/>
      <w:sz w:val="36"/>
      <w:szCs w:val="36"/>
      <w:lang w:bidi="ar-SA"/>
    </w:rPr>
  </w:style>
  <w:style w:type="paragraph" w:customStyle="1" w:styleId="SecondaryHeading">
    <w:name w:val="Secondary Heading"/>
    <w:basedOn w:val="Normal"/>
    <w:next w:val="Normal"/>
    <w:semiHidden/>
    <w:qFormat/>
    <w:rsid w:val="00A832C5"/>
    <w:pPr>
      <w:shd w:val="clear" w:color="auto" w:fill="1D1B11" w:themeFill="background2" w:themeFillShade="1A"/>
      <w:spacing w:before="0"/>
    </w:pPr>
    <w:rPr>
      <w:rFonts w:ascii="Arial" w:eastAsia="Times New Roman" w:hAnsi="Arial" w:cs="Arial"/>
      <w:b/>
      <w:color w:val="B8CCE4" w:themeColor="accent1" w:themeTint="66"/>
      <w:kern w:val="0"/>
      <w:sz w:val="28"/>
      <w:szCs w:val="32"/>
      <w:lang w:bidi="ar-SA"/>
    </w:rPr>
  </w:style>
  <w:style w:type="paragraph" w:customStyle="1" w:styleId="ArticleText">
    <w:name w:val="Article Text"/>
    <w:basedOn w:val="Normal"/>
    <w:semiHidden/>
    <w:qFormat/>
    <w:rsid w:val="00A832C5"/>
    <w:pPr>
      <w:spacing w:before="120"/>
      <w:jc w:val="both"/>
    </w:pPr>
    <w:rPr>
      <w:rFonts w:ascii="Arial" w:eastAsia="Times New Roman" w:hAnsi="Arial"/>
      <w:kern w:val="0"/>
      <w:sz w:val="20"/>
      <w:lang w:bidi="ar-SA"/>
    </w:rPr>
  </w:style>
  <w:style w:type="paragraph" w:customStyle="1" w:styleId="ArticleHeading1">
    <w:name w:val="Article Heading 1"/>
    <w:basedOn w:val="Heading1"/>
    <w:next w:val="Normal"/>
    <w:link w:val="ArticleHeading1Char"/>
    <w:semiHidden/>
    <w:qFormat/>
    <w:rsid w:val="00A832C5"/>
    <w:pPr>
      <w:keepNext w:val="0"/>
      <w:keepLines w:val="0"/>
      <w:spacing w:before="120" w:after="120"/>
    </w:pPr>
    <w:rPr>
      <w:rFonts w:ascii="Arial" w:hAnsi="Arial"/>
      <w:b w:val="0"/>
      <w:bCs w:val="0"/>
      <w:color w:val="F79646" w:themeColor="accent6"/>
      <w:kern w:val="0"/>
    </w:rPr>
  </w:style>
  <w:style w:type="paragraph" w:customStyle="1" w:styleId="ArticleHeading2">
    <w:name w:val="Article Heading 2"/>
    <w:basedOn w:val="Heading2"/>
    <w:next w:val="ArticleText"/>
    <w:link w:val="ArticleHeading2Char"/>
    <w:semiHidden/>
    <w:qFormat/>
    <w:rsid w:val="00A832C5"/>
    <w:pPr>
      <w:keepNext w:val="0"/>
      <w:keepLines w:val="0"/>
      <w:spacing w:before="120" w:after="120"/>
      <w:ind w:left="720"/>
    </w:pPr>
    <w:rPr>
      <w:rFonts w:ascii="Verdana" w:eastAsia="Times New Roman" w:hAnsi="Verdana"/>
      <w:b w:val="0"/>
      <w:bCs w:val="0"/>
      <w:color w:val="F79646" w:themeColor="accent6"/>
      <w:kern w:val="0"/>
    </w:rPr>
  </w:style>
  <w:style w:type="character" w:customStyle="1" w:styleId="DocumentTitleChar">
    <w:name w:val="Document Title Char"/>
    <w:basedOn w:val="DefaultParagraphFont"/>
    <w:link w:val="DocumentTitle"/>
    <w:semiHidden/>
    <w:rsid w:val="000E1CF7"/>
    <w:rPr>
      <w:rFonts w:ascii="Arial" w:eastAsia="Times New Roman" w:hAnsi="Arial"/>
      <w:kern w:val="0"/>
      <w:sz w:val="28"/>
      <w:szCs w:val="28"/>
      <w:lang w:bidi="ar-SA"/>
    </w:rPr>
  </w:style>
  <w:style w:type="character" w:customStyle="1" w:styleId="ArticleHeading1Char">
    <w:name w:val="Article Heading 1 Char"/>
    <w:basedOn w:val="Heading1Char"/>
    <w:link w:val="ArticleHeading1"/>
    <w:semiHidden/>
    <w:rsid w:val="000E1CF7"/>
    <w:rPr>
      <w:rFonts w:ascii="Arial" w:eastAsiaTheme="majorEastAsia" w:hAnsi="Arial" w:cstheme="majorBidi"/>
      <w:b w:val="0"/>
      <w:bCs w:val="0"/>
      <w:color w:val="F79646" w:themeColor="accent6"/>
      <w:kern w:val="0"/>
      <w:sz w:val="28"/>
      <w:szCs w:val="28"/>
      <w:lang w:bidi="ar-SA"/>
    </w:rPr>
  </w:style>
  <w:style w:type="character" w:customStyle="1" w:styleId="ArticleHeading2Char">
    <w:name w:val="Article Heading 2 Char"/>
    <w:basedOn w:val="Heading2Char"/>
    <w:link w:val="ArticleHeading2"/>
    <w:semiHidden/>
    <w:rsid w:val="000E1CF7"/>
    <w:rPr>
      <w:rFonts w:ascii="Verdana" w:eastAsia="Times New Roman" w:hAnsi="Verdana" w:cstheme="majorBidi"/>
      <w:b w:val="0"/>
      <w:bCs w:val="0"/>
      <w:color w:val="F79646" w:themeColor="accent6"/>
      <w:kern w:val="0"/>
      <w:szCs w:val="26"/>
      <w:lang w:bidi="ar-SA"/>
    </w:rPr>
  </w:style>
  <w:style w:type="paragraph" w:customStyle="1" w:styleId="PublishDate">
    <w:name w:val="Publish Date"/>
    <w:basedOn w:val="Normal"/>
    <w:semiHidden/>
    <w:qFormat/>
    <w:rsid w:val="00A832C5"/>
    <w:pPr>
      <w:spacing w:before="120"/>
      <w:jc w:val="right"/>
    </w:pPr>
    <w:rPr>
      <w:rFonts w:ascii="Verdana" w:hAnsi="Verdana"/>
      <w:kern w:val="0"/>
      <w:sz w:val="20"/>
      <w:lang w:bidi="ar-SA"/>
    </w:rPr>
  </w:style>
  <w:style w:type="paragraph" w:customStyle="1" w:styleId="ArticleHeading3">
    <w:name w:val="Article Heading 3"/>
    <w:basedOn w:val="ArticleHeading2"/>
    <w:next w:val="ArticleText"/>
    <w:semiHidden/>
    <w:qFormat/>
    <w:rsid w:val="00A832C5"/>
    <w:pPr>
      <w:ind w:left="1440"/>
    </w:pPr>
    <w:rPr>
      <w:i/>
    </w:rPr>
  </w:style>
  <w:style w:type="paragraph" w:customStyle="1" w:styleId="TableSubheading1">
    <w:name w:val="Table Subheading 1"/>
    <w:basedOn w:val="ArticleText"/>
    <w:semiHidden/>
    <w:qFormat/>
    <w:rsid w:val="00A832C5"/>
    <w:pPr>
      <w:shd w:val="clear" w:color="auto" w:fill="404040" w:themeFill="text1" w:themeFillTint="BF"/>
    </w:pPr>
    <w:rPr>
      <w:b/>
      <w:color w:val="DDD9C3" w:themeColor="background2" w:themeShade="E6"/>
      <w:szCs w:val="22"/>
    </w:rPr>
  </w:style>
  <w:style w:type="table" w:customStyle="1" w:styleId="TableGrid1">
    <w:name w:val="Table Grid1"/>
    <w:basedOn w:val="TableNormal"/>
    <w:next w:val="TableGrid"/>
    <w:uiPriority w:val="59"/>
    <w:rsid w:val="00A832C5"/>
    <w:pPr>
      <w:spacing w:before="0" w:after="0"/>
    </w:pPr>
    <w:rPr>
      <w:rFonts w:asciiTheme="minorHAnsi" w:eastAsiaTheme="minorEastAsia" w:hAnsiTheme="minorHAnsi" w:cstheme="minorBidi"/>
      <w:kern w:val="0"/>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8228BD"/>
    <w:pPr>
      <w:spacing w:before="0"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8228BD"/>
    <w:pPr>
      <w:spacing w:before="0"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8228BD"/>
    <w:pPr>
      <w:numPr>
        <w:numId w:val="11"/>
      </w:numPr>
      <w:tabs>
        <w:tab w:val="clear" w:pos="720"/>
      </w:tabs>
      <w:spacing w:before="0"/>
      <w:ind w:left="0"/>
      <w:jc w:val="both"/>
    </w:pPr>
    <w:rPr>
      <w:rFonts w:ascii="Arial" w:eastAsia="Times New Roman" w:hAnsi="Arial"/>
      <w:kern w:val="0"/>
      <w:sz w:val="16"/>
      <w:lang w:bidi="ar-SA"/>
    </w:rPr>
  </w:style>
  <w:style w:type="character" w:customStyle="1" w:styleId="EndTextChar">
    <w:name w:val="EndText Char"/>
    <w:link w:val="EndText"/>
    <w:semiHidden/>
    <w:rsid w:val="000E1CF7"/>
    <w:rPr>
      <w:rFonts w:ascii="Arial" w:eastAsia="Times New Roman" w:hAnsi="Arial"/>
      <w:kern w:val="0"/>
      <w:sz w:val="16"/>
      <w:lang w:bidi="ar-SA"/>
    </w:rPr>
  </w:style>
  <w:style w:type="paragraph" w:customStyle="1" w:styleId="bbnode">
    <w:name w:val="bbnode"/>
    <w:basedOn w:val="BNormal"/>
    <w:qFormat/>
    <w:rsid w:val="002D2949"/>
    <w:pPr>
      <w:spacing w:before="0"/>
    </w:pPr>
    <w:rPr>
      <w:rFonts w:ascii="Arial" w:hAnsi="Arial" w:cs="Arial"/>
      <w:color w:val="E36C0A" w:themeColor="accent6" w:themeShade="BF"/>
      <w:sz w:val="16"/>
      <w:szCs w:val="16"/>
    </w:rPr>
  </w:style>
  <w:style w:type="paragraph" w:customStyle="1" w:styleId="bbreporter">
    <w:name w:val="bbreporter"/>
    <w:basedOn w:val="bbnode"/>
    <w:qFormat/>
    <w:rsid w:val="002D2949"/>
    <w:rPr>
      <w:color w:val="984806" w:themeColor="accent6" w:themeShade="80"/>
    </w:rPr>
  </w:style>
  <w:style w:type="paragraph" w:customStyle="1" w:styleId="bblsID">
    <w:name w:val="bblsID"/>
    <w:basedOn w:val="bbreporter"/>
    <w:qFormat/>
    <w:rsid w:val="002D2949"/>
    <w:rPr>
      <w:color w:val="0070C0"/>
      <w:szCs w:val="22"/>
    </w:rPr>
  </w:style>
  <w:style w:type="paragraph" w:customStyle="1" w:styleId="bbslug">
    <w:name w:val="bbslug"/>
    <w:basedOn w:val="bbnode"/>
    <w:rsid w:val="002D2949"/>
    <w:rPr>
      <w:b/>
      <w:i/>
      <w:color w:val="FF0000"/>
    </w:rPr>
  </w:style>
  <w:style w:type="character" w:customStyle="1" w:styleId="bblink-bbcitation">
    <w:name w:val="bblink-bbcitation"/>
    <w:basedOn w:val="DefaultParagraphFont"/>
    <w:uiPriority w:val="1"/>
    <w:qFormat/>
    <w:rsid w:val="0060761F"/>
    <w:rPr>
      <w:color w:val="7030A0"/>
    </w:rPr>
  </w:style>
  <w:style w:type="paragraph" w:customStyle="1" w:styleId="BGeographicName">
    <w:name w:val="BGeographicName"/>
    <w:basedOn w:val="Normal"/>
    <w:link w:val="BGeographicNameChar"/>
    <w:qFormat/>
    <w:rsid w:val="00BB26EE"/>
    <w:rPr>
      <w:color w:val="006600"/>
    </w:rPr>
  </w:style>
  <w:style w:type="character" w:customStyle="1" w:styleId="BGeographicNameChar">
    <w:name w:val="BGeographicName Char"/>
    <w:basedOn w:val="BNormalChar"/>
    <w:link w:val="BGeographicName"/>
    <w:rsid w:val="007E29E2"/>
    <w:rPr>
      <w:rFonts w:eastAsia="Times New Roman"/>
      <w:color w:val="006600"/>
      <w:kern w:val="0"/>
      <w:lang w:bidi="ar-SA"/>
    </w:rPr>
  </w:style>
  <w:style w:type="character" w:customStyle="1" w:styleId="BContentControl">
    <w:name w:val="BContent_Control"/>
    <w:basedOn w:val="DefaultParagraphFont"/>
    <w:uiPriority w:val="1"/>
    <w:rsid w:val="00147DAE"/>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0E1CF7"/>
    <w:rPr>
      <w:rFonts w:eastAsia="Times New Roman" w:cstheme="majorBidi"/>
      <w:b w:val="0"/>
      <w:bCs w:val="0"/>
      <w:kern w:val="0"/>
      <w:sz w:val="28"/>
      <w:szCs w:val="20"/>
      <w:lang w:bidi="ar-SA"/>
    </w:rPr>
  </w:style>
  <w:style w:type="paragraph" w:customStyle="1" w:styleId="BDocStart">
    <w:name w:val="BDoc_Start"/>
    <w:next w:val="BNormal"/>
    <w:link w:val="BDocStartChar"/>
    <w:rsid w:val="00EB638D"/>
    <w:rPr>
      <w:rFonts w:eastAsiaTheme="majorEastAsia" w:cstheme="majorBidi"/>
      <w:bCs/>
      <w:color w:val="4F81BD" w:themeColor="accent1"/>
      <w:sz w:val="28"/>
      <w:szCs w:val="28"/>
      <w:lang w:bidi="ar-SA"/>
    </w:rPr>
  </w:style>
  <w:style w:type="character" w:customStyle="1" w:styleId="BDocStartChar">
    <w:name w:val="BDoc_Start Char"/>
    <w:basedOn w:val="heading1notocChar"/>
    <w:link w:val="BDocStart"/>
    <w:rsid w:val="00EB638D"/>
    <w:rPr>
      <w:rFonts w:eastAsiaTheme="majorEastAsia" w:cstheme="majorBidi"/>
      <w:b w:val="0"/>
      <w:bCs/>
      <w:color w:val="4F81BD" w:themeColor="accent1"/>
      <w:kern w:val="0"/>
      <w:sz w:val="28"/>
      <w:szCs w:val="28"/>
      <w:lang w:bidi="ar-SA"/>
    </w:rPr>
  </w:style>
  <w:style w:type="paragraph" w:customStyle="1" w:styleId="BAuthor">
    <w:name w:val="BAuthor"/>
    <w:basedOn w:val="BNormal"/>
    <w:link w:val="BAuthorChar"/>
    <w:rsid w:val="004E67F5"/>
    <w:rPr>
      <w:color w:val="943634" w:themeColor="accent2" w:themeShade="BF"/>
      <w:sz w:val="20"/>
      <w:szCs w:val="20"/>
    </w:rPr>
  </w:style>
  <w:style w:type="character" w:customStyle="1" w:styleId="BAuthorChar">
    <w:name w:val="BAuthor Char"/>
    <w:basedOn w:val="BNormalChar"/>
    <w:link w:val="BAuthor"/>
    <w:rsid w:val="004E67F5"/>
    <w:rPr>
      <w:rFonts w:eastAsia="Times New Roman"/>
      <w:color w:val="943634" w:themeColor="accent2" w:themeShade="BF"/>
      <w:kern w:val="0"/>
      <w:sz w:val="20"/>
      <w:szCs w:val="20"/>
      <w:lang w:bidi="ar-SA"/>
    </w:rPr>
  </w:style>
  <w:style w:type="paragraph" w:customStyle="1" w:styleId="BHeadline">
    <w:name w:val="BHeadline"/>
    <w:basedOn w:val="Normal"/>
    <w:next w:val="BNormal"/>
    <w:rsid w:val="00994780"/>
    <w:rPr>
      <w:b/>
      <w:color w:val="244061" w:themeColor="accent1" w:themeShade="80"/>
      <w:sz w:val="28"/>
      <w:szCs w:val="28"/>
    </w:rPr>
  </w:style>
  <w:style w:type="paragraph" w:customStyle="1" w:styleId="BOrganization">
    <w:name w:val="BOrganization"/>
    <w:basedOn w:val="BNormal"/>
    <w:rsid w:val="004E67F5"/>
    <w:rPr>
      <w:color w:val="943634" w:themeColor="accent2" w:themeShade="BF"/>
      <w:sz w:val="20"/>
    </w:rPr>
  </w:style>
  <w:style w:type="paragraph" w:customStyle="1" w:styleId="BEditorsintro">
    <w:name w:val="BEditors_intro"/>
    <w:basedOn w:val="Normal"/>
    <w:next w:val="BNormal"/>
    <w:semiHidden/>
    <w:rsid w:val="00FF7826"/>
    <w:pPr>
      <w:spacing w:before="120" w:after="0"/>
    </w:pPr>
    <w:rPr>
      <w:rFonts w:asciiTheme="minorHAnsi" w:eastAsia="Times New Roman" w:hAnsiTheme="minorHAnsi"/>
      <w:b/>
      <w:color w:val="FFFFFF" w:themeColor="background1"/>
      <w:kern w:val="0"/>
      <w:sz w:val="16"/>
      <w:szCs w:val="16"/>
      <w:lang w:val="en-GB" w:eastAsia="en-GB" w:bidi="ar-SA"/>
    </w:rPr>
  </w:style>
  <w:style w:type="paragraph" w:customStyle="1" w:styleId="BOutsideauthorinfo">
    <w:name w:val="BOutside_author_info"/>
    <w:basedOn w:val="BNormal"/>
    <w:next w:val="BNormal"/>
    <w:semiHidden/>
    <w:rsid w:val="002027C7"/>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rsid w:val="00FF7826"/>
    <w:pPr>
      <w:spacing w:before="120" w:after="0"/>
    </w:pPr>
    <w:rPr>
      <w:rFonts w:asciiTheme="minorHAnsi" w:eastAsia="Times New Roman" w:hAnsiTheme="minorHAnsi"/>
      <w:b/>
      <w:color w:val="000000" w:themeColor="text1"/>
      <w:kern w:val="0"/>
      <w:sz w:val="16"/>
      <w:szCs w:val="16"/>
      <w:lang w:val="en-GB" w:eastAsia="en-GB" w:bidi="ar-SA"/>
    </w:rPr>
  </w:style>
  <w:style w:type="paragraph" w:customStyle="1" w:styleId="sp">
    <w:name w:val="sp"/>
    <w:uiPriority w:val="99"/>
    <w:semiHidden/>
    <w:rsid w:val="00724007"/>
    <w:pPr>
      <w:widowControl w:val="0"/>
      <w:autoSpaceDE w:val="0"/>
      <w:autoSpaceDN w:val="0"/>
      <w:adjustRightInd w:val="0"/>
      <w:spacing w:before="0" w:after="0"/>
    </w:pPr>
    <w:rPr>
      <w:rFonts w:eastAsia="Times New Roman"/>
      <w:kern w:val="0"/>
      <w:sz w:val="20"/>
      <w:szCs w:val="20"/>
      <w:lang w:bidi="ar-SA"/>
    </w:rPr>
  </w:style>
  <w:style w:type="paragraph" w:customStyle="1" w:styleId="outsideauthor">
    <w:name w:val="outside_author"/>
    <w:uiPriority w:val="99"/>
    <w:semiHidden/>
    <w:rsid w:val="00724007"/>
    <w:pPr>
      <w:widowControl w:val="0"/>
      <w:autoSpaceDE w:val="0"/>
      <w:autoSpaceDN w:val="0"/>
      <w:adjustRightInd w:val="0"/>
      <w:spacing w:before="0" w:after="0"/>
    </w:pPr>
    <w:rPr>
      <w:rFonts w:eastAsia="Times New Roman"/>
      <w:b/>
      <w:bCs/>
      <w:kern w:val="0"/>
      <w:sz w:val="20"/>
      <w:szCs w:val="20"/>
      <w:lang w:bidi="ar-SA"/>
    </w:rPr>
  </w:style>
  <w:style w:type="paragraph" w:customStyle="1" w:styleId="section">
    <w:name w:val="section"/>
    <w:uiPriority w:val="99"/>
    <w:semiHidden/>
    <w:rsid w:val="00724007"/>
    <w:pPr>
      <w:widowControl w:val="0"/>
      <w:autoSpaceDE w:val="0"/>
      <w:autoSpaceDN w:val="0"/>
      <w:adjustRightInd w:val="0"/>
      <w:spacing w:before="0" w:after="0"/>
      <w:jc w:val="right"/>
    </w:pPr>
    <w:rPr>
      <w:rFonts w:eastAsia="Times New Roman"/>
      <w:b/>
      <w:bCs/>
      <w:color w:val="0000FF"/>
      <w:kern w:val="0"/>
      <w:sz w:val="36"/>
      <w:szCs w:val="36"/>
      <w:lang w:bidi="ar-SA"/>
    </w:rPr>
  </w:style>
  <w:style w:type="paragraph" w:customStyle="1" w:styleId="subsection">
    <w:name w:val="subsection"/>
    <w:uiPriority w:val="99"/>
    <w:semiHidden/>
    <w:rsid w:val="00724007"/>
    <w:pPr>
      <w:widowControl w:val="0"/>
      <w:autoSpaceDE w:val="0"/>
      <w:autoSpaceDN w:val="0"/>
      <w:adjustRightInd w:val="0"/>
      <w:spacing w:before="0" w:after="0"/>
      <w:jc w:val="right"/>
    </w:pPr>
    <w:rPr>
      <w:rFonts w:eastAsia="Times New Roman"/>
      <w:b/>
      <w:bCs/>
      <w:kern w:val="0"/>
      <w:sz w:val="28"/>
      <w:szCs w:val="28"/>
      <w:lang w:bidi="ar-SA"/>
    </w:rPr>
  </w:style>
  <w:style w:type="paragraph" w:customStyle="1" w:styleId="level">
    <w:name w:val="level"/>
    <w:uiPriority w:val="99"/>
    <w:semiHidden/>
    <w:rsid w:val="00724007"/>
    <w:pPr>
      <w:widowControl w:val="0"/>
      <w:autoSpaceDE w:val="0"/>
      <w:autoSpaceDN w:val="0"/>
      <w:adjustRightInd w:val="0"/>
      <w:spacing w:before="0" w:after="0" w:line="300" w:lineRule="atLeast"/>
    </w:pPr>
    <w:rPr>
      <w:rFonts w:eastAsia="Times New Roman"/>
      <w:b/>
      <w:bCs/>
      <w:kern w:val="0"/>
      <w:sz w:val="20"/>
      <w:szCs w:val="20"/>
      <w:lang w:bidi="ar-SA"/>
    </w:rPr>
  </w:style>
  <w:style w:type="paragraph" w:customStyle="1" w:styleId="example">
    <w:name w:val="example"/>
    <w:uiPriority w:val="99"/>
    <w:semiHidden/>
    <w:rsid w:val="00724007"/>
    <w:pPr>
      <w:widowControl w:val="0"/>
      <w:autoSpaceDE w:val="0"/>
      <w:autoSpaceDN w:val="0"/>
      <w:adjustRightInd w:val="0"/>
      <w:spacing w:before="0" w:after="0"/>
    </w:pPr>
    <w:rPr>
      <w:rFonts w:eastAsia="Times New Roman"/>
      <w:i/>
      <w:iCs/>
      <w:color w:val="0000FF"/>
      <w:kern w:val="0"/>
      <w:sz w:val="20"/>
      <w:szCs w:val="20"/>
      <w:lang w:bidi="ar-SA"/>
    </w:rPr>
  </w:style>
  <w:style w:type="paragraph" w:customStyle="1" w:styleId="note">
    <w:name w:val="note"/>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listitem">
    <w:name w:val="list.item"/>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document">
    <w:name w:val="document"/>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head">
    <w:name w:val="head"/>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image">
    <w:name w:val="image"/>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descriptor">
    <w:name w:val="descriptor"/>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footnotepara">
    <w:name w:val="footnote_para"/>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styleId="TOCHeading">
    <w:name w:val="TOC Heading"/>
    <w:basedOn w:val="Heading1"/>
    <w:next w:val="Normal"/>
    <w:uiPriority w:val="39"/>
    <w:semiHidden/>
    <w:unhideWhenUsed/>
    <w:qFormat/>
    <w:rsid w:val="00724007"/>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724007"/>
  </w:style>
  <w:style w:type="character" w:customStyle="1" w:styleId="st">
    <w:name w:val="st"/>
    <w:semiHidden/>
    <w:rsid w:val="00724007"/>
  </w:style>
  <w:style w:type="character" w:customStyle="1" w:styleId="BPlanpointhead">
    <w:name w:val="BPlan_point_head"/>
    <w:basedOn w:val="BCommenthead"/>
    <w:uiPriority w:val="1"/>
    <w:rsid w:val="00831EE4"/>
    <w:rPr>
      <w:b/>
      <w:iCs/>
      <w:color w:val="1F497D" w:themeColor="text2"/>
    </w:rPr>
  </w:style>
  <w:style w:type="paragraph" w:customStyle="1" w:styleId="BPlanpointpara">
    <w:name w:val="BPlan_point_para"/>
    <w:basedOn w:val="BCommentpara"/>
    <w:rsid w:val="00831EE4"/>
    <w:rPr>
      <w:color w:val="17365D" w:themeColor="text2" w:themeShade="BF"/>
    </w:rPr>
  </w:style>
  <w:style w:type="paragraph" w:customStyle="1" w:styleId="BRelatedTo">
    <w:name w:val="BRelatedTo"/>
    <w:basedOn w:val="BNormal"/>
    <w:next w:val="BNormal"/>
    <w:rsid w:val="00FC161A"/>
    <w:rPr>
      <w:color w:val="4F81BD" w:themeColor="accent1"/>
      <w:sz w:val="16"/>
    </w:rPr>
  </w:style>
  <w:style w:type="paragraph" w:customStyle="1" w:styleId="BProductionNote">
    <w:name w:val="BProductionNote"/>
    <w:basedOn w:val="BNormal"/>
    <w:link w:val="BProductionNoteChar"/>
    <w:rsid w:val="00EA282D"/>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EA282D"/>
    <w:rPr>
      <w:rFonts w:ascii="Times New Roman Bold" w:eastAsia="Times New Roman" w:hAnsi="Times New Roman Bold"/>
      <w:b/>
      <w:color w:val="FF0000"/>
      <w:kern w:val="0"/>
      <w:shd w:val="clear" w:color="auto" w:fill="FFFF00"/>
      <w:lang w:bidi="ar-SA"/>
    </w:rPr>
  </w:style>
  <w:style w:type="paragraph" w:customStyle="1" w:styleId="BHead6">
    <w:name w:val="BHead6"/>
    <w:next w:val="BNormal"/>
    <w:link w:val="BHead6Char"/>
    <w:rsid w:val="00F57AC4"/>
    <w:pPr>
      <w:ind w:left="1440"/>
      <w:outlineLvl w:val="5"/>
    </w:pPr>
    <w:rPr>
      <w:rFonts w:eastAsia="Times New Roman"/>
      <w:i/>
      <w:kern w:val="0"/>
      <w:lang w:bidi="ar-SA"/>
    </w:rPr>
  </w:style>
  <w:style w:type="character" w:customStyle="1" w:styleId="BHead6Char">
    <w:name w:val="BHead6 Char"/>
    <w:basedOn w:val="DefaultParagraphFont"/>
    <w:link w:val="BHead6"/>
    <w:rsid w:val="00F57AC4"/>
    <w:rPr>
      <w:rFonts w:eastAsia="Times New Roman"/>
      <w:i/>
      <w:kern w:val="0"/>
      <w:lang w:bidi="ar-SA"/>
    </w:rPr>
  </w:style>
  <w:style w:type="paragraph" w:customStyle="1" w:styleId="BHead7">
    <w:name w:val="BHead7"/>
    <w:next w:val="BNormal"/>
    <w:link w:val="BHead7Char"/>
    <w:rsid w:val="00F57AC4"/>
    <w:pPr>
      <w:ind w:left="1440"/>
      <w:outlineLvl w:val="6"/>
    </w:pPr>
    <w:rPr>
      <w:rFonts w:eastAsia="Times New Roman"/>
      <w:kern w:val="0"/>
      <w:lang w:bidi="ar-SA"/>
    </w:rPr>
  </w:style>
  <w:style w:type="character" w:customStyle="1" w:styleId="BHead7Char">
    <w:name w:val="BHead7 Char"/>
    <w:basedOn w:val="DefaultParagraphFont"/>
    <w:link w:val="BHead7"/>
    <w:rsid w:val="00F57AC4"/>
    <w:rPr>
      <w:rFonts w:eastAsia="Times New Roman"/>
      <w:kern w:val="0"/>
      <w:lang w:bidi="ar-SA"/>
    </w:rPr>
  </w:style>
  <w:style w:type="paragraph" w:customStyle="1" w:styleId="BHead8">
    <w:name w:val="BHead8"/>
    <w:next w:val="BNormal"/>
    <w:link w:val="BHead8Char"/>
    <w:rsid w:val="00F57AC4"/>
    <w:pPr>
      <w:ind w:left="2160"/>
      <w:outlineLvl w:val="7"/>
    </w:pPr>
    <w:rPr>
      <w:rFonts w:eastAsia="Times New Roman"/>
      <w:i/>
      <w:kern w:val="0"/>
      <w:lang w:bidi="ar-SA"/>
    </w:rPr>
  </w:style>
  <w:style w:type="character" w:customStyle="1" w:styleId="BHead8Char">
    <w:name w:val="BHead8 Char"/>
    <w:basedOn w:val="DefaultParagraphFont"/>
    <w:link w:val="BHead8"/>
    <w:rsid w:val="00F57AC4"/>
    <w:rPr>
      <w:rFonts w:eastAsia="Times New Roman"/>
      <w:i/>
      <w:kern w:val="0"/>
      <w:lang w:bidi="ar-SA"/>
    </w:rPr>
  </w:style>
  <w:style w:type="paragraph" w:customStyle="1" w:styleId="BBNAid">
    <w:name w:val="BBNA_id"/>
    <w:basedOn w:val="BNormal"/>
    <w:next w:val="BNormal"/>
    <w:link w:val="BBNAidChar"/>
    <w:qFormat/>
    <w:rsid w:val="00B82085"/>
    <w:rPr>
      <w:b/>
      <w:color w:val="31849B" w:themeColor="accent5" w:themeShade="BF"/>
    </w:rPr>
  </w:style>
  <w:style w:type="character" w:customStyle="1" w:styleId="BBNAidChar">
    <w:name w:val="BBNA_id Char"/>
    <w:basedOn w:val="BNormalChar"/>
    <w:link w:val="BBNAid"/>
    <w:rsid w:val="00B82085"/>
    <w:rPr>
      <w:rFonts w:eastAsia="Times New Roman"/>
      <w:b/>
      <w:color w:val="31849B" w:themeColor="accent5" w:themeShade="BF"/>
      <w:kern w:val="0"/>
      <w:lang w:bidi="ar-SA"/>
    </w:rPr>
  </w:style>
  <w:style w:type="paragraph" w:customStyle="1" w:styleId="BListitemorig">
    <w:name w:val="BList_item_orig"/>
    <w:basedOn w:val="BNormal"/>
    <w:qFormat/>
    <w:rsid w:val="005D78ED"/>
    <w:pPr>
      <w:ind w:left="1080" w:hanging="360"/>
    </w:pPr>
    <w:rPr>
      <w:szCs w:val="22"/>
    </w:rPr>
  </w:style>
  <w:style w:type="character" w:customStyle="1" w:styleId="bbDocID">
    <w:name w:val="bbDocID"/>
    <w:basedOn w:val="DefaultParagraphFont"/>
    <w:uiPriority w:val="1"/>
    <w:rsid w:val="00691039"/>
    <w:rPr>
      <w:color w:val="FF99FF"/>
    </w:rPr>
  </w:style>
  <w:style w:type="paragraph" w:customStyle="1" w:styleId="BVerbatimmarkup">
    <w:name w:val="BVerbatim_markup"/>
    <w:basedOn w:val="BodyText"/>
    <w:next w:val="BNormal"/>
    <w:link w:val="BVerbatimmarkupChar"/>
    <w:qFormat/>
    <w:rsid w:val="005C20E0"/>
    <w:rPr>
      <w:color w:val="FF0000"/>
    </w:rPr>
  </w:style>
  <w:style w:type="character" w:customStyle="1" w:styleId="BVerbatimmarkupChar">
    <w:name w:val="BVerbatim_markup Char"/>
    <w:basedOn w:val="DefaultParagraphFont"/>
    <w:link w:val="BVerbatimmarkup"/>
    <w:rsid w:val="00E97744"/>
    <w:rPr>
      <w:rFonts w:eastAsia="Times New Roman"/>
      <w:color w:val="FF0000"/>
      <w:lang w:bidi="ar-SA"/>
    </w:rPr>
  </w:style>
  <w:style w:type="paragraph" w:customStyle="1" w:styleId="BEditorIntro">
    <w:name w:val="BEditorIntro"/>
    <w:basedOn w:val="BNormal"/>
    <w:rsid w:val="00C53DA8"/>
    <w:rPr>
      <w:rFonts w:asciiTheme="minorHAnsi" w:hAnsiTheme="minorHAnsi"/>
      <w:b/>
      <w:color w:val="FFFFFF" w:themeColor="background1"/>
      <w:sz w:val="16"/>
      <w:szCs w:val="16"/>
      <w:lang w:val="en-GB" w:eastAsia="en-GB"/>
    </w:rPr>
  </w:style>
  <w:style w:type="paragraph" w:customStyle="1" w:styleId="26">
    <w:name w:val="_26"/>
    <w:basedOn w:val="Normal"/>
    <w:rsid w:val="00AE6E1D"/>
    <w:pPr>
      <w:widowControl w:val="0"/>
      <w:spacing w:before="0" w:after="0"/>
      <w:ind w:firstLine="720"/>
    </w:pPr>
    <w:rPr>
      <w:rFonts w:eastAsia="Times New Roman"/>
      <w:kern w:val="0"/>
      <w:szCs w:val="20"/>
      <w:lang w:bidi="ar-SA"/>
    </w:rPr>
  </w:style>
  <w:style w:type="paragraph" w:customStyle="1" w:styleId="25">
    <w:name w:val="_25"/>
    <w:basedOn w:val="Normal"/>
    <w:rsid w:val="00AE6E1D"/>
    <w:pPr>
      <w:widowControl w:val="0"/>
      <w:tabs>
        <w:tab w:val="left" w:pos="1440"/>
        <w:tab w:val="left" w:pos="2160"/>
        <w:tab w:val="left" w:pos="2880"/>
        <w:tab w:val="left" w:pos="3600"/>
        <w:tab w:val="left" w:pos="4320"/>
        <w:tab w:val="left" w:pos="5040"/>
        <w:tab w:val="left" w:pos="5760"/>
      </w:tabs>
      <w:spacing w:before="0" w:after="0"/>
      <w:ind w:left="1440" w:hanging="720"/>
    </w:pPr>
    <w:rPr>
      <w:rFonts w:eastAsia="Times New Roman"/>
      <w:kern w:val="0"/>
      <w:szCs w:val="20"/>
      <w:lang w:bidi="ar-SA"/>
    </w:rPr>
  </w:style>
  <w:style w:type="paragraph" w:customStyle="1" w:styleId="24">
    <w:name w:val="_24"/>
    <w:basedOn w:val="Normal"/>
    <w:rsid w:val="00AE6E1D"/>
    <w:pPr>
      <w:widowControl w:val="0"/>
      <w:tabs>
        <w:tab w:val="left" w:pos="2160"/>
        <w:tab w:val="left" w:pos="2880"/>
        <w:tab w:val="left" w:pos="3600"/>
        <w:tab w:val="left" w:pos="4320"/>
        <w:tab w:val="left" w:pos="5040"/>
        <w:tab w:val="left" w:pos="5760"/>
      </w:tabs>
      <w:spacing w:before="0" w:after="0"/>
      <w:ind w:left="2160" w:firstLine="720"/>
    </w:pPr>
    <w:rPr>
      <w:rFonts w:eastAsia="Times New Roman"/>
      <w:kern w:val="0"/>
      <w:szCs w:val="20"/>
      <w:lang w:bidi="ar-SA"/>
    </w:rPr>
  </w:style>
  <w:style w:type="paragraph" w:customStyle="1" w:styleId="23">
    <w:name w:val="_23"/>
    <w:basedOn w:val="Normal"/>
    <w:rsid w:val="00AE6E1D"/>
    <w:pPr>
      <w:widowControl w:val="0"/>
      <w:tabs>
        <w:tab w:val="left" w:pos="2880"/>
        <w:tab w:val="left" w:pos="3600"/>
        <w:tab w:val="left" w:pos="4320"/>
        <w:tab w:val="left" w:pos="5040"/>
        <w:tab w:val="left" w:pos="5760"/>
      </w:tabs>
      <w:spacing w:before="0" w:after="0"/>
      <w:ind w:left="2880" w:firstLine="720"/>
    </w:pPr>
    <w:rPr>
      <w:rFonts w:eastAsia="Times New Roman"/>
      <w:kern w:val="0"/>
      <w:szCs w:val="20"/>
      <w:lang w:bidi="ar-SA"/>
    </w:rPr>
  </w:style>
  <w:style w:type="paragraph" w:customStyle="1" w:styleId="22">
    <w:name w:val="_22"/>
    <w:basedOn w:val="Normal"/>
    <w:rsid w:val="00AE6E1D"/>
    <w:pPr>
      <w:widowControl w:val="0"/>
      <w:tabs>
        <w:tab w:val="left" w:pos="3600"/>
        <w:tab w:val="left" w:pos="4320"/>
        <w:tab w:val="left" w:pos="5040"/>
        <w:tab w:val="left" w:pos="5760"/>
      </w:tabs>
      <w:spacing w:before="0" w:after="0"/>
      <w:ind w:left="3600" w:firstLine="720"/>
    </w:pPr>
    <w:rPr>
      <w:rFonts w:eastAsia="Times New Roman"/>
      <w:kern w:val="0"/>
      <w:szCs w:val="20"/>
      <w:lang w:bidi="ar-SA"/>
    </w:rPr>
  </w:style>
  <w:style w:type="paragraph" w:customStyle="1" w:styleId="21">
    <w:name w:val="_21"/>
    <w:basedOn w:val="Normal"/>
    <w:rsid w:val="00AE6E1D"/>
    <w:pPr>
      <w:widowControl w:val="0"/>
      <w:tabs>
        <w:tab w:val="left" w:pos="4320"/>
        <w:tab w:val="left" w:pos="5040"/>
        <w:tab w:val="left" w:pos="5760"/>
      </w:tabs>
      <w:spacing w:before="0" w:after="0"/>
      <w:ind w:left="4320" w:firstLine="720"/>
    </w:pPr>
    <w:rPr>
      <w:rFonts w:eastAsia="Times New Roman"/>
      <w:kern w:val="0"/>
      <w:szCs w:val="20"/>
      <w:lang w:bidi="ar-SA"/>
    </w:rPr>
  </w:style>
  <w:style w:type="paragraph" w:customStyle="1" w:styleId="20">
    <w:name w:val="_20"/>
    <w:basedOn w:val="Normal"/>
    <w:rsid w:val="00AE6E1D"/>
    <w:pPr>
      <w:widowControl w:val="0"/>
      <w:tabs>
        <w:tab w:val="left" w:pos="5040"/>
        <w:tab w:val="left" w:pos="5760"/>
      </w:tabs>
      <w:spacing w:before="0" w:after="0"/>
      <w:ind w:left="5040" w:firstLine="720"/>
    </w:pPr>
    <w:rPr>
      <w:rFonts w:eastAsia="Times New Roman"/>
      <w:kern w:val="0"/>
      <w:szCs w:val="20"/>
      <w:lang w:bidi="ar-SA"/>
    </w:rPr>
  </w:style>
  <w:style w:type="paragraph" w:customStyle="1" w:styleId="19">
    <w:name w:val="_19"/>
    <w:basedOn w:val="Normal"/>
    <w:rsid w:val="00AE6E1D"/>
    <w:pPr>
      <w:widowControl w:val="0"/>
      <w:tabs>
        <w:tab w:val="left" w:pos="5760"/>
      </w:tabs>
      <w:spacing w:before="0" w:after="0"/>
      <w:ind w:left="5760" w:firstLine="720"/>
    </w:pPr>
    <w:rPr>
      <w:rFonts w:eastAsia="Times New Roman"/>
      <w:kern w:val="0"/>
      <w:szCs w:val="20"/>
      <w:lang w:bidi="ar-SA"/>
    </w:rPr>
  </w:style>
  <w:style w:type="paragraph" w:customStyle="1" w:styleId="18">
    <w:name w:val="_18"/>
    <w:basedOn w:val="Normal"/>
    <w:rsid w:val="00AE6E1D"/>
    <w:pPr>
      <w:widowControl w:val="0"/>
      <w:tabs>
        <w:tab w:val="left" w:pos="6480"/>
      </w:tabs>
      <w:spacing w:before="0" w:after="0"/>
      <w:ind w:left="6480" w:firstLine="720"/>
    </w:pPr>
    <w:rPr>
      <w:rFonts w:eastAsia="Times New Roman"/>
      <w:kern w:val="0"/>
      <w:szCs w:val="20"/>
      <w:lang w:bidi="ar-SA"/>
    </w:rPr>
  </w:style>
  <w:style w:type="paragraph" w:customStyle="1" w:styleId="17">
    <w:name w:val="_17"/>
    <w:basedOn w:val="Normal"/>
    <w:rsid w:val="00AE6E1D"/>
    <w:pPr>
      <w:widowControl w:val="0"/>
      <w:tabs>
        <w:tab w:val="left" w:pos="0"/>
        <w:tab w:val="left" w:pos="720"/>
        <w:tab w:val="left" w:pos="1440"/>
        <w:tab w:val="left" w:pos="2160"/>
        <w:tab w:val="left" w:pos="2880"/>
        <w:tab w:val="left" w:pos="3600"/>
        <w:tab w:val="left" w:pos="4320"/>
        <w:tab w:val="left" w:pos="5040"/>
        <w:tab w:val="left" w:pos="5760"/>
      </w:tabs>
      <w:spacing w:before="0" w:after="0"/>
      <w:ind w:firstLine="720"/>
    </w:pPr>
    <w:rPr>
      <w:rFonts w:eastAsia="Times New Roman"/>
      <w:kern w:val="0"/>
      <w:szCs w:val="20"/>
      <w:lang w:bidi="ar-SA"/>
    </w:rPr>
  </w:style>
  <w:style w:type="paragraph" w:customStyle="1" w:styleId="16">
    <w:name w:val="_16"/>
    <w:basedOn w:val="Normal"/>
    <w:rsid w:val="00AE6E1D"/>
    <w:pPr>
      <w:widowControl w:val="0"/>
      <w:tabs>
        <w:tab w:val="left" w:pos="1440"/>
        <w:tab w:val="left" w:pos="2160"/>
        <w:tab w:val="left" w:pos="2880"/>
        <w:tab w:val="left" w:pos="3600"/>
        <w:tab w:val="left" w:pos="4320"/>
        <w:tab w:val="left" w:pos="5040"/>
        <w:tab w:val="left" w:pos="5760"/>
      </w:tabs>
      <w:spacing w:before="0" w:after="0"/>
      <w:ind w:left="1440" w:hanging="720"/>
    </w:pPr>
    <w:rPr>
      <w:rFonts w:eastAsia="Times New Roman"/>
      <w:kern w:val="0"/>
      <w:szCs w:val="20"/>
      <w:lang w:bidi="ar-SA"/>
    </w:rPr>
  </w:style>
  <w:style w:type="paragraph" w:customStyle="1" w:styleId="15">
    <w:name w:val="_15"/>
    <w:basedOn w:val="Normal"/>
    <w:rsid w:val="00AE6E1D"/>
    <w:pPr>
      <w:widowControl w:val="0"/>
      <w:tabs>
        <w:tab w:val="left" w:pos="2160"/>
        <w:tab w:val="left" w:pos="2880"/>
        <w:tab w:val="left" w:pos="3600"/>
        <w:tab w:val="left" w:pos="4320"/>
        <w:tab w:val="left" w:pos="5040"/>
        <w:tab w:val="left" w:pos="5760"/>
      </w:tabs>
      <w:spacing w:before="0" w:after="0"/>
      <w:ind w:left="2160" w:firstLine="720"/>
    </w:pPr>
    <w:rPr>
      <w:rFonts w:eastAsia="Times New Roman"/>
      <w:kern w:val="0"/>
      <w:szCs w:val="20"/>
      <w:lang w:bidi="ar-SA"/>
    </w:rPr>
  </w:style>
  <w:style w:type="paragraph" w:customStyle="1" w:styleId="14">
    <w:name w:val="_14"/>
    <w:basedOn w:val="Normal"/>
    <w:rsid w:val="00AE6E1D"/>
    <w:pPr>
      <w:widowControl w:val="0"/>
      <w:tabs>
        <w:tab w:val="left" w:pos="2880"/>
        <w:tab w:val="left" w:pos="3600"/>
        <w:tab w:val="left" w:pos="4320"/>
        <w:tab w:val="left" w:pos="5040"/>
        <w:tab w:val="left" w:pos="5760"/>
      </w:tabs>
      <w:spacing w:before="0" w:after="0"/>
      <w:ind w:left="2880" w:firstLine="720"/>
    </w:pPr>
    <w:rPr>
      <w:rFonts w:eastAsia="Times New Roman"/>
      <w:kern w:val="0"/>
      <w:szCs w:val="20"/>
      <w:lang w:bidi="ar-SA"/>
    </w:rPr>
  </w:style>
  <w:style w:type="paragraph" w:customStyle="1" w:styleId="13">
    <w:name w:val="_13"/>
    <w:basedOn w:val="Normal"/>
    <w:rsid w:val="00AE6E1D"/>
    <w:pPr>
      <w:widowControl w:val="0"/>
      <w:tabs>
        <w:tab w:val="left" w:pos="3600"/>
        <w:tab w:val="left" w:pos="4320"/>
        <w:tab w:val="left" w:pos="5040"/>
        <w:tab w:val="left" w:pos="5760"/>
      </w:tabs>
      <w:spacing w:before="0" w:after="0"/>
      <w:ind w:left="3600" w:firstLine="720"/>
    </w:pPr>
    <w:rPr>
      <w:rFonts w:eastAsia="Times New Roman"/>
      <w:kern w:val="0"/>
      <w:szCs w:val="20"/>
      <w:lang w:bidi="ar-SA"/>
    </w:rPr>
  </w:style>
  <w:style w:type="paragraph" w:customStyle="1" w:styleId="12">
    <w:name w:val="_12"/>
    <w:basedOn w:val="Normal"/>
    <w:rsid w:val="00AE6E1D"/>
    <w:pPr>
      <w:widowControl w:val="0"/>
      <w:tabs>
        <w:tab w:val="left" w:pos="4320"/>
        <w:tab w:val="left" w:pos="5040"/>
        <w:tab w:val="left" w:pos="5760"/>
      </w:tabs>
      <w:spacing w:before="0" w:after="0"/>
      <w:ind w:left="4320" w:firstLine="720"/>
    </w:pPr>
    <w:rPr>
      <w:rFonts w:eastAsia="Times New Roman"/>
      <w:kern w:val="0"/>
      <w:szCs w:val="20"/>
      <w:lang w:bidi="ar-SA"/>
    </w:rPr>
  </w:style>
  <w:style w:type="paragraph" w:customStyle="1" w:styleId="11">
    <w:name w:val="_11"/>
    <w:basedOn w:val="Normal"/>
    <w:rsid w:val="00AE6E1D"/>
    <w:pPr>
      <w:widowControl w:val="0"/>
      <w:tabs>
        <w:tab w:val="left" w:pos="5040"/>
        <w:tab w:val="left" w:pos="5760"/>
      </w:tabs>
      <w:spacing w:before="0" w:after="0"/>
      <w:ind w:left="5040" w:firstLine="720"/>
    </w:pPr>
    <w:rPr>
      <w:rFonts w:eastAsia="Times New Roman"/>
      <w:kern w:val="0"/>
      <w:szCs w:val="20"/>
      <w:lang w:bidi="ar-SA"/>
    </w:rPr>
  </w:style>
  <w:style w:type="paragraph" w:customStyle="1" w:styleId="10">
    <w:name w:val="_10"/>
    <w:basedOn w:val="Normal"/>
    <w:rsid w:val="00AE6E1D"/>
    <w:pPr>
      <w:widowControl w:val="0"/>
      <w:tabs>
        <w:tab w:val="left" w:pos="5760"/>
      </w:tabs>
      <w:spacing w:before="0" w:after="0"/>
      <w:ind w:left="5760" w:firstLine="720"/>
    </w:pPr>
    <w:rPr>
      <w:rFonts w:eastAsia="Times New Roman"/>
      <w:kern w:val="0"/>
      <w:szCs w:val="20"/>
      <w:lang w:bidi="ar-SA"/>
    </w:rPr>
  </w:style>
  <w:style w:type="paragraph" w:customStyle="1" w:styleId="9">
    <w:name w:val="_9"/>
    <w:basedOn w:val="Normal"/>
    <w:rsid w:val="00AE6E1D"/>
    <w:pPr>
      <w:widowControl w:val="0"/>
      <w:tabs>
        <w:tab w:val="left" w:pos="6480"/>
      </w:tabs>
      <w:spacing w:before="0" w:after="0"/>
      <w:ind w:left="6480" w:firstLine="720"/>
    </w:pPr>
    <w:rPr>
      <w:rFonts w:eastAsia="Times New Roman"/>
      <w:kern w:val="0"/>
      <w:szCs w:val="20"/>
      <w:lang w:bidi="ar-SA"/>
    </w:rPr>
  </w:style>
  <w:style w:type="paragraph" w:customStyle="1" w:styleId="8">
    <w:name w:val="_8"/>
    <w:basedOn w:val="Normal"/>
    <w:rsid w:val="00AE6E1D"/>
    <w:pPr>
      <w:widowControl w:val="0"/>
      <w:tabs>
        <w:tab w:val="left" w:pos="0"/>
        <w:tab w:val="left" w:pos="720"/>
        <w:tab w:val="left" w:pos="1440"/>
        <w:tab w:val="left" w:pos="2160"/>
        <w:tab w:val="left" w:pos="2880"/>
        <w:tab w:val="left" w:pos="3600"/>
        <w:tab w:val="left" w:pos="4320"/>
        <w:tab w:val="left" w:pos="5040"/>
        <w:tab w:val="left" w:pos="5760"/>
      </w:tabs>
      <w:spacing w:before="0" w:after="0"/>
      <w:ind w:firstLine="720"/>
    </w:pPr>
    <w:rPr>
      <w:rFonts w:eastAsia="Times New Roman"/>
      <w:kern w:val="0"/>
      <w:szCs w:val="20"/>
      <w:lang w:bidi="ar-SA"/>
    </w:rPr>
  </w:style>
  <w:style w:type="paragraph" w:customStyle="1" w:styleId="7">
    <w:name w:val="_7"/>
    <w:basedOn w:val="Normal"/>
    <w:rsid w:val="00AE6E1D"/>
    <w:pPr>
      <w:widowControl w:val="0"/>
      <w:tabs>
        <w:tab w:val="left" w:pos="1440"/>
        <w:tab w:val="left" w:pos="2160"/>
        <w:tab w:val="left" w:pos="2880"/>
        <w:tab w:val="left" w:pos="3600"/>
        <w:tab w:val="left" w:pos="4320"/>
        <w:tab w:val="left" w:pos="5040"/>
        <w:tab w:val="left" w:pos="5760"/>
      </w:tabs>
      <w:spacing w:before="0" w:after="0"/>
      <w:ind w:left="1440" w:hanging="720"/>
    </w:pPr>
    <w:rPr>
      <w:rFonts w:eastAsia="Times New Roman"/>
      <w:kern w:val="0"/>
      <w:szCs w:val="20"/>
      <w:lang w:bidi="ar-SA"/>
    </w:rPr>
  </w:style>
  <w:style w:type="paragraph" w:customStyle="1" w:styleId="6">
    <w:name w:val="_6"/>
    <w:basedOn w:val="Normal"/>
    <w:rsid w:val="00AE6E1D"/>
    <w:pPr>
      <w:widowControl w:val="0"/>
      <w:tabs>
        <w:tab w:val="left" w:pos="2160"/>
        <w:tab w:val="left" w:pos="2880"/>
        <w:tab w:val="left" w:pos="3600"/>
        <w:tab w:val="left" w:pos="4320"/>
        <w:tab w:val="left" w:pos="5040"/>
        <w:tab w:val="left" w:pos="5760"/>
      </w:tabs>
      <w:spacing w:before="0" w:after="0"/>
      <w:ind w:left="2160" w:firstLine="720"/>
    </w:pPr>
    <w:rPr>
      <w:rFonts w:eastAsia="Times New Roman"/>
      <w:kern w:val="0"/>
      <w:szCs w:val="20"/>
      <w:lang w:bidi="ar-SA"/>
    </w:rPr>
  </w:style>
  <w:style w:type="paragraph" w:customStyle="1" w:styleId="5">
    <w:name w:val="_5"/>
    <w:basedOn w:val="Normal"/>
    <w:rsid w:val="00AE6E1D"/>
    <w:pPr>
      <w:widowControl w:val="0"/>
      <w:tabs>
        <w:tab w:val="left" w:pos="2880"/>
        <w:tab w:val="left" w:pos="3600"/>
        <w:tab w:val="left" w:pos="4320"/>
        <w:tab w:val="left" w:pos="5040"/>
        <w:tab w:val="left" w:pos="5760"/>
      </w:tabs>
      <w:spacing w:before="0" w:after="0"/>
      <w:ind w:left="2880" w:firstLine="720"/>
    </w:pPr>
    <w:rPr>
      <w:rFonts w:eastAsia="Times New Roman"/>
      <w:kern w:val="0"/>
      <w:szCs w:val="20"/>
      <w:lang w:bidi="ar-SA"/>
    </w:rPr>
  </w:style>
  <w:style w:type="paragraph" w:customStyle="1" w:styleId="4">
    <w:name w:val="_4"/>
    <w:basedOn w:val="Normal"/>
    <w:rsid w:val="00AE6E1D"/>
    <w:pPr>
      <w:widowControl w:val="0"/>
      <w:tabs>
        <w:tab w:val="left" w:pos="3600"/>
        <w:tab w:val="left" w:pos="4320"/>
        <w:tab w:val="left" w:pos="5040"/>
        <w:tab w:val="left" w:pos="5760"/>
      </w:tabs>
      <w:spacing w:before="0" w:after="0"/>
      <w:ind w:left="3600" w:firstLine="720"/>
    </w:pPr>
    <w:rPr>
      <w:rFonts w:eastAsia="Times New Roman"/>
      <w:kern w:val="0"/>
      <w:szCs w:val="20"/>
      <w:lang w:bidi="ar-SA"/>
    </w:rPr>
  </w:style>
  <w:style w:type="paragraph" w:customStyle="1" w:styleId="3">
    <w:name w:val="_3"/>
    <w:basedOn w:val="Normal"/>
    <w:rsid w:val="00AE6E1D"/>
    <w:pPr>
      <w:widowControl w:val="0"/>
      <w:tabs>
        <w:tab w:val="left" w:pos="4320"/>
        <w:tab w:val="left" w:pos="5040"/>
        <w:tab w:val="left" w:pos="5760"/>
      </w:tabs>
      <w:spacing w:before="0" w:after="0"/>
      <w:ind w:left="4320" w:firstLine="720"/>
    </w:pPr>
    <w:rPr>
      <w:rFonts w:eastAsia="Times New Roman"/>
      <w:kern w:val="0"/>
      <w:szCs w:val="20"/>
      <w:lang w:bidi="ar-SA"/>
    </w:rPr>
  </w:style>
  <w:style w:type="paragraph" w:customStyle="1" w:styleId="2">
    <w:name w:val="_2"/>
    <w:basedOn w:val="Normal"/>
    <w:rsid w:val="00AE6E1D"/>
    <w:pPr>
      <w:widowControl w:val="0"/>
      <w:tabs>
        <w:tab w:val="left" w:pos="5040"/>
        <w:tab w:val="left" w:pos="5760"/>
      </w:tabs>
      <w:spacing w:before="0" w:after="0"/>
      <w:ind w:left="5040" w:firstLine="720"/>
    </w:pPr>
    <w:rPr>
      <w:rFonts w:eastAsia="Times New Roman"/>
      <w:kern w:val="0"/>
      <w:szCs w:val="20"/>
      <w:lang w:bidi="ar-SA"/>
    </w:rPr>
  </w:style>
  <w:style w:type="paragraph" w:customStyle="1" w:styleId="1">
    <w:name w:val="_1"/>
    <w:basedOn w:val="Normal"/>
    <w:rsid w:val="00AE6E1D"/>
    <w:pPr>
      <w:widowControl w:val="0"/>
      <w:tabs>
        <w:tab w:val="left" w:pos="5760"/>
      </w:tabs>
      <w:spacing w:before="0" w:after="0"/>
      <w:ind w:left="5760" w:firstLine="720"/>
    </w:pPr>
    <w:rPr>
      <w:rFonts w:eastAsia="Times New Roman"/>
      <w:kern w:val="0"/>
      <w:szCs w:val="20"/>
      <w:lang w:bidi="ar-SA"/>
    </w:rPr>
  </w:style>
  <w:style w:type="paragraph" w:customStyle="1" w:styleId="a">
    <w:name w:val="_"/>
    <w:basedOn w:val="Normal"/>
    <w:rsid w:val="00AE6E1D"/>
    <w:pPr>
      <w:widowControl w:val="0"/>
      <w:tabs>
        <w:tab w:val="left" w:pos="6480"/>
      </w:tabs>
      <w:spacing w:before="0" w:after="0"/>
      <w:ind w:left="6480" w:firstLine="720"/>
    </w:pPr>
    <w:rPr>
      <w:rFonts w:eastAsia="Times New Roman"/>
      <w:kern w:val="0"/>
      <w:szCs w:val="20"/>
      <w:lang w:bidi="ar-SA"/>
    </w:rPr>
  </w:style>
  <w:style w:type="character" w:customStyle="1" w:styleId="DefaultPara">
    <w:name w:val="Default Para"/>
    <w:basedOn w:val="DefaultParagraphFont"/>
    <w:rsid w:val="00AE6E1D"/>
  </w:style>
  <w:style w:type="paragraph" w:customStyle="1" w:styleId="NoParagrap">
    <w:name w:val="[No Paragrap"/>
    <w:basedOn w:val="Normal"/>
    <w:rsid w:val="00AE6E1D"/>
    <w:pPr>
      <w:widowControl w:val="0"/>
      <w:spacing w:before="0" w:after="0" w:line="287" w:lineRule="auto"/>
      <w:ind w:firstLine="720"/>
    </w:pPr>
    <w:rPr>
      <w:rFonts w:eastAsia="Times New Roman"/>
      <w:color w:val="000000"/>
      <w:kern w:val="0"/>
      <w:szCs w:val="20"/>
      <w:lang w:bidi="ar-SA"/>
    </w:rPr>
  </w:style>
  <w:style w:type="paragraph" w:customStyle="1" w:styleId="BasicParag">
    <w:name w:val="[Basic Parag"/>
    <w:basedOn w:val="Normal"/>
    <w:rsid w:val="00AE6E1D"/>
    <w:pPr>
      <w:widowControl w:val="0"/>
      <w:spacing w:before="0" w:after="0"/>
      <w:ind w:firstLine="720"/>
    </w:pPr>
    <w:rPr>
      <w:rFonts w:eastAsia="Times New Roman"/>
      <w:color w:val="000000"/>
      <w:kern w:val="0"/>
      <w:sz w:val="22"/>
      <w:szCs w:val="20"/>
      <w:lang w:bidi="ar-SA"/>
    </w:rPr>
  </w:style>
  <w:style w:type="paragraph" w:customStyle="1" w:styleId="ChapterNumb">
    <w:name w:val="Chapter Numb"/>
    <w:basedOn w:val="Normal"/>
    <w:rsid w:val="00AE6E1D"/>
    <w:pPr>
      <w:widowControl w:val="0"/>
      <w:spacing w:before="0" w:after="0" w:line="600" w:lineRule="atLeast"/>
      <w:ind w:firstLine="720"/>
    </w:pPr>
    <w:rPr>
      <w:rFonts w:eastAsia="Times New Roman"/>
      <w:color w:val="000000"/>
      <w:kern w:val="0"/>
      <w:sz w:val="56"/>
      <w:szCs w:val="20"/>
      <w:lang w:bidi="ar-SA"/>
    </w:rPr>
  </w:style>
  <w:style w:type="paragraph" w:customStyle="1" w:styleId="ChapterTitl">
    <w:name w:val="Chapter Titl"/>
    <w:basedOn w:val="Normal"/>
    <w:rsid w:val="00AE6E1D"/>
    <w:pPr>
      <w:widowControl w:val="0"/>
      <w:spacing w:before="0" w:after="0" w:line="439" w:lineRule="atLeast"/>
      <w:ind w:firstLine="720"/>
    </w:pPr>
    <w:rPr>
      <w:rFonts w:eastAsia="Times New Roman"/>
      <w:color w:val="000000"/>
      <w:kern w:val="0"/>
      <w:sz w:val="40"/>
      <w:szCs w:val="20"/>
      <w:lang w:bidi="ar-SA"/>
    </w:rPr>
  </w:style>
  <w:style w:type="paragraph" w:customStyle="1" w:styleId="text">
    <w:name w:val="text"/>
    <w:basedOn w:val="Normal"/>
    <w:rsid w:val="00AE6E1D"/>
    <w:pPr>
      <w:widowControl w:val="0"/>
      <w:spacing w:before="0" w:after="0"/>
      <w:ind w:firstLine="439"/>
      <w:jc w:val="both"/>
    </w:pPr>
    <w:rPr>
      <w:rFonts w:eastAsia="Times New Roman"/>
      <w:color w:val="000000"/>
      <w:kern w:val="0"/>
      <w:sz w:val="22"/>
      <w:szCs w:val="20"/>
      <w:lang w:bidi="ar-SA"/>
    </w:rPr>
  </w:style>
  <w:style w:type="paragraph" w:customStyle="1" w:styleId="tocI">
    <w:name w:val="toc I."/>
    <w:basedOn w:val="Normal"/>
    <w:rsid w:val="00AE6E1D"/>
    <w:pPr>
      <w:widowControl w:val="0"/>
      <w:tabs>
        <w:tab w:val="left" w:pos="0"/>
        <w:tab w:val="right" w:pos="600"/>
        <w:tab w:val="left" w:pos="720"/>
        <w:tab w:val="right" w:leader="dot" w:pos="5520"/>
        <w:tab w:val="right" w:pos="6120"/>
        <w:tab w:val="right" w:pos="6956"/>
      </w:tabs>
      <w:spacing w:before="0" w:after="0"/>
      <w:ind w:firstLine="720"/>
    </w:pPr>
    <w:rPr>
      <w:rFonts w:eastAsia="Times New Roman"/>
      <w:color w:val="000000"/>
      <w:kern w:val="0"/>
      <w:sz w:val="22"/>
      <w:szCs w:val="20"/>
      <w:lang w:bidi="ar-SA"/>
    </w:rPr>
  </w:style>
  <w:style w:type="paragraph" w:customStyle="1" w:styleId="toc1A">
    <w:name w:val="toc1 A."/>
    <w:basedOn w:val="Normal"/>
    <w:rsid w:val="00AE6E1D"/>
    <w:pPr>
      <w:widowControl w:val="0"/>
      <w:tabs>
        <w:tab w:val="left" w:pos="1080"/>
        <w:tab w:val="right" w:leader="dot" w:pos="5520"/>
        <w:tab w:val="right" w:pos="6120"/>
        <w:tab w:val="right" w:pos="6956"/>
      </w:tabs>
      <w:spacing w:before="0" w:after="0"/>
      <w:ind w:left="1080" w:hanging="360"/>
    </w:pPr>
    <w:rPr>
      <w:rFonts w:eastAsia="Times New Roman"/>
      <w:color w:val="000000"/>
      <w:kern w:val="0"/>
      <w:sz w:val="22"/>
      <w:szCs w:val="20"/>
      <w:lang w:bidi="ar-SA"/>
    </w:rPr>
  </w:style>
  <w:style w:type="paragraph" w:customStyle="1" w:styleId="toc21">
    <w:name w:val="toc2 1."/>
    <w:basedOn w:val="Normal"/>
    <w:rsid w:val="00AE6E1D"/>
    <w:pPr>
      <w:widowControl w:val="0"/>
      <w:tabs>
        <w:tab w:val="left" w:pos="1380"/>
        <w:tab w:val="right" w:leader="dot" w:pos="5520"/>
        <w:tab w:val="right" w:pos="6120"/>
        <w:tab w:val="right" w:pos="6956"/>
      </w:tabs>
      <w:spacing w:before="0" w:after="0"/>
      <w:ind w:left="1380" w:hanging="300"/>
    </w:pPr>
    <w:rPr>
      <w:rFonts w:eastAsia="Times New Roman"/>
      <w:color w:val="000000"/>
      <w:kern w:val="0"/>
      <w:sz w:val="22"/>
      <w:szCs w:val="20"/>
      <w:lang w:bidi="ar-SA"/>
    </w:rPr>
  </w:style>
  <w:style w:type="paragraph" w:customStyle="1" w:styleId="1stLevelI">
    <w:name w:val="1st Level I."/>
    <w:basedOn w:val="Normal"/>
    <w:rsid w:val="00AE6E1D"/>
    <w:pPr>
      <w:widowControl w:val="0"/>
      <w:spacing w:before="0" w:after="0" w:line="259" w:lineRule="atLeast"/>
      <w:ind w:firstLine="720"/>
      <w:jc w:val="center"/>
    </w:pPr>
    <w:rPr>
      <w:rFonts w:eastAsia="Times New Roman"/>
      <w:smallCaps/>
      <w:color w:val="000000"/>
      <w:kern w:val="0"/>
      <w:szCs w:val="20"/>
      <w:lang w:bidi="ar-SA"/>
    </w:rPr>
  </w:style>
  <w:style w:type="paragraph" w:customStyle="1" w:styleId="2ndLevelA">
    <w:name w:val="2nd Level A."/>
    <w:basedOn w:val="Normal"/>
    <w:rsid w:val="00AE6E1D"/>
    <w:pPr>
      <w:widowControl w:val="0"/>
      <w:tabs>
        <w:tab w:val="left" w:pos="0"/>
        <w:tab w:val="left" w:pos="360"/>
        <w:tab w:val="left" w:pos="720"/>
        <w:tab w:val="left" w:pos="1440"/>
        <w:tab w:val="left" w:pos="2160"/>
        <w:tab w:val="left" w:pos="2880"/>
        <w:tab w:val="left" w:pos="3600"/>
        <w:tab w:val="left" w:pos="4320"/>
        <w:tab w:val="left" w:pos="5040"/>
        <w:tab w:val="left" w:pos="5760"/>
      </w:tabs>
      <w:spacing w:before="0" w:after="0" w:line="259" w:lineRule="atLeast"/>
      <w:ind w:firstLine="720"/>
    </w:pPr>
    <w:rPr>
      <w:rFonts w:eastAsia="Times New Roman"/>
      <w:b/>
      <w:color w:val="000000"/>
      <w:kern w:val="0"/>
      <w:szCs w:val="20"/>
      <w:lang w:bidi="ar-SA"/>
    </w:rPr>
  </w:style>
  <w:style w:type="paragraph" w:customStyle="1" w:styleId="2ndLevel1">
    <w:name w:val="2nd Level /1"/>
    <w:basedOn w:val="Normal"/>
    <w:rsid w:val="00AE6E1D"/>
    <w:pPr>
      <w:widowControl w:val="0"/>
      <w:tabs>
        <w:tab w:val="left" w:pos="0"/>
        <w:tab w:val="left" w:pos="360"/>
        <w:tab w:val="left" w:pos="720"/>
        <w:tab w:val="left" w:pos="1440"/>
        <w:tab w:val="left" w:pos="2160"/>
        <w:tab w:val="left" w:pos="2880"/>
        <w:tab w:val="left" w:pos="3600"/>
        <w:tab w:val="left" w:pos="4320"/>
        <w:tab w:val="left" w:pos="5040"/>
        <w:tab w:val="left" w:pos="5760"/>
      </w:tabs>
      <w:spacing w:before="0" w:after="0" w:line="259" w:lineRule="atLeast"/>
      <w:ind w:firstLine="720"/>
    </w:pPr>
    <w:rPr>
      <w:rFonts w:eastAsia="Times New Roman"/>
      <w:b/>
      <w:color w:val="000000"/>
      <w:kern w:val="0"/>
      <w:szCs w:val="20"/>
      <w:lang w:bidi="ar-SA"/>
    </w:rPr>
  </w:style>
  <w:style w:type="paragraph" w:customStyle="1" w:styleId="3rdLevel1">
    <w:name w:val="3rd Level 1."/>
    <w:basedOn w:val="Normal"/>
    <w:rsid w:val="00AE6E1D"/>
    <w:pPr>
      <w:widowControl w:val="0"/>
      <w:tabs>
        <w:tab w:val="left" w:pos="0"/>
        <w:tab w:val="left" w:pos="360"/>
        <w:tab w:val="left" w:pos="720"/>
        <w:tab w:val="left" w:pos="1440"/>
        <w:tab w:val="left" w:pos="2160"/>
        <w:tab w:val="left" w:pos="2880"/>
        <w:tab w:val="left" w:pos="3600"/>
        <w:tab w:val="left" w:pos="4320"/>
        <w:tab w:val="left" w:pos="5040"/>
        <w:tab w:val="left" w:pos="5760"/>
      </w:tabs>
      <w:spacing w:before="0" w:after="0"/>
      <w:ind w:firstLine="720"/>
    </w:pPr>
    <w:rPr>
      <w:rFonts w:eastAsia="Times New Roman"/>
      <w:b/>
      <w:i/>
      <w:color w:val="000000"/>
      <w:kern w:val="0"/>
      <w:sz w:val="22"/>
      <w:szCs w:val="20"/>
      <w:lang w:bidi="ar-SA"/>
    </w:rPr>
  </w:style>
  <w:style w:type="paragraph" w:customStyle="1" w:styleId="3rdLevel2">
    <w:name w:val="3rd Level /2"/>
    <w:basedOn w:val="Normal"/>
    <w:rsid w:val="00AE6E1D"/>
    <w:pPr>
      <w:widowControl w:val="0"/>
      <w:tabs>
        <w:tab w:val="left" w:pos="0"/>
        <w:tab w:val="left" w:pos="360"/>
        <w:tab w:val="left" w:pos="720"/>
        <w:tab w:val="left" w:pos="1440"/>
        <w:tab w:val="left" w:pos="2160"/>
        <w:tab w:val="left" w:pos="2880"/>
        <w:tab w:val="left" w:pos="3600"/>
        <w:tab w:val="left" w:pos="4320"/>
        <w:tab w:val="left" w:pos="5040"/>
        <w:tab w:val="left" w:pos="5760"/>
      </w:tabs>
      <w:spacing w:before="0" w:after="0"/>
      <w:ind w:firstLine="720"/>
    </w:pPr>
    <w:rPr>
      <w:rFonts w:eastAsia="Times New Roman"/>
      <w:b/>
      <w:i/>
      <w:color w:val="000000"/>
      <w:kern w:val="0"/>
      <w:sz w:val="22"/>
      <w:szCs w:val="20"/>
      <w:lang w:bidi="ar-SA"/>
    </w:rPr>
  </w:style>
  <w:style w:type="paragraph" w:customStyle="1" w:styleId="blockquote">
    <w:name w:val="block quote"/>
    <w:basedOn w:val="Normal"/>
    <w:rsid w:val="00AE6E1D"/>
    <w:pPr>
      <w:widowControl w:val="0"/>
      <w:tabs>
        <w:tab w:val="left" w:pos="400"/>
        <w:tab w:val="left" w:pos="720"/>
        <w:tab w:val="left" w:pos="1440"/>
        <w:tab w:val="left" w:pos="2160"/>
        <w:tab w:val="left" w:pos="2880"/>
        <w:tab w:val="left" w:pos="3600"/>
        <w:tab w:val="left" w:pos="4320"/>
        <w:tab w:val="left" w:pos="5040"/>
        <w:tab w:val="left" w:pos="5760"/>
      </w:tabs>
      <w:spacing w:before="0" w:after="0" w:line="199" w:lineRule="atLeast"/>
      <w:ind w:left="400" w:firstLine="720"/>
      <w:jc w:val="both"/>
    </w:pPr>
    <w:rPr>
      <w:rFonts w:eastAsia="Times New Roman"/>
      <w:color w:val="000000"/>
      <w:kern w:val="0"/>
      <w:szCs w:val="20"/>
      <w:lang w:bidi="ar-SA"/>
    </w:rPr>
  </w:style>
  <w:style w:type="paragraph" w:customStyle="1" w:styleId="textflush">
    <w:name w:val="text flush"/>
    <w:basedOn w:val="Normal"/>
    <w:rsid w:val="00AE6E1D"/>
    <w:pPr>
      <w:widowControl w:val="0"/>
      <w:spacing w:before="0" w:after="0"/>
      <w:ind w:firstLine="720"/>
      <w:jc w:val="both"/>
    </w:pPr>
    <w:rPr>
      <w:rFonts w:eastAsia="Times New Roman"/>
      <w:color w:val="000000"/>
      <w:kern w:val="0"/>
      <w:sz w:val="22"/>
      <w:szCs w:val="20"/>
      <w:lang w:bidi="ar-SA"/>
    </w:rPr>
  </w:style>
  <w:style w:type="paragraph" w:customStyle="1" w:styleId="TableTitle">
    <w:name w:val="Table Title"/>
    <w:basedOn w:val="Normal"/>
    <w:rsid w:val="00AE6E1D"/>
    <w:pPr>
      <w:widowControl w:val="0"/>
      <w:spacing w:before="0" w:after="0"/>
      <w:ind w:firstLine="720"/>
    </w:pPr>
    <w:rPr>
      <w:rFonts w:eastAsia="Times New Roman"/>
      <w:b/>
      <w:color w:val="000000"/>
      <w:kern w:val="0"/>
      <w:sz w:val="22"/>
      <w:szCs w:val="20"/>
      <w:lang w:bidi="ar-SA"/>
    </w:rPr>
  </w:style>
  <w:style w:type="paragraph" w:customStyle="1" w:styleId="footnote">
    <w:name w:val="footnote"/>
    <w:basedOn w:val="Normal"/>
    <w:uiPriority w:val="99"/>
    <w:qFormat/>
    <w:rsid w:val="00AE6E1D"/>
    <w:pPr>
      <w:widowControl w:val="0"/>
      <w:spacing w:before="0" w:after="0" w:line="180" w:lineRule="atLeast"/>
      <w:ind w:firstLine="319"/>
      <w:jc w:val="both"/>
    </w:pPr>
    <w:rPr>
      <w:rFonts w:eastAsia="Times New Roman"/>
      <w:color w:val="000000"/>
      <w:kern w:val="0"/>
      <w:sz w:val="16"/>
      <w:szCs w:val="20"/>
      <w:lang w:bidi="ar-SA"/>
    </w:rPr>
  </w:style>
  <w:style w:type="paragraph" w:customStyle="1" w:styleId="footnotein1">
    <w:name w:val="footnote in1"/>
    <w:basedOn w:val="Normal"/>
    <w:rsid w:val="00AE6E1D"/>
    <w:pPr>
      <w:widowControl w:val="0"/>
      <w:tabs>
        <w:tab w:val="left" w:pos="319"/>
        <w:tab w:val="left" w:pos="720"/>
        <w:tab w:val="left" w:pos="1440"/>
        <w:tab w:val="left" w:pos="2160"/>
        <w:tab w:val="left" w:pos="2880"/>
        <w:tab w:val="left" w:pos="3600"/>
        <w:tab w:val="left" w:pos="4320"/>
        <w:tab w:val="left" w:pos="5040"/>
        <w:tab w:val="left" w:pos="5760"/>
      </w:tabs>
      <w:spacing w:before="0" w:after="0" w:line="180" w:lineRule="atLeast"/>
      <w:ind w:left="319" w:firstLine="720"/>
      <w:jc w:val="both"/>
    </w:pPr>
    <w:rPr>
      <w:rFonts w:eastAsia="Times New Roman"/>
      <w:color w:val="000000"/>
      <w:kern w:val="0"/>
      <w:sz w:val="16"/>
      <w:szCs w:val="20"/>
      <w:lang w:bidi="ar-SA"/>
    </w:rPr>
  </w:style>
  <w:style w:type="paragraph" w:customStyle="1" w:styleId="footnoteind">
    <w:name w:val="footnote ind"/>
    <w:basedOn w:val="Normal"/>
    <w:rsid w:val="00AE6E1D"/>
    <w:pPr>
      <w:widowControl w:val="0"/>
      <w:tabs>
        <w:tab w:val="left" w:pos="319"/>
        <w:tab w:val="left" w:pos="720"/>
        <w:tab w:val="left" w:pos="1440"/>
        <w:tab w:val="left" w:pos="2160"/>
        <w:tab w:val="left" w:pos="2880"/>
        <w:tab w:val="left" w:pos="3600"/>
        <w:tab w:val="left" w:pos="4320"/>
        <w:tab w:val="left" w:pos="5040"/>
        <w:tab w:val="left" w:pos="5760"/>
      </w:tabs>
      <w:spacing w:before="0" w:after="0" w:line="180" w:lineRule="atLeast"/>
      <w:ind w:left="319" w:firstLine="319"/>
      <w:jc w:val="both"/>
    </w:pPr>
    <w:rPr>
      <w:rFonts w:eastAsia="Times New Roman"/>
      <w:color w:val="000000"/>
      <w:kern w:val="0"/>
      <w:sz w:val="16"/>
      <w:szCs w:val="20"/>
      <w:lang w:bidi="ar-SA"/>
    </w:rPr>
  </w:style>
  <w:style w:type="paragraph" w:customStyle="1" w:styleId="footnotepar">
    <w:name w:val="footnote par"/>
    <w:basedOn w:val="Normal"/>
    <w:rsid w:val="00AE6E1D"/>
    <w:pPr>
      <w:widowControl w:val="0"/>
      <w:spacing w:before="0" w:after="0" w:line="180" w:lineRule="atLeast"/>
      <w:ind w:firstLine="319"/>
      <w:jc w:val="both"/>
    </w:pPr>
    <w:rPr>
      <w:rFonts w:eastAsia="Times New Roman"/>
      <w:color w:val="000000"/>
      <w:kern w:val="0"/>
      <w:sz w:val="16"/>
      <w:szCs w:val="20"/>
      <w:lang w:bidi="ar-SA"/>
    </w:rPr>
  </w:style>
  <w:style w:type="paragraph" w:customStyle="1" w:styleId="bulletlist">
    <w:name w:val="bullet list"/>
    <w:basedOn w:val="Normal"/>
    <w:rsid w:val="00AE6E1D"/>
    <w:pPr>
      <w:widowControl w:val="0"/>
      <w:tabs>
        <w:tab w:val="left" w:pos="619"/>
        <w:tab w:val="left" w:pos="720"/>
        <w:tab w:val="left" w:pos="1440"/>
        <w:tab w:val="left" w:pos="2160"/>
        <w:tab w:val="left" w:pos="2880"/>
        <w:tab w:val="left" w:pos="3600"/>
        <w:tab w:val="left" w:pos="4320"/>
        <w:tab w:val="left" w:pos="5040"/>
        <w:tab w:val="left" w:pos="5760"/>
      </w:tabs>
      <w:spacing w:before="0" w:after="0" w:line="199" w:lineRule="atLeast"/>
      <w:ind w:left="619" w:hanging="180"/>
      <w:jc w:val="both"/>
    </w:pPr>
    <w:rPr>
      <w:rFonts w:eastAsia="Times New Roman"/>
      <w:color w:val="000000"/>
      <w:kern w:val="0"/>
      <w:szCs w:val="20"/>
      <w:lang w:bidi="ar-SA"/>
    </w:rPr>
  </w:style>
  <w:style w:type="paragraph" w:customStyle="1" w:styleId="tabletext">
    <w:name w:val="table text"/>
    <w:basedOn w:val="Normal"/>
    <w:rsid w:val="00AE6E1D"/>
    <w:pPr>
      <w:widowControl w:val="0"/>
      <w:spacing w:before="0" w:after="0" w:line="199" w:lineRule="atLeast"/>
      <w:ind w:firstLine="720"/>
    </w:pPr>
    <w:rPr>
      <w:rFonts w:eastAsia="Times New Roman"/>
      <w:color w:val="000000"/>
      <w:kern w:val="0"/>
      <w:szCs w:val="20"/>
      <w:lang w:bidi="ar-SA"/>
    </w:rPr>
  </w:style>
  <w:style w:type="character" w:customStyle="1" w:styleId="superscript">
    <w:name w:val="superscript"/>
    <w:rsid w:val="00AE6E1D"/>
    <w:rPr>
      <w:vertAlign w:val="superscript"/>
    </w:rPr>
  </w:style>
  <w:style w:type="paragraph" w:customStyle="1" w:styleId="Body1">
    <w:name w:val="Body 1"/>
    <w:rsid w:val="00AE6E1D"/>
    <w:pPr>
      <w:spacing w:before="0" w:after="200" w:line="276" w:lineRule="auto"/>
    </w:pPr>
    <w:rPr>
      <w:rFonts w:ascii="Helvetica" w:eastAsia="Arial Unicode MS" w:hAnsi="Helvetica"/>
      <w:color w:val="000000"/>
      <w:kern w:val="0"/>
      <w:szCs w:val="22"/>
      <w:lang w:bidi="ar-SA"/>
    </w:rPr>
  </w:style>
  <w:style w:type="paragraph" w:customStyle="1" w:styleId="BNAFootnote">
    <w:name w:val="BNA Footnote"/>
    <w:basedOn w:val="FootnoteText"/>
    <w:link w:val="BNAFootnoteChar"/>
    <w:rsid w:val="00AE6E1D"/>
    <w:pPr>
      <w:spacing w:before="0" w:after="0"/>
      <w:contextualSpacing w:val="0"/>
    </w:pPr>
  </w:style>
  <w:style w:type="character" w:customStyle="1" w:styleId="BNAFootnoteChar">
    <w:name w:val="BNA Footnote Char"/>
    <w:link w:val="BNAFootnote"/>
    <w:rsid w:val="00AE6E1D"/>
    <w:rPr>
      <w:rFonts w:eastAsia="Times New Roman"/>
      <w:kern w:val="0"/>
      <w:sz w:val="20"/>
      <w:szCs w:val="20"/>
      <w:lang w:bidi="ar-SA"/>
    </w:rPr>
  </w:style>
  <w:style w:type="paragraph" w:customStyle="1" w:styleId="TOC10">
    <w:name w:val="TOC1"/>
    <w:basedOn w:val="tocI"/>
    <w:link w:val="TOC1Char"/>
    <w:qFormat/>
    <w:rsid w:val="00AE6E1D"/>
    <w:pPr>
      <w:spacing w:line="240" w:lineRule="atLeast"/>
    </w:pPr>
    <w:rPr>
      <w:sz w:val="24"/>
      <w:szCs w:val="24"/>
    </w:rPr>
  </w:style>
  <w:style w:type="character" w:customStyle="1" w:styleId="TOC1Char">
    <w:name w:val="TOC1 Char"/>
    <w:link w:val="TOC10"/>
    <w:rsid w:val="00AE6E1D"/>
    <w:rPr>
      <w:rFonts w:eastAsia="Times New Roman"/>
      <w:color w:val="000000"/>
      <w:kern w:val="0"/>
      <w:lang w:bidi="ar-SA"/>
    </w:rPr>
  </w:style>
  <w:style w:type="paragraph" w:customStyle="1" w:styleId="TOC20">
    <w:name w:val="TOC2"/>
    <w:basedOn w:val="tocI"/>
    <w:link w:val="TOC2Char"/>
    <w:qFormat/>
    <w:rsid w:val="00AE6E1D"/>
    <w:pPr>
      <w:ind w:left="720" w:hanging="360"/>
    </w:pPr>
    <w:rPr>
      <w:sz w:val="24"/>
      <w:szCs w:val="24"/>
    </w:rPr>
  </w:style>
  <w:style w:type="character" w:customStyle="1" w:styleId="TOC2Char">
    <w:name w:val="TOC2 Char"/>
    <w:link w:val="TOC20"/>
    <w:rsid w:val="00AE6E1D"/>
    <w:rPr>
      <w:rFonts w:eastAsia="Times New Roman"/>
      <w:color w:val="000000"/>
      <w:kern w:val="0"/>
      <w:lang w:bidi="ar-SA"/>
    </w:rPr>
  </w:style>
  <w:style w:type="paragraph" w:customStyle="1" w:styleId="TOC30">
    <w:name w:val="TOC3"/>
    <w:basedOn w:val="tocI"/>
    <w:link w:val="TOC3Char"/>
    <w:qFormat/>
    <w:rsid w:val="00AE6E1D"/>
    <w:pPr>
      <w:ind w:left="1080" w:hanging="360"/>
    </w:pPr>
    <w:rPr>
      <w:sz w:val="24"/>
      <w:szCs w:val="24"/>
    </w:rPr>
  </w:style>
  <w:style w:type="character" w:customStyle="1" w:styleId="TOC3Char">
    <w:name w:val="TOC3 Char"/>
    <w:link w:val="TOC30"/>
    <w:rsid w:val="00AE6E1D"/>
    <w:rPr>
      <w:rFonts w:eastAsia="Times New Roman"/>
      <w:color w:val="000000"/>
      <w:kern w:val="0"/>
      <w:lang w:bidi="ar-SA"/>
    </w:rPr>
  </w:style>
  <w:style w:type="paragraph" w:customStyle="1" w:styleId="Head1">
    <w:name w:val="Head1"/>
    <w:basedOn w:val="1stLevelI"/>
    <w:link w:val="Head1Char"/>
    <w:qFormat/>
    <w:rsid w:val="00AE6E1D"/>
    <w:pPr>
      <w:tabs>
        <w:tab w:val="left" w:pos="0"/>
        <w:tab w:val="left" w:pos="720"/>
        <w:tab w:val="left" w:pos="1440"/>
        <w:tab w:val="left" w:pos="2160"/>
        <w:tab w:val="left" w:pos="2880"/>
        <w:tab w:val="left" w:pos="3600"/>
        <w:tab w:val="left" w:pos="4320"/>
        <w:tab w:val="left" w:pos="5040"/>
        <w:tab w:val="left" w:pos="5760"/>
      </w:tabs>
      <w:spacing w:line="240" w:lineRule="auto"/>
    </w:pPr>
  </w:style>
  <w:style w:type="character" w:customStyle="1" w:styleId="Head1Char">
    <w:name w:val="Head1 Char"/>
    <w:link w:val="Head1"/>
    <w:rsid w:val="00AE6E1D"/>
    <w:rPr>
      <w:rFonts w:eastAsia="Times New Roman"/>
      <w:smallCaps/>
      <w:color w:val="000000"/>
      <w:kern w:val="0"/>
      <w:szCs w:val="20"/>
      <w:lang w:bidi="ar-SA"/>
    </w:rPr>
  </w:style>
  <w:style w:type="paragraph" w:customStyle="1" w:styleId="Head2">
    <w:name w:val="Head2"/>
    <w:basedOn w:val="2ndLevelA"/>
    <w:link w:val="Head2Char"/>
    <w:qFormat/>
    <w:rsid w:val="00AE6E1D"/>
    <w:pPr>
      <w:spacing w:line="240" w:lineRule="auto"/>
      <w:ind w:left="360" w:hanging="360"/>
    </w:pPr>
  </w:style>
  <w:style w:type="character" w:customStyle="1" w:styleId="Head2Char">
    <w:name w:val="Head2 Char"/>
    <w:link w:val="Head2"/>
    <w:rsid w:val="00AE6E1D"/>
    <w:rPr>
      <w:rFonts w:eastAsia="Times New Roman"/>
      <w:b/>
      <w:color w:val="000000"/>
      <w:kern w:val="0"/>
      <w:szCs w:val="20"/>
      <w:lang w:bidi="ar-SA"/>
    </w:rPr>
  </w:style>
  <w:style w:type="paragraph" w:customStyle="1" w:styleId="Head3">
    <w:name w:val="Head3"/>
    <w:basedOn w:val="3rdLevel1"/>
    <w:link w:val="Head3Char"/>
    <w:qFormat/>
    <w:rsid w:val="00AE6E1D"/>
    <w:rPr>
      <w:sz w:val="24"/>
      <w:szCs w:val="24"/>
    </w:rPr>
  </w:style>
  <w:style w:type="character" w:customStyle="1" w:styleId="Head3Char">
    <w:name w:val="Head3 Char"/>
    <w:link w:val="Head3"/>
    <w:rsid w:val="00AE6E1D"/>
    <w:rPr>
      <w:rFonts w:eastAsia="Times New Roman"/>
      <w:b/>
      <w:i/>
      <w:color w:val="000000"/>
      <w:kern w:val="0"/>
      <w:lang w:bidi="ar-SA"/>
    </w:rPr>
  </w:style>
  <w:style w:type="paragraph" w:customStyle="1" w:styleId="BlockQuote0">
    <w:name w:val="Block Quote"/>
    <w:basedOn w:val="Normal"/>
    <w:link w:val="BlockQuoteChar"/>
    <w:rsid w:val="00AE6E1D"/>
    <w:pPr>
      <w:spacing w:before="0" w:after="0"/>
      <w:ind w:left="720"/>
    </w:pPr>
    <w:rPr>
      <w:rFonts w:eastAsia="Times New Roman"/>
      <w:kern w:val="0"/>
      <w:sz w:val="20"/>
      <w:lang w:bidi="ar-SA"/>
    </w:rPr>
  </w:style>
  <w:style w:type="character" w:customStyle="1" w:styleId="BlockQuoteChar">
    <w:name w:val="Block Quote Char"/>
    <w:link w:val="BlockQuote0"/>
    <w:rsid w:val="00AE6E1D"/>
    <w:rPr>
      <w:rFonts w:eastAsia="Times New Roman"/>
      <w:kern w:val="0"/>
      <w:sz w:val="20"/>
      <w:lang w:bidi="ar-SA"/>
    </w:rPr>
  </w:style>
  <w:style w:type="paragraph" w:customStyle="1" w:styleId="Head4">
    <w:name w:val="Head4"/>
    <w:basedOn w:val="TOC30"/>
    <w:link w:val="Head4Char"/>
    <w:rsid w:val="00AE6E1D"/>
    <w:pPr>
      <w:ind w:left="720"/>
    </w:pPr>
    <w:rPr>
      <w:i/>
      <w:color w:val="auto"/>
    </w:rPr>
  </w:style>
  <w:style w:type="character" w:customStyle="1" w:styleId="Head4Char">
    <w:name w:val="Head4 Char"/>
    <w:link w:val="Head4"/>
    <w:rsid w:val="00AE6E1D"/>
    <w:rPr>
      <w:rFonts w:eastAsia="Times New Roman"/>
      <w:i/>
      <w:kern w:val="0"/>
      <w:lang w:bidi="ar-SA"/>
    </w:rPr>
  </w:style>
  <w:style w:type="paragraph" w:customStyle="1" w:styleId="ChapterTitle">
    <w:name w:val="Chapter Title"/>
    <w:basedOn w:val="TOC10"/>
    <w:link w:val="ChapterTitleChar"/>
    <w:rsid w:val="00AE6E1D"/>
    <w:rPr>
      <w:color w:val="auto"/>
      <w:sz w:val="40"/>
      <w:szCs w:val="40"/>
    </w:rPr>
  </w:style>
  <w:style w:type="character" w:customStyle="1" w:styleId="ChapterTitleChar">
    <w:name w:val="Chapter Title Char"/>
    <w:link w:val="ChapterTitle"/>
    <w:rsid w:val="00AE6E1D"/>
    <w:rPr>
      <w:rFonts w:eastAsia="Times New Roman"/>
      <w:kern w:val="0"/>
      <w:sz w:val="40"/>
      <w:szCs w:val="40"/>
      <w:lang w:bidi="ar-SA"/>
    </w:rPr>
  </w:style>
  <w:style w:type="paragraph" w:customStyle="1" w:styleId="ChapterNum">
    <w:name w:val="ChapterNum"/>
    <w:basedOn w:val="TOC10"/>
    <w:link w:val="ChapterNumChar"/>
    <w:rsid w:val="00AE6E1D"/>
    <w:rPr>
      <w:color w:val="auto"/>
      <w:sz w:val="56"/>
      <w:szCs w:val="56"/>
    </w:rPr>
  </w:style>
  <w:style w:type="character" w:customStyle="1" w:styleId="ChapterNumChar">
    <w:name w:val="ChapterNum Char"/>
    <w:link w:val="ChapterNum"/>
    <w:rsid w:val="00AE6E1D"/>
    <w:rPr>
      <w:rFonts w:eastAsia="Times New Roman"/>
      <w:kern w:val="0"/>
      <w:sz w:val="56"/>
      <w:szCs w:val="56"/>
      <w:lang w:bidi="ar-SA"/>
    </w:rPr>
  </w:style>
  <w:style w:type="paragraph" w:customStyle="1" w:styleId="BlockQuote1">
    <w:name w:val="BlockQuote"/>
    <w:basedOn w:val="blockquote"/>
    <w:link w:val="BlockQuoteChar0"/>
    <w:qFormat/>
    <w:rsid w:val="00AE6E1D"/>
    <w:pPr>
      <w:spacing w:line="240" w:lineRule="auto"/>
      <w:ind w:left="720" w:firstLine="0"/>
      <w:jc w:val="left"/>
    </w:pPr>
    <w:rPr>
      <w:sz w:val="22"/>
    </w:rPr>
  </w:style>
  <w:style w:type="character" w:customStyle="1" w:styleId="BlockQuoteChar0">
    <w:name w:val="BlockQuote Char"/>
    <w:link w:val="BlockQuote1"/>
    <w:rsid w:val="00AE6E1D"/>
    <w:rPr>
      <w:rFonts w:eastAsia="Times New Roman"/>
      <w:color w:val="000000"/>
      <w:kern w:val="0"/>
      <w:sz w:val="22"/>
      <w:szCs w:val="20"/>
      <w:lang w:bidi="ar-SA"/>
    </w:rPr>
  </w:style>
  <w:style w:type="paragraph" w:customStyle="1" w:styleId="Style2">
    <w:name w:val="Style2"/>
    <w:basedOn w:val="footnote"/>
    <w:rsid w:val="00AE6E1D"/>
    <w:pPr>
      <w:widowControl/>
      <w:tabs>
        <w:tab w:val="left" w:pos="0"/>
        <w:tab w:val="left" w:pos="720"/>
        <w:tab w:val="left" w:pos="1440"/>
        <w:tab w:val="left" w:pos="2160"/>
        <w:tab w:val="left" w:pos="2880"/>
        <w:tab w:val="left" w:pos="3600"/>
        <w:tab w:val="left" w:pos="4320"/>
        <w:tab w:val="left" w:pos="5040"/>
        <w:tab w:val="left" w:pos="5760"/>
      </w:tabs>
      <w:spacing w:line="240" w:lineRule="auto"/>
      <w:ind w:firstLine="720"/>
      <w:jc w:val="left"/>
    </w:pPr>
    <w:rPr>
      <w:sz w:val="20"/>
      <w:vertAlign w:val="superscript"/>
    </w:rPr>
  </w:style>
  <w:style w:type="paragraph" w:customStyle="1" w:styleId="FootnoteTMD">
    <w:name w:val="FootnoteTMD"/>
    <w:basedOn w:val="footnote"/>
    <w:qFormat/>
    <w:rsid w:val="00AE6E1D"/>
    <w:pPr>
      <w:widowControl/>
      <w:tabs>
        <w:tab w:val="left" w:pos="-720"/>
        <w:tab w:val="left" w:pos="0"/>
        <w:tab w:val="left" w:pos="720"/>
        <w:tab w:val="left" w:pos="1440"/>
        <w:tab w:val="left" w:pos="2160"/>
        <w:tab w:val="left" w:pos="2880"/>
        <w:tab w:val="left" w:pos="3600"/>
        <w:tab w:val="left" w:pos="4320"/>
        <w:tab w:val="left" w:pos="5040"/>
        <w:tab w:val="left" w:pos="5760"/>
      </w:tabs>
      <w:spacing w:line="240" w:lineRule="auto"/>
      <w:ind w:firstLine="720"/>
      <w:jc w:val="left"/>
    </w:pPr>
    <w:rPr>
      <w:sz w:val="20"/>
    </w:rPr>
  </w:style>
  <w:style w:type="paragraph" w:customStyle="1" w:styleId="TMDFootnote">
    <w:name w:val="TMDFootnote"/>
    <w:basedOn w:val="footnote"/>
    <w:qFormat/>
    <w:rsid w:val="00AE6E1D"/>
    <w:pPr>
      <w:spacing w:line="240" w:lineRule="auto"/>
      <w:ind w:firstLine="720"/>
      <w:jc w:val="left"/>
    </w:pPr>
    <w:rPr>
      <w:sz w:val="20"/>
    </w:rPr>
  </w:style>
  <w:style w:type="paragraph" w:customStyle="1" w:styleId="toc11">
    <w:name w:val="toc1"/>
    <w:basedOn w:val="text"/>
    <w:uiPriority w:val="99"/>
    <w:rsid w:val="00AE6E1D"/>
    <w:pPr>
      <w:widowControl/>
      <w:tabs>
        <w:tab w:val="right" w:pos="480"/>
        <w:tab w:val="left" w:pos="600"/>
        <w:tab w:val="right" w:leader="dot" w:pos="6360"/>
        <w:tab w:val="right" w:pos="6960"/>
      </w:tabs>
      <w:autoSpaceDE w:val="0"/>
      <w:autoSpaceDN w:val="0"/>
      <w:adjustRightInd w:val="0"/>
      <w:spacing w:line="240" w:lineRule="atLeast"/>
      <w:ind w:left="600" w:hanging="600"/>
      <w:jc w:val="left"/>
      <w:textAlignment w:val="center"/>
    </w:pPr>
    <w:rPr>
      <w:rFonts w:ascii="ITC New Baskerville Std" w:hAnsi="ITC New Baskerville Std" w:cs="ITC New Baskerville Std"/>
      <w:szCs w:val="22"/>
    </w:rPr>
  </w:style>
  <w:style w:type="paragraph" w:customStyle="1" w:styleId="toc22">
    <w:name w:val="toc2"/>
    <w:basedOn w:val="toc11"/>
    <w:uiPriority w:val="99"/>
    <w:rsid w:val="00AE6E1D"/>
    <w:pPr>
      <w:tabs>
        <w:tab w:val="clear" w:pos="480"/>
        <w:tab w:val="clear" w:pos="600"/>
        <w:tab w:val="left" w:pos="960"/>
      </w:tabs>
      <w:ind w:left="960" w:hanging="360"/>
    </w:pPr>
  </w:style>
  <w:style w:type="paragraph" w:customStyle="1" w:styleId="toc31">
    <w:name w:val="toc3"/>
    <w:basedOn w:val="toc22"/>
    <w:uiPriority w:val="99"/>
    <w:rsid w:val="00AE6E1D"/>
    <w:pPr>
      <w:tabs>
        <w:tab w:val="clear" w:pos="960"/>
        <w:tab w:val="left" w:pos="1380"/>
        <w:tab w:val="left" w:pos="8900"/>
      </w:tabs>
      <w:ind w:left="1380" w:hanging="420"/>
    </w:pPr>
  </w:style>
  <w:style w:type="character" w:styleId="UnresolvedMention">
    <w:name w:val="Unresolved Mention"/>
    <w:basedOn w:val="DefaultParagraphFont"/>
    <w:uiPriority w:val="99"/>
    <w:semiHidden/>
    <w:unhideWhenUsed/>
    <w:rsid w:val="00AE6E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38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linkedin.com/in/welkowitz-david-76b34891"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deaccess.intdom.bna.com\share\programs\prod\templates\BPub_Pre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18B0316-30E0-4C62-B811-4DF11601388D}"/>
      </w:docPartPr>
      <w:docPartBody>
        <w:p w:rsidR="006B4D1A" w:rsidRDefault="006B4D1A">
          <w:r w:rsidRPr="004E33BB">
            <w:rPr>
              <w:rStyle w:val="PlaceholderText"/>
            </w:rPr>
            <w:t>Click or tap here to enter text.</w:t>
          </w:r>
        </w:p>
      </w:docPartBody>
    </w:docPart>
    <w:docPart>
      <w:docPartPr>
        <w:name w:val="93658E6C4C7B4CDEB056226602728860"/>
        <w:category>
          <w:name w:val="General"/>
          <w:gallery w:val="placeholder"/>
        </w:category>
        <w:types>
          <w:type w:val="bbPlcHdr"/>
        </w:types>
        <w:behaviors>
          <w:behavior w:val="content"/>
        </w:behaviors>
        <w:guid w:val="{49F6C9D3-B4A9-433D-B384-7EE89D9311BD}"/>
      </w:docPartPr>
      <w:docPartBody>
        <w:p w:rsidR="006B4D1A" w:rsidRDefault="006B4D1A">
          <w:r w:rsidRPr="004E33BB">
            <w:rPr>
              <w:rStyle w:val="PlaceholderText"/>
            </w:rPr>
            <w:t>Unit.Start</w:t>
          </w:r>
        </w:p>
      </w:docPartBody>
    </w:docPart>
    <w:docPart>
      <w:docPartPr>
        <w:name w:val="0A981BCFD93A4776AFEDC3BC321BE1C8"/>
        <w:category>
          <w:name w:val="General"/>
          <w:gallery w:val="placeholder"/>
        </w:category>
        <w:types>
          <w:type w:val="bbPlcHdr"/>
        </w:types>
        <w:behaviors>
          <w:behavior w:val="content"/>
        </w:behaviors>
        <w:guid w:val="{CA74F0D9-DA01-4394-9167-3E1D918E86C0}"/>
      </w:docPartPr>
      <w:docPartBody>
        <w:p w:rsidR="006B4D1A" w:rsidRDefault="006B4D1A">
          <w:r w:rsidRPr="004E33BB">
            <w:rPr>
              <w:rStyle w:val="PlaceholderText"/>
            </w:rPr>
            <w:t>Document</w:t>
          </w:r>
        </w:p>
      </w:docPartBody>
    </w:docPart>
    <w:docPart>
      <w:docPartPr>
        <w:name w:val="097DB180112C4163A313BFC184BA0226"/>
        <w:category>
          <w:name w:val="General"/>
          <w:gallery w:val="placeholder"/>
        </w:category>
        <w:types>
          <w:type w:val="bbPlcHdr"/>
        </w:types>
        <w:behaviors>
          <w:behavior w:val="content"/>
        </w:behaviors>
        <w:guid w:val="{942193E4-1093-4D92-98F7-D1F349AE10AC}"/>
      </w:docPartPr>
      <w:docPartBody>
        <w:p w:rsidR="006B4D1A" w:rsidRDefault="006B4D1A">
          <w:r w:rsidRPr="004E33BB">
            <w:rPr>
              <w:rStyle w:val="PlaceholderText"/>
            </w:rPr>
            <w:t>enter text</w:t>
          </w:r>
        </w:p>
      </w:docPartBody>
    </w:docPart>
    <w:docPart>
      <w:docPartPr>
        <w:name w:val="9789FC092D05453BA07075556A8354AD"/>
        <w:category>
          <w:name w:val="General"/>
          <w:gallery w:val="placeholder"/>
        </w:category>
        <w:types>
          <w:type w:val="bbPlcHdr"/>
        </w:types>
        <w:behaviors>
          <w:behavior w:val="content"/>
        </w:behaviors>
        <w:guid w:val="{CC43EAF3-2AA7-4727-B120-B15ADA2FE28D}"/>
      </w:docPartPr>
      <w:docPartBody>
        <w:p w:rsidR="006B4D1A" w:rsidRDefault="006B4D1A">
          <w:r w:rsidRPr="004E33BB">
            <w:rPr>
              <w:rStyle w:val="PlaceholderText"/>
            </w:rPr>
            <w:t>enter text</w:t>
          </w:r>
        </w:p>
      </w:docPartBody>
    </w:docPart>
    <w:docPart>
      <w:docPartPr>
        <w:name w:val="97B9C3D867334297B08305A938FD7CE9"/>
        <w:category>
          <w:name w:val="General"/>
          <w:gallery w:val="placeholder"/>
        </w:category>
        <w:types>
          <w:type w:val="bbPlcHdr"/>
        </w:types>
        <w:behaviors>
          <w:behavior w:val="content"/>
        </w:behaviors>
        <w:guid w:val="{1A0A9EAA-F690-4AA8-97E0-EA3B2F1341FF}"/>
      </w:docPartPr>
      <w:docPartBody>
        <w:p w:rsidR="006B4D1A" w:rsidRDefault="006B4D1A">
          <w:r w:rsidRPr="004E33BB">
            <w:rPr>
              <w:rStyle w:val="PlaceholderText"/>
            </w:rPr>
            <w:t>enter REQUIRED text</w:t>
          </w:r>
        </w:p>
      </w:docPartBody>
    </w:docPart>
    <w:docPart>
      <w:docPartPr>
        <w:name w:val="03FE16C41AC94E3B8287DBA8D05502A7"/>
        <w:category>
          <w:name w:val="General"/>
          <w:gallery w:val="placeholder"/>
        </w:category>
        <w:types>
          <w:type w:val="bbPlcHdr"/>
        </w:types>
        <w:behaviors>
          <w:behavior w:val="content"/>
        </w:behaviors>
        <w:guid w:val="{9D5CA8B3-8C8F-4396-A708-302DE4AA2395}"/>
      </w:docPartPr>
      <w:docPartBody>
        <w:p w:rsidR="006B4D1A" w:rsidRDefault="006B4D1A">
          <w:r w:rsidRPr="004E33BB">
            <w:rPr>
              <w:rStyle w:val="PlaceholderText"/>
            </w:rPr>
            <w:t>enter REQUIRED text</w:t>
          </w:r>
        </w:p>
      </w:docPartBody>
    </w:docPart>
    <w:docPart>
      <w:docPartPr>
        <w:name w:val="86C686B528654890BBD691E66904C2B4"/>
        <w:category>
          <w:name w:val="General"/>
          <w:gallery w:val="placeholder"/>
        </w:category>
        <w:types>
          <w:type w:val="bbPlcHdr"/>
        </w:types>
        <w:behaviors>
          <w:behavior w:val="content"/>
        </w:behaviors>
        <w:guid w:val="{38498293-C11B-4E8B-8A99-8D03002438C1}"/>
      </w:docPartPr>
      <w:docPartBody>
        <w:p w:rsidR="006B4D1A" w:rsidRDefault="006B4D1A">
          <w:r w:rsidRPr="004E33BB">
            <w:rPr>
              <w:rStyle w:val="PlaceholderText"/>
            </w:rPr>
            <w:t>enter text</w:t>
          </w:r>
        </w:p>
      </w:docPartBody>
    </w:docPart>
    <w:docPart>
      <w:docPartPr>
        <w:name w:val="FB899277F2BE46FB8495F449B16239E1"/>
        <w:category>
          <w:name w:val="General"/>
          <w:gallery w:val="placeholder"/>
        </w:category>
        <w:types>
          <w:type w:val="bbPlcHdr"/>
        </w:types>
        <w:behaviors>
          <w:behavior w:val="content"/>
        </w:behaviors>
        <w:guid w:val="{420FC330-E8A4-4AD7-8400-8E2266D7F910}"/>
      </w:docPartPr>
      <w:docPartBody>
        <w:p w:rsidR="006B4D1A" w:rsidRDefault="006B4D1A">
          <w:r w:rsidRPr="004E33BB">
            <w:rPr>
              <w:rStyle w:val="PlaceholderText"/>
            </w:rPr>
            <w:t>enter text</w:t>
          </w:r>
        </w:p>
      </w:docPartBody>
    </w:docPart>
    <w:docPart>
      <w:docPartPr>
        <w:name w:val="197CF779C86942F297AFCECD69B74B97"/>
        <w:category>
          <w:name w:val="General"/>
          <w:gallery w:val="placeholder"/>
        </w:category>
        <w:types>
          <w:type w:val="bbPlcHdr"/>
        </w:types>
        <w:behaviors>
          <w:behavior w:val="content"/>
        </w:behaviors>
        <w:guid w:val="{84E47BB4-0840-4893-9FF7-E8A61978A411}"/>
      </w:docPartPr>
      <w:docPartBody>
        <w:p w:rsidR="006B4D1A" w:rsidRDefault="006B4D1A">
          <w:r w:rsidRPr="004E33BB">
            <w:rPr>
              <w:rStyle w:val="PlaceholderText"/>
            </w:rPr>
            <w:t>enter text</w:t>
          </w:r>
        </w:p>
      </w:docPartBody>
    </w:docPart>
    <w:docPart>
      <w:docPartPr>
        <w:name w:val="28906F78138844B8BA0C444E34EF52E2"/>
        <w:category>
          <w:name w:val="General"/>
          <w:gallery w:val="placeholder"/>
        </w:category>
        <w:types>
          <w:type w:val="bbPlcHdr"/>
        </w:types>
        <w:behaviors>
          <w:behavior w:val="content"/>
        </w:behaviors>
        <w:guid w:val="{37BD1B91-AFFD-4F31-8E79-216DAF1C9A69}"/>
      </w:docPartPr>
      <w:docPartBody>
        <w:p w:rsidR="006B4D1A" w:rsidRDefault="006B4D1A">
          <w:r w:rsidRPr="004E33BB">
            <w:rPr>
              <w:rStyle w:val="PlaceholderText"/>
            </w:rPr>
            <w:t>enter text</w:t>
          </w:r>
        </w:p>
      </w:docPartBody>
    </w:docPart>
    <w:docPart>
      <w:docPartPr>
        <w:name w:val="325909C8F19F44C5A277C8D26E7FA585"/>
        <w:category>
          <w:name w:val="General"/>
          <w:gallery w:val="placeholder"/>
        </w:category>
        <w:types>
          <w:type w:val="bbPlcHdr"/>
        </w:types>
        <w:behaviors>
          <w:behavior w:val="content"/>
        </w:behaviors>
        <w:guid w:val="{7FB8BC6B-2FB2-409E-ABB4-24300298084C}"/>
      </w:docPartPr>
      <w:docPartBody>
        <w:p w:rsidR="006B4D1A" w:rsidRDefault="006B4D1A">
          <w:r w:rsidRPr="004E33BB">
            <w:rPr>
              <w:rStyle w:val="PlaceholderText"/>
            </w:rPr>
            <w:t>enter text</w:t>
          </w:r>
        </w:p>
      </w:docPartBody>
    </w:docPart>
    <w:docPart>
      <w:docPartPr>
        <w:name w:val="A2E0BCF85B3F4AE0B6E38218291B28AF"/>
        <w:category>
          <w:name w:val="General"/>
          <w:gallery w:val="placeholder"/>
        </w:category>
        <w:types>
          <w:type w:val="bbPlcHdr"/>
        </w:types>
        <w:behaviors>
          <w:behavior w:val="content"/>
        </w:behaviors>
        <w:guid w:val="{AC83FD0C-C7E5-4F8D-B868-9861F38D1B9E}"/>
      </w:docPartPr>
      <w:docPartBody>
        <w:p w:rsidR="006B4D1A" w:rsidRDefault="006B4D1A">
          <w:r w:rsidRPr="004E33BB">
            <w:rPr>
              <w:rStyle w:val="PlaceholderText"/>
            </w:rPr>
            <w:t>enter text</w:t>
          </w:r>
        </w:p>
      </w:docPartBody>
    </w:docPart>
    <w:docPart>
      <w:docPartPr>
        <w:name w:val="6CEBB1ADE5A3461591FA0F5A704BF1E5"/>
        <w:category>
          <w:name w:val="General"/>
          <w:gallery w:val="placeholder"/>
        </w:category>
        <w:types>
          <w:type w:val="bbPlcHdr"/>
        </w:types>
        <w:behaviors>
          <w:behavior w:val="content"/>
        </w:behaviors>
        <w:guid w:val="{4859B231-4100-475C-B413-AFFEDABE2ECE}"/>
      </w:docPartPr>
      <w:docPartBody>
        <w:p w:rsidR="006B4D1A" w:rsidRDefault="006B4D1A">
          <w:r w:rsidRPr="004E33BB">
            <w:rPr>
              <w:rStyle w:val="PlaceholderText"/>
            </w:rPr>
            <w:t>enter text</w:t>
          </w:r>
        </w:p>
      </w:docPartBody>
    </w:docPart>
    <w:docPart>
      <w:docPartPr>
        <w:name w:val="0ABCC144FFE84727A7541F6D61C81363"/>
        <w:category>
          <w:name w:val="General"/>
          <w:gallery w:val="placeholder"/>
        </w:category>
        <w:types>
          <w:type w:val="bbPlcHdr"/>
        </w:types>
        <w:behaviors>
          <w:behavior w:val="content"/>
        </w:behaviors>
        <w:guid w:val="{8FCFAE37-192C-4692-81B9-7497327B2203}"/>
      </w:docPartPr>
      <w:docPartBody>
        <w:p w:rsidR="006B4D1A" w:rsidRDefault="006B4D1A">
          <w:r w:rsidRPr="004E33BB">
            <w:rPr>
              <w:rStyle w:val="PlaceholderText"/>
            </w:rPr>
            <w:t>enter text</w:t>
          </w:r>
        </w:p>
      </w:docPartBody>
    </w:docPart>
    <w:docPart>
      <w:docPartPr>
        <w:name w:val="EE7D4165B99A4DF9AE5EA559EA5CFC9F"/>
        <w:category>
          <w:name w:val="General"/>
          <w:gallery w:val="placeholder"/>
        </w:category>
        <w:types>
          <w:type w:val="bbPlcHdr"/>
        </w:types>
        <w:behaviors>
          <w:behavior w:val="content"/>
        </w:behaviors>
        <w:guid w:val="{CF88D52A-2287-435F-8378-29C86285DFC8}"/>
      </w:docPartPr>
      <w:docPartBody>
        <w:p w:rsidR="006B4D1A" w:rsidRDefault="006B4D1A">
          <w:r w:rsidRPr="004E33BB">
            <w:rPr>
              <w:rStyle w:val="PlaceholderText"/>
            </w:rPr>
            <w:t>choose an item (REQUIRED)</w:t>
          </w:r>
        </w:p>
      </w:docPartBody>
    </w:docPart>
    <w:docPart>
      <w:docPartPr>
        <w:name w:val="6FD4650F9D474DD287C79E670508F939"/>
        <w:category>
          <w:name w:val="General"/>
          <w:gallery w:val="placeholder"/>
        </w:category>
        <w:types>
          <w:type w:val="bbPlcHdr"/>
        </w:types>
        <w:behaviors>
          <w:behavior w:val="content"/>
        </w:behaviors>
        <w:guid w:val="{D370962B-EFCF-41D9-88D4-069B608BB4B2}"/>
      </w:docPartPr>
      <w:docPartBody>
        <w:p w:rsidR="006B4D1A" w:rsidRDefault="006B4D1A">
          <w:r w:rsidRPr="004E33BB">
            <w:rPr>
              <w:rStyle w:val="PlaceholderText"/>
            </w:rPr>
            <w:t>enter text</w:t>
          </w:r>
        </w:p>
      </w:docPartBody>
    </w:docPart>
    <w:docPart>
      <w:docPartPr>
        <w:name w:val="6D826FD679CC42DB87693A97040D4E79"/>
        <w:category>
          <w:name w:val="General"/>
          <w:gallery w:val="placeholder"/>
        </w:category>
        <w:types>
          <w:type w:val="bbPlcHdr"/>
        </w:types>
        <w:behaviors>
          <w:behavior w:val="content"/>
        </w:behaviors>
        <w:guid w:val="{CB67DC58-8681-487E-998C-478B583C4F9A}"/>
      </w:docPartPr>
      <w:docPartBody>
        <w:p w:rsidR="006B4D1A" w:rsidRDefault="006B4D1A">
          <w:r w:rsidRPr="004E33BB">
            <w:rPr>
              <w:rStyle w:val="PlaceholderText"/>
            </w:rPr>
            <w:t>enter text</w:t>
          </w:r>
        </w:p>
      </w:docPartBody>
    </w:docPart>
    <w:docPart>
      <w:docPartPr>
        <w:name w:val="81BD40B15193450F8198DFE3AB55F413"/>
        <w:category>
          <w:name w:val="General"/>
          <w:gallery w:val="placeholder"/>
        </w:category>
        <w:types>
          <w:type w:val="bbPlcHdr"/>
        </w:types>
        <w:behaviors>
          <w:behavior w:val="content"/>
        </w:behaviors>
        <w:guid w:val="{5C709C25-F029-42B9-ADDF-EC96E14FDDE8}"/>
      </w:docPartPr>
      <w:docPartBody>
        <w:p w:rsidR="006B4D1A" w:rsidRDefault="006B4D1A">
          <w:r w:rsidRPr="004E33BB">
            <w:rPr>
              <w:rStyle w:val="PlaceholderText"/>
            </w:rPr>
            <w:t>enter REQUIRED text</w:t>
          </w:r>
        </w:p>
      </w:docPartBody>
    </w:docPart>
    <w:docPart>
      <w:docPartPr>
        <w:name w:val="6B6AF22F4C7B4F3F9D8C1324DB5488E5"/>
        <w:category>
          <w:name w:val="General"/>
          <w:gallery w:val="placeholder"/>
        </w:category>
        <w:types>
          <w:type w:val="bbPlcHdr"/>
        </w:types>
        <w:behaviors>
          <w:behavior w:val="content"/>
        </w:behaviors>
        <w:guid w:val="{83E3C169-4C15-4408-A7BC-69DA078E74D0}"/>
      </w:docPartPr>
      <w:docPartBody>
        <w:p w:rsidR="006B4D1A" w:rsidRDefault="006B4D1A">
          <w:r w:rsidRPr="004E33BB">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Helvetica">
    <w:panose1 w:val="020B0604020202020204"/>
    <w:charset w:val="00"/>
    <w:family w:val="auto"/>
    <w:notTrueType/>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ITC New Baskerville Std">
    <w:altName w:val="Cambria"/>
    <w:panose1 w:val="00000000000000000000"/>
    <w:charset w:val="00"/>
    <w:family w:val="roman"/>
    <w:notTrueType/>
    <w:pitch w:val="variable"/>
    <w:sig w:usb0="00000003" w:usb1="5000204A" w:usb2="00000000" w:usb3="00000000" w:csb0="0000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D1A"/>
    <w:rsid w:val="004457D4"/>
    <w:rsid w:val="006B4D1A"/>
    <w:rsid w:val="00B3042F"/>
    <w:rsid w:val="00C26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D1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document xmlns="http://www.bna.com/gateway/unit.start">
  <ns0:unit.start xmlns:ns0="http://www.bna.com/gateway/unit.start" copyright.owner="enter text" subpart.name="enter text" unit.code="main0001" unit.name="Chapter 1. The Concept of Trademark Dilution: The Origins and Sources of Dilution Law" folio="3" class.code="A" class.name="Book Body" bna.id.prefix="1" pdm.name="Chap01" part.num="1" part.name="Part I. General Principles And State Law Applications" publication.name="Trademark Dilution - Federal, State, and International Law, Second Edition" acct.code="TD2M20" date="2025-09-25" supplement="0" volume.num="1" service.code="td-book"/>
</document>
</file>

<file path=customXml/item2.xml><?xml version="1.0" encoding="utf-8"?>
<reference.service.codes xmlns="ReferenceServiceCodes">
  <dropdownlist>
    <listitem value="aacm-ref"/>
    <listitem value="about-ref"/>
    <listitem value="acctfa-ref"/>
    <listitem value="acbfp-ref"/>
    <listitem value="acrc-ref"/>
    <listitem value="ada-ref"/>
    <listitem value="adco-ref"/>
    <listitem value="adlaw-refadlawco-ref"/>
    <listitem value="adlawdig-ref"/>
    <listitem value="aicpa-ref"/>
    <listitem value="alrc-ref"/>
    <listitem value="alre-ref"/>
    <listitem value="apc-ref"/>
    <listitem value="apc2-ref"/>
    <listitem value="ar-ref"/>
    <listitem value="arbc-ref"/>
    <listitem value="arbcvendor-ref"/>
    <listitem value="arbdom-ref"/>
    <listitem value="arbtr-ref"/>
    <listitem value="astr-ref"/>
    <listitem value="atf-ref"/>
    <listitem value="atrc-ref"/>
    <listitem value="atre-ref"/>
    <listitem value="atst-ref"/>
    <listitem value="bacm-ref"/>
    <listitem value="bacw-ref"/>
    <listitem value="barc-ref"/>
    <listitem value="bas-ref"/>
    <listitem value="bbas-ref"/>
    <listitem value="bca-ref"/>
    <listitem value="bcast-ref"/>
    <listitem value="bctd-ref"/>
    <listitem value="beps-ref"/>
    <listitem value="beps2-ref"/>
    <listitem value="bkcbank-ref"/>
    <listitem value="bkcc-ref"/>
    <listitem value="bkccomp-ref"/>
    <listitem value="bkccredit-ref"/>
    <listitem value="bkcesc-ref"/>
    <listitem value="bkcest-ref"/>
    <listitem value="bkcdigic-ref"/>
    <listitem value="bkcfees-ref"/>
    <listitem value="bkcfls-ref"/>
    <listitem value="bkcgift-ref"/>
    <listitem value="bkcgllr-ref"/>
    <listitem value="bkcisales-ref"/>
    <listitem value="bkclbrok-ref"/>
    <listitem value="bkclcards-ref"/>
    <listitem value="bkclcoll-ref"/>
    <listitem value="bkclcomm-ref"/>
    <listitem value="bkcldebt-ref"/>
    <listitem value="bkclins-ref"/>
    <listitem value="bkclorig-ref"/>
    <listitem value="bkclpayd-ref"/>
    <listitem value="bkclrefnd-ref"/>
    <listitem value="bkclsales-ref"/>
    <listitem value="bkclserv-ref"/>
    <listitem value="bkclsmall-ref"/>
    <listitem value="bkclspec-ref"/>
    <listitem value="bkclstu-ref"/>
    <listitem value="bkcltitl-ref"/>
    <listitem value="bkcltrans-ref"/>
    <listitem value="bkcmontr-ref"/>
    <listitem value="bkcmort-ref"/>
    <listitem value="bkcoper-ref"/>
    <listitem value="bkcudap-ref"/>
    <listitem value="bkcusry-ref"/>
    <listitem value="bkrp-ref"/>
    <listitem value="bkrpc-ref"/>
    <listitem value="blaw-ref"/>
    <listitem value="blawcoa-ref"/>
    <listitem value="blawdm-ref"/>
    <listitem value="blawln-ref"/>
    <listitem value="blawls-ref"/>
    <listitem value="blawpdf-ref"/>
    <listitem value="blawpg-ref"/>
    <listitem value="blawpv-ref"/>
    <listitem value="blawsp-ref"/>
    <listitem value="blawtr-ref"/>
    <listitem value="blenvpdf-ref"/>
    <listitem value="blfa-ref"/>
    <listitem value="blgovpdf-ref"/>
    <listitem value="blre-ref"/>
    <listitem value="bltaxpdf-ref"/>
    <listitem value="bna-ref"/>
    <listitem value="bnahndbk-ref"/>
    <listitem value="bpc-ref"/>
    <listitem value="bpfa-ref"/>
    <listitem value="bppi-ref"/>
    <listitem value="bppt-ref"/>
    <listitem value="bprc-ref"/>
    <listitem value="bpre-ref"/>
    <listitem value="bpse-ref"/>
    <listitem value="bsty-ref"/>
    <listitem value="btac-ref"/>
    <listitem value="btt-ref"/>
    <listitem value="btta-ref"/>
    <listitem value="bwd-ref"/>
    <listitem value="cable-ref"/>
    <listitem value="carn-ref"/>
    <listitem value="cbc-ref"/>
    <listitem value="cbg-ref"/>
    <listitem value="cblw-ref"/>
    <listitem value="cbn-ref"/>
    <listitem value="cbnco-ref"/>
    <listitem value="cbp-ref"/>
    <listitem value="cbtt-ref"/>
    <listitem value="cccg-ref"/>
    <listitem value="ccl-ref"/>
    <listitem value="cclw-ref"/>
    <listitem value="ccr-ref"/>
    <listitem value="celulr-ref"/>
    <listitem value="cfpb-ref"/>
    <listitem value="cfr-ref"/>
    <listitem value="cglw-ref"/>
    <listitem value="chc-ref"/>
    <listitem value="chem-ref"/>
    <listitem value="cheme-ref"/>
    <listitem value="cilw-ref"/>
    <listitem value="clrc-ref"/>
    <listitem value="clscbus-ref"/>
    <listitem value="clscatr-ref"/>
    <listitem value="clscsec-ref"/>
    <listitem value="clst-ref"/>
    <listitem value="cmg-ref"/>
    <listitem value="cmp-ref"/>
    <listitem value="cms-ref"/>
    <listitem value="comrg-ref"/>
    <listitem value="comrgco-ref"/>
    <listitem value="comrge-ref"/>
    <listitem value="comrul-ref"/>
    <listitem value="coso-ref"/>
    <listitem value="cplw-ref"/>
    <listitem value="cpre-ref"/>
    <listitem value="ctr-ref"/>
    <listitem value="darb-ref"/>
    <listitem value="ddee-ref"/>
    <listitem value="ddeelw-ref"/>
    <listitem value="delaw-ref"/>
    <listitem value="der-ref"/>
    <listitem value="doj-ref"/>
    <listitem value="dol-ref"/>
    <listitem value="eacw-ref"/>
    <listitem value="ealw-ref"/>
    <listitem value="ebc-ref"/>
    <listitem value="ebcco-ref"/>
    <listitem value="eblw-ref"/>
    <listitem value="ecan-ref"/>
    <listitem value="ecc-ref"/>
    <listitem value="ecel-ref"/>
    <listitem value="ecfr-ref"/>
    <listitem value="ecg-ref"/>
    <listitem value="ecj-ref"/>
    <listitem value="eclr-ref"/>
    <listitem value="eclw-ref"/>
    <listitem value="econ-ref"/>
    <listitem value="edg-ref"/>
    <listitem value="edg2-ref"/>
    <listitem value="edge-ref"/>
    <listitem value="edlw-ref"/>
    <listitem value="edrc-ref"/>
    <listitem value="edre-ref"/>
    <listitem value="eeo-ref"/>
    <listitem value="eg-ref"/>
    <listitem value="egcd-ref"/>
    <listitem value="eglw-ref"/>
    <listitem value="ehsdsn-ref"/>
    <listitem value="ehsgo-ref"/>
    <listitem value="elcd-ref"/>
    <listitem value="eldvd-ref"/>
    <listitem value="emg-ref"/>
    <listitem value="ensl-ref"/>
    <listitem value="ensr-ref"/>
    <listitem value="erco-ref"/>
    <listitem value="erf-ref"/>
    <listitem value="erfe-ref"/>
    <listitem value="erlt-ref"/>
    <listitem value="erltr-ref"/>
    <listitem value="erltsr-ref"/>
    <listitem value="erm-ref"/>
    <listitem value="esfm-ref"/>
    <listitem value="esfr-ref"/>
    <listitem value="eslw-ref"/>
    <listitem value="esoutlook-ref"/>
    <listitem value="esrgtr-ref"/>
    <listitem value="esst-ref"/>
    <listitem value="etcc-ref"/>
    <listitem value="etslw-ref"/>
    <listitem value="eulw-ref"/>
    <listitem value="eusc-ref"/>
    <listitem value="excc-ref"/>
    <listitem value="exgw-ref"/>
    <listitem value="fasb-ref"/>
    <listitem value="fasbarc-ref"/>
    <listitem value="fasbpc-ref"/>
    <listitem value="fccrcd-ref"/>
    <listitem value="fdfa-ref"/>
    <listitem value="fdfl-ref"/>
    <listitem value="fdic-ref"/>
    <listitem value="fdpp-ref"/>
    <listitem value="fdsl-ref"/>
    <listitem value="feddec-ref"/>
    <listitem value="fep-ref"/>
    <listitem value="fepco-ref"/>
    <listitem value="fig-ref"/>
    <listitem value="finra-ref"/>
    <listitem value="fleg-ref"/>
    <listitem value="flegtr-ref"/>
    <listitem value="flex-ref"/>
    <listitem value="fllt-ref"/>
    <listitem value="flltr-ref"/>
    <listitem value="flltsr-ref"/>
    <listitem value="flr-ref"/>
    <listitem value="fmine-ref"/>
    <listitem value="fminee-ref"/>
    <listitem value="fmla-ref"/>
    <listitem value="foia-ref"/>
    <listitem value="form-ref"/>
    <listitem value="fr-ref"/>
    <listitem value="frcom-ref"/>
    <listitem value="fsoc-ref"/>
    <listitem value="gasb-ref"/>
    <listitem value="gebwd-ref"/>
    <listitem value="gelw-ref"/>
    <listitem value="gin-ref"/>
    <listitem value="gpd-ref"/>
    <listitem value="gtf-ref"/>
    <listitem value="gtg-ref"/>
    <listitem value="gtg2-ref"/>
    <listitem value="harc-ref"/>
    <listitem value="haz-ref"/>
    <listitem value="haze-ref"/>
    <listitem value="hblw-ref"/>
    <listitem value="hbss-ref"/>
    <listitem value="hccg-ref"/>
    <listitem value="hccw-ref"/>
    <listitem value="hesw-ref"/>
    <listitem value="hhs-ref"/>
    <listitem value="hlaw-ref"/>
    <listitem value="hlcfraud-ref"/>
    <listitem value="hlchosp-ref"/>
    <listitem value="hlcinsgen-ref"/>
    <listitem value="hlcinsman-ref"/>
    <listitem value="hlcitech-ref"/>
    <listitem value="hlcpharma-ref"/>
    <listitem value="hlcpriv-ref"/>
    <listitem value="hlcprp-ref"/>
    <listitem value="hlfa-ref"/>
    <listitem value="hlrc-ref"/>
    <listitem value="hlre-ref"/>
    <listitem value="hlst-ref"/>
    <listitem value="hrcc-ref"/>
    <listitem value="hrcd-ref"/>
    <listitem value="hrchkf-ref"/>
    <listitem value="hrchks-ref"/>
    <listitem value="hrcp-ref"/>
    <listitem value="hrdsn-ref"/>
    <listitem value="hre-ref"/>
    <listitem value="hrfls-ref"/>
    <listitem value="hrgw-ref"/>
    <listitem value="hrhcc-ref"/>
    <listitem value="hrin-ref"/>
    <listitem value="hrintl-ref"/>
    <listitem value="hrlw-ref"/>
    <listitem value="hrpb-ref"/>
    <listitem value="hrpg-ref"/>
    <listitem value="hrrc-ref"/>
    <listitem value="hrre-ref"/>
    <listitem value="hrsg-ref"/>
    <listitem value="hrsqr-ref"/>
    <listitem value="hrst-ref"/>
    <listitem value="hrtt-ref"/>
    <listitem value="hsbt-ref"/>
    <listitem value="hwg-ref"/>
    <listitem value="ia-ref"/>
    <listitem value="iasb-ref"/>
    <listitem value="ibfd-ref"/>
    <listitem value="icr-ref"/>
    <listitem value="idsn-ref"/>
    <listitem value="ier-ref"/>
    <listitem value="ierco-ref"/>
    <listitem value="ilr-ref"/>
    <listitem value="ilrc-ref"/>
    <listitem value="ilrco-ref"/>
    <listitem value="ilre-ref"/>
    <listitem value="ilrpmb-ref"/>
    <listitem value="iner-ref"/>
    <listitem value="ipl-ref"/>
    <listitem value="iplcb-ref"/>
    <listitem value="iplw-ref"/>
    <listitem value="ippt-ref"/>
    <listitem value="iprc-ref"/>
    <listitem value="ipre-ref"/>
    <listitem value="ipsrc-ref"/>
    <listitem value="ipydsn-ref"/>
    <listitem value="irs-ref"/>
    <listitem value="itax-ref"/>
    <listitem value="itc-ref"/>
    <listitem value="itlw-ref"/>
    <listitem value="itr-ref"/>
    <listitem value="itrc-ref"/>
    <listitem value="itrco-ref"/>
    <listitem value="itre-ref"/>
    <listitem value="jcr-ref"/>
    <listitem value="josh-ref"/>
    <listitem value="la-ref"/>
    <listitem value="laco-ref"/>
    <listitem value="lbpwtr-ref"/>
    <listitem value="lea-ref"/>
    <listitem value="leb-ref"/>
    <listitem value="lec-ref"/>
    <listitem value="leemp-ref"/>
    <listitem value="leeo-ref"/>
    <listitem value="leg-ref"/>
    <listitem value="leh-ref"/>
    <listitem value="lela-ref"/>
    <listitem value="lelr-ref"/>
    <listitem value="lels-ref"/>
    <listitem value="lelw-ref"/>
    <listitem value="lerc-ref"/>
    <listitem value="lere-ref"/>
    <listitem value="les-ref"/>
    <listitem value="let-ref"/>
    <listitem value="lest-ref"/>
    <listitem value="lew-ref"/>
    <listitem value="local-ref"/>
    <listitem value="lorc-ref"/>
    <listitem value="lore-ref"/>
    <listitem value="lqrc-ref"/>
    <listitem value="lr-ref"/>
    <listitem value="lrmsd-ref"/>
    <listitem value="lrrmco-ref"/>
    <listitem value="lrx-ref"/>
    <listitem value="mbca-ref"/>
    <listitem value="medco-ref"/>
    <listitem value="medw-ref"/>
    <listitem value="miscdec-ref"/>
    <listitem value="mlirn-ref"/>
    <listitem value="mm-ref"/>
    <listitem value="mopc-ref"/>
    <listitem value="mope-ref"/>
    <listitem value="mopw-ref"/>
    <listitem value="msrb-ref"/>
    <listitem value="nada-ref"/>
    <listitem value="nasdaq-ref"/>
    <listitem value="nath-ref"/>
    <listitem value="nyse-ref"/>
    <listitem value="occ-ref"/>
    <listitem value="ominee-ref"/>
    <listitem value="osh-ref"/>
    <listitem value="oshco-ref"/>
    <listitem value="oshe-ref"/>
    <listitem value="oslw-ref"/>
    <listitem value="osm-ref"/>
    <listitem value="ossl-ref"/>
    <listitem value="ossr-ref"/>
    <listitem value="ow-ref"/>
    <listitem value="pag-ref"/>
    <listitem value="pbgc-ref"/>
    <listitem value="pcaob-ref"/>
    <listitem value="pcg-ref"/>
    <listitem value="pcmt-ref"/>
    <listitem value="pdscp-ref"/>
    <listitem value="pdswr-ref"/>
    <listitem value="pl-ref"/>
    <listitem value="plcu-ref"/>
    <listitem value="pm-ref"/>
    <listitem value="pol-ref"/>
    <listitem value="pq2co-ref"/>
    <listitem value="pqco-ref"/>
    <listitem value="pro1-ref"/>
    <listitem value="pro2-ref"/>
    <listitem value="psdoc-ref"/>
    <listitem value="psdocop-ref"/>
    <listitem value="pslr-ref"/>
    <listitem value="pst-ref"/>
    <listitem value="pstech-ref"/>
    <listitem value="pstrain-ref"/>
    <listitem value="ptabtr-ref"/>
    <listitem value="pvrc-ref"/>
    <listitem value="pvre-ref"/>
    <listitem value="pvsec-ref"/>
    <listitem value="pvspp-ref"/>
    <listitem value="pvst-ref"/>
    <listitem value="pwatch-ref"/>
    <listitem value="pydsn-ref"/>
    <listitem value="pyirccn-ref"/>
    <listitem value="pylw-ref"/>
    <listitem value="rag-ref"/>
    <listitem value="regsum-ref"/>
    <listitem value="ring-ref"/>
    <listitem value="rkpg-ref"/>
    <listitem value="rkpg2-ref"/>
    <listitem value="scan-ref"/>
    <listitem value="sctps-ref"/>
    <listitem value="sec-ref"/>
    <listitem value="secfr-ref"/>
    <listitem value="secm-ref"/>
    <listitem value="secrc-ref"/>
    <listitem value="sfposter-ref"/>
    <listitem value="sfrc-ref"/>
    <listitem value="sldvd-ref"/>
    <listitem value="sll-ref"/>
    <listitem value="smc-ref"/>
    <listitem value="smlr-ref"/>
    <listitem value="smst-ref"/>
    <listitem value="spgd-ref"/>
    <listitem value="splw-ref"/>
    <listitem value="spse-ref"/>
    <listitem value="sqrc-ref"/>
    <listitem value="srpg-ref"/>
    <listitem value="ssl-ref"/>
    <listitem value="sstx-ref"/>
    <listitem value="stadec-ref"/>
    <listitem value="staform-ref"/>
    <listitem value="stag-ref"/>
    <listitem value="state-ref"/>
    <listitem value="statecb-ref"/>
    <listitem value="stbillsehs-ref"/>
    <listitem value="stcon-ref"/>
    <listitem value="stegt-ref"/>
    <listitem value="stegtarc-ref"/>
    <listitem value="stleg-ref"/>
    <listitem value="stlegdig-ref"/>
    <listitem value="stxdtr-ref"/>
    <listitem value="surv-ref"/>
    <listitem value="tafc-ref"/>
    <listitem value="telerpts-ref"/>
    <listitem value="terc-ref"/>
    <listitem value="tmcain-ref"/>
    <listitem value="tmci-ref"/>
    <listitem value="tmcit-ref"/>
    <listitem value="tmcit2-ref"/>
    <listitem value="tmcitarc-ref"/>
    <listitem value="tmcitncb-ref"/>
    <listitem value="tmcn-ref"/>
    <listitem value="tmcsf-ref"/>
    <listitem value="tmcss-ref"/>
    <listitem value="tmdiag-ref"/>
    <listitem value="tmel-ref"/>
    <listitem value="tmelec-ref"/>
    <listitem value="tmextn-ref"/>
    <listitem value="tmextn2-ref"/>
    <listitem value="tmextnarc-ref"/>
    <listitem value="tmforms-ref"/>
    <listitem value="tmformsarc-ref"/>
    <listitem value="tmgn-ref"/>
    <listitem value="tmgo-ref"/>
    <listitem value="tmgp-ref"/>
    <listitem value="tmhc-ref"/>
    <listitem value="tmiit-ref"/>
    <listitem value="tmiit2-ref"/>
    <listitem value="tmiitarc-ref"/>
    <listitem value="tmintforms-ref"/>
    <listitem value="tmirccn-ref"/>
    <listitem value="tmise-ref"/>
    <listitem value="tmiwt-ref"/>
    <listitem value="tmiwt2-ref"/>
    <listitem value="tmlbl-ref"/>
    <listitem value="tmleg-ref"/>
    <listitem value="tmnxc-ref"/>
    <listitem value="tmnxsu-ref"/>
    <listitem value="tmnxt-ref"/>
    <listitem value="tmpg-ref"/>
    <listitem value="tmprtn-ref"/>
    <listitem value="tmprtn2-ref"/>
    <listitem value="tmprtnarc-ref"/>
    <listitem value="tmps-ref"/>
    <listitem value="tmpten-ref"/>
    <listitem value="tms-ref"/>
    <listitem value="tmsci-ref"/>
    <listitem value="tmscl-ref"/>
    <listitem value="tmsd-ref"/>
    <listitem value="tmsh-ref"/>
    <listitem value="tmslarc-ref"/>
    <listitem value="tmslm-ref"/>
    <listitem value="tmsr-ref"/>
    <listitem value="tmsrarc-ref"/>
    <listitem value="tmss-ref"/>
    <listitem value="tmstt-ref"/>
    <listitem value="tmsu-ref"/>
    <listitem value="tmsu2-ref"/>
    <listitem value="tmsuarc-ref"/>
    <listitem value="tmtcl-ref"/>
    <listitem value="tmupn-ref"/>
    <listitem value="tmxto-ref"/>
    <listitem value="tools-ref"/>
    <listitem value="tpcdl-ref"/>
    <listitem value="tpn-ref"/>
    <listitem value="tprl-ref"/>
    <listitem value="tpsfa-ref"/>
    <listitem value="trak-ref"/>
    <listitem value="trak2-ref"/>
    <listitem value="trdi-ref"/>
    <listitem value="ttb-ref"/>
    <listitem value="txpg-ref"/>
    <listitem value="txtr-ref"/>
    <listitem value="txtri-ref"/>
    <listitem value="txtri2-ref"/>
    <listitem value="txtrpri-ref"/>
    <listitem value="ulr-ref"/>
    <listitem value="urlw-ref"/>
    <listitem value="usc-ref"/>
    <listitem value="uscarc-ref"/>
    <listitem value="uslw-ref"/>
    <listitem value="vatn-ref"/>
    <listitem value="vstr-ref"/>
    <listitem value="wccd-ref"/>
    <listitem value="webw-ref"/>
    <listitem value="wh-ref"/>
    <listitem value="wh2co-ref"/>
    <listitem value="whco-ref"/>
    <listitem value="whm-ref"/>
    <listitem value="wmg-ref"/>
    <listitem value="wmg2-ref"/>
    <listitem value="wpc-ref"/>
    <listitem value="wpc2-ref"/>
    <listitem value="wrls-ref"/>
    <listitem value="wrr-ref"/>
    <listitem value="xclw-ref"/>
    <listitem value="xcpc-ref"/>
    <listitem value="xpdt-ref"/>
    <listitem value="xrm-ref"/>
  </dropdownlist>
</reference.service.codes>
</file>

<file path=customXml/item3.xml><?xml version="1.0" encoding="utf-8"?>
<book.service.codes xmlns="BookServiceCodes">
  <dropdownlist>
    <listitem value="aca-book"/>
    <listitem value="aclc-book"/>
    <listitem value="adel-book"/>
    <listitem value="adrel-book"/>
    <listitem value="aetr-book"/>
    <listitem value="afl-book"/>
    <listitem value="ald-book"/>
    <listitem value="apc-book"/>
    <listitem value="apsf-book"/>
    <listitem value="arb18-book"/>
    <listitem value="arb19-book"/>
    <listitem value="bam-book"/>
    <listitem value="bfc-book"/>
    <listitem value="biot-book"/>
    <listitem value="bkyov-book"/>
    <listitem value="bkyp-book"/>
    <listitem value="blm-book"/>
    <listitem value="bna-book"/>
    <listitem value="bplr-book"/>
    <listitem value="cbglf-book"/>
    <listitem value="cbh-book"/>
    <listitem value="cdpat-book"/>
    <listitem value="cfcjpp-book"/>
    <listitem value="cflc-book"/>
    <listitem value="cgdl-book"/>
    <listitem value="cic-book"/>
    <listitem value="cilel-book"/>
    <listitem value="clcdp-book"/>
    <listitem value="cld-book"/>
    <listitem value="cle-book"/>
    <listitem value="clwva-book"/>
    <listitem value="cmb-book"/>
    <listitem value="cnc-book"/>
    <listitem value="colp-book"/>
    <listitem value="cps1-book"/>
    <listitem value="cps61-book"/>
    <listitem value="cps63-book"/>
    <listitem value="cps67-book"/>
    <listitem value="cps68-book"/>
    <listitem value="cps75-book"/>
    <listitem value="cps88-book"/>
    <listitem value="crbc-book"/>
    <listitem value="cst-book"/>
    <listitem value="dat-book"/>
    <listitem value="dcalfc-book"/>
    <listitem value="dda-book"/>
    <listitem value="ddw-book"/>
    <listitem value="dec-book"/>
    <listitem value="desi-book"/>
    <listitem value="dlit-book"/>
    <listitem value="dll-book"/>
    <listitem value="dolfi-book"/>
    <listitem value="dpl-book"/>
    <listitem value="dsfc-book"/>
    <listitem value="dulg-book"/>
    <listitem value="ebl-book"/>
    <listitem value="eclas-book"/>
    <listitem value="edd-book"/>
    <listitem value="ediel-book"/>
    <listitem value="edcl-book"/>
    <listitem value="edl-book"/>
    <listitem value="edpf-book"/>
    <listitem value="edy-book"/>
    <listitem value="efl-book"/>
    <listitem value="ehl-book"/>
    <listitem value="eipl-book"/>
    <listitem value="el-book"/>
    <listitem value="elc-book"/>
    <listitem value="elcr-book"/>
    <listitem value="emp-book"/>
    <listitem value="epc-book"/>
    <listitem value="erisadl-book"/>
    <listitem value="err-book"/>
    <listitem value="esp-book"/>
    <listitem value="etpg-book"/>
    <listitem value="eupl-book"/>
    <listitem value="evd-book"/>
    <listitem value="fah-book"/>
    <listitem value="fap-book"/>
    <listitem value="fcawl-book"/>
    <listitem value="ffapl-book"/>
    <listitem value="ffua-book"/>
    <listitem value="fhcdl-book"/>
    <listitem value="fiflp-book"/>
    <listitem value="fitic-book"/>
    <listitem value="flfs-book"/>
    <listitem value="flsa-book"/>
    <listitem value="fmla-book"/>
    <listitem value="fotn-book"/>
    <listitem value="frd-book"/>
    <listitem value="ftecorp-book"/>
    <listitem value="fteind-book"/>
    <listitem value="ftepart-book"/>
    <listitem value="ftescorp-book"/>
    <listitem value="ftl-book"/>
    <listitem value="gdttc-book"/>
    <listitem value="gdttii-book"/>
    <listitem value="gep-book"/>
    <listitem value="gg-book"/>
    <listitem value="gisod-book"/>
    <listitem value="gof-book"/>
    <listitem value="gpl-book"/>
    <listitem value="hadrw-book"/>
    <listitem value="haw-book"/>
    <listitem value="hcf-book"/>
    <listitem value="hcylc-book"/>
    <listitem value="hee-book"/>
    <listitem value="heg-book"/>
    <listitem value="hlbs1500-book"/>
    <listitem value="hlbs2100-book"/>
    <listitem value="hlbs2300-book"/>
    <listitem value="hlbs2400-book"/>
    <listitem value="hlbs2600-book"/>
    <listitem value="hlbs2650-book"/>
    <listitem value="hlbs2800-book"/>
    <listitem value="hlbs2900-book"/>
    <listitem value="hlbs3300-book"/>
    <listitem value="hop-book"/>
    <listitem value="hpplac-book"/>
    <listitem value="hrcc-book"/>
    <listitem value="htcb-book"/>
    <listitem value="iedcm-book"/>
    <listitem value="igai-book"/>
    <listitem value="iipd-book"/>
    <listitem value="ile-book"/>
    <listitem value="ilfg-book"/>
    <listitem value="ilu337-book"/>
    <listitem value="ipl-book"/>
    <listitem value="iplc-book"/>
    <listitem value="ipsil-book"/>
    <listitem value="ipt-book"/>
    <listitem value="iptt-book"/>
    <listitem value="irc-book"/>
    <listitem value="isa-book"/>
    <listitem value="ishc-book"/>
    <listitem value="jcst-book"/>
    <listitem value="labp-book"/>
    <listitem value="lacma-book"/>
    <listitem value="ladh-book"/>
    <listitem value="lana-book"/>
    <listitem value="lapga-book"/>
    <listitem value="lbd-book"/>
    <listitem value="lfgp-book"/>
    <listitem value="llcbps-book"/>
    <listitem value="lml-book"/>
    <listitem value="lopm-book"/>
    <listitem value="lpdi-book"/>
    <listitem value="lptsda-book"/>
    <listitem value="lsfl-book"/>
    <listitem value="lulr-book"/>
    <listitem value="mapc-book"/>
    <listitem value="mcl-book"/>
    <listitem value="mdbsc-book"/>
    <listitem value="mdedl-book"/>
    <listitem value="meip-book"/>
    <listitem value="mlprco-book "/>
    <listitem value="naat-book"/>
    <listitem value="net-book"/>
    <listitem value="nlc-book"/>
    <listitem value="nlrr-book"/>
    <listitem value="nwic-book"/>
    <listitem value="ops-book"/>
    <listitem value="oshl-book"/>
    <listitem value="paaa-book"/>
    <listitem value="paed-book"/>
    <listitem value="paia-book"/>
    <listitem value="papc-book"/>
    <listitem value="patstan-book"/>
    <listitem value="pbcr-book"/>
    <listitem value="pce-book"/>
    <listitem value="pcmt-book"/>
    <listitem value="pda-book"/>
    <listitem value="pel-book"/>
    <listitem value="pesi-book"/>
    <listitem value="pfc-book"/>
    <listitem value="pfo-book"/>
    <listitem value="pgfafl-book"/>
    <listitem value="pgpp-book"/>
    <listitem value="pgofacsc-book"/>
    <listitem value="pjae-book"/>
    <listitem value="phrm-book"/>
    <listitem value="pir-book"/>
    <listitem value="plp-book"/>
    <listitem value="pls-book"/>
    <listitem value="ppat-book"/>
    <listitem value="ppla-book"/>
    <listitem value="pppp-book"/>
    <listitem value="pro1-book"/>
    <listitem value="pro2-book"/>
    <listitem value="pswh-book"/>
    <listitem value="ptabh-book"/>
    <listitem value="ptcl-book"/>
    <listitem value="ptcr-book"/>
    <listitem value="qeh-book"/>
    <listitem value="rcci-book"/>
    <listitem value="rctse-book"/>
    <listitem value="rgi-book"/>
    <listitem value="rif-book"/>
    <listitem value="rla-book"/>
    <listitem value="rpe-book"/>
    <listitem value="scp-book"/>
    <listitem value="sead-book"/>
    <listitem value="sps203-book"/>
    <listitem value="srp-book"/>
    <listitem value="ssfs-book"/>
    <listitem value="sti-book"/>
    <listitem value="tcs409a-book"/>
    <listitem value="td-book"/>
    <listitem value="teelm-book"/>
    <listitem value="tei-book"/>
    <listitem value="tic-book"/>
    <listitem value="tir-book"/>
    <listitem value="tlp-book"/>
    <listitem value="tmftg-book"/>
    <listitem value="tmftp-book"/>
    <listitem value="tmitg-book"/>
    <listitem value="tpt-book"/>
    <listitem value="trp-book"/>
    <listitem value="tslip-book"/>
    <listitem value="tss-book"/>
    <listitem value="tttp-book"/>
    <listitem value="ucipp-book"/>
    <listitem value="ueus-book"/>
    <listitem value="userra-book"/>
    <listitem value="usmt-book"/>
    <listitem value="vvil-book"/>
    <listitem value="vvp-book"/>
    <listitem value="waa-book"/>
    <listitem value="wan-book"/>
    <listitem value="wds-book"/>
    <listitem value="whl-book"/>
    <listitem value="wilbb-book"/>
    <listitem value="wilbf-book"/>
    <listitem value="wilfsarcw-book"/>
    <listitem value="willsh-book"/>
    <listitem value="wilmmlr-book"/>
    <listitem value="wilpb-book"/>
    <listitem value="wilrws-book"/>
    <listitem value="wiltpb-book"/>
    <listitem value="wlrd-book"/>
    <listitem value="wpd-book"/>
    <listitem value="wphl-book"/>
    <listitem value="wppg-book"/>
  </dropdownlist>
</book.service.codes>
</file>

<file path=customXml/item4.xml><?xml version="1.0" encoding="utf-8"?>
<portfolio.service.codes xmlns="PortfolioServiceCodes">
  <dropDownList>
    <listItem displayText="appe-por" value="appe-por"/>
    <listItem displayText="appi-por" value="appi-por"/>
    <listItem displayText="apps-por" value="apps-por"/>
    <listItem displayText="bps-por" value="bps-por"/>
    <listItem displayText="bna-por" value="bna-por"/>
    <listItem displayText="ccl-por" value="ccl-por"/>
    <listItem displayText="cgm-por" value="cgm-por"/>
    <listItem displayText="cps-por" value="cps-por"/>
    <listItem displayText="cpssp-por" value="cpssp-por"/>
    <listItem displayText="edis-por" value="edis-por"/>
    <listItem displayText="egt-por" value="egt-por"/>
    <listItem displayText="fip-por" value="fip-por"/>
    <listItem displayText="hlbs-por" value="hlbs-por"/>
    <listItem displayText="ipa-por" value="ipa-por"/>
    <listItem displayText="lps-por" value="lps-por"/>
    <listItem displayText="pro2-por" value="pro2-por"/>
    <listItem displayText="pvl-por" value="pvl-por"/>
    <listItem displayText="sps-por" value="sps-por"/>
    <listItem displayText="surf-por" value="surf-por"/>
    <listItem displayText="tmcp-por" value="tmcp-por"/>
    <listItem displayText="tmet-por" value="tmet-por"/>
    <listItem displayText="tmip-por" value="tmip-por"/>
    <listItem displayText="tmre-por" value="tmre-por"/>
    <listItem displayText="tms-por" value="tms-por"/>
    <listItem displayText="tmtr-por" value="tmtr-por"/>
    <listItem displayText="tmus-por" value="tmus-por"/>
    <listItem displayText="tps-por" value="tps-por"/>
  </dropDownList>
</portfolio.service.codes>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6.xml><?xml version="1.0" encoding="utf-8"?>
<conversion.options xmlns="http://www.bna.com/gateway/conversion.options">
  <ns0:tables xmlns:ns0="http://www.bna.com/gateway/conversion.options" tag="smart"/>
</conversion.options>
</file>

<file path=customXml/itemProps1.xml><?xml version="1.0" encoding="utf-8"?>
<ds:datastoreItem xmlns:ds="http://schemas.openxmlformats.org/officeDocument/2006/customXml" ds:itemID="{B04FCA99-13B0-422B-ADC9-9491644FA79D}">
  <ds:schemaRefs>
    <ds:schemaRef ds:uri="http://www.bna.com/gateway/unit.start"/>
  </ds:schemaRefs>
</ds:datastoreItem>
</file>

<file path=customXml/itemProps2.xml><?xml version="1.0" encoding="utf-8"?>
<ds:datastoreItem xmlns:ds="http://schemas.openxmlformats.org/officeDocument/2006/customXml" ds:itemID="{88E47CC7-89B1-4334-9439-A1F1C1083F4F}">
  <ds:schemaRefs>
    <ds:schemaRef ds:uri="ReferenceServiceCodes"/>
  </ds:schemaRefs>
</ds:datastoreItem>
</file>

<file path=customXml/itemProps3.xml><?xml version="1.0" encoding="utf-8"?>
<ds:datastoreItem xmlns:ds="http://schemas.openxmlformats.org/officeDocument/2006/customXml" ds:itemID="{438364F0-8022-49DD-ACD0-F4F06AB21D4B}">
  <ds:schemaRefs>
    <ds:schemaRef ds:uri="BookServiceCodes"/>
  </ds:schemaRefs>
</ds:datastoreItem>
</file>

<file path=customXml/itemProps4.xml><?xml version="1.0" encoding="utf-8"?>
<ds:datastoreItem xmlns:ds="http://schemas.openxmlformats.org/officeDocument/2006/customXml" ds:itemID="{25203738-0C39-41F2-B232-E9DAD00FD52D}">
  <ds:schemaRefs>
    <ds:schemaRef ds:uri="PortfolioServiceCodes"/>
  </ds:schemaRefs>
</ds:datastoreItem>
</file>

<file path=customXml/itemProps5.xml><?xml version="1.0" encoding="utf-8"?>
<ds:datastoreItem xmlns:ds="http://schemas.openxmlformats.org/officeDocument/2006/customXml" ds:itemID="{6FB45861-F80D-4D21-8271-FF104E2A1965}">
  <ds:schemaRefs>
    <ds:schemaRef ds:uri="http://schemas.openxmlformats.org/officeDocument/2006/bibliography"/>
  </ds:schemaRefs>
</ds:datastoreItem>
</file>

<file path=customXml/itemProps6.xml><?xml version="1.0" encoding="utf-8"?>
<ds:datastoreItem xmlns:ds="http://schemas.openxmlformats.org/officeDocument/2006/customXml" ds:itemID="{DADA3C72-C4A8-40A7-A93D-753FF12AADFE}">
  <ds:schemaRefs>
    <ds:schemaRef ds:uri="http://www.bna.com/gateway/conversion.options"/>
  </ds:schemaRefs>
</ds:datastoreItem>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BPub_Prep.dotm</Template>
  <TotalTime>0</TotalTime>
  <Pages>26</Pages>
  <Words>7839</Words>
  <Characters>41476</Characters>
  <Application>Microsoft Office Word</Application>
  <DocSecurity>0</DocSecurity>
  <Lines>345</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2025-09-25T20:41:00Z</dcterms:created>
  <dcterms:modified xsi:type="dcterms:W3CDTF">2025-09-30T15:32:00Z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3.47</vt:lpwstr>
  </property>
  <property fmtid="{D5CDD505-2E9C-101B-9397-08002B2CF9AE}" pid="3" name="DocType">
    <vt:lpwstr>book</vt:lpwstr>
  </property>
</Properties>
</file>