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F16" w14:textId="77777777" w:rsidR="00350C55" w:rsidRPr="00350C55" w:rsidRDefault="00350C55" w:rsidP="00350C55">
      <w:r w:rsidRPr="00350C55">
        <w:t xml:space="preserve">What is the difference between ChatGPT and ChatGPT Enterprise in terms of proprietary data? I have tagged xml files of which the content was authored internally, and we </w:t>
      </w:r>
      <w:proofErr w:type="spellStart"/>
      <w:proofErr w:type="gramStart"/>
      <w:r w:rsidRPr="00350C55">
        <w:t>don</w:t>
      </w:r>
      <w:proofErr w:type="spellEnd"/>
      <w:r w:rsidRPr="00350C55">
        <w:t xml:space="preserve"> not</w:t>
      </w:r>
      <w:proofErr w:type="gramEnd"/>
      <w:r w:rsidRPr="00350C55">
        <w:t xml:space="preserve"> want it to go externally. If I use ChatGPT Enterprise to tag the xml for these files, will the content itself stay internal to my organization? </w:t>
      </w:r>
    </w:p>
    <w:p w14:paraId="2125D0D2" w14:textId="77777777" w:rsidR="00350C55" w:rsidRPr="00350C55" w:rsidRDefault="00350C55" w:rsidP="00350C55">
      <w:pPr>
        <w:rPr>
          <w:b/>
          <w:bCs/>
        </w:rPr>
      </w:pPr>
      <w:r w:rsidRPr="00350C55">
        <w:rPr>
          <w:b/>
          <w:bCs/>
        </w:rPr>
        <w:t>ChatGPT said:</w:t>
      </w:r>
    </w:p>
    <w:p w14:paraId="42C8DA1C" w14:textId="77777777" w:rsidR="00350C55" w:rsidRPr="00350C55" w:rsidRDefault="00350C55" w:rsidP="00350C55">
      <w:r w:rsidRPr="00350C55">
        <w:t xml:space="preserve">Yes — you can use ChatGPT Enterprise for your internally-authored XML files and retain strong assurance that your data remains internal to your organization, subject to the terms and conditions of the plan. Here’s a breakdown of how the enterprise plan differs from the standard (consumer) version and how it addresses </w:t>
      </w:r>
      <w:proofErr w:type="gramStart"/>
      <w:r w:rsidRPr="00350C55">
        <w:t>proprietary-data</w:t>
      </w:r>
      <w:proofErr w:type="gramEnd"/>
      <w:r w:rsidRPr="00350C55">
        <w:t xml:space="preserve"> concerns.</w:t>
      </w:r>
    </w:p>
    <w:p w14:paraId="2E644B80" w14:textId="77777777" w:rsidR="00350C55" w:rsidRPr="00350C55" w:rsidRDefault="00350C55" w:rsidP="00350C55">
      <w:r w:rsidRPr="00350C55">
        <w:pict w14:anchorId="7CA6DF93">
          <v:rect id="_x0000_i1049" style="width:0;height:1.5pt" o:hralign="center" o:hrstd="t" o:hr="t" fillcolor="#a0a0a0" stroked="f"/>
        </w:pict>
      </w:r>
    </w:p>
    <w:p w14:paraId="58B1337B" w14:textId="77777777" w:rsidR="00350C55" w:rsidRPr="00350C55" w:rsidRDefault="00350C55" w:rsidP="00350C55">
      <w:pPr>
        <w:rPr>
          <w:b/>
          <w:bCs/>
        </w:rPr>
      </w:pPr>
      <w:r w:rsidRPr="00350C55">
        <w:rPr>
          <w:rFonts w:ascii="Segoe UI Emoji" w:hAnsi="Segoe UI Emoji" w:cs="Segoe UI Emoji"/>
          <w:b/>
          <w:bCs/>
        </w:rPr>
        <w:t>✅</w:t>
      </w:r>
      <w:r w:rsidRPr="00350C55">
        <w:rPr>
          <w:b/>
          <w:bCs/>
        </w:rPr>
        <w:t xml:space="preserve"> What “Enterprise” offers in terms of data-protection and proprietary content</w:t>
      </w:r>
    </w:p>
    <w:p w14:paraId="2110E88D" w14:textId="77777777" w:rsidR="00350C55" w:rsidRPr="00350C55" w:rsidRDefault="00350C55" w:rsidP="00350C55">
      <w:r w:rsidRPr="00350C55">
        <w:t>According to OpenAI’s “Enterprise Privacy” documentation:</w:t>
      </w:r>
    </w:p>
    <w:p w14:paraId="20B62E29" w14:textId="77777777" w:rsidR="00350C55" w:rsidRPr="00350C55" w:rsidRDefault="00350C55" w:rsidP="00350C55">
      <w:pPr>
        <w:numPr>
          <w:ilvl w:val="0"/>
          <w:numId w:val="1"/>
        </w:numPr>
      </w:pPr>
      <w:r w:rsidRPr="00350C55">
        <w:t xml:space="preserve">With ChatGPT Enterprise, your </w:t>
      </w:r>
      <w:r w:rsidRPr="00350C55">
        <w:rPr>
          <w:b/>
          <w:bCs/>
        </w:rPr>
        <w:t>inputs and outputs</w:t>
      </w:r>
      <w:r w:rsidRPr="00350C55">
        <w:t xml:space="preserve"> (i.e., your prompts, your file uploads, the responses) are owned by you (to the extent permitted by law). </w:t>
      </w:r>
      <w:hyperlink r:id="rId5" w:tgtFrame="_blank" w:history="1">
        <w:r w:rsidRPr="00350C55">
          <w:rPr>
            <w:rStyle w:val="Hyperlink"/>
          </w:rPr>
          <w:t>OpenAI+1</w:t>
        </w:r>
      </w:hyperlink>
    </w:p>
    <w:p w14:paraId="08159292" w14:textId="77777777" w:rsidR="00350C55" w:rsidRPr="00350C55" w:rsidRDefault="00350C55" w:rsidP="00350C55">
      <w:pPr>
        <w:numPr>
          <w:ilvl w:val="0"/>
          <w:numId w:val="1"/>
        </w:numPr>
      </w:pPr>
      <w:proofErr w:type="gramStart"/>
      <w:r w:rsidRPr="00350C55">
        <w:t>Business-data</w:t>
      </w:r>
      <w:proofErr w:type="gramEnd"/>
      <w:r w:rsidRPr="00350C55">
        <w:t xml:space="preserve"> submitted to ChatGPT Enterprise is </w:t>
      </w:r>
      <w:r w:rsidRPr="00350C55">
        <w:rPr>
          <w:b/>
          <w:bCs/>
        </w:rPr>
        <w:t>by default not used</w:t>
      </w:r>
      <w:r w:rsidRPr="00350C55">
        <w:t xml:space="preserve"> to train or improve OpenAI’s models. </w:t>
      </w:r>
      <w:hyperlink r:id="rId6" w:tgtFrame="_blank" w:history="1">
        <w:r w:rsidRPr="00350C55">
          <w:rPr>
            <w:rStyle w:val="Hyperlink"/>
          </w:rPr>
          <w:t>OpenAI Help Center+2OpenAI+2</w:t>
        </w:r>
      </w:hyperlink>
    </w:p>
    <w:p w14:paraId="3EA49CF1" w14:textId="77777777" w:rsidR="00350C55" w:rsidRPr="00350C55" w:rsidRDefault="00350C55" w:rsidP="00350C55">
      <w:pPr>
        <w:numPr>
          <w:ilvl w:val="0"/>
          <w:numId w:val="1"/>
        </w:numPr>
      </w:pPr>
      <w:r w:rsidRPr="00350C55">
        <w:t xml:space="preserve">You get enterprise-grade controls: e.g., data-retention settings under your control (you choose how long to keep the data) and fine-grained admin controls. </w:t>
      </w:r>
      <w:hyperlink r:id="rId7" w:tgtFrame="_blank" w:history="1">
        <w:r w:rsidRPr="00350C55">
          <w:rPr>
            <w:rStyle w:val="Hyperlink"/>
          </w:rPr>
          <w:t>OpenAI+1</w:t>
        </w:r>
      </w:hyperlink>
    </w:p>
    <w:p w14:paraId="4C25A257" w14:textId="77777777" w:rsidR="00350C55" w:rsidRPr="00350C55" w:rsidRDefault="00350C55" w:rsidP="00350C55">
      <w:pPr>
        <w:numPr>
          <w:ilvl w:val="0"/>
          <w:numId w:val="1"/>
        </w:numPr>
      </w:pPr>
      <w:r w:rsidRPr="00350C55">
        <w:t xml:space="preserve">Strong security / compliance: encryption at rest and in transit; SOC2/ISO-certifications; enterprise identity/authentication controls. </w:t>
      </w:r>
      <w:hyperlink r:id="rId8" w:tgtFrame="_blank" w:history="1">
        <w:r w:rsidRPr="00350C55">
          <w:rPr>
            <w:rStyle w:val="Hyperlink"/>
          </w:rPr>
          <w:t>ChatGPT+2Caviard.ai+2</w:t>
        </w:r>
      </w:hyperlink>
    </w:p>
    <w:p w14:paraId="5AD1C6CF" w14:textId="77777777" w:rsidR="00350C55" w:rsidRPr="00350C55" w:rsidRDefault="00350C55" w:rsidP="00350C55">
      <w:proofErr w:type="gramStart"/>
      <w:r w:rsidRPr="00350C55">
        <w:t>So</w:t>
      </w:r>
      <w:proofErr w:type="gramEnd"/>
      <w:r w:rsidRPr="00350C55">
        <w:t xml:space="preserve"> for your use case — uploading internally</w:t>
      </w:r>
      <w:r w:rsidRPr="00350C55">
        <w:rPr>
          <w:rFonts w:ascii="Cambria Math" w:hAnsi="Cambria Math" w:cs="Cambria Math"/>
        </w:rPr>
        <w:t>‐</w:t>
      </w:r>
      <w:r w:rsidRPr="00350C55">
        <w:t xml:space="preserve">authored XML files of proprietary content to be tagged/processed </w:t>
      </w:r>
      <w:r w:rsidRPr="00350C55">
        <w:rPr>
          <w:rFonts w:ascii="Aptos" w:hAnsi="Aptos" w:cs="Aptos"/>
        </w:rPr>
        <w:t>—</w:t>
      </w:r>
      <w:r w:rsidRPr="00350C55">
        <w:t xml:space="preserve"> this plan is designed for these kinds of business-confidential workflows.</w:t>
      </w:r>
    </w:p>
    <w:p w14:paraId="3CC4DFEC" w14:textId="77777777" w:rsidR="00350C55" w:rsidRPr="00350C55" w:rsidRDefault="00350C55" w:rsidP="00350C55">
      <w:r w:rsidRPr="00350C55">
        <w:pict w14:anchorId="28DC176B">
          <v:rect id="_x0000_i1050" style="width:0;height:1.5pt" o:hralign="center" o:hrstd="t" o:hr="t" fillcolor="#a0a0a0" stroked="f"/>
        </w:pict>
      </w:r>
    </w:p>
    <w:p w14:paraId="67CF29B6" w14:textId="77777777" w:rsidR="00350C55" w:rsidRPr="00350C55" w:rsidRDefault="00350C55" w:rsidP="00350C55">
      <w:pPr>
        <w:rPr>
          <w:b/>
          <w:bCs/>
        </w:rPr>
      </w:pPr>
      <w:r w:rsidRPr="00350C55">
        <w:rPr>
          <w:rFonts w:ascii="Segoe UI Emoji" w:hAnsi="Segoe UI Emoji" w:cs="Segoe UI Emoji"/>
          <w:b/>
          <w:bCs/>
        </w:rPr>
        <w:t>⚠️</w:t>
      </w:r>
      <w:r w:rsidRPr="00350C55">
        <w:rPr>
          <w:b/>
          <w:bCs/>
        </w:rPr>
        <w:t xml:space="preserve"> Key conditions / caveats you should check</w:t>
      </w:r>
    </w:p>
    <w:p w14:paraId="1180282D" w14:textId="77777777" w:rsidR="00350C55" w:rsidRPr="00350C55" w:rsidRDefault="00350C55" w:rsidP="00350C55">
      <w:r w:rsidRPr="00350C55">
        <w:t xml:space="preserve">However, to ensure your proprietary content stays internal </w:t>
      </w:r>
      <w:r w:rsidRPr="00350C55">
        <w:rPr>
          <w:b/>
          <w:bCs/>
        </w:rPr>
        <w:t>in the way you expect</w:t>
      </w:r>
      <w:r w:rsidRPr="00350C55">
        <w:t>, you should check the following points:</w:t>
      </w:r>
    </w:p>
    <w:p w14:paraId="7C91FFE4" w14:textId="77777777" w:rsidR="00350C55" w:rsidRPr="00350C55" w:rsidRDefault="00350C55" w:rsidP="00350C55">
      <w:pPr>
        <w:numPr>
          <w:ilvl w:val="0"/>
          <w:numId w:val="2"/>
        </w:numPr>
      </w:pPr>
      <w:r w:rsidRPr="00350C55">
        <w:rPr>
          <w:b/>
          <w:bCs/>
        </w:rPr>
        <w:t>Model training opt-out</w:t>
      </w:r>
      <w:r w:rsidRPr="00350C55">
        <w:t xml:space="preserve">: While the Enterprise plan specifies “by default not used for training,” you should confirm your contract (or service agreement) explicitly states that </w:t>
      </w:r>
      <w:r w:rsidRPr="00350C55">
        <w:rPr>
          <w:b/>
          <w:bCs/>
        </w:rPr>
        <w:t>your data will not be used for training or improvement</w:t>
      </w:r>
      <w:r w:rsidRPr="00350C55">
        <w:t xml:space="preserve"> of OpenAI models, or that you have the option to opt out. The “not used for training” statement appears in the public FAQ for enterprise/business customers. </w:t>
      </w:r>
      <w:hyperlink r:id="rId9" w:tgtFrame="_blank" w:history="1">
        <w:r w:rsidRPr="00350C55">
          <w:rPr>
            <w:rStyle w:val="Hyperlink"/>
          </w:rPr>
          <w:t>OpenAI Help Center+1</w:t>
        </w:r>
      </w:hyperlink>
    </w:p>
    <w:p w14:paraId="0812BADA" w14:textId="77777777" w:rsidR="00350C55" w:rsidRPr="00350C55" w:rsidRDefault="00350C55" w:rsidP="00350C55">
      <w:pPr>
        <w:numPr>
          <w:ilvl w:val="0"/>
          <w:numId w:val="2"/>
        </w:numPr>
      </w:pPr>
      <w:r w:rsidRPr="00350C55">
        <w:rPr>
          <w:b/>
          <w:bCs/>
        </w:rPr>
        <w:t>Retained data and deletion</w:t>
      </w:r>
      <w:r w:rsidRPr="00350C55">
        <w:t>: Ensure you control how long user data stays in the system, and how deletion works. The documentation says the workspace admin can control data</w:t>
      </w:r>
      <w:r w:rsidRPr="00350C55">
        <w:rPr>
          <w:rFonts w:ascii="Cambria Math" w:hAnsi="Cambria Math" w:cs="Cambria Math"/>
        </w:rPr>
        <w:t>‐</w:t>
      </w:r>
      <w:r w:rsidRPr="00350C55">
        <w:t xml:space="preserve">retention. </w:t>
      </w:r>
      <w:hyperlink r:id="rId10" w:tgtFrame="_blank" w:history="1">
        <w:r w:rsidRPr="00350C55">
          <w:rPr>
            <w:rStyle w:val="Hyperlink"/>
          </w:rPr>
          <w:t>OpenAI+1</w:t>
        </w:r>
      </w:hyperlink>
    </w:p>
    <w:p w14:paraId="5196FBC2" w14:textId="77777777" w:rsidR="00350C55" w:rsidRPr="00350C55" w:rsidRDefault="00350C55" w:rsidP="00350C55">
      <w:pPr>
        <w:numPr>
          <w:ilvl w:val="0"/>
          <w:numId w:val="2"/>
        </w:numPr>
      </w:pPr>
      <w:r w:rsidRPr="00350C55">
        <w:rPr>
          <w:b/>
          <w:bCs/>
        </w:rPr>
        <w:t>Connectors / third</w:t>
      </w:r>
      <w:r w:rsidRPr="00350C55">
        <w:rPr>
          <w:rFonts w:ascii="Cambria Math" w:hAnsi="Cambria Math" w:cs="Cambria Math"/>
          <w:b/>
          <w:bCs/>
        </w:rPr>
        <w:t>‐</w:t>
      </w:r>
      <w:r w:rsidRPr="00350C55">
        <w:rPr>
          <w:b/>
          <w:bCs/>
        </w:rPr>
        <w:t>party integrations</w:t>
      </w:r>
      <w:r w:rsidRPr="00350C55">
        <w:t>: If you’re using connectors (e.g., allowing ChatGPT to fetch from your internal sources), you need to ensure how those sources are managed, whether data flows to any external systems</w:t>
      </w:r>
      <w:proofErr w:type="gramStart"/>
      <w:r w:rsidRPr="00350C55">
        <w:t>, what</w:t>
      </w:r>
      <w:proofErr w:type="gramEnd"/>
      <w:r w:rsidRPr="00350C55">
        <w:t xml:space="preserve"> permissions are given. The FAQ warns that if you use external APIs/third-party services, your data may be sent to those services as well. </w:t>
      </w:r>
      <w:hyperlink r:id="rId11" w:tgtFrame="_blank" w:history="1">
        <w:r w:rsidRPr="00350C55">
          <w:rPr>
            <w:rStyle w:val="Hyperlink"/>
          </w:rPr>
          <w:t>OpenAI Help Center</w:t>
        </w:r>
      </w:hyperlink>
    </w:p>
    <w:p w14:paraId="28453505" w14:textId="77777777" w:rsidR="00350C55" w:rsidRPr="00350C55" w:rsidRDefault="00350C55" w:rsidP="00350C55">
      <w:pPr>
        <w:numPr>
          <w:ilvl w:val="0"/>
          <w:numId w:val="2"/>
        </w:numPr>
      </w:pPr>
      <w:r w:rsidRPr="00350C55">
        <w:rPr>
          <w:b/>
          <w:bCs/>
        </w:rPr>
        <w:t>Customization/GPTs sharing</w:t>
      </w:r>
      <w:r w:rsidRPr="00350C55">
        <w:t xml:space="preserve">: If you build custom GPTs (inside your enterprise workspace) and choose to </w:t>
      </w:r>
      <w:r w:rsidRPr="00350C55">
        <w:rPr>
          <w:b/>
          <w:bCs/>
        </w:rPr>
        <w:t>share them externally/publicly</w:t>
      </w:r>
      <w:r w:rsidRPr="00350C55">
        <w:t xml:space="preserve">, then some additional review or external exposure may apply. For fully internal use this is less of a concern if you keep it internal. </w:t>
      </w:r>
      <w:hyperlink r:id="rId12" w:tgtFrame="_blank" w:history="1">
        <w:r w:rsidRPr="00350C55">
          <w:rPr>
            <w:rStyle w:val="Hyperlink"/>
          </w:rPr>
          <w:t>OpenAI</w:t>
        </w:r>
      </w:hyperlink>
    </w:p>
    <w:p w14:paraId="020FB7BE" w14:textId="77777777" w:rsidR="00350C55" w:rsidRPr="00350C55" w:rsidRDefault="00350C55" w:rsidP="00350C55">
      <w:pPr>
        <w:numPr>
          <w:ilvl w:val="0"/>
          <w:numId w:val="2"/>
        </w:numPr>
      </w:pPr>
      <w:r w:rsidRPr="00350C55">
        <w:rPr>
          <w:b/>
          <w:bCs/>
        </w:rPr>
        <w:t>Legal/regulatory/sovereignty issues</w:t>
      </w:r>
      <w:r w:rsidRPr="00350C55">
        <w:t xml:space="preserve">: If you operate in a regulated domain (e.g., finance, healthcare, government), you’ll want to ensure the plan meets specific jurisdictional/data-sovereignty requirements (data residency, etc.). The enterprise page highlights “data residency” options. </w:t>
      </w:r>
      <w:hyperlink r:id="rId13" w:tgtFrame="_blank" w:history="1">
        <w:r w:rsidRPr="00350C55">
          <w:rPr>
            <w:rStyle w:val="Hyperlink"/>
          </w:rPr>
          <w:t>ChatGPT+1</w:t>
        </w:r>
      </w:hyperlink>
    </w:p>
    <w:p w14:paraId="3008ACF8" w14:textId="77777777" w:rsidR="00350C55" w:rsidRPr="00350C55" w:rsidRDefault="00350C55" w:rsidP="00350C55">
      <w:r w:rsidRPr="00350C55">
        <w:pict w14:anchorId="1E7B3805">
          <v:rect id="_x0000_i1051" style="width:0;height:1.5pt" o:hralign="center" o:hrstd="t" o:hr="t" fillcolor="#a0a0a0" stroked="f"/>
        </w:pict>
      </w:r>
    </w:p>
    <w:p w14:paraId="57E081BB" w14:textId="77777777" w:rsidR="00350C55" w:rsidRPr="00350C55" w:rsidRDefault="00350C55" w:rsidP="00350C55">
      <w:pPr>
        <w:rPr>
          <w:b/>
          <w:bCs/>
        </w:rPr>
      </w:pPr>
      <w:r w:rsidRPr="00350C55">
        <w:rPr>
          <w:rFonts w:ascii="Segoe UI Emoji" w:hAnsi="Segoe UI Emoji" w:cs="Segoe UI Emoji"/>
          <w:b/>
          <w:bCs/>
        </w:rPr>
        <w:t>🎯</w:t>
      </w:r>
      <w:r w:rsidRPr="00350C55">
        <w:rPr>
          <w:b/>
          <w:bCs/>
        </w:rPr>
        <w:t xml:space="preserve"> My recommendation for your scenario</w:t>
      </w:r>
    </w:p>
    <w:p w14:paraId="5ADDD965" w14:textId="77777777" w:rsidR="00350C55" w:rsidRPr="00350C55" w:rsidRDefault="00350C55" w:rsidP="00350C55">
      <w:r w:rsidRPr="00350C55">
        <w:t xml:space="preserve">Since you have </w:t>
      </w:r>
      <w:proofErr w:type="gramStart"/>
      <w:r w:rsidRPr="00350C55">
        <w:t>internally-authored</w:t>
      </w:r>
      <w:proofErr w:type="gramEnd"/>
      <w:r w:rsidRPr="00350C55">
        <w:t xml:space="preserve"> XML files containing proprietary content (that you </w:t>
      </w:r>
      <w:r w:rsidRPr="00350C55">
        <w:rPr>
          <w:i/>
          <w:iCs/>
        </w:rPr>
        <w:t>do not want to go externally</w:t>
      </w:r>
      <w:r w:rsidRPr="00350C55">
        <w:t>), here’s how to proceed safely:</w:t>
      </w:r>
    </w:p>
    <w:p w14:paraId="0BE9D834" w14:textId="77777777" w:rsidR="00350C55" w:rsidRPr="00350C55" w:rsidRDefault="00350C55" w:rsidP="00350C55">
      <w:pPr>
        <w:numPr>
          <w:ilvl w:val="0"/>
          <w:numId w:val="3"/>
        </w:numPr>
      </w:pPr>
      <w:r w:rsidRPr="00350C55">
        <w:t xml:space="preserve">Choose ChatGPT Enterprise (or whichever equivalent business plan) and ensure the contract or service terms state that your </w:t>
      </w:r>
      <w:r w:rsidRPr="00350C55">
        <w:rPr>
          <w:b/>
          <w:bCs/>
        </w:rPr>
        <w:t>data will not be used to train models</w:t>
      </w:r>
      <w:r w:rsidRPr="00350C55">
        <w:t>, and you retain ownership of your inputs/outputs.</w:t>
      </w:r>
    </w:p>
    <w:p w14:paraId="2517F492" w14:textId="77777777" w:rsidR="00350C55" w:rsidRPr="00350C55" w:rsidRDefault="00350C55" w:rsidP="00350C55">
      <w:pPr>
        <w:numPr>
          <w:ilvl w:val="0"/>
          <w:numId w:val="3"/>
        </w:numPr>
      </w:pPr>
      <w:r w:rsidRPr="00350C55">
        <w:t xml:space="preserve">Confirm your workspace setting for data retention: set it to the minimal period consistent with your internal compliance </w:t>
      </w:r>
      <w:proofErr w:type="gramStart"/>
      <w:r w:rsidRPr="00350C55">
        <w:t>needs, and</w:t>
      </w:r>
      <w:proofErr w:type="gramEnd"/>
      <w:r w:rsidRPr="00350C55">
        <w:t xml:space="preserve"> delete there after processing/tagging if not needed further.</w:t>
      </w:r>
    </w:p>
    <w:p w14:paraId="230E48ED" w14:textId="77777777" w:rsidR="00350C55" w:rsidRPr="00350C55" w:rsidRDefault="00350C55" w:rsidP="00350C55">
      <w:pPr>
        <w:numPr>
          <w:ilvl w:val="0"/>
          <w:numId w:val="3"/>
        </w:numPr>
      </w:pPr>
      <w:r w:rsidRPr="00350C55">
        <w:t>Make sure no connectors or external integrations leak the data outside your internal workspace unless you explicitly want that.</w:t>
      </w:r>
    </w:p>
    <w:p w14:paraId="7610754D" w14:textId="77777777" w:rsidR="00350C55" w:rsidRPr="00350C55" w:rsidRDefault="00350C55" w:rsidP="00350C55">
      <w:pPr>
        <w:numPr>
          <w:ilvl w:val="0"/>
          <w:numId w:val="3"/>
        </w:numPr>
      </w:pPr>
      <w:r w:rsidRPr="00350C55">
        <w:t>Use access controls/admin roles to restrict who inside your organization can see/delete the conversations or uploaded files.</w:t>
      </w:r>
    </w:p>
    <w:p w14:paraId="7070F691" w14:textId="77777777" w:rsidR="00350C55" w:rsidRPr="00350C55" w:rsidRDefault="00350C55" w:rsidP="00350C55">
      <w:pPr>
        <w:numPr>
          <w:ilvl w:val="0"/>
          <w:numId w:val="3"/>
        </w:numPr>
      </w:pPr>
      <w:r w:rsidRPr="00350C55">
        <w:t>If absolute isolation is required (for exceptionally sensitive data), you might also consider whether on-premises or self-hosted solutions are preferable — but from what I see, Enterprise covers “business-confidential” workloads reasonably well.</w:t>
      </w:r>
    </w:p>
    <w:p w14:paraId="38B01296" w14:textId="77777777" w:rsidR="00350C55" w:rsidRPr="00350C55" w:rsidRDefault="00350C55" w:rsidP="00350C55">
      <w:pPr>
        <w:numPr>
          <w:ilvl w:val="0"/>
          <w:numId w:val="3"/>
        </w:numPr>
      </w:pPr>
      <w:r w:rsidRPr="00350C55">
        <w:t xml:space="preserve">Before uploading your XML files, you may also want to </w:t>
      </w:r>
      <w:r w:rsidRPr="00350C55">
        <w:rPr>
          <w:b/>
          <w:bCs/>
        </w:rPr>
        <w:t>validate</w:t>
      </w:r>
      <w:r w:rsidRPr="00350C55">
        <w:t xml:space="preserve"> the relevant data-processing addendum (DPA) and any data-handling terms with OpenAI — especially for your jurisdiction and industry. The enterprise privacy page indicates OpenAI can execute a DPA to support GDPR etc. </w:t>
      </w:r>
      <w:hyperlink r:id="rId14" w:tgtFrame="_blank" w:history="1">
        <w:r w:rsidRPr="00350C55">
          <w:rPr>
            <w:rStyle w:val="Hyperlink"/>
          </w:rPr>
          <w:t>OpenAI</w:t>
        </w:r>
      </w:hyperlink>
    </w:p>
    <w:p w14:paraId="55C5CC59" w14:textId="77777777" w:rsidR="00350C55" w:rsidRPr="00350C55" w:rsidRDefault="00350C55" w:rsidP="00350C55">
      <w:r w:rsidRPr="00350C55">
        <w:pict w14:anchorId="7820CA9D">
          <v:rect id="_x0000_i1052" style="width:0;height:1.5pt" o:hralign="center" o:hrstd="t" o:hr="t" fillcolor="#a0a0a0" stroked="f"/>
        </w:pict>
      </w:r>
    </w:p>
    <w:p w14:paraId="203D5397" w14:textId="77777777" w:rsidR="00350C55" w:rsidRPr="00350C55" w:rsidRDefault="00350C55" w:rsidP="00350C55">
      <w:r w:rsidRPr="00350C55">
        <w:t xml:space="preserve">In summary: </w:t>
      </w:r>
      <w:r w:rsidRPr="00350C55">
        <w:rPr>
          <w:b/>
          <w:bCs/>
        </w:rPr>
        <w:t>Yes</w:t>
      </w:r>
      <w:r w:rsidRPr="00350C55">
        <w:t xml:space="preserve">, using ChatGPT Enterprise </w:t>
      </w:r>
      <w:r w:rsidRPr="00350C55">
        <w:rPr>
          <w:i/>
          <w:iCs/>
        </w:rPr>
        <w:t>can</w:t>
      </w:r>
      <w:r w:rsidRPr="00350C55">
        <w:t xml:space="preserve"> keep your proprietary data internal (i.e., not used for training, owned by </w:t>
      </w:r>
      <w:proofErr w:type="gramStart"/>
      <w:r w:rsidRPr="00350C55">
        <w:t>you) —</w:t>
      </w:r>
      <w:proofErr w:type="gramEnd"/>
      <w:r w:rsidRPr="00350C55">
        <w:t xml:space="preserve"> and it is designed for business workflows like yours. But it’s </w:t>
      </w:r>
      <w:r w:rsidRPr="00350C55">
        <w:rPr>
          <w:i/>
          <w:iCs/>
        </w:rPr>
        <w:t>not</w:t>
      </w:r>
      <w:r w:rsidRPr="00350C55">
        <w:t xml:space="preserve"> sufficient just to assume every plan offers the same </w:t>
      </w:r>
      <w:proofErr w:type="gramStart"/>
      <w:r w:rsidRPr="00350C55">
        <w:t>protections</w:t>
      </w:r>
      <w:proofErr w:type="gramEnd"/>
      <w:r w:rsidRPr="00350C55">
        <w:t xml:space="preserve">: you’ll want to carefully check/contractually agree on the specific </w:t>
      </w:r>
      <w:proofErr w:type="gramStart"/>
      <w:r w:rsidRPr="00350C55">
        <w:t>protections</w:t>
      </w:r>
      <w:proofErr w:type="gramEnd"/>
      <w:r w:rsidRPr="00350C55">
        <w:t xml:space="preserve"> for your internal proprietary content.</w:t>
      </w:r>
    </w:p>
    <w:p w14:paraId="6BBC98DA" w14:textId="77777777" w:rsidR="00350C55" w:rsidRPr="00350C55" w:rsidRDefault="00350C55" w:rsidP="00350C55">
      <w:r w:rsidRPr="00350C55">
        <w:t xml:space="preserve">If you like, I can pull in the </w:t>
      </w:r>
      <w:r w:rsidRPr="00350C55">
        <w:rPr>
          <w:b/>
          <w:bCs/>
        </w:rPr>
        <w:t>specific contractual language</w:t>
      </w:r>
      <w:r w:rsidRPr="00350C55">
        <w:t xml:space="preserve"> (or typical terms) from OpenAI for Enterprise usage around “non-training of data” and “data ownership” so you can compare with your internal policy. Would you like me to do that?</w:t>
      </w:r>
    </w:p>
    <w:p w14:paraId="154CCE87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6E56"/>
    <w:multiLevelType w:val="multilevel"/>
    <w:tmpl w:val="3AA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67D13"/>
    <w:multiLevelType w:val="multilevel"/>
    <w:tmpl w:val="04F6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C0D5A"/>
    <w:multiLevelType w:val="multilevel"/>
    <w:tmpl w:val="F522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481957">
    <w:abstractNumId w:val="0"/>
  </w:num>
  <w:num w:numId="2" w16cid:durableId="1024356564">
    <w:abstractNumId w:val="1"/>
  </w:num>
  <w:num w:numId="3" w16cid:durableId="131926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55"/>
    <w:rsid w:val="001F07B1"/>
    <w:rsid w:val="00350C55"/>
    <w:rsid w:val="003C062B"/>
    <w:rsid w:val="00865300"/>
    <w:rsid w:val="0087180F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2A9FE"/>
  <w15:chartTrackingRefBased/>
  <w15:docId w15:val="{89DA44F1-BFE0-4157-8125-6F5E002F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C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business/enterprise?utm_source=chatgpt.com" TargetMode="External"/><Relationship Id="rId13" Type="http://schemas.openxmlformats.org/officeDocument/2006/relationships/hyperlink" Target="https://chatgpt.com/business/enterprise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ai.com/enterprise-privacy/?utm_source=chatgpt.com" TargetMode="External"/><Relationship Id="rId12" Type="http://schemas.openxmlformats.org/officeDocument/2006/relationships/hyperlink" Target="https://openai.com/enterprise-privacy/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elp.openai.com/en/articles/8554402-gpts-data-privacy-faqs?utm_source=chatgpt.com" TargetMode="External"/><Relationship Id="rId11" Type="http://schemas.openxmlformats.org/officeDocument/2006/relationships/hyperlink" Target="https://help.openai.com/en/articles/8554402-gpts-data-privacy-faqs?utm_source=chatgpt.com" TargetMode="External"/><Relationship Id="rId5" Type="http://schemas.openxmlformats.org/officeDocument/2006/relationships/hyperlink" Target="https://openai.com/enterprise-privacy/?utm_source=chatgp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openai.com/enterprise-privacy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.openai.com/en/articles/8554402-gpts-data-privacy-faqs?utm_source=chatgpt.com" TargetMode="External"/><Relationship Id="rId14" Type="http://schemas.openxmlformats.org/officeDocument/2006/relationships/hyperlink" Target="https://openai.com/enterprise-privacy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5382</Characters>
  <Application>Microsoft Office Word</Application>
  <DocSecurity>0</DocSecurity>
  <Lines>44</Lines>
  <Paragraphs>12</Paragraphs>
  <ScaleCrop>false</ScaleCrop>
  <Company>Bloomberg Industry Group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2025-10-21T15:24:00Z</dcterms:created>
  <dcterms:modified xsi:type="dcterms:W3CDTF">2025-10-21T15:25:00Z</dcterms:modified>
</cp:coreProperties>
</file>