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7AAF9" w14:textId="17CFC291" w:rsidR="00F44FDA" w:rsidRPr="00F44FDA" w:rsidRDefault="00F44FDA" w:rsidP="00F44FDA">
      <w:pPr>
        <w:rPr>
          <w:b/>
          <w:bCs/>
        </w:rPr>
      </w:pPr>
      <w:r w:rsidRPr="00F44FDA">
        <w:rPr>
          <w:b/>
          <w:bCs/>
        </w:rPr>
        <w:t>Vendor Workflow Overview</w:t>
      </w:r>
    </w:p>
    <w:p w14:paraId="4076B90C" w14:textId="77777777" w:rsidR="00F44FDA" w:rsidRPr="00F44FDA" w:rsidRDefault="00F44FDA" w:rsidP="00F44FDA">
      <w:pPr>
        <w:numPr>
          <w:ilvl w:val="0"/>
          <w:numId w:val="3"/>
        </w:numPr>
      </w:pPr>
      <w:r w:rsidRPr="00F44FDA">
        <w:rPr>
          <w:b/>
          <w:bCs/>
        </w:rPr>
        <w:t>Task Identification</w:t>
      </w:r>
      <w:r w:rsidRPr="00F44FDA">
        <w:br/>
        <w:t>Collaborate with Practice Leads or Team Leads to identify tasks that are repetitive or time-consuming and may benefit from outsourcing.</w:t>
      </w:r>
    </w:p>
    <w:p w14:paraId="25A5C9BE" w14:textId="77777777" w:rsidR="00F44FDA" w:rsidRPr="00F44FDA" w:rsidRDefault="00F44FDA" w:rsidP="00F44FDA">
      <w:pPr>
        <w:numPr>
          <w:ilvl w:val="0"/>
          <w:numId w:val="3"/>
        </w:numPr>
      </w:pPr>
      <w:r w:rsidRPr="00F44FDA">
        <w:rPr>
          <w:b/>
          <w:bCs/>
        </w:rPr>
        <w:t>Initiate Vendor Risk Assessment</w:t>
      </w:r>
      <w:r w:rsidRPr="00F44FDA">
        <w:br/>
        <w:t xml:space="preserve">Once the decision to outsource is made, submit the </w:t>
      </w:r>
      <w:r w:rsidRPr="00F44FDA">
        <w:rPr>
          <w:b/>
          <w:bCs/>
        </w:rPr>
        <w:t>VIRA (Vendor Inherent Risk Assessment) Form</w:t>
      </w:r>
      <w:r w:rsidRPr="00F44FDA">
        <w:t>. This form is required to assess the potential risks associated with engaging a vendor.</w:t>
      </w:r>
    </w:p>
    <w:p w14:paraId="64394355" w14:textId="77777777" w:rsidR="00F44FDA" w:rsidRPr="00F44FDA" w:rsidRDefault="00F44FDA" w:rsidP="00F44FDA">
      <w:r w:rsidRPr="00F44FDA">
        <w:rPr>
          <w:b/>
          <w:bCs/>
        </w:rPr>
        <w:t>Key Review Components:</w:t>
      </w:r>
    </w:p>
    <w:p w14:paraId="03D8EE65" w14:textId="77777777" w:rsidR="00F44FDA" w:rsidRPr="00F44FDA" w:rsidRDefault="00F44FDA" w:rsidP="00F44FDA">
      <w:pPr>
        <w:numPr>
          <w:ilvl w:val="1"/>
          <w:numId w:val="3"/>
        </w:numPr>
      </w:pPr>
      <w:r w:rsidRPr="00F44FDA">
        <w:rPr>
          <w:b/>
          <w:bCs/>
        </w:rPr>
        <w:t>InfoSec Compliance Review</w:t>
      </w:r>
      <w:r w:rsidRPr="00F44FDA">
        <w:t>: Evaluates the vendor’s security practices to determine the risk level.</w:t>
      </w:r>
      <w:r w:rsidRPr="00F44FDA">
        <w:br/>
      </w:r>
      <w:r w:rsidRPr="00F44FDA">
        <w:rPr>
          <w:b/>
          <w:bCs/>
        </w:rPr>
        <w:t>SLA</w:t>
      </w:r>
      <w:r w:rsidRPr="00F44FDA">
        <w:t>: 10 business days</w:t>
      </w:r>
    </w:p>
    <w:p w14:paraId="343E5C5A" w14:textId="77777777" w:rsidR="00F44FDA" w:rsidRPr="00F44FDA" w:rsidRDefault="00F44FDA" w:rsidP="00F44FDA">
      <w:pPr>
        <w:numPr>
          <w:ilvl w:val="1"/>
          <w:numId w:val="3"/>
        </w:numPr>
      </w:pPr>
      <w:r w:rsidRPr="00F44FDA">
        <w:rPr>
          <w:b/>
          <w:bCs/>
        </w:rPr>
        <w:t>Software Risk Assessment</w:t>
      </w:r>
      <w:r w:rsidRPr="00F44FDA">
        <w:t>: Conducted by the Security Team to analyze risks associated with the proposed software.</w:t>
      </w:r>
      <w:r w:rsidRPr="00F44FDA">
        <w:br/>
      </w:r>
      <w:r w:rsidRPr="00F44FDA">
        <w:rPr>
          <w:b/>
          <w:bCs/>
        </w:rPr>
        <w:t>SLA</w:t>
      </w:r>
      <w:r w:rsidRPr="00F44FDA">
        <w:t>: 10 business days</w:t>
      </w:r>
    </w:p>
    <w:p w14:paraId="5769C35C" w14:textId="77777777" w:rsidR="00F44FDA" w:rsidRPr="00F44FDA" w:rsidRDefault="00F44FDA" w:rsidP="00F44FDA">
      <w:pPr>
        <w:numPr>
          <w:ilvl w:val="1"/>
          <w:numId w:val="3"/>
        </w:numPr>
      </w:pPr>
      <w:r w:rsidRPr="00F44FDA">
        <w:rPr>
          <w:b/>
          <w:bCs/>
        </w:rPr>
        <w:t>AI/LLM Review</w:t>
      </w:r>
      <w:r w:rsidRPr="00F44FDA">
        <w:t>: The AI Committee assesses vendors and tools utilizing LLM or Generative AI functionalities, in accordance with internal AI governance protocols.</w:t>
      </w:r>
    </w:p>
    <w:p w14:paraId="0F787206" w14:textId="77777777" w:rsidR="00F44FDA" w:rsidRPr="00F44FDA" w:rsidRDefault="00F44FDA" w:rsidP="00F44FDA">
      <w:pPr>
        <w:numPr>
          <w:ilvl w:val="1"/>
          <w:numId w:val="3"/>
        </w:numPr>
      </w:pPr>
      <w:r w:rsidRPr="00F44FDA">
        <w:t>A detailed report with risk findings and recommendations will be provided to the business unit/requestor after the assessment is complete.</w:t>
      </w:r>
    </w:p>
    <w:p w14:paraId="1ABAFC3D" w14:textId="77777777" w:rsidR="00F44FDA" w:rsidRPr="00F44FDA" w:rsidRDefault="00F44FDA" w:rsidP="00F44FDA">
      <w:pPr>
        <w:numPr>
          <w:ilvl w:val="0"/>
          <w:numId w:val="3"/>
        </w:numPr>
      </w:pPr>
      <w:r w:rsidRPr="00F44FDA">
        <w:rPr>
          <w:b/>
          <w:bCs/>
        </w:rPr>
        <w:t>Account Setup and Access</w:t>
      </w:r>
      <w:r w:rsidRPr="00F44FDA">
        <w:br/>
        <w:t>Once the vendor passes the assessment, requests are made to IT/Engineering for account provisioning (email, BWIP, JIRA) based on the defined scope of work.</w:t>
      </w:r>
    </w:p>
    <w:p w14:paraId="126B8282" w14:textId="77777777" w:rsidR="00F44FDA" w:rsidRPr="00F44FDA" w:rsidRDefault="00F44FDA" w:rsidP="00F44FDA">
      <w:pPr>
        <w:numPr>
          <w:ilvl w:val="0"/>
          <w:numId w:val="3"/>
        </w:numPr>
      </w:pPr>
      <w:r w:rsidRPr="00F44FDA">
        <w:rPr>
          <w:b/>
          <w:bCs/>
        </w:rPr>
        <w:t>Proof of Concept (POC)</w:t>
      </w:r>
      <w:r w:rsidRPr="00F44FDA">
        <w:br/>
        <w:t>After access is granted to INDG systems, a POC is conducted to evaluate the vendor’s ability to perform within organizational parameters.</w:t>
      </w:r>
    </w:p>
    <w:p w14:paraId="417A809B" w14:textId="77777777" w:rsidR="00F44FDA" w:rsidRPr="00F44FDA" w:rsidRDefault="00F44FDA" w:rsidP="00F44FDA">
      <w:pPr>
        <w:numPr>
          <w:ilvl w:val="0"/>
          <w:numId w:val="3"/>
        </w:numPr>
      </w:pPr>
      <w:r w:rsidRPr="00F44FDA">
        <w:rPr>
          <w:b/>
          <w:bCs/>
        </w:rPr>
        <w:t>Contract and Payment Terms</w:t>
      </w:r>
      <w:r w:rsidRPr="00F44FDA">
        <w:br/>
        <w:t xml:space="preserve">If the POC is successful, payment terms are </w:t>
      </w:r>
      <w:proofErr w:type="gramStart"/>
      <w:r w:rsidRPr="00F44FDA">
        <w:t>negotiated</w:t>
      </w:r>
      <w:proofErr w:type="gramEnd"/>
      <w:r w:rsidRPr="00F44FDA">
        <w:t xml:space="preserve"> and a formal contract is executed.</w:t>
      </w:r>
    </w:p>
    <w:p w14:paraId="13A489CF" w14:textId="77777777" w:rsidR="00F44FDA" w:rsidRPr="00F44FDA" w:rsidRDefault="00F44FDA" w:rsidP="00F44FDA">
      <w:pPr>
        <w:numPr>
          <w:ilvl w:val="0"/>
          <w:numId w:val="3"/>
        </w:numPr>
      </w:pPr>
      <w:r w:rsidRPr="00F44FDA">
        <w:rPr>
          <w:b/>
          <w:bCs/>
        </w:rPr>
        <w:t>Operational Onboarding</w:t>
      </w:r>
      <w:r w:rsidRPr="00F44FDA">
        <w:br/>
        <w:t>JIRA tickets are created to enable the vendor to begin processing documents as per the agreed scope.</w:t>
      </w:r>
    </w:p>
    <w:p w14:paraId="2655816E" w14:textId="2A479953" w:rsidR="003003C6" w:rsidRDefault="003003C6" w:rsidP="00F44FDA"/>
    <w:p w14:paraId="2D9091A2" w14:textId="77777777" w:rsidR="00A41A82" w:rsidRDefault="00A41A82"/>
    <w:p w14:paraId="5C7EEF8B" w14:textId="77777777" w:rsidR="00A41A82" w:rsidRPr="00A41A82" w:rsidRDefault="00A41A82" w:rsidP="00A41A82">
      <w:pPr>
        <w:rPr>
          <w:b/>
          <w:bCs/>
        </w:rPr>
      </w:pPr>
      <w:r w:rsidRPr="00A41A82">
        <w:rPr>
          <w:b/>
          <w:bCs/>
        </w:rPr>
        <w:t>Vendor scope of work for Top 3 projects</w:t>
      </w:r>
    </w:p>
    <w:p w14:paraId="0CB88E27" w14:textId="77777777" w:rsidR="00A41A82" w:rsidRPr="00A41A82" w:rsidRDefault="00A41A82" w:rsidP="00A41A82"/>
    <w:p w14:paraId="1F321BCD" w14:textId="77777777" w:rsidR="00A41A82" w:rsidRPr="00A41A82" w:rsidRDefault="00A41A82" w:rsidP="00A41A82"/>
    <w:p w14:paraId="606152B3" w14:textId="77777777" w:rsidR="00A41A82" w:rsidRPr="00A41A82" w:rsidRDefault="00A41A82" w:rsidP="00A41A82">
      <w:pPr>
        <w:rPr>
          <w:b/>
          <w:bCs/>
        </w:rPr>
      </w:pPr>
      <w:r w:rsidRPr="00A41A82">
        <w:rPr>
          <w:b/>
          <w:bCs/>
        </w:rPr>
        <w:t>Portfolio Conversion and Updating</w:t>
      </w:r>
    </w:p>
    <w:p w14:paraId="10AE84F5" w14:textId="77777777" w:rsidR="00A41A82" w:rsidRPr="00A41A82" w:rsidRDefault="00A41A82" w:rsidP="00A41A82">
      <w:r w:rsidRPr="00A41A82">
        <w:t xml:space="preserve">The Portfolio document processing workflow begins with downloading source files from the ticket and structuring them into chapters within </w:t>
      </w:r>
      <w:proofErr w:type="spellStart"/>
      <w:r w:rsidRPr="00A41A82">
        <w:t>WebQ</w:t>
      </w:r>
      <w:proofErr w:type="spellEnd"/>
      <w:r w:rsidRPr="00A41A82">
        <w:t xml:space="preserve">. The files are then converted into plain text for an initial cleanup phase, where errors are corrected, tags are matched, and text formatting is standardized. Next, the cleaned data is transformed into XML format with metadata and structured tables. Auto-tagging is then executed in </w:t>
      </w:r>
      <w:proofErr w:type="spellStart"/>
      <w:r w:rsidRPr="00A41A82">
        <w:t>WebQ</w:t>
      </w:r>
      <w:proofErr w:type="spellEnd"/>
      <w:r w:rsidRPr="00A41A82">
        <w:t xml:space="preserve">, and processed files are downloaded for further verification. The workflow includes multiple tagging phases, ensuring accuracy in citations, references, and formatting. Files are compared to identify and correct discrepancies, followed by a tag balance check to align citations. A thorough quality check is performed, validating metadata, headings, and structural integrity before finalizing the document. Lastly, validated files are copied to </w:t>
      </w:r>
      <w:proofErr w:type="spellStart"/>
      <w:r w:rsidRPr="00A41A82">
        <w:t>WebQ</w:t>
      </w:r>
      <w:proofErr w:type="spellEnd"/>
      <w:r w:rsidRPr="00A41A82">
        <w:t xml:space="preserve"> and BWIP, footnotes are renumbered, and completion is recorded along with utilized hours in the ticket.</w:t>
      </w:r>
    </w:p>
    <w:p w14:paraId="122F5C03" w14:textId="77777777" w:rsidR="00A41A82" w:rsidRPr="00A41A82" w:rsidRDefault="00A41A82" w:rsidP="00A41A82"/>
    <w:p w14:paraId="3DE98AA0" w14:textId="77777777" w:rsidR="00A41A82" w:rsidRPr="00A41A82" w:rsidRDefault="00A41A82" w:rsidP="00A41A82"/>
    <w:p w14:paraId="4377E40E" w14:textId="77777777" w:rsidR="00A41A82" w:rsidRPr="00A41A82" w:rsidRDefault="00A41A82" w:rsidP="00A41A82">
      <w:pPr>
        <w:rPr>
          <w:b/>
          <w:bCs/>
        </w:rPr>
      </w:pPr>
      <w:r w:rsidRPr="00A41A82">
        <w:rPr>
          <w:b/>
          <w:bCs/>
        </w:rPr>
        <w:t>International Forms Vendor Workflow</w:t>
      </w:r>
    </w:p>
    <w:p w14:paraId="6974D54F" w14:textId="77777777" w:rsidR="00A41A82" w:rsidRPr="00A41A82" w:rsidRDefault="00A41A82" w:rsidP="00A41A82"/>
    <w:p w14:paraId="42282AF0" w14:textId="77777777" w:rsidR="00A41A82" w:rsidRPr="00A41A82" w:rsidRDefault="00A41A82" w:rsidP="00A41A82">
      <w:proofErr w:type="spellStart"/>
      <w:r w:rsidRPr="00A41A82">
        <w:t>Infocon</w:t>
      </w:r>
      <w:proofErr w:type="spellEnd"/>
      <w:r w:rsidRPr="00A41A82">
        <w:t xml:space="preserve"> collects approximately 1100 international forms yearly using a customized JIRA dashboard. They ensure that the current year’s forms are accurate by comparing them to the previous year’s forms and reviewing the websites where they are located. The forms, collected in both English and their original languages, are saved as PDFs and attached to individual tickets in JIRA, with Website Watcher aiding the process. This year, </w:t>
      </w:r>
      <w:proofErr w:type="spellStart"/>
      <w:r w:rsidRPr="00A41A82">
        <w:t>Infocon</w:t>
      </w:r>
      <w:proofErr w:type="spellEnd"/>
      <w:r w:rsidRPr="00A41A82">
        <w:t xml:space="preserve"> introduced a QA process involving a dedicated team that reviews collected forms for accuracy, transitions tickets to In Conversion, and assigns them to Donna for a final check and upload to the product. For unchanged forms, the QA staff now replicates previous PDFs, streamlining efforts and saving time at INDG.</w:t>
      </w:r>
    </w:p>
    <w:p w14:paraId="1A0420F7" w14:textId="77777777" w:rsidR="00A41A82" w:rsidRPr="00A41A82" w:rsidRDefault="00A41A82" w:rsidP="00A41A82"/>
    <w:p w14:paraId="2B716D29" w14:textId="77777777" w:rsidR="00A41A82" w:rsidRPr="00A41A82" w:rsidRDefault="00A41A82" w:rsidP="00A41A82"/>
    <w:p w14:paraId="39759809" w14:textId="77777777" w:rsidR="00A41A82" w:rsidRPr="00A41A82" w:rsidRDefault="00A41A82" w:rsidP="00A41A82">
      <w:pPr>
        <w:rPr>
          <w:b/>
          <w:bCs/>
        </w:rPr>
      </w:pPr>
      <w:r w:rsidRPr="00A41A82">
        <w:rPr>
          <w:b/>
          <w:bCs/>
        </w:rPr>
        <w:t>Property Tax Navigators</w:t>
      </w:r>
    </w:p>
    <w:p w14:paraId="6F565873" w14:textId="77777777" w:rsidR="00A41A82" w:rsidRPr="00A41A82" w:rsidRDefault="00A41A82" w:rsidP="00A41A82">
      <w:r w:rsidRPr="00A41A82">
        <w:t xml:space="preserve"> </w:t>
      </w:r>
    </w:p>
    <w:p w14:paraId="5E8C230B" w14:textId="77777777" w:rsidR="00A41A82" w:rsidRPr="00A41A82" w:rsidRDefault="00A41A82" w:rsidP="00A41A82">
      <w:r w:rsidRPr="00A41A82">
        <w:t>The State Team/</w:t>
      </w:r>
      <w:proofErr w:type="spellStart"/>
      <w:r w:rsidRPr="00A41A82">
        <w:t>Mindcrest</w:t>
      </w:r>
      <w:proofErr w:type="spellEnd"/>
      <w:r w:rsidRPr="00A41A82">
        <w:t xml:space="preserve"> organizes and prioritizes relevant developments, attaching redlined Word files to JIRA tickets before assigning them to TPQA. TPQA reviews the tickets and forwards them to </w:t>
      </w:r>
      <w:proofErr w:type="spellStart"/>
      <w:r w:rsidRPr="00A41A82">
        <w:t>Infocon</w:t>
      </w:r>
      <w:proofErr w:type="spellEnd"/>
      <w:r w:rsidRPr="00A41A82">
        <w:t xml:space="preserve">. </w:t>
      </w:r>
      <w:proofErr w:type="spellStart"/>
      <w:r w:rsidRPr="00A41A82">
        <w:t>Infocon</w:t>
      </w:r>
      <w:proofErr w:type="spellEnd"/>
      <w:r w:rsidRPr="00A41A82">
        <w:t xml:space="preserve"> updates the files in BWIP, processes them, and sends them back to TPQA for quality assurance and eventual release to BTAX.</w:t>
      </w:r>
    </w:p>
    <w:p w14:paraId="41295329" w14:textId="77777777" w:rsidR="00A41A82" w:rsidRPr="00A41A82" w:rsidRDefault="00A41A82" w:rsidP="00A41A82"/>
    <w:p w14:paraId="69681087" w14:textId="77777777" w:rsidR="00A41A82" w:rsidRPr="00A41A82" w:rsidRDefault="00A41A82" w:rsidP="00A41A82"/>
    <w:p w14:paraId="584EF391" w14:textId="77777777" w:rsidR="00A41A82" w:rsidRPr="00A41A82" w:rsidRDefault="00A41A82" w:rsidP="00A41A82"/>
    <w:p w14:paraId="67E2EA6C" w14:textId="77777777" w:rsidR="00A41A82" w:rsidRPr="00A41A82" w:rsidRDefault="00A41A82" w:rsidP="00A41A82"/>
    <w:p w14:paraId="07482EE5" w14:textId="77777777" w:rsidR="00A41A82" w:rsidRPr="00A41A82" w:rsidRDefault="00A41A82" w:rsidP="00A41A82"/>
    <w:p w14:paraId="773BABC1" w14:textId="77777777" w:rsidR="00A41A82" w:rsidRPr="00A41A82" w:rsidRDefault="00A41A82" w:rsidP="00A41A82"/>
    <w:p w14:paraId="4738FD87" w14:textId="77777777" w:rsidR="00A41A82" w:rsidRPr="00A41A82" w:rsidRDefault="00A41A82" w:rsidP="00A41A82">
      <w:r w:rsidRPr="00A41A82">
        <w:t>Brief Summary:</w:t>
      </w:r>
    </w:p>
    <w:p w14:paraId="70630BF7" w14:textId="77777777" w:rsidR="00A41A82" w:rsidRPr="00A41A82" w:rsidRDefault="00A41A82" w:rsidP="00A41A82"/>
    <w:p w14:paraId="22CF0076" w14:textId="77777777" w:rsidR="00A41A82" w:rsidRPr="00A41A82" w:rsidRDefault="00A41A82" w:rsidP="00A41A82">
      <w:r w:rsidRPr="00A41A82">
        <w:t xml:space="preserve">The </w:t>
      </w:r>
      <w:proofErr w:type="spellStart"/>
      <w:r w:rsidRPr="00A41A82">
        <w:rPr>
          <w:b/>
          <w:bCs/>
        </w:rPr>
        <w:t>Infocon</w:t>
      </w:r>
      <w:proofErr w:type="spellEnd"/>
      <w:r w:rsidRPr="00A41A82">
        <w:rPr>
          <w:b/>
          <w:bCs/>
        </w:rPr>
        <w:t xml:space="preserve"> Workflow for Portfolio &amp; Property Tax Navigators</w:t>
      </w:r>
      <w:r w:rsidRPr="00A41A82">
        <w:t xml:space="preserve"> involves converting, tagging, and updating files in BWIP.</w:t>
      </w:r>
    </w:p>
    <w:p w14:paraId="7A5180E9" w14:textId="77777777" w:rsidR="00A41A82" w:rsidRPr="00A41A82" w:rsidRDefault="00A41A82" w:rsidP="00A41A82">
      <w:r w:rsidRPr="00A41A82">
        <w:t xml:space="preserve">Meanwhile, the </w:t>
      </w:r>
      <w:r w:rsidRPr="00A41A82">
        <w:rPr>
          <w:b/>
          <w:bCs/>
        </w:rPr>
        <w:t xml:space="preserve">International Forms </w:t>
      </w:r>
      <w:r w:rsidRPr="00A41A82">
        <w:t>process deals with collecting approximately 1,100 international tax forms in both English and their original languages, then comparing them with previous years' documents.</w:t>
      </w:r>
    </w:p>
    <w:p w14:paraId="23CB66E1" w14:textId="77777777" w:rsidR="00A41A82" w:rsidRPr="00A41A82" w:rsidRDefault="00A41A82" w:rsidP="00A41A82"/>
    <w:p w14:paraId="2B434D5A" w14:textId="77777777" w:rsidR="00A41A82" w:rsidRDefault="00A41A82"/>
    <w:sectPr w:rsidR="00A41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25C7"/>
    <w:multiLevelType w:val="hybridMultilevel"/>
    <w:tmpl w:val="082CFCE2"/>
    <w:lvl w:ilvl="0" w:tplc="194CBBB0">
      <w:start w:val="1"/>
      <w:numFmt w:val="bullet"/>
      <w:lvlText w:val="•"/>
      <w:lvlJc w:val="left"/>
      <w:pPr>
        <w:tabs>
          <w:tab w:val="num" w:pos="720"/>
        </w:tabs>
        <w:ind w:left="720" w:hanging="360"/>
      </w:pPr>
      <w:rPr>
        <w:rFonts w:ascii="Arial" w:hAnsi="Arial" w:hint="default"/>
      </w:rPr>
    </w:lvl>
    <w:lvl w:ilvl="1" w:tplc="E6586AA4" w:tentative="1">
      <w:start w:val="1"/>
      <w:numFmt w:val="bullet"/>
      <w:lvlText w:val="•"/>
      <w:lvlJc w:val="left"/>
      <w:pPr>
        <w:tabs>
          <w:tab w:val="num" w:pos="1440"/>
        </w:tabs>
        <w:ind w:left="1440" w:hanging="360"/>
      </w:pPr>
      <w:rPr>
        <w:rFonts w:ascii="Arial" w:hAnsi="Arial" w:hint="default"/>
      </w:rPr>
    </w:lvl>
    <w:lvl w:ilvl="2" w:tplc="AF5247E2" w:tentative="1">
      <w:start w:val="1"/>
      <w:numFmt w:val="bullet"/>
      <w:lvlText w:val="•"/>
      <w:lvlJc w:val="left"/>
      <w:pPr>
        <w:tabs>
          <w:tab w:val="num" w:pos="2160"/>
        </w:tabs>
        <w:ind w:left="2160" w:hanging="360"/>
      </w:pPr>
      <w:rPr>
        <w:rFonts w:ascii="Arial" w:hAnsi="Arial" w:hint="default"/>
      </w:rPr>
    </w:lvl>
    <w:lvl w:ilvl="3" w:tplc="F83E0B92" w:tentative="1">
      <w:start w:val="1"/>
      <w:numFmt w:val="bullet"/>
      <w:lvlText w:val="•"/>
      <w:lvlJc w:val="left"/>
      <w:pPr>
        <w:tabs>
          <w:tab w:val="num" w:pos="2880"/>
        </w:tabs>
        <w:ind w:left="2880" w:hanging="360"/>
      </w:pPr>
      <w:rPr>
        <w:rFonts w:ascii="Arial" w:hAnsi="Arial" w:hint="default"/>
      </w:rPr>
    </w:lvl>
    <w:lvl w:ilvl="4" w:tplc="266AFDDE" w:tentative="1">
      <w:start w:val="1"/>
      <w:numFmt w:val="bullet"/>
      <w:lvlText w:val="•"/>
      <w:lvlJc w:val="left"/>
      <w:pPr>
        <w:tabs>
          <w:tab w:val="num" w:pos="3600"/>
        </w:tabs>
        <w:ind w:left="3600" w:hanging="360"/>
      </w:pPr>
      <w:rPr>
        <w:rFonts w:ascii="Arial" w:hAnsi="Arial" w:hint="default"/>
      </w:rPr>
    </w:lvl>
    <w:lvl w:ilvl="5" w:tplc="CAA6CF7A" w:tentative="1">
      <w:start w:val="1"/>
      <w:numFmt w:val="bullet"/>
      <w:lvlText w:val="•"/>
      <w:lvlJc w:val="left"/>
      <w:pPr>
        <w:tabs>
          <w:tab w:val="num" w:pos="4320"/>
        </w:tabs>
        <w:ind w:left="4320" w:hanging="360"/>
      </w:pPr>
      <w:rPr>
        <w:rFonts w:ascii="Arial" w:hAnsi="Arial" w:hint="default"/>
      </w:rPr>
    </w:lvl>
    <w:lvl w:ilvl="6" w:tplc="F0548152" w:tentative="1">
      <w:start w:val="1"/>
      <w:numFmt w:val="bullet"/>
      <w:lvlText w:val="•"/>
      <w:lvlJc w:val="left"/>
      <w:pPr>
        <w:tabs>
          <w:tab w:val="num" w:pos="5040"/>
        </w:tabs>
        <w:ind w:left="5040" w:hanging="360"/>
      </w:pPr>
      <w:rPr>
        <w:rFonts w:ascii="Arial" w:hAnsi="Arial" w:hint="default"/>
      </w:rPr>
    </w:lvl>
    <w:lvl w:ilvl="7" w:tplc="BFB882E6" w:tentative="1">
      <w:start w:val="1"/>
      <w:numFmt w:val="bullet"/>
      <w:lvlText w:val="•"/>
      <w:lvlJc w:val="left"/>
      <w:pPr>
        <w:tabs>
          <w:tab w:val="num" w:pos="5760"/>
        </w:tabs>
        <w:ind w:left="5760" w:hanging="360"/>
      </w:pPr>
      <w:rPr>
        <w:rFonts w:ascii="Arial" w:hAnsi="Arial" w:hint="default"/>
      </w:rPr>
    </w:lvl>
    <w:lvl w:ilvl="8" w:tplc="26420E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3F5B89"/>
    <w:multiLevelType w:val="hybridMultilevel"/>
    <w:tmpl w:val="3AA06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9E131F"/>
    <w:multiLevelType w:val="multilevel"/>
    <w:tmpl w:val="773010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1018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0730735">
    <w:abstractNumId w:val="0"/>
  </w:num>
  <w:num w:numId="3" w16cid:durableId="1059668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82"/>
    <w:rsid w:val="003003C6"/>
    <w:rsid w:val="00A41A82"/>
    <w:rsid w:val="00F2273B"/>
    <w:rsid w:val="00F44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85692"/>
  <w15:chartTrackingRefBased/>
  <w15:docId w15:val="{FC359147-2BB1-4D9C-86B1-3D03C85F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A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A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A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A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A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A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A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A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A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A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A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A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A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A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A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A82"/>
    <w:rPr>
      <w:rFonts w:eastAsiaTheme="majorEastAsia" w:cstheme="majorBidi"/>
      <w:color w:val="272727" w:themeColor="text1" w:themeTint="D8"/>
    </w:rPr>
  </w:style>
  <w:style w:type="paragraph" w:styleId="Title">
    <w:name w:val="Title"/>
    <w:basedOn w:val="Normal"/>
    <w:next w:val="Normal"/>
    <w:link w:val="TitleChar"/>
    <w:uiPriority w:val="10"/>
    <w:qFormat/>
    <w:rsid w:val="00A41A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A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A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A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A82"/>
    <w:pPr>
      <w:spacing w:before="160"/>
      <w:jc w:val="center"/>
    </w:pPr>
    <w:rPr>
      <w:i/>
      <w:iCs/>
      <w:color w:val="404040" w:themeColor="text1" w:themeTint="BF"/>
    </w:rPr>
  </w:style>
  <w:style w:type="character" w:customStyle="1" w:styleId="QuoteChar">
    <w:name w:val="Quote Char"/>
    <w:basedOn w:val="DefaultParagraphFont"/>
    <w:link w:val="Quote"/>
    <w:uiPriority w:val="29"/>
    <w:rsid w:val="00A41A82"/>
    <w:rPr>
      <w:i/>
      <w:iCs/>
      <w:color w:val="404040" w:themeColor="text1" w:themeTint="BF"/>
    </w:rPr>
  </w:style>
  <w:style w:type="paragraph" w:styleId="ListParagraph">
    <w:name w:val="List Paragraph"/>
    <w:basedOn w:val="Normal"/>
    <w:uiPriority w:val="34"/>
    <w:qFormat/>
    <w:rsid w:val="00A41A82"/>
    <w:pPr>
      <w:ind w:left="720"/>
      <w:contextualSpacing/>
    </w:pPr>
  </w:style>
  <w:style w:type="character" w:styleId="IntenseEmphasis">
    <w:name w:val="Intense Emphasis"/>
    <w:basedOn w:val="DefaultParagraphFont"/>
    <w:uiPriority w:val="21"/>
    <w:qFormat/>
    <w:rsid w:val="00A41A82"/>
    <w:rPr>
      <w:i/>
      <w:iCs/>
      <w:color w:val="0F4761" w:themeColor="accent1" w:themeShade="BF"/>
    </w:rPr>
  </w:style>
  <w:style w:type="paragraph" w:styleId="IntenseQuote">
    <w:name w:val="Intense Quote"/>
    <w:basedOn w:val="Normal"/>
    <w:next w:val="Normal"/>
    <w:link w:val="IntenseQuoteChar"/>
    <w:uiPriority w:val="30"/>
    <w:qFormat/>
    <w:rsid w:val="00A41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A82"/>
    <w:rPr>
      <w:i/>
      <w:iCs/>
      <w:color w:val="0F4761" w:themeColor="accent1" w:themeShade="BF"/>
    </w:rPr>
  </w:style>
  <w:style w:type="character" w:styleId="IntenseReference">
    <w:name w:val="Intense Reference"/>
    <w:basedOn w:val="DefaultParagraphFont"/>
    <w:uiPriority w:val="32"/>
    <w:qFormat/>
    <w:rsid w:val="00A41A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2505">
      <w:bodyDiv w:val="1"/>
      <w:marLeft w:val="0"/>
      <w:marRight w:val="0"/>
      <w:marTop w:val="0"/>
      <w:marBottom w:val="0"/>
      <w:divBdr>
        <w:top w:val="none" w:sz="0" w:space="0" w:color="auto"/>
        <w:left w:val="none" w:sz="0" w:space="0" w:color="auto"/>
        <w:bottom w:val="none" w:sz="0" w:space="0" w:color="auto"/>
        <w:right w:val="none" w:sz="0" w:space="0" w:color="auto"/>
      </w:divBdr>
    </w:div>
    <w:div w:id="554658720">
      <w:bodyDiv w:val="1"/>
      <w:marLeft w:val="0"/>
      <w:marRight w:val="0"/>
      <w:marTop w:val="0"/>
      <w:marBottom w:val="0"/>
      <w:divBdr>
        <w:top w:val="none" w:sz="0" w:space="0" w:color="auto"/>
        <w:left w:val="none" w:sz="0" w:space="0" w:color="auto"/>
        <w:bottom w:val="none" w:sz="0" w:space="0" w:color="auto"/>
        <w:right w:val="none" w:sz="0" w:space="0" w:color="auto"/>
      </w:divBdr>
    </w:div>
    <w:div w:id="826479341">
      <w:bodyDiv w:val="1"/>
      <w:marLeft w:val="0"/>
      <w:marRight w:val="0"/>
      <w:marTop w:val="0"/>
      <w:marBottom w:val="0"/>
      <w:divBdr>
        <w:top w:val="none" w:sz="0" w:space="0" w:color="auto"/>
        <w:left w:val="none" w:sz="0" w:space="0" w:color="auto"/>
        <w:bottom w:val="none" w:sz="0" w:space="0" w:color="auto"/>
        <w:right w:val="none" w:sz="0" w:space="0" w:color="auto"/>
      </w:divBdr>
    </w:div>
    <w:div w:id="883099069">
      <w:bodyDiv w:val="1"/>
      <w:marLeft w:val="0"/>
      <w:marRight w:val="0"/>
      <w:marTop w:val="0"/>
      <w:marBottom w:val="0"/>
      <w:divBdr>
        <w:top w:val="none" w:sz="0" w:space="0" w:color="auto"/>
        <w:left w:val="none" w:sz="0" w:space="0" w:color="auto"/>
        <w:bottom w:val="none" w:sz="0" w:space="0" w:color="auto"/>
        <w:right w:val="none" w:sz="0" w:space="0" w:color="auto"/>
      </w:divBdr>
    </w:div>
    <w:div w:id="1023822351">
      <w:bodyDiv w:val="1"/>
      <w:marLeft w:val="0"/>
      <w:marRight w:val="0"/>
      <w:marTop w:val="0"/>
      <w:marBottom w:val="0"/>
      <w:divBdr>
        <w:top w:val="none" w:sz="0" w:space="0" w:color="auto"/>
        <w:left w:val="none" w:sz="0" w:space="0" w:color="auto"/>
        <w:bottom w:val="none" w:sz="0" w:space="0" w:color="auto"/>
        <w:right w:val="none" w:sz="0" w:space="0" w:color="auto"/>
      </w:divBdr>
    </w:div>
    <w:div w:id="1632900393">
      <w:bodyDiv w:val="1"/>
      <w:marLeft w:val="0"/>
      <w:marRight w:val="0"/>
      <w:marTop w:val="0"/>
      <w:marBottom w:val="0"/>
      <w:divBdr>
        <w:top w:val="none" w:sz="0" w:space="0" w:color="auto"/>
        <w:left w:val="none" w:sz="0" w:space="0" w:color="auto"/>
        <w:bottom w:val="none" w:sz="0" w:space="0" w:color="auto"/>
        <w:right w:val="none" w:sz="0" w:space="0" w:color="auto"/>
      </w:divBdr>
    </w:div>
    <w:div w:id="1906573344">
      <w:bodyDiv w:val="1"/>
      <w:marLeft w:val="0"/>
      <w:marRight w:val="0"/>
      <w:marTop w:val="0"/>
      <w:marBottom w:val="0"/>
      <w:divBdr>
        <w:top w:val="none" w:sz="0" w:space="0" w:color="auto"/>
        <w:left w:val="none" w:sz="0" w:space="0" w:color="auto"/>
        <w:bottom w:val="none" w:sz="0" w:space="0" w:color="auto"/>
        <w:right w:val="none" w:sz="0" w:space="0" w:color="auto"/>
      </w:divBdr>
      <w:divsChild>
        <w:div w:id="2115050129">
          <w:marLeft w:val="446"/>
          <w:marRight w:val="0"/>
          <w:marTop w:val="150"/>
          <w:marBottom w:val="150"/>
          <w:divBdr>
            <w:top w:val="none" w:sz="0" w:space="0" w:color="auto"/>
            <w:left w:val="none" w:sz="0" w:space="0" w:color="auto"/>
            <w:bottom w:val="none" w:sz="0" w:space="0" w:color="auto"/>
            <w:right w:val="none" w:sz="0" w:space="0" w:color="auto"/>
          </w:divBdr>
        </w:div>
        <w:div w:id="382874897">
          <w:marLeft w:val="446"/>
          <w:marRight w:val="0"/>
          <w:marTop w:val="150"/>
          <w:marBottom w:val="150"/>
          <w:divBdr>
            <w:top w:val="none" w:sz="0" w:space="0" w:color="auto"/>
            <w:left w:val="none" w:sz="0" w:space="0" w:color="auto"/>
            <w:bottom w:val="none" w:sz="0" w:space="0" w:color="auto"/>
            <w:right w:val="none" w:sz="0" w:space="0" w:color="auto"/>
          </w:divBdr>
        </w:div>
        <w:div w:id="1027561616">
          <w:marLeft w:val="446"/>
          <w:marRight w:val="0"/>
          <w:marTop w:val="150"/>
          <w:marBottom w:val="150"/>
          <w:divBdr>
            <w:top w:val="none" w:sz="0" w:space="0" w:color="auto"/>
            <w:left w:val="none" w:sz="0" w:space="0" w:color="auto"/>
            <w:bottom w:val="none" w:sz="0" w:space="0" w:color="auto"/>
            <w:right w:val="none" w:sz="0" w:space="0" w:color="auto"/>
          </w:divBdr>
        </w:div>
        <w:div w:id="273632514">
          <w:marLeft w:val="446"/>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3</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Bloomberg Industry Group</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1</cp:revision>
  <dcterms:created xsi:type="dcterms:W3CDTF">2025-04-24T15:14:00Z</dcterms:created>
  <dcterms:modified xsi:type="dcterms:W3CDTF">2025-04-24T15:42:00Z</dcterms:modified>
</cp:coreProperties>
</file>