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DEB834" w14:textId="164E4731" w:rsidR="00752E25" w:rsidRPr="00115980" w:rsidRDefault="00752E25" w:rsidP="00752E25">
      <w:pPr>
        <w:pStyle w:val="ChapterNumber"/>
      </w:pPr>
      <w:r w:rsidRPr="00115980">
        <w:t>3</w:t>
      </w:r>
      <w:r w:rsidR="0018402A">
        <w:t>7</w:t>
      </w:r>
    </w:p>
    <w:p w14:paraId="7F4D9514" w14:textId="77777777" w:rsidR="00752E25" w:rsidRPr="00115980" w:rsidRDefault="00752E25" w:rsidP="00752E25">
      <w:pPr>
        <w:pStyle w:val="ChapterTitle"/>
      </w:pPr>
      <w:r w:rsidRPr="00115980">
        <w:t>South Korea</w:t>
      </w:r>
    </w:p>
    <w:p w14:paraId="25DBF660" w14:textId="36633566" w:rsidR="00752E25" w:rsidRPr="00115980" w:rsidRDefault="00752E25" w:rsidP="00E96007">
      <w:pPr>
        <w:pStyle w:val="z1"/>
      </w:pPr>
      <w:r w:rsidRPr="00115980">
        <w:t xml:space="preserve">Jay J. Kim, Duck Soon Chang, </w:t>
      </w:r>
      <w:r w:rsidR="00DB3ADE">
        <w:t>Laureline</w:t>
      </w:r>
      <w:r w:rsidR="004572D0">
        <w:t xml:space="preserve"> </w:t>
      </w:r>
      <w:r w:rsidR="00DB3ADE">
        <w:t>H</w:t>
      </w:r>
      <w:r w:rsidR="004572D0">
        <w:t>.</w:t>
      </w:r>
      <w:r w:rsidR="00DB3ADE">
        <w:t xml:space="preserve"> Jung</w:t>
      </w:r>
      <w:r w:rsidRPr="00115980">
        <w:t>, and Cy C. Kim and Chang</w:t>
      </w:r>
    </w:p>
    <w:p w14:paraId="02879001" w14:textId="77777777" w:rsidR="00752E25" w:rsidRPr="00115980" w:rsidRDefault="00752E25" w:rsidP="00752E25">
      <w:pPr>
        <w:pStyle w:val="Heading1"/>
        <w:spacing w:before="340"/>
      </w:pPr>
      <w:r w:rsidRPr="00115980">
        <w:t>Executive Summary</w:t>
      </w:r>
    </w:p>
    <w:p w14:paraId="25AC22A6" w14:textId="77777777" w:rsidR="00752E25" w:rsidRPr="00115980" w:rsidRDefault="00752E25" w:rsidP="00752E25">
      <w:r w:rsidRPr="00115980">
        <w:t>South Korea’s legal regime is based on the civil law system, and patent infringement and validity issues are</w:t>
      </w:r>
      <w:r w:rsidR="00BB2DEE">
        <w:t>, in principle,</w:t>
      </w:r>
      <w:r w:rsidRPr="00115980">
        <w:t xml:space="preserve"> separately tried in a bifurcated judicial system. The main statutory framework for patent litigation is the Korean Patent Act (KPA).</w:t>
      </w:r>
    </w:p>
    <w:p w14:paraId="57B9FB32" w14:textId="5AA502AE" w:rsidR="00752E25" w:rsidRPr="00115980" w:rsidRDefault="00752E25" w:rsidP="00752E25">
      <w:r w:rsidRPr="00115980">
        <w:t xml:space="preserve">The South Korean court system is made up of 12 district courts, </w:t>
      </w:r>
      <w:r w:rsidR="003B770B">
        <w:t>six</w:t>
      </w:r>
      <w:r w:rsidRPr="00115980">
        <w:t xml:space="preserve"> high courts, and one Supreme Court. The district courts serve as the court of first instance for both civil and criminal matters. As of </w:t>
      </w:r>
      <w:r w:rsidR="008663C3">
        <w:t>March 2019</w:t>
      </w:r>
      <w:r w:rsidRPr="00115980">
        <w:t xml:space="preserve">, patent infringement cases (excluding preliminary injunction and criminal cases) must be filed in one of the following </w:t>
      </w:r>
      <w:r w:rsidR="003B770B">
        <w:t>six</w:t>
      </w:r>
      <w:r w:rsidRPr="00115980">
        <w:t xml:space="preserve"> regional district courts: Seoul Central, Daejeon, Daegu, Busan, Gwangju</w:t>
      </w:r>
      <w:r w:rsidR="003B770B">
        <w:t>, and Suwon</w:t>
      </w:r>
      <w:r w:rsidRPr="00115980">
        <w:t>. Further, appeals of the district court decisions in patent infringement cases are heard by the Patent Court.</w:t>
      </w:r>
    </w:p>
    <w:p w14:paraId="14E6832F" w14:textId="0764AE8C" w:rsidR="00752E25" w:rsidRPr="00115980" w:rsidRDefault="00752E25" w:rsidP="00752E25">
      <w:r w:rsidRPr="00115980">
        <w:t xml:space="preserve">The Intellectual Property Tribunal and Appeal Board (IPTAB) is a first-instance tribunal within the Korean Intellectual Property Office (KIPO), which adjudicates administrative actions such as invalidation actions, scope confirmation actions, and appeals from final rejections during patent prosecution. Appeals of IPTAB decisions are made to the Patent Court, </w:t>
      </w:r>
      <w:r w:rsidR="00440CB1">
        <w:t>and a</w:t>
      </w:r>
      <w:r w:rsidRPr="00115980">
        <w:t>ppeals from the Patent Court are heard by the Supreme Court.</w:t>
      </w:r>
    </w:p>
    <w:p w14:paraId="6A4369A1" w14:textId="6A64AC25" w:rsidR="00752E25" w:rsidRPr="00115980" w:rsidRDefault="00752E25" w:rsidP="00752E25">
      <w:r w:rsidRPr="00115980">
        <w:t>Plaintiffs can sue for infringement in a district court</w:t>
      </w:r>
      <w:r w:rsidR="00202858">
        <w:t>, while i</w:t>
      </w:r>
      <w:r w:rsidRPr="00115980">
        <w:t xml:space="preserve">nvalidation actions are brought before the IPTAB. </w:t>
      </w:r>
      <w:r w:rsidR="005E3772">
        <w:t>Even under the bifurcated system, t</w:t>
      </w:r>
      <w:r w:rsidRPr="00115980">
        <w:t>he district courts and the IPTAB are not technically bound by each other’s decisions, except when a patent is held finally and conclusively invalid in an invalidation action. Further, the South Korean Supreme Court recently affirmed that a district court may refuse to enforce a patent if it finds the patent to be obviously invalid.</w:t>
      </w:r>
    </w:p>
    <w:p w14:paraId="3738313C" w14:textId="40004AAF" w:rsidR="00752E25" w:rsidRPr="00115980" w:rsidRDefault="00752E25" w:rsidP="00752E25">
      <w:r w:rsidRPr="00115980">
        <w:t xml:space="preserve">In addition to civil liability for patent infringement, criminal prosecution is also possible at the request of the patent holder. However, prosecutors </w:t>
      </w:r>
      <w:r w:rsidR="007A2A0D">
        <w:t>are</w:t>
      </w:r>
      <w:r w:rsidR="007A2A0D" w:rsidRPr="00115980">
        <w:t xml:space="preserve"> </w:t>
      </w:r>
      <w:r w:rsidRPr="00115980">
        <w:t>generally reluctant to pursue such requests except in the most clear-cut and egregious cases.</w:t>
      </w:r>
    </w:p>
    <w:p w14:paraId="01C5AC48" w14:textId="77777777" w:rsidR="00752E25" w:rsidRPr="00115980" w:rsidRDefault="00752E25" w:rsidP="00752E25">
      <w:r w:rsidRPr="00B228F7">
        <w:t>P</w:t>
      </w:r>
      <w:r w:rsidRPr="00115980">
        <w:t>ursuant to the Free Trade Agreement with the European Union</w:t>
      </w:r>
      <w:r w:rsidR="00256606">
        <w:t xml:space="preserve"> (EU)</w:t>
      </w:r>
      <w:r w:rsidRPr="00115980">
        <w:t>, South Korea has expanded its customs actions to cover patent and design rights, effective July 1, 2013. Before this addition, customs actions available from the Korea Customs Service (KCS) were based only on trademarks, copyrights, plant variety rights, and geographical indications.</w:t>
      </w:r>
    </w:p>
    <w:p w14:paraId="176F05B3" w14:textId="725E70C8" w:rsidR="00752E25" w:rsidRPr="00115980" w:rsidRDefault="00752E25" w:rsidP="00752E25">
      <w:r w:rsidRPr="00115980">
        <w:t>As a result, South Korea now has a customs action (similar to the customs action in the EU) and a Korea Trade Commission action (similar to International Trade Commission (ITC) action in the United States) based on patent and design rights.</w:t>
      </w:r>
    </w:p>
    <w:p w14:paraId="193A58B5" w14:textId="2C198F62" w:rsidR="00752E25" w:rsidRPr="00115980" w:rsidRDefault="00752E25" w:rsidP="00752E25">
      <w:pPr>
        <w:pStyle w:val="TableTitle"/>
      </w:pPr>
      <w:r w:rsidRPr="00115980">
        <w:lastRenderedPageBreak/>
        <w:t xml:space="preserve">Table </w:t>
      </w:r>
      <w:r w:rsidR="0018402A">
        <w:t>37</w:t>
      </w:r>
      <w:r w:rsidRPr="00115980">
        <w:t>-1. Key South Korean Data</w:t>
      </w:r>
    </w:p>
    <w:tbl>
      <w:tblPr>
        <w:tblW w:w="960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4800"/>
        <w:gridCol w:w="4800"/>
      </w:tblGrid>
      <w:tr w:rsidR="00752E25" w:rsidRPr="00115980" w14:paraId="0736B8CD" w14:textId="77777777">
        <w:trPr>
          <w:trHeight w:val="60"/>
        </w:trPr>
        <w:tc>
          <w:tcPr>
            <w:tcW w:w="3480" w:type="dxa"/>
            <w:vMerge w:val="restart"/>
            <w:shd w:val="clear" w:color="auto" w:fill="auto"/>
            <w:tcMar>
              <w:top w:w="80" w:type="dxa"/>
              <w:left w:w="120" w:type="dxa"/>
              <w:bottom w:w="100" w:type="dxa"/>
              <w:right w:w="120" w:type="dxa"/>
            </w:tcMar>
          </w:tcPr>
          <w:p w14:paraId="6E69D677" w14:textId="77777777" w:rsidR="00752E25" w:rsidRPr="00115980" w:rsidRDefault="00752E25">
            <w:pPr>
              <w:spacing w:line="220" w:lineRule="atLeast"/>
              <w:ind w:firstLine="0"/>
              <w:rPr>
                <w:sz w:val="20"/>
                <w:szCs w:val="20"/>
              </w:rPr>
            </w:pPr>
            <w:r w:rsidRPr="00115980">
              <w:rPr>
                <w:rFonts w:cs="NewBaskerville-Bold"/>
                <w:b/>
                <w:bCs/>
                <w:sz w:val="20"/>
                <w:szCs w:val="20"/>
              </w:rPr>
              <w:t>System</w:t>
            </w:r>
          </w:p>
        </w:tc>
        <w:tc>
          <w:tcPr>
            <w:tcW w:w="3480" w:type="dxa"/>
            <w:shd w:val="clear" w:color="auto" w:fill="auto"/>
            <w:tcMar>
              <w:top w:w="80" w:type="dxa"/>
              <w:left w:w="120" w:type="dxa"/>
              <w:bottom w:w="100" w:type="dxa"/>
              <w:right w:w="120" w:type="dxa"/>
            </w:tcMar>
          </w:tcPr>
          <w:p w14:paraId="6D5594B4" w14:textId="77777777" w:rsidR="00752E25" w:rsidRPr="00115980" w:rsidRDefault="00752E25">
            <w:pPr>
              <w:spacing w:line="220" w:lineRule="atLeast"/>
              <w:ind w:firstLine="0"/>
              <w:rPr>
                <w:sz w:val="20"/>
                <w:szCs w:val="20"/>
              </w:rPr>
            </w:pPr>
            <w:r w:rsidRPr="00115980">
              <w:rPr>
                <w:sz w:val="20"/>
                <w:szCs w:val="20"/>
              </w:rPr>
              <w:t>Civil law</w:t>
            </w:r>
          </w:p>
        </w:tc>
      </w:tr>
      <w:tr w:rsidR="00752E25" w:rsidRPr="00115980" w14:paraId="3DD80C7C" w14:textId="77777777">
        <w:trPr>
          <w:trHeight w:val="60"/>
        </w:trPr>
        <w:tc>
          <w:tcPr>
            <w:tcW w:w="3480" w:type="dxa"/>
            <w:vMerge/>
            <w:shd w:val="clear" w:color="auto" w:fill="auto"/>
          </w:tcPr>
          <w:p w14:paraId="595C4A3E"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3480" w:type="dxa"/>
            <w:shd w:val="clear" w:color="auto" w:fill="auto"/>
            <w:tcMar>
              <w:top w:w="80" w:type="dxa"/>
              <w:left w:w="120" w:type="dxa"/>
              <w:bottom w:w="100" w:type="dxa"/>
              <w:right w:w="120" w:type="dxa"/>
            </w:tcMar>
          </w:tcPr>
          <w:p w14:paraId="44990816" w14:textId="77777777" w:rsidR="00752E25" w:rsidRPr="00115980" w:rsidRDefault="00752E25">
            <w:pPr>
              <w:spacing w:line="220" w:lineRule="atLeast"/>
              <w:ind w:firstLine="0"/>
              <w:rPr>
                <w:sz w:val="20"/>
                <w:szCs w:val="20"/>
              </w:rPr>
            </w:pPr>
            <w:r w:rsidRPr="00115980">
              <w:rPr>
                <w:sz w:val="20"/>
                <w:szCs w:val="20"/>
              </w:rPr>
              <w:t>Bifurcated system for validity and infringement</w:t>
            </w:r>
          </w:p>
        </w:tc>
      </w:tr>
      <w:tr w:rsidR="00752E25" w:rsidRPr="00115980" w14:paraId="7D65451B" w14:textId="77777777">
        <w:trPr>
          <w:trHeight w:val="60"/>
        </w:trPr>
        <w:tc>
          <w:tcPr>
            <w:tcW w:w="3480" w:type="dxa"/>
            <w:shd w:val="clear" w:color="auto" w:fill="auto"/>
            <w:tcMar>
              <w:top w:w="80" w:type="dxa"/>
              <w:left w:w="120" w:type="dxa"/>
              <w:bottom w:w="100" w:type="dxa"/>
              <w:right w:w="120" w:type="dxa"/>
            </w:tcMar>
          </w:tcPr>
          <w:p w14:paraId="2463B861" w14:textId="77777777" w:rsidR="00752E25" w:rsidRPr="00115980" w:rsidRDefault="00752E25">
            <w:pPr>
              <w:spacing w:line="220" w:lineRule="atLeast"/>
              <w:ind w:firstLine="0"/>
              <w:rPr>
                <w:sz w:val="20"/>
                <w:szCs w:val="20"/>
              </w:rPr>
            </w:pPr>
            <w:r w:rsidRPr="00115980">
              <w:rPr>
                <w:rFonts w:cs="NewBaskerville-Bold"/>
                <w:b/>
                <w:bCs/>
                <w:sz w:val="20"/>
                <w:szCs w:val="20"/>
              </w:rPr>
              <w:t>Number of trial courts</w:t>
            </w:r>
          </w:p>
        </w:tc>
        <w:tc>
          <w:tcPr>
            <w:tcW w:w="3480" w:type="dxa"/>
            <w:shd w:val="clear" w:color="auto" w:fill="auto"/>
            <w:tcMar>
              <w:top w:w="80" w:type="dxa"/>
              <w:left w:w="120" w:type="dxa"/>
              <w:bottom w:w="100" w:type="dxa"/>
              <w:right w:w="120" w:type="dxa"/>
            </w:tcMar>
          </w:tcPr>
          <w:p w14:paraId="20A53815" w14:textId="6B9E7DA3" w:rsidR="00752E25" w:rsidRPr="00115980" w:rsidRDefault="00707F1F" w:rsidP="00707F1F">
            <w:pPr>
              <w:spacing w:line="220" w:lineRule="atLeast"/>
              <w:ind w:firstLine="0"/>
              <w:rPr>
                <w:sz w:val="20"/>
                <w:szCs w:val="20"/>
              </w:rPr>
            </w:pPr>
            <w:r w:rsidRPr="00C23E81">
              <w:rPr>
                <w:sz w:val="20"/>
                <w:szCs w:val="20"/>
              </w:rPr>
              <w:t>6</w:t>
            </w:r>
            <w:r w:rsidR="00752E25" w:rsidRPr="00115980">
              <w:rPr>
                <w:sz w:val="20"/>
                <w:szCs w:val="20"/>
              </w:rPr>
              <w:t xml:space="preserve"> district courts and 1 intermediary appeal court</w:t>
            </w:r>
          </w:p>
        </w:tc>
      </w:tr>
      <w:tr w:rsidR="00752E25" w:rsidRPr="00115980" w14:paraId="055FCF24" w14:textId="77777777">
        <w:trPr>
          <w:trHeight w:val="60"/>
        </w:trPr>
        <w:tc>
          <w:tcPr>
            <w:tcW w:w="3480" w:type="dxa"/>
            <w:shd w:val="clear" w:color="auto" w:fill="auto"/>
            <w:tcMar>
              <w:top w:w="80" w:type="dxa"/>
              <w:left w:w="120" w:type="dxa"/>
              <w:bottom w:w="100" w:type="dxa"/>
              <w:right w:w="120" w:type="dxa"/>
            </w:tcMar>
          </w:tcPr>
          <w:p w14:paraId="311927F4" w14:textId="77777777" w:rsidR="00752E25" w:rsidRPr="00115980" w:rsidRDefault="00752E25">
            <w:pPr>
              <w:spacing w:line="220" w:lineRule="atLeast"/>
              <w:ind w:firstLine="0"/>
              <w:rPr>
                <w:sz w:val="20"/>
                <w:szCs w:val="20"/>
              </w:rPr>
            </w:pPr>
            <w:r w:rsidRPr="00115980">
              <w:rPr>
                <w:rFonts w:cs="NewBaskerville-Bold"/>
                <w:b/>
                <w:bCs/>
                <w:sz w:val="20"/>
                <w:szCs w:val="20"/>
              </w:rPr>
              <w:t>Number of trials required validity/infringement/damages</w:t>
            </w:r>
          </w:p>
        </w:tc>
        <w:tc>
          <w:tcPr>
            <w:tcW w:w="3480" w:type="dxa"/>
            <w:shd w:val="clear" w:color="auto" w:fill="auto"/>
            <w:tcMar>
              <w:top w:w="80" w:type="dxa"/>
              <w:left w:w="120" w:type="dxa"/>
              <w:bottom w:w="100" w:type="dxa"/>
              <w:right w:w="120" w:type="dxa"/>
            </w:tcMar>
          </w:tcPr>
          <w:p w14:paraId="2D1E7AF5" w14:textId="1CE6727A" w:rsidR="00752E25" w:rsidRPr="00115980" w:rsidRDefault="00CE6EE4" w:rsidP="00CE6EE4">
            <w:pPr>
              <w:spacing w:line="220" w:lineRule="atLeast"/>
              <w:ind w:firstLine="0"/>
              <w:rPr>
                <w:sz w:val="20"/>
                <w:szCs w:val="20"/>
              </w:rPr>
            </w:pPr>
            <w:r>
              <w:rPr>
                <w:sz w:val="20"/>
                <w:szCs w:val="20"/>
              </w:rPr>
              <w:t>A series of hearings, typically held at 4-6 week intervals, until the court determines all issues have adequately been developed</w:t>
            </w:r>
            <w:r w:rsidR="00752E25" w:rsidRPr="00115980">
              <w:rPr>
                <w:sz w:val="20"/>
                <w:szCs w:val="20"/>
              </w:rPr>
              <w:t xml:space="preserve"> (validity and infringement/damages)</w:t>
            </w:r>
          </w:p>
        </w:tc>
      </w:tr>
      <w:tr w:rsidR="00752E25" w:rsidRPr="00115980" w14:paraId="0EE7047F" w14:textId="77777777">
        <w:trPr>
          <w:trHeight w:val="60"/>
        </w:trPr>
        <w:tc>
          <w:tcPr>
            <w:tcW w:w="3480" w:type="dxa"/>
            <w:shd w:val="clear" w:color="auto" w:fill="auto"/>
            <w:tcMar>
              <w:top w:w="80" w:type="dxa"/>
              <w:left w:w="120" w:type="dxa"/>
              <w:bottom w:w="100" w:type="dxa"/>
              <w:right w:w="120" w:type="dxa"/>
            </w:tcMar>
          </w:tcPr>
          <w:p w14:paraId="479A4C27" w14:textId="77777777" w:rsidR="00752E25" w:rsidRPr="00115980" w:rsidRDefault="00752E25">
            <w:pPr>
              <w:spacing w:line="220" w:lineRule="atLeast"/>
              <w:ind w:firstLine="0"/>
              <w:rPr>
                <w:sz w:val="20"/>
                <w:szCs w:val="20"/>
              </w:rPr>
            </w:pPr>
            <w:r w:rsidRPr="00115980">
              <w:rPr>
                <w:rFonts w:cs="NewBaskerville-Bold"/>
                <w:b/>
                <w:bCs/>
                <w:sz w:val="20"/>
                <w:szCs w:val="20"/>
              </w:rPr>
              <w:t>Judge or panel</w:t>
            </w:r>
          </w:p>
        </w:tc>
        <w:tc>
          <w:tcPr>
            <w:tcW w:w="3480" w:type="dxa"/>
            <w:shd w:val="clear" w:color="auto" w:fill="auto"/>
            <w:tcMar>
              <w:top w:w="80" w:type="dxa"/>
              <w:left w:w="120" w:type="dxa"/>
              <w:bottom w:w="100" w:type="dxa"/>
              <w:right w:w="120" w:type="dxa"/>
            </w:tcMar>
          </w:tcPr>
          <w:p w14:paraId="0568573A" w14:textId="77777777" w:rsidR="00752E25" w:rsidRPr="00115980" w:rsidRDefault="00752E25">
            <w:pPr>
              <w:spacing w:line="220" w:lineRule="atLeast"/>
              <w:ind w:firstLine="0"/>
              <w:rPr>
                <w:sz w:val="20"/>
                <w:szCs w:val="20"/>
              </w:rPr>
            </w:pPr>
            <w:r w:rsidRPr="00115980">
              <w:rPr>
                <w:sz w:val="20"/>
                <w:szCs w:val="20"/>
              </w:rPr>
              <w:t>Panel (three judges in each panel)</w:t>
            </w:r>
          </w:p>
        </w:tc>
      </w:tr>
      <w:tr w:rsidR="00752E25" w:rsidRPr="00115980" w14:paraId="226646B8" w14:textId="77777777">
        <w:trPr>
          <w:trHeight w:val="60"/>
        </w:trPr>
        <w:tc>
          <w:tcPr>
            <w:tcW w:w="3480" w:type="dxa"/>
            <w:shd w:val="clear" w:color="auto" w:fill="auto"/>
            <w:tcMar>
              <w:top w:w="80" w:type="dxa"/>
              <w:left w:w="120" w:type="dxa"/>
              <w:bottom w:w="100" w:type="dxa"/>
              <w:right w:w="120" w:type="dxa"/>
            </w:tcMar>
          </w:tcPr>
          <w:p w14:paraId="4FA426FF" w14:textId="77777777" w:rsidR="00752E25" w:rsidRPr="00115980" w:rsidRDefault="00752E25">
            <w:pPr>
              <w:spacing w:line="220" w:lineRule="atLeast"/>
              <w:ind w:firstLine="0"/>
              <w:rPr>
                <w:sz w:val="20"/>
                <w:szCs w:val="20"/>
              </w:rPr>
            </w:pPr>
            <w:r w:rsidRPr="00115980">
              <w:rPr>
                <w:rFonts w:cs="NewBaskerville-Bold"/>
                <w:b/>
                <w:bCs/>
                <w:sz w:val="20"/>
                <w:szCs w:val="20"/>
              </w:rPr>
              <w:t>Specialized intellectual property (IP) court/judges</w:t>
            </w:r>
          </w:p>
        </w:tc>
        <w:tc>
          <w:tcPr>
            <w:tcW w:w="3480" w:type="dxa"/>
            <w:shd w:val="clear" w:color="auto" w:fill="auto"/>
            <w:tcMar>
              <w:top w:w="80" w:type="dxa"/>
              <w:left w:w="120" w:type="dxa"/>
              <w:bottom w:w="100" w:type="dxa"/>
              <w:right w:w="120" w:type="dxa"/>
            </w:tcMar>
          </w:tcPr>
          <w:p w14:paraId="6778DA94" w14:textId="3A46CAA7" w:rsidR="00752E25" w:rsidRPr="00C23E81" w:rsidRDefault="00752E25" w:rsidP="006275BC">
            <w:pPr>
              <w:spacing w:line="220" w:lineRule="atLeast"/>
              <w:ind w:firstLine="0"/>
              <w:rPr>
                <w:sz w:val="20"/>
                <w:szCs w:val="20"/>
              </w:rPr>
            </w:pPr>
            <w:r w:rsidRPr="00C23E81">
              <w:rPr>
                <w:sz w:val="20"/>
                <w:szCs w:val="20"/>
              </w:rPr>
              <w:t xml:space="preserve">Yes, Seoul Central District Court </w:t>
            </w:r>
            <w:r w:rsidRPr="00CE6EE4">
              <w:rPr>
                <w:sz w:val="20"/>
                <w:szCs w:val="20"/>
              </w:rPr>
              <w:t xml:space="preserve">has </w:t>
            </w:r>
            <w:r w:rsidR="006275BC" w:rsidRPr="00CE6EE4">
              <w:rPr>
                <w:rFonts w:eastAsiaTheme="minorEastAsia"/>
                <w:sz w:val="20"/>
                <w:szCs w:val="20"/>
                <w:lang w:eastAsia="ko-KR"/>
              </w:rPr>
              <w:t xml:space="preserve">four </w:t>
            </w:r>
            <w:r w:rsidRPr="00C23E81">
              <w:rPr>
                <w:sz w:val="20"/>
                <w:szCs w:val="20"/>
              </w:rPr>
              <w:t xml:space="preserve"> IP-specialized panels</w:t>
            </w:r>
            <w:r w:rsidR="006275BC" w:rsidRPr="00C23E81">
              <w:rPr>
                <w:sz w:val="20"/>
                <w:szCs w:val="20"/>
              </w:rPr>
              <w:t xml:space="preserve"> </w:t>
            </w:r>
            <w:r w:rsidR="00CE6EE4" w:rsidRPr="00C23E81">
              <w:rPr>
                <w:sz w:val="20"/>
                <w:szCs w:val="20"/>
              </w:rPr>
              <w:t>(three for main action</w:t>
            </w:r>
            <w:r w:rsidR="00CE6EE4">
              <w:rPr>
                <w:sz w:val="20"/>
                <w:szCs w:val="20"/>
              </w:rPr>
              <w:t>s</w:t>
            </w:r>
            <w:r w:rsidR="00CE6EE4" w:rsidRPr="00C23E81">
              <w:rPr>
                <w:sz w:val="20"/>
                <w:szCs w:val="20"/>
              </w:rPr>
              <w:t xml:space="preserve"> and one for preliminary injunction action</w:t>
            </w:r>
            <w:r w:rsidR="00CE6EE4">
              <w:rPr>
                <w:sz w:val="20"/>
                <w:szCs w:val="20"/>
              </w:rPr>
              <w:t>s</w:t>
            </w:r>
            <w:r w:rsidR="00CE6EE4" w:rsidRPr="00C23E81">
              <w:rPr>
                <w:sz w:val="20"/>
                <w:szCs w:val="20"/>
              </w:rPr>
              <w:t>)</w:t>
            </w:r>
          </w:p>
        </w:tc>
      </w:tr>
      <w:tr w:rsidR="00752E25" w:rsidRPr="00115980" w14:paraId="5F19471C" w14:textId="77777777">
        <w:trPr>
          <w:trHeight w:val="60"/>
        </w:trPr>
        <w:tc>
          <w:tcPr>
            <w:tcW w:w="3480" w:type="dxa"/>
            <w:shd w:val="clear" w:color="auto" w:fill="auto"/>
            <w:tcMar>
              <w:top w:w="80" w:type="dxa"/>
              <w:left w:w="120" w:type="dxa"/>
              <w:bottom w:w="100" w:type="dxa"/>
              <w:right w:w="120" w:type="dxa"/>
            </w:tcMar>
          </w:tcPr>
          <w:p w14:paraId="48B3CA59" w14:textId="77777777" w:rsidR="00752E25" w:rsidRPr="00115980" w:rsidRDefault="00752E25">
            <w:pPr>
              <w:spacing w:line="220" w:lineRule="atLeast"/>
              <w:ind w:firstLine="0"/>
              <w:rPr>
                <w:sz w:val="20"/>
                <w:szCs w:val="20"/>
              </w:rPr>
            </w:pPr>
            <w:r w:rsidRPr="00115980">
              <w:rPr>
                <w:rFonts w:cs="NewBaskerville-Bold"/>
                <w:b/>
                <w:bCs/>
                <w:sz w:val="20"/>
                <w:szCs w:val="20"/>
              </w:rPr>
              <w:t>Loser pays?</w:t>
            </w:r>
          </w:p>
        </w:tc>
        <w:tc>
          <w:tcPr>
            <w:tcW w:w="3480" w:type="dxa"/>
            <w:shd w:val="clear" w:color="auto" w:fill="auto"/>
            <w:tcMar>
              <w:top w:w="80" w:type="dxa"/>
              <w:left w:w="120" w:type="dxa"/>
              <w:bottom w:w="100" w:type="dxa"/>
              <w:right w:w="120" w:type="dxa"/>
            </w:tcMar>
          </w:tcPr>
          <w:p w14:paraId="34669971" w14:textId="77777777" w:rsidR="00752E25" w:rsidRPr="00115980" w:rsidRDefault="00752E25">
            <w:pPr>
              <w:spacing w:line="220" w:lineRule="atLeast"/>
              <w:ind w:firstLine="0"/>
              <w:rPr>
                <w:sz w:val="20"/>
                <w:szCs w:val="20"/>
              </w:rPr>
            </w:pPr>
            <w:r w:rsidRPr="00115980">
              <w:rPr>
                <w:sz w:val="20"/>
                <w:szCs w:val="20"/>
              </w:rPr>
              <w:t xml:space="preserve">Yes (Not actual costs, but </w:t>
            </w:r>
            <w:r w:rsidR="00256606">
              <w:rPr>
                <w:sz w:val="20"/>
                <w:szCs w:val="20"/>
              </w:rPr>
              <w:t xml:space="preserve">nominal costs </w:t>
            </w:r>
            <w:r w:rsidRPr="00115980">
              <w:rPr>
                <w:sz w:val="20"/>
                <w:szCs w:val="20"/>
              </w:rPr>
              <w:t>according to a formula established by the Supreme Court)</w:t>
            </w:r>
          </w:p>
        </w:tc>
      </w:tr>
      <w:tr w:rsidR="00752E25" w:rsidRPr="00115980" w14:paraId="2B52F36A" w14:textId="77777777">
        <w:trPr>
          <w:trHeight w:val="60"/>
        </w:trPr>
        <w:tc>
          <w:tcPr>
            <w:tcW w:w="3480" w:type="dxa"/>
            <w:shd w:val="clear" w:color="auto" w:fill="auto"/>
            <w:tcMar>
              <w:top w:w="80" w:type="dxa"/>
              <w:left w:w="120" w:type="dxa"/>
              <w:bottom w:w="100" w:type="dxa"/>
              <w:right w:w="120" w:type="dxa"/>
            </w:tcMar>
          </w:tcPr>
          <w:p w14:paraId="67C9ECD0" w14:textId="77777777" w:rsidR="00752E25" w:rsidRPr="00115980" w:rsidRDefault="00752E25">
            <w:pPr>
              <w:spacing w:line="220" w:lineRule="atLeast"/>
              <w:ind w:firstLine="0"/>
              <w:rPr>
                <w:sz w:val="20"/>
                <w:szCs w:val="20"/>
              </w:rPr>
            </w:pPr>
            <w:r w:rsidRPr="00115980">
              <w:rPr>
                <w:rFonts w:cs="NewBaskerville-Bold"/>
                <w:b/>
                <w:bCs/>
                <w:sz w:val="20"/>
                <w:szCs w:val="20"/>
              </w:rPr>
              <w:t>Annual patent infringement litigation filings</w:t>
            </w:r>
          </w:p>
        </w:tc>
        <w:tc>
          <w:tcPr>
            <w:tcW w:w="3480" w:type="dxa"/>
            <w:shd w:val="clear" w:color="auto" w:fill="auto"/>
            <w:tcMar>
              <w:top w:w="80" w:type="dxa"/>
              <w:left w:w="120" w:type="dxa"/>
              <w:bottom w:w="100" w:type="dxa"/>
              <w:right w:w="120" w:type="dxa"/>
            </w:tcMar>
          </w:tcPr>
          <w:p w14:paraId="28A5F170" w14:textId="77777777" w:rsidR="00752E25" w:rsidRDefault="00752E25">
            <w:pPr>
              <w:spacing w:line="220" w:lineRule="atLeast"/>
              <w:ind w:firstLine="0"/>
              <w:rPr>
                <w:sz w:val="20"/>
                <w:szCs w:val="20"/>
              </w:rPr>
            </w:pPr>
            <w:r w:rsidRPr="00115980">
              <w:rPr>
                <w:sz w:val="20"/>
                <w:szCs w:val="20"/>
              </w:rPr>
              <w:t>50–128</w:t>
            </w:r>
            <w:r w:rsidRPr="00115980">
              <w:rPr>
                <w:rStyle w:val="FootnoteReference"/>
              </w:rPr>
              <w:footnoteReference w:id="1"/>
            </w:r>
          </w:p>
          <w:p w14:paraId="488EDA21" w14:textId="187BE154" w:rsidR="004572D0" w:rsidRPr="00115980" w:rsidRDefault="004572D0">
            <w:pPr>
              <w:spacing w:line="220" w:lineRule="atLeast"/>
              <w:ind w:firstLine="0"/>
              <w:rPr>
                <w:sz w:val="20"/>
                <w:szCs w:val="20"/>
              </w:rPr>
            </w:pPr>
          </w:p>
        </w:tc>
      </w:tr>
      <w:tr w:rsidR="00752E25" w:rsidRPr="00115980" w14:paraId="6066448E" w14:textId="77777777">
        <w:trPr>
          <w:trHeight w:val="60"/>
        </w:trPr>
        <w:tc>
          <w:tcPr>
            <w:tcW w:w="3480" w:type="dxa"/>
            <w:shd w:val="clear" w:color="auto" w:fill="auto"/>
            <w:tcMar>
              <w:top w:w="80" w:type="dxa"/>
              <w:left w:w="120" w:type="dxa"/>
              <w:bottom w:w="100" w:type="dxa"/>
              <w:right w:w="120" w:type="dxa"/>
            </w:tcMar>
          </w:tcPr>
          <w:p w14:paraId="2850F1AA" w14:textId="77777777" w:rsidR="00752E25" w:rsidRPr="00115980" w:rsidRDefault="00752E25">
            <w:pPr>
              <w:spacing w:line="220" w:lineRule="atLeast"/>
              <w:ind w:firstLine="0"/>
              <w:rPr>
                <w:sz w:val="20"/>
                <w:szCs w:val="20"/>
              </w:rPr>
            </w:pPr>
            <w:r w:rsidRPr="00115980">
              <w:rPr>
                <w:rFonts w:cs="NewBaskerville-Bold"/>
                <w:b/>
                <w:bCs/>
                <w:sz w:val="20"/>
                <w:szCs w:val="20"/>
              </w:rPr>
              <w:t>Percentage of cases to trial</w:t>
            </w:r>
          </w:p>
        </w:tc>
        <w:tc>
          <w:tcPr>
            <w:tcW w:w="3480" w:type="dxa"/>
            <w:shd w:val="clear" w:color="auto" w:fill="auto"/>
            <w:tcMar>
              <w:top w:w="80" w:type="dxa"/>
              <w:left w:w="120" w:type="dxa"/>
              <w:bottom w:w="100" w:type="dxa"/>
              <w:right w:w="120" w:type="dxa"/>
            </w:tcMar>
          </w:tcPr>
          <w:p w14:paraId="4453DD86" w14:textId="199BD02F" w:rsidR="004572D0" w:rsidRPr="003B770B" w:rsidRDefault="008F014F" w:rsidP="00064C21">
            <w:pPr>
              <w:spacing w:line="220" w:lineRule="atLeast"/>
              <w:ind w:firstLine="0"/>
              <w:rPr>
                <w:sz w:val="20"/>
                <w:szCs w:val="20"/>
              </w:rPr>
            </w:pPr>
            <w:r>
              <w:rPr>
                <w:sz w:val="20"/>
                <w:szCs w:val="20"/>
              </w:rPr>
              <w:t>About 50% go through to a decision on the merits.</w:t>
            </w:r>
            <w:r w:rsidRPr="00115980">
              <w:rPr>
                <w:rStyle w:val="FootnoteReference"/>
              </w:rPr>
              <w:footnoteReference w:id="2"/>
            </w:r>
          </w:p>
        </w:tc>
      </w:tr>
      <w:tr w:rsidR="00752E25" w:rsidRPr="00115980" w14:paraId="5009BC7A" w14:textId="77777777">
        <w:trPr>
          <w:trHeight w:val="60"/>
        </w:trPr>
        <w:tc>
          <w:tcPr>
            <w:tcW w:w="3480" w:type="dxa"/>
            <w:shd w:val="clear" w:color="auto" w:fill="auto"/>
            <w:tcMar>
              <w:top w:w="80" w:type="dxa"/>
              <w:left w:w="120" w:type="dxa"/>
              <w:bottom w:w="100" w:type="dxa"/>
              <w:right w:w="120" w:type="dxa"/>
            </w:tcMar>
          </w:tcPr>
          <w:p w14:paraId="4E60E47C" w14:textId="77777777" w:rsidR="00752E25" w:rsidRPr="00115980" w:rsidRDefault="00752E25">
            <w:pPr>
              <w:spacing w:line="220" w:lineRule="atLeast"/>
              <w:ind w:firstLine="0"/>
              <w:rPr>
                <w:sz w:val="20"/>
                <w:szCs w:val="20"/>
              </w:rPr>
            </w:pPr>
            <w:r w:rsidRPr="00115980">
              <w:rPr>
                <w:rFonts w:cs="NewBaskerville-Bold"/>
                <w:b/>
                <w:bCs/>
                <w:sz w:val="20"/>
                <w:szCs w:val="20"/>
              </w:rPr>
              <w:t>Average cost</w:t>
            </w:r>
          </w:p>
        </w:tc>
        <w:tc>
          <w:tcPr>
            <w:tcW w:w="3480" w:type="dxa"/>
            <w:shd w:val="clear" w:color="auto" w:fill="auto"/>
            <w:tcMar>
              <w:top w:w="80" w:type="dxa"/>
              <w:left w:w="120" w:type="dxa"/>
              <w:bottom w:w="100" w:type="dxa"/>
              <w:right w:w="120" w:type="dxa"/>
            </w:tcMar>
          </w:tcPr>
          <w:p w14:paraId="762A4E46" w14:textId="77777777" w:rsidR="00752E25" w:rsidRPr="00115980" w:rsidRDefault="00752E25">
            <w:pPr>
              <w:spacing w:line="220" w:lineRule="atLeast"/>
              <w:ind w:firstLine="0"/>
              <w:rPr>
                <w:sz w:val="20"/>
                <w:szCs w:val="20"/>
              </w:rPr>
            </w:pPr>
            <w:r w:rsidRPr="00115980">
              <w:rPr>
                <w:sz w:val="20"/>
                <w:szCs w:val="20"/>
              </w:rPr>
              <w:t>U.S. $100,000–$400,000 (for invalidation action and infringement action)</w:t>
            </w:r>
            <w:r w:rsidRPr="00115980">
              <w:rPr>
                <w:rStyle w:val="FootnoteReference"/>
              </w:rPr>
              <w:footnoteReference w:id="3"/>
            </w:r>
          </w:p>
        </w:tc>
      </w:tr>
      <w:tr w:rsidR="00752E25" w:rsidRPr="00115980" w14:paraId="7BAAF2E3" w14:textId="77777777">
        <w:trPr>
          <w:trHeight w:val="60"/>
        </w:trPr>
        <w:tc>
          <w:tcPr>
            <w:tcW w:w="3480" w:type="dxa"/>
            <w:shd w:val="clear" w:color="auto" w:fill="auto"/>
            <w:tcMar>
              <w:top w:w="80" w:type="dxa"/>
              <w:left w:w="120" w:type="dxa"/>
              <w:bottom w:w="100" w:type="dxa"/>
              <w:right w:w="120" w:type="dxa"/>
            </w:tcMar>
          </w:tcPr>
          <w:p w14:paraId="209087A3" w14:textId="77777777" w:rsidR="00752E25" w:rsidRPr="00115980" w:rsidRDefault="00752E25">
            <w:pPr>
              <w:spacing w:line="220" w:lineRule="atLeast"/>
              <w:ind w:firstLine="0"/>
              <w:rPr>
                <w:sz w:val="20"/>
                <w:szCs w:val="20"/>
              </w:rPr>
            </w:pPr>
            <w:r w:rsidRPr="00115980">
              <w:rPr>
                <w:rFonts w:cs="NewBaskerville-Bold"/>
                <w:b/>
                <w:bCs/>
                <w:sz w:val="20"/>
                <w:szCs w:val="20"/>
              </w:rPr>
              <w:t>Average time</w:t>
            </w:r>
          </w:p>
        </w:tc>
        <w:tc>
          <w:tcPr>
            <w:tcW w:w="3480" w:type="dxa"/>
            <w:shd w:val="clear" w:color="auto" w:fill="auto"/>
            <w:tcMar>
              <w:top w:w="80" w:type="dxa"/>
              <w:left w:w="120" w:type="dxa"/>
              <w:bottom w:w="100" w:type="dxa"/>
              <w:right w:w="120" w:type="dxa"/>
            </w:tcMar>
          </w:tcPr>
          <w:p w14:paraId="63B04098" w14:textId="77777777" w:rsidR="00752E25" w:rsidRPr="00115980" w:rsidRDefault="00752E25">
            <w:pPr>
              <w:spacing w:line="220" w:lineRule="atLeast"/>
              <w:ind w:firstLine="0"/>
              <w:rPr>
                <w:sz w:val="20"/>
                <w:szCs w:val="20"/>
              </w:rPr>
            </w:pPr>
            <w:r w:rsidRPr="00115980">
              <w:rPr>
                <w:sz w:val="20"/>
                <w:szCs w:val="20"/>
              </w:rPr>
              <w:t>6–18 months for first instance</w:t>
            </w:r>
            <w:r w:rsidRPr="00115980">
              <w:rPr>
                <w:rStyle w:val="FootnoteReference"/>
              </w:rPr>
              <w:footnoteReference w:id="4"/>
            </w:r>
          </w:p>
        </w:tc>
      </w:tr>
      <w:tr w:rsidR="00752E25" w:rsidRPr="00115980" w14:paraId="04A6E928" w14:textId="77777777">
        <w:trPr>
          <w:trHeight w:val="60"/>
        </w:trPr>
        <w:tc>
          <w:tcPr>
            <w:tcW w:w="3480" w:type="dxa"/>
            <w:shd w:val="clear" w:color="auto" w:fill="auto"/>
            <w:tcMar>
              <w:top w:w="80" w:type="dxa"/>
              <w:left w:w="120" w:type="dxa"/>
              <w:bottom w:w="100" w:type="dxa"/>
              <w:right w:w="120" w:type="dxa"/>
            </w:tcMar>
          </w:tcPr>
          <w:p w14:paraId="6834EF57" w14:textId="77777777" w:rsidR="00752E25" w:rsidRPr="00115980" w:rsidRDefault="00752E25">
            <w:pPr>
              <w:spacing w:line="220" w:lineRule="atLeast"/>
              <w:ind w:firstLine="0"/>
              <w:rPr>
                <w:sz w:val="20"/>
                <w:szCs w:val="20"/>
              </w:rPr>
            </w:pPr>
            <w:r w:rsidRPr="00115980">
              <w:rPr>
                <w:rFonts w:cs="NewBaskerville-Bold"/>
                <w:b/>
                <w:bCs/>
                <w:sz w:val="20"/>
                <w:szCs w:val="20"/>
              </w:rPr>
              <w:lastRenderedPageBreak/>
              <w:t>Patentee win rate</w:t>
            </w:r>
          </w:p>
        </w:tc>
        <w:tc>
          <w:tcPr>
            <w:tcW w:w="3480" w:type="dxa"/>
            <w:shd w:val="clear" w:color="auto" w:fill="auto"/>
            <w:tcMar>
              <w:top w:w="80" w:type="dxa"/>
              <w:left w:w="120" w:type="dxa"/>
              <w:bottom w:w="100" w:type="dxa"/>
              <w:right w:w="120" w:type="dxa"/>
            </w:tcMar>
          </w:tcPr>
          <w:p w14:paraId="51CEC6A1" w14:textId="5E1D19B3" w:rsidR="00752E25" w:rsidRPr="00115980" w:rsidRDefault="00752E25">
            <w:pPr>
              <w:spacing w:line="220" w:lineRule="atLeast"/>
              <w:ind w:firstLine="0"/>
              <w:rPr>
                <w:sz w:val="20"/>
                <w:szCs w:val="20"/>
              </w:rPr>
            </w:pPr>
            <w:r w:rsidRPr="00115980">
              <w:rPr>
                <w:sz w:val="20"/>
                <w:szCs w:val="20"/>
              </w:rPr>
              <w:t>3</w:t>
            </w:r>
            <w:r w:rsidR="007A79CD">
              <w:rPr>
                <w:sz w:val="20"/>
                <w:szCs w:val="20"/>
              </w:rPr>
              <w:t>2</w:t>
            </w:r>
            <w:r w:rsidRPr="00115980">
              <w:rPr>
                <w:sz w:val="20"/>
                <w:szCs w:val="20"/>
              </w:rPr>
              <w:t>% (</w:t>
            </w:r>
            <w:r w:rsidR="007A79CD">
              <w:rPr>
                <w:sz w:val="20"/>
                <w:szCs w:val="20"/>
              </w:rPr>
              <w:t>101</w:t>
            </w:r>
            <w:r w:rsidRPr="00115980">
              <w:rPr>
                <w:sz w:val="20"/>
                <w:szCs w:val="20"/>
              </w:rPr>
              <w:t>/</w:t>
            </w:r>
            <w:r w:rsidR="007A79CD">
              <w:rPr>
                <w:sz w:val="20"/>
                <w:szCs w:val="20"/>
              </w:rPr>
              <w:t>319</w:t>
            </w:r>
            <w:r w:rsidRPr="00115980">
              <w:rPr>
                <w:sz w:val="20"/>
                <w:szCs w:val="20"/>
              </w:rPr>
              <w:t>) (2012–201</w:t>
            </w:r>
            <w:r w:rsidR="007A79CD">
              <w:rPr>
                <w:sz w:val="20"/>
                <w:szCs w:val="20"/>
              </w:rPr>
              <w:t>8</w:t>
            </w:r>
            <w:r w:rsidRPr="00115980">
              <w:rPr>
                <w:sz w:val="20"/>
                <w:szCs w:val="20"/>
              </w:rPr>
              <w:t>)</w:t>
            </w:r>
            <w:r w:rsidRPr="00115980">
              <w:rPr>
                <w:rStyle w:val="FootnoteReference"/>
              </w:rPr>
              <w:footnoteReference w:id="5"/>
            </w:r>
          </w:p>
        </w:tc>
      </w:tr>
      <w:tr w:rsidR="00752E25" w:rsidRPr="00115980" w14:paraId="6474D778" w14:textId="77777777">
        <w:trPr>
          <w:trHeight w:val="60"/>
        </w:trPr>
        <w:tc>
          <w:tcPr>
            <w:tcW w:w="3480" w:type="dxa"/>
            <w:shd w:val="clear" w:color="auto" w:fill="auto"/>
            <w:tcMar>
              <w:top w:w="80" w:type="dxa"/>
              <w:left w:w="120" w:type="dxa"/>
              <w:bottom w:w="100" w:type="dxa"/>
              <w:right w:w="120" w:type="dxa"/>
            </w:tcMar>
          </w:tcPr>
          <w:p w14:paraId="124B4EC5" w14:textId="77777777" w:rsidR="00752E25" w:rsidRPr="00115980" w:rsidRDefault="00752E25">
            <w:pPr>
              <w:spacing w:line="220" w:lineRule="atLeast"/>
              <w:ind w:firstLine="0"/>
              <w:rPr>
                <w:sz w:val="20"/>
                <w:szCs w:val="20"/>
              </w:rPr>
            </w:pPr>
            <w:r w:rsidRPr="00115980">
              <w:rPr>
                <w:rFonts w:cs="NewBaskerville-Bold"/>
                <w:b/>
                <w:bCs/>
                <w:sz w:val="20"/>
                <w:szCs w:val="20"/>
              </w:rPr>
              <w:t>Civil/criminal liability</w:t>
            </w:r>
          </w:p>
        </w:tc>
        <w:tc>
          <w:tcPr>
            <w:tcW w:w="3480" w:type="dxa"/>
            <w:shd w:val="clear" w:color="auto" w:fill="auto"/>
            <w:tcMar>
              <w:top w:w="80" w:type="dxa"/>
              <w:left w:w="120" w:type="dxa"/>
              <w:bottom w:w="100" w:type="dxa"/>
              <w:right w:w="120" w:type="dxa"/>
            </w:tcMar>
          </w:tcPr>
          <w:p w14:paraId="6E19879F" w14:textId="77777777" w:rsidR="00752E25" w:rsidRPr="00115980" w:rsidRDefault="00752E25">
            <w:pPr>
              <w:spacing w:line="220" w:lineRule="atLeast"/>
              <w:ind w:firstLine="0"/>
              <w:rPr>
                <w:sz w:val="20"/>
                <w:szCs w:val="20"/>
              </w:rPr>
            </w:pPr>
            <w:r w:rsidRPr="00115980">
              <w:rPr>
                <w:sz w:val="20"/>
                <w:szCs w:val="20"/>
              </w:rPr>
              <w:t>Civil and criminal</w:t>
            </w:r>
          </w:p>
        </w:tc>
      </w:tr>
    </w:tbl>
    <w:p w14:paraId="717B0868" w14:textId="1D6FC4DE" w:rsidR="00752E25" w:rsidRDefault="00752E25" w:rsidP="00752E25">
      <w:pPr>
        <w:pStyle w:val="TableTitle"/>
      </w:pPr>
      <w:r w:rsidRPr="00115980">
        <w:t xml:space="preserve">Figure </w:t>
      </w:r>
      <w:r w:rsidR="0018402A">
        <w:t>37</w:t>
      </w:r>
      <w:r w:rsidRPr="00115980">
        <w:t>-1. Sample Time and Cost for South Korean Patent Infringement Litigation</w:t>
      </w:r>
    </w:p>
    <w:p w14:paraId="17FE7A9D" w14:textId="7F36625F" w:rsidR="00752E25" w:rsidRPr="00115980" w:rsidRDefault="00F036A7" w:rsidP="00752E25">
      <w:pPr>
        <w:pStyle w:val="TableTitle"/>
      </w:pPr>
      <w:r w:rsidRPr="00220F1B">
        <w:rPr>
          <w:noProof/>
          <w:lang w:eastAsia="ko-KR"/>
        </w:rPr>
        <w:drawing>
          <wp:inline distT="0" distB="0" distL="0" distR="0" wp14:anchorId="29F0D36C" wp14:editId="424C2BBA">
            <wp:extent cx="4419600" cy="16478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19600" cy="1647825"/>
                    </a:xfrm>
                    <a:prstGeom prst="rect">
                      <a:avLst/>
                    </a:prstGeom>
                    <a:noFill/>
                    <a:ln>
                      <a:noFill/>
                    </a:ln>
                  </pic:spPr>
                </pic:pic>
              </a:graphicData>
            </a:graphic>
          </wp:inline>
        </w:drawing>
      </w:r>
    </w:p>
    <w:p w14:paraId="18B2A431" w14:textId="63E02E25" w:rsidR="00752E25" w:rsidRDefault="00752E25" w:rsidP="00752E25">
      <w:pPr>
        <w:pStyle w:val="TableTitle"/>
      </w:pPr>
      <w:r w:rsidRPr="00115980">
        <w:t xml:space="preserve">Figure </w:t>
      </w:r>
      <w:r w:rsidR="0018402A">
        <w:t>37</w:t>
      </w:r>
      <w:r w:rsidRPr="00115980">
        <w:t>-2. Sample Time and Cost for South Korean Invalidation Action</w:t>
      </w:r>
    </w:p>
    <w:p w14:paraId="1851A666" w14:textId="64D952C5" w:rsidR="00752E25" w:rsidRPr="00115980" w:rsidRDefault="00F036A7" w:rsidP="00752E25">
      <w:pPr>
        <w:pStyle w:val="TableTitle"/>
      </w:pPr>
      <w:r w:rsidRPr="00220F1B">
        <w:rPr>
          <w:noProof/>
          <w:lang w:eastAsia="ko-KR"/>
        </w:rPr>
        <w:drawing>
          <wp:inline distT="0" distB="0" distL="0" distR="0" wp14:anchorId="16EBAB6E" wp14:editId="1BF6C467">
            <wp:extent cx="3143250" cy="16478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43250" cy="1647825"/>
                    </a:xfrm>
                    <a:prstGeom prst="rect">
                      <a:avLst/>
                    </a:prstGeom>
                    <a:noFill/>
                    <a:ln>
                      <a:noFill/>
                    </a:ln>
                  </pic:spPr>
                </pic:pic>
              </a:graphicData>
            </a:graphic>
          </wp:inline>
        </w:drawing>
      </w:r>
    </w:p>
    <w:p w14:paraId="0F694C2F" w14:textId="2A5735CF" w:rsidR="00752E25" w:rsidRPr="00115980" w:rsidRDefault="00752E25" w:rsidP="00752E25">
      <w:pPr>
        <w:pStyle w:val="TableTitle"/>
      </w:pPr>
      <w:r w:rsidRPr="00115980">
        <w:t xml:space="preserve">Table </w:t>
      </w:r>
      <w:r w:rsidR="0018402A">
        <w:t>37</w:t>
      </w:r>
      <w:r w:rsidRPr="00115980">
        <w:t>-2. Damages Information</w:t>
      </w:r>
    </w:p>
    <w:tbl>
      <w:tblPr>
        <w:tblW w:w="960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4800"/>
        <w:gridCol w:w="4800"/>
      </w:tblGrid>
      <w:tr w:rsidR="00752E25" w:rsidRPr="00115980" w14:paraId="7C1CD4B7" w14:textId="77777777">
        <w:trPr>
          <w:trHeight w:val="20"/>
        </w:trPr>
        <w:tc>
          <w:tcPr>
            <w:tcW w:w="3480" w:type="dxa"/>
            <w:shd w:val="clear" w:color="auto" w:fill="auto"/>
            <w:tcMar>
              <w:top w:w="80" w:type="dxa"/>
              <w:left w:w="120" w:type="dxa"/>
              <w:bottom w:w="100" w:type="dxa"/>
              <w:right w:w="120" w:type="dxa"/>
            </w:tcMar>
          </w:tcPr>
          <w:p w14:paraId="559C523B" w14:textId="77777777" w:rsidR="00752E25" w:rsidRPr="00115980" w:rsidRDefault="00752E25">
            <w:pPr>
              <w:spacing w:line="220" w:lineRule="atLeast"/>
              <w:ind w:firstLine="0"/>
              <w:rPr>
                <w:sz w:val="20"/>
                <w:szCs w:val="20"/>
              </w:rPr>
            </w:pPr>
            <w:r w:rsidRPr="00115980">
              <w:rPr>
                <w:rFonts w:cs="NewBaskerville-Bold"/>
                <w:b/>
                <w:bCs/>
                <w:sz w:val="20"/>
                <w:szCs w:val="20"/>
              </w:rPr>
              <w:t>Statute of Limitations</w:t>
            </w:r>
          </w:p>
        </w:tc>
        <w:tc>
          <w:tcPr>
            <w:tcW w:w="3480" w:type="dxa"/>
            <w:shd w:val="clear" w:color="auto" w:fill="auto"/>
            <w:tcMar>
              <w:top w:w="80" w:type="dxa"/>
              <w:left w:w="120" w:type="dxa"/>
              <w:bottom w:w="100" w:type="dxa"/>
              <w:right w:w="120" w:type="dxa"/>
            </w:tcMar>
          </w:tcPr>
          <w:p w14:paraId="690B933F" w14:textId="77777777" w:rsidR="00752E25" w:rsidRPr="00115980" w:rsidRDefault="00752E25">
            <w:pPr>
              <w:spacing w:line="220" w:lineRule="atLeast"/>
              <w:ind w:firstLine="0"/>
              <w:rPr>
                <w:sz w:val="20"/>
                <w:szCs w:val="20"/>
              </w:rPr>
            </w:pPr>
            <w:r w:rsidRPr="00115980">
              <w:rPr>
                <w:sz w:val="20"/>
                <w:szCs w:val="20"/>
              </w:rPr>
              <w:t>10 years, but 3 years if patentee had knowledge of infringement and infringer for over 3 years</w:t>
            </w:r>
          </w:p>
        </w:tc>
      </w:tr>
      <w:tr w:rsidR="00752E25" w:rsidRPr="00115980" w14:paraId="661D32DE" w14:textId="77777777">
        <w:trPr>
          <w:trHeight w:val="60"/>
        </w:trPr>
        <w:tc>
          <w:tcPr>
            <w:tcW w:w="3480" w:type="dxa"/>
            <w:shd w:val="clear" w:color="auto" w:fill="auto"/>
            <w:tcMar>
              <w:top w:w="80" w:type="dxa"/>
              <w:left w:w="120" w:type="dxa"/>
              <w:bottom w:w="100" w:type="dxa"/>
              <w:right w:w="120" w:type="dxa"/>
            </w:tcMar>
          </w:tcPr>
          <w:p w14:paraId="791961D8" w14:textId="77777777" w:rsidR="00752E25" w:rsidRPr="00115980" w:rsidRDefault="00752E25">
            <w:pPr>
              <w:spacing w:line="220" w:lineRule="atLeast"/>
              <w:ind w:firstLine="0"/>
              <w:rPr>
                <w:sz w:val="20"/>
                <w:szCs w:val="20"/>
              </w:rPr>
            </w:pPr>
            <w:r w:rsidRPr="00115980">
              <w:rPr>
                <w:rFonts w:cs="NewBaskerville-Bold"/>
                <w:b/>
                <w:bCs/>
                <w:sz w:val="20"/>
                <w:szCs w:val="20"/>
              </w:rPr>
              <w:t>Damages usually tried or settled?</w:t>
            </w:r>
          </w:p>
        </w:tc>
        <w:tc>
          <w:tcPr>
            <w:tcW w:w="3480" w:type="dxa"/>
            <w:shd w:val="clear" w:color="auto" w:fill="auto"/>
            <w:tcMar>
              <w:top w:w="80" w:type="dxa"/>
              <w:left w:w="120" w:type="dxa"/>
              <w:bottom w:w="100" w:type="dxa"/>
              <w:right w:w="120" w:type="dxa"/>
            </w:tcMar>
          </w:tcPr>
          <w:p w14:paraId="5DCB94ED" w14:textId="77777777" w:rsidR="00752E25" w:rsidRPr="00115980" w:rsidRDefault="00752E25">
            <w:pPr>
              <w:spacing w:line="220" w:lineRule="atLeast"/>
              <w:ind w:firstLine="0"/>
              <w:rPr>
                <w:sz w:val="20"/>
                <w:szCs w:val="20"/>
              </w:rPr>
            </w:pPr>
            <w:r w:rsidRPr="00115980">
              <w:rPr>
                <w:sz w:val="20"/>
                <w:szCs w:val="20"/>
              </w:rPr>
              <w:t>Usually tried</w:t>
            </w:r>
          </w:p>
        </w:tc>
      </w:tr>
      <w:tr w:rsidR="00752E25" w:rsidRPr="00115980" w14:paraId="3971331D" w14:textId="77777777">
        <w:trPr>
          <w:trHeight w:val="60"/>
        </w:trPr>
        <w:tc>
          <w:tcPr>
            <w:tcW w:w="3480" w:type="dxa"/>
            <w:shd w:val="clear" w:color="auto" w:fill="auto"/>
            <w:tcMar>
              <w:top w:w="80" w:type="dxa"/>
              <w:left w:w="120" w:type="dxa"/>
              <w:bottom w:w="100" w:type="dxa"/>
              <w:right w:w="120" w:type="dxa"/>
            </w:tcMar>
          </w:tcPr>
          <w:p w14:paraId="093568A3" w14:textId="77777777" w:rsidR="00752E25" w:rsidRPr="00115980" w:rsidRDefault="00752E25">
            <w:pPr>
              <w:spacing w:line="220" w:lineRule="atLeast"/>
              <w:ind w:firstLine="0"/>
              <w:rPr>
                <w:sz w:val="20"/>
                <w:szCs w:val="20"/>
              </w:rPr>
            </w:pPr>
            <w:r w:rsidRPr="00115980">
              <w:rPr>
                <w:rFonts w:cs="NewBaskerville-Bold"/>
                <w:b/>
                <w:bCs/>
                <w:sz w:val="20"/>
                <w:szCs w:val="20"/>
              </w:rPr>
              <w:t>Nature of damages awarded</w:t>
            </w:r>
          </w:p>
        </w:tc>
        <w:tc>
          <w:tcPr>
            <w:tcW w:w="3480" w:type="dxa"/>
            <w:shd w:val="clear" w:color="auto" w:fill="auto"/>
            <w:tcMar>
              <w:top w:w="80" w:type="dxa"/>
              <w:left w:w="120" w:type="dxa"/>
              <w:bottom w:w="100" w:type="dxa"/>
              <w:right w:w="120" w:type="dxa"/>
            </w:tcMar>
          </w:tcPr>
          <w:p w14:paraId="60FBDD99" w14:textId="265344EA" w:rsidR="00752E25" w:rsidRPr="00115980" w:rsidRDefault="00752E25">
            <w:pPr>
              <w:spacing w:line="220" w:lineRule="atLeast"/>
              <w:ind w:firstLine="0"/>
              <w:rPr>
                <w:sz w:val="20"/>
                <w:szCs w:val="20"/>
              </w:rPr>
            </w:pPr>
            <w:r w:rsidRPr="00115980">
              <w:rPr>
                <w:sz w:val="20"/>
                <w:szCs w:val="20"/>
              </w:rPr>
              <w:t>Lost profits; infringer’s profits; reasonable royalties</w:t>
            </w:r>
            <w:r w:rsidR="004E208D">
              <w:rPr>
                <w:sz w:val="20"/>
                <w:szCs w:val="20"/>
              </w:rPr>
              <w:t>, punitive</w:t>
            </w:r>
          </w:p>
        </w:tc>
      </w:tr>
      <w:tr w:rsidR="00752E25" w:rsidRPr="00115980" w14:paraId="5A3FFB97" w14:textId="77777777">
        <w:trPr>
          <w:trHeight w:val="60"/>
        </w:trPr>
        <w:tc>
          <w:tcPr>
            <w:tcW w:w="3480" w:type="dxa"/>
            <w:shd w:val="clear" w:color="auto" w:fill="auto"/>
            <w:tcMar>
              <w:top w:w="80" w:type="dxa"/>
              <w:left w:w="120" w:type="dxa"/>
              <w:bottom w:w="100" w:type="dxa"/>
              <w:right w:w="120" w:type="dxa"/>
            </w:tcMar>
          </w:tcPr>
          <w:p w14:paraId="46C2B507" w14:textId="77777777" w:rsidR="00752E25" w:rsidRPr="00115980" w:rsidRDefault="00752E25">
            <w:pPr>
              <w:spacing w:line="220" w:lineRule="atLeast"/>
              <w:ind w:firstLine="0"/>
              <w:rPr>
                <w:sz w:val="20"/>
                <w:szCs w:val="20"/>
              </w:rPr>
            </w:pPr>
            <w:r w:rsidRPr="00115980">
              <w:rPr>
                <w:rFonts w:cs="NewBaskerville-Bold"/>
                <w:b/>
                <w:bCs/>
                <w:sz w:val="20"/>
                <w:szCs w:val="20"/>
              </w:rPr>
              <w:lastRenderedPageBreak/>
              <w:t>When do damages start accruing?</w:t>
            </w:r>
          </w:p>
        </w:tc>
        <w:tc>
          <w:tcPr>
            <w:tcW w:w="3480" w:type="dxa"/>
            <w:shd w:val="clear" w:color="auto" w:fill="auto"/>
            <w:tcMar>
              <w:top w:w="80" w:type="dxa"/>
              <w:left w:w="120" w:type="dxa"/>
              <w:bottom w:w="100" w:type="dxa"/>
              <w:right w:w="120" w:type="dxa"/>
            </w:tcMar>
          </w:tcPr>
          <w:p w14:paraId="36A7B10C" w14:textId="6EB7FD0B" w:rsidR="00752E25" w:rsidRPr="00115980" w:rsidRDefault="00752E25">
            <w:pPr>
              <w:spacing w:line="220" w:lineRule="atLeast"/>
              <w:ind w:firstLine="0"/>
              <w:rPr>
                <w:sz w:val="20"/>
                <w:szCs w:val="20"/>
              </w:rPr>
            </w:pPr>
            <w:r w:rsidRPr="00115980">
              <w:rPr>
                <w:sz w:val="20"/>
                <w:szCs w:val="20"/>
              </w:rPr>
              <w:t xml:space="preserve">When infringing activities </w:t>
            </w:r>
            <w:r w:rsidR="003B006C">
              <w:rPr>
                <w:sz w:val="20"/>
                <w:szCs w:val="20"/>
              </w:rPr>
              <w:t xml:space="preserve">first </w:t>
            </w:r>
            <w:r w:rsidRPr="00115980">
              <w:rPr>
                <w:sz w:val="20"/>
                <w:szCs w:val="20"/>
              </w:rPr>
              <w:t>take place after patent registration, or the infringer’s awareness of the patent application having been laid open</w:t>
            </w:r>
          </w:p>
        </w:tc>
      </w:tr>
      <w:tr w:rsidR="00752E25" w:rsidRPr="00115980" w14:paraId="57D8EA4E" w14:textId="77777777">
        <w:trPr>
          <w:trHeight w:val="60"/>
        </w:trPr>
        <w:tc>
          <w:tcPr>
            <w:tcW w:w="3480" w:type="dxa"/>
            <w:shd w:val="clear" w:color="auto" w:fill="auto"/>
            <w:tcMar>
              <w:top w:w="80" w:type="dxa"/>
              <w:left w:w="120" w:type="dxa"/>
              <w:bottom w:w="100" w:type="dxa"/>
              <w:right w:w="120" w:type="dxa"/>
            </w:tcMar>
          </w:tcPr>
          <w:p w14:paraId="63A3AEB6" w14:textId="77777777" w:rsidR="00752E25" w:rsidRPr="00115980" w:rsidRDefault="00752E25">
            <w:pPr>
              <w:spacing w:line="220" w:lineRule="atLeast"/>
              <w:ind w:firstLine="0"/>
              <w:rPr>
                <w:sz w:val="20"/>
                <w:szCs w:val="20"/>
              </w:rPr>
            </w:pPr>
            <w:r w:rsidRPr="00115980">
              <w:rPr>
                <w:rFonts w:cs="NewBaskerville-Bold"/>
                <w:b/>
                <w:bCs/>
                <w:sz w:val="20"/>
                <w:szCs w:val="20"/>
              </w:rPr>
              <w:t>Damages trial in main or separate hearing?</w:t>
            </w:r>
          </w:p>
        </w:tc>
        <w:tc>
          <w:tcPr>
            <w:tcW w:w="3480" w:type="dxa"/>
            <w:shd w:val="clear" w:color="auto" w:fill="auto"/>
            <w:tcMar>
              <w:top w:w="80" w:type="dxa"/>
              <w:left w:w="120" w:type="dxa"/>
              <w:bottom w:w="100" w:type="dxa"/>
              <w:right w:w="120" w:type="dxa"/>
            </w:tcMar>
          </w:tcPr>
          <w:p w14:paraId="19727AAC" w14:textId="77777777" w:rsidR="00752E25" w:rsidRPr="00115980" w:rsidRDefault="00752E25">
            <w:pPr>
              <w:spacing w:line="220" w:lineRule="atLeast"/>
              <w:ind w:firstLine="0"/>
              <w:rPr>
                <w:sz w:val="20"/>
                <w:szCs w:val="20"/>
              </w:rPr>
            </w:pPr>
            <w:r w:rsidRPr="00115980">
              <w:rPr>
                <w:sz w:val="20"/>
                <w:szCs w:val="20"/>
              </w:rPr>
              <w:t>Main</w:t>
            </w:r>
          </w:p>
        </w:tc>
      </w:tr>
      <w:tr w:rsidR="00752E25" w:rsidRPr="00115980" w14:paraId="483E4986" w14:textId="77777777">
        <w:trPr>
          <w:trHeight w:val="60"/>
        </w:trPr>
        <w:tc>
          <w:tcPr>
            <w:tcW w:w="3480" w:type="dxa"/>
            <w:shd w:val="clear" w:color="auto" w:fill="auto"/>
            <w:tcMar>
              <w:top w:w="80" w:type="dxa"/>
              <w:left w:w="120" w:type="dxa"/>
              <w:bottom w:w="100" w:type="dxa"/>
              <w:right w:w="120" w:type="dxa"/>
            </w:tcMar>
          </w:tcPr>
          <w:p w14:paraId="37A199AA" w14:textId="77777777" w:rsidR="00752E25" w:rsidRPr="00115980" w:rsidRDefault="00752E25">
            <w:pPr>
              <w:spacing w:line="220" w:lineRule="atLeast"/>
              <w:ind w:firstLine="0"/>
              <w:rPr>
                <w:sz w:val="20"/>
                <w:szCs w:val="20"/>
              </w:rPr>
            </w:pPr>
            <w:r w:rsidRPr="00115980">
              <w:rPr>
                <w:rFonts w:cs="NewBaskerville-Bold"/>
                <w:b/>
                <w:bCs/>
                <w:sz w:val="20"/>
                <w:szCs w:val="20"/>
              </w:rPr>
              <w:t>Patent marking required for infringement?</w:t>
            </w:r>
          </w:p>
        </w:tc>
        <w:tc>
          <w:tcPr>
            <w:tcW w:w="3480" w:type="dxa"/>
            <w:shd w:val="clear" w:color="auto" w:fill="auto"/>
            <w:tcMar>
              <w:top w:w="80" w:type="dxa"/>
              <w:left w:w="120" w:type="dxa"/>
              <w:bottom w:w="100" w:type="dxa"/>
              <w:right w:w="120" w:type="dxa"/>
            </w:tcMar>
          </w:tcPr>
          <w:p w14:paraId="4D90D4BE" w14:textId="77777777" w:rsidR="00752E25" w:rsidRPr="00115980" w:rsidRDefault="00752E25">
            <w:pPr>
              <w:spacing w:line="220" w:lineRule="atLeast"/>
              <w:ind w:firstLine="0"/>
              <w:rPr>
                <w:sz w:val="20"/>
                <w:szCs w:val="20"/>
              </w:rPr>
            </w:pPr>
            <w:r w:rsidRPr="00115980">
              <w:rPr>
                <w:sz w:val="20"/>
                <w:szCs w:val="20"/>
              </w:rPr>
              <w:t>No</w:t>
            </w:r>
          </w:p>
        </w:tc>
      </w:tr>
      <w:tr w:rsidR="00752E25" w:rsidRPr="00115980" w14:paraId="1C58D1D4" w14:textId="77777777">
        <w:trPr>
          <w:trHeight w:val="60"/>
        </w:trPr>
        <w:tc>
          <w:tcPr>
            <w:tcW w:w="3480" w:type="dxa"/>
            <w:shd w:val="clear" w:color="auto" w:fill="auto"/>
            <w:tcMar>
              <w:top w:w="80" w:type="dxa"/>
              <w:left w:w="120" w:type="dxa"/>
              <w:bottom w:w="100" w:type="dxa"/>
              <w:right w:w="120" w:type="dxa"/>
            </w:tcMar>
          </w:tcPr>
          <w:p w14:paraId="189784FB" w14:textId="77777777" w:rsidR="00752E25" w:rsidRPr="00115980" w:rsidRDefault="00752E25">
            <w:pPr>
              <w:spacing w:line="220" w:lineRule="atLeast"/>
              <w:ind w:firstLine="0"/>
              <w:rPr>
                <w:sz w:val="20"/>
                <w:szCs w:val="20"/>
              </w:rPr>
            </w:pPr>
            <w:r w:rsidRPr="00115980">
              <w:rPr>
                <w:rFonts w:cs="NewBaskerville-Bold"/>
                <w:b/>
                <w:bCs/>
                <w:sz w:val="20"/>
                <w:szCs w:val="20"/>
              </w:rPr>
              <w:t>Litigation disbursements usually recoverable?</w:t>
            </w:r>
          </w:p>
        </w:tc>
        <w:tc>
          <w:tcPr>
            <w:tcW w:w="3480" w:type="dxa"/>
            <w:shd w:val="clear" w:color="auto" w:fill="auto"/>
            <w:tcMar>
              <w:top w:w="80" w:type="dxa"/>
              <w:left w:w="120" w:type="dxa"/>
              <w:bottom w:w="100" w:type="dxa"/>
              <w:right w:w="120" w:type="dxa"/>
            </w:tcMar>
          </w:tcPr>
          <w:p w14:paraId="07D548DC" w14:textId="77777777" w:rsidR="00752E25" w:rsidRPr="00115980" w:rsidRDefault="00752E25">
            <w:pPr>
              <w:spacing w:line="220" w:lineRule="atLeast"/>
              <w:ind w:firstLine="0"/>
              <w:rPr>
                <w:sz w:val="20"/>
                <w:szCs w:val="20"/>
              </w:rPr>
            </w:pPr>
            <w:r w:rsidRPr="00115980">
              <w:rPr>
                <w:sz w:val="20"/>
                <w:szCs w:val="20"/>
              </w:rPr>
              <w:t>Yes (partial)</w:t>
            </w:r>
          </w:p>
        </w:tc>
      </w:tr>
      <w:tr w:rsidR="00752E25" w:rsidRPr="00115980" w14:paraId="08E07857" w14:textId="77777777">
        <w:trPr>
          <w:trHeight w:val="60"/>
        </w:trPr>
        <w:tc>
          <w:tcPr>
            <w:tcW w:w="3480" w:type="dxa"/>
            <w:shd w:val="clear" w:color="auto" w:fill="auto"/>
            <w:tcMar>
              <w:top w:w="80" w:type="dxa"/>
              <w:left w:w="120" w:type="dxa"/>
              <w:bottom w:w="100" w:type="dxa"/>
              <w:right w:w="120" w:type="dxa"/>
            </w:tcMar>
          </w:tcPr>
          <w:p w14:paraId="16766472" w14:textId="77777777" w:rsidR="00752E25" w:rsidRPr="00115980" w:rsidRDefault="00752E25">
            <w:pPr>
              <w:spacing w:line="220" w:lineRule="atLeast"/>
              <w:ind w:firstLine="0"/>
              <w:rPr>
                <w:sz w:val="20"/>
                <w:szCs w:val="20"/>
              </w:rPr>
            </w:pPr>
            <w:r w:rsidRPr="00115980">
              <w:rPr>
                <w:rFonts w:cs="NewBaskerville-Bold"/>
                <w:b/>
                <w:bCs/>
                <w:sz w:val="20"/>
                <w:szCs w:val="20"/>
              </w:rPr>
              <w:t>If yes, what percentage?</w:t>
            </w:r>
          </w:p>
        </w:tc>
        <w:tc>
          <w:tcPr>
            <w:tcW w:w="3480" w:type="dxa"/>
            <w:shd w:val="clear" w:color="auto" w:fill="auto"/>
            <w:tcMar>
              <w:top w:w="80" w:type="dxa"/>
              <w:left w:w="120" w:type="dxa"/>
              <w:bottom w:w="100" w:type="dxa"/>
              <w:right w:w="120" w:type="dxa"/>
            </w:tcMar>
          </w:tcPr>
          <w:p w14:paraId="56F82641" w14:textId="77777777" w:rsidR="00752E25" w:rsidRPr="00115980" w:rsidRDefault="00752E25">
            <w:pPr>
              <w:spacing w:line="220" w:lineRule="atLeast"/>
              <w:ind w:firstLine="0"/>
              <w:rPr>
                <w:sz w:val="20"/>
                <w:szCs w:val="20"/>
              </w:rPr>
            </w:pPr>
            <w:r w:rsidRPr="00115980">
              <w:rPr>
                <w:sz w:val="20"/>
                <w:szCs w:val="20"/>
              </w:rPr>
              <w:t>&lt; 10%</w:t>
            </w:r>
          </w:p>
        </w:tc>
      </w:tr>
      <w:tr w:rsidR="00752E25" w:rsidRPr="00115980" w14:paraId="1F8CC9F7" w14:textId="77777777">
        <w:trPr>
          <w:trHeight w:val="60"/>
        </w:trPr>
        <w:tc>
          <w:tcPr>
            <w:tcW w:w="3480" w:type="dxa"/>
            <w:shd w:val="clear" w:color="auto" w:fill="auto"/>
            <w:tcMar>
              <w:top w:w="80" w:type="dxa"/>
              <w:left w:w="120" w:type="dxa"/>
              <w:bottom w:w="100" w:type="dxa"/>
              <w:right w:w="120" w:type="dxa"/>
            </w:tcMar>
          </w:tcPr>
          <w:p w14:paraId="26754439" w14:textId="77777777" w:rsidR="00752E25" w:rsidRPr="00115980" w:rsidRDefault="00752E25">
            <w:pPr>
              <w:spacing w:line="220" w:lineRule="atLeast"/>
              <w:ind w:firstLine="0"/>
              <w:rPr>
                <w:sz w:val="20"/>
                <w:szCs w:val="20"/>
              </w:rPr>
            </w:pPr>
            <w:r w:rsidRPr="00115980">
              <w:rPr>
                <w:rFonts w:cs="NewBaskerville-Bold"/>
                <w:b/>
                <w:bCs/>
                <w:sz w:val="20"/>
                <w:szCs w:val="20"/>
              </w:rPr>
              <w:t>Does compulsory licensing exist?</w:t>
            </w:r>
          </w:p>
        </w:tc>
        <w:tc>
          <w:tcPr>
            <w:tcW w:w="3480" w:type="dxa"/>
            <w:shd w:val="clear" w:color="auto" w:fill="auto"/>
            <w:tcMar>
              <w:top w:w="80" w:type="dxa"/>
              <w:left w:w="120" w:type="dxa"/>
              <w:bottom w:w="100" w:type="dxa"/>
              <w:right w:w="120" w:type="dxa"/>
            </w:tcMar>
          </w:tcPr>
          <w:p w14:paraId="7BC71565" w14:textId="77777777" w:rsidR="00752E25" w:rsidRPr="00115980" w:rsidRDefault="00752E25">
            <w:pPr>
              <w:spacing w:line="220" w:lineRule="atLeast"/>
              <w:ind w:firstLine="0"/>
              <w:rPr>
                <w:sz w:val="20"/>
                <w:szCs w:val="20"/>
              </w:rPr>
            </w:pPr>
            <w:r w:rsidRPr="00115980">
              <w:rPr>
                <w:sz w:val="20"/>
                <w:szCs w:val="20"/>
              </w:rPr>
              <w:t>Yes</w:t>
            </w:r>
          </w:p>
        </w:tc>
      </w:tr>
      <w:tr w:rsidR="00752E25" w:rsidRPr="00115980" w14:paraId="29DC57A6" w14:textId="77777777">
        <w:trPr>
          <w:trHeight w:val="60"/>
        </w:trPr>
        <w:tc>
          <w:tcPr>
            <w:tcW w:w="3480" w:type="dxa"/>
            <w:shd w:val="clear" w:color="auto" w:fill="auto"/>
            <w:tcMar>
              <w:top w:w="80" w:type="dxa"/>
              <w:left w:w="120" w:type="dxa"/>
              <w:bottom w:w="100" w:type="dxa"/>
              <w:right w:w="120" w:type="dxa"/>
            </w:tcMar>
          </w:tcPr>
          <w:p w14:paraId="772CCF63" w14:textId="77777777" w:rsidR="00752E25" w:rsidRPr="00115980" w:rsidRDefault="00752E25">
            <w:pPr>
              <w:spacing w:line="220" w:lineRule="atLeast"/>
              <w:ind w:firstLine="0"/>
              <w:rPr>
                <w:sz w:val="20"/>
                <w:szCs w:val="20"/>
              </w:rPr>
            </w:pPr>
            <w:r w:rsidRPr="00115980">
              <w:rPr>
                <w:rFonts w:cs="NewBaskerville-Bold"/>
                <w:b/>
                <w:bCs/>
                <w:sz w:val="20"/>
                <w:szCs w:val="20"/>
              </w:rPr>
              <w:t>Is a permanent injunction automatic with a damages award?</w:t>
            </w:r>
          </w:p>
        </w:tc>
        <w:tc>
          <w:tcPr>
            <w:tcW w:w="3480" w:type="dxa"/>
            <w:shd w:val="clear" w:color="auto" w:fill="auto"/>
            <w:tcMar>
              <w:top w:w="80" w:type="dxa"/>
              <w:left w:w="120" w:type="dxa"/>
              <w:bottom w:w="100" w:type="dxa"/>
              <w:right w:w="120" w:type="dxa"/>
            </w:tcMar>
          </w:tcPr>
          <w:p w14:paraId="0D1CEDD2" w14:textId="230FEBDD" w:rsidR="00752E25" w:rsidRPr="00115980" w:rsidRDefault="00064C21">
            <w:pPr>
              <w:spacing w:line="220" w:lineRule="atLeast"/>
              <w:ind w:firstLine="0"/>
              <w:rPr>
                <w:sz w:val="20"/>
                <w:szCs w:val="20"/>
              </w:rPr>
            </w:pPr>
            <w:r w:rsidRPr="005732E7">
              <w:rPr>
                <w:sz w:val="20"/>
                <w:szCs w:val="20"/>
              </w:rPr>
              <w:t>Yes</w:t>
            </w:r>
          </w:p>
        </w:tc>
      </w:tr>
      <w:tr w:rsidR="00752E25" w:rsidRPr="00115980" w14:paraId="59DEA686" w14:textId="77777777">
        <w:trPr>
          <w:trHeight w:val="60"/>
        </w:trPr>
        <w:tc>
          <w:tcPr>
            <w:tcW w:w="3480" w:type="dxa"/>
            <w:shd w:val="clear" w:color="auto" w:fill="auto"/>
            <w:tcMar>
              <w:top w:w="80" w:type="dxa"/>
              <w:left w:w="120" w:type="dxa"/>
              <w:bottom w:w="100" w:type="dxa"/>
              <w:right w:w="120" w:type="dxa"/>
            </w:tcMar>
          </w:tcPr>
          <w:p w14:paraId="051B444A" w14:textId="77777777" w:rsidR="00752E25" w:rsidRPr="00115980" w:rsidRDefault="00752E25">
            <w:pPr>
              <w:spacing w:line="220" w:lineRule="atLeast"/>
              <w:ind w:firstLine="0"/>
              <w:rPr>
                <w:sz w:val="20"/>
                <w:szCs w:val="20"/>
              </w:rPr>
            </w:pPr>
            <w:r w:rsidRPr="00115980">
              <w:rPr>
                <w:rFonts w:cs="NewBaskerville-Bold"/>
                <w:b/>
                <w:bCs/>
                <w:sz w:val="20"/>
                <w:szCs w:val="20"/>
              </w:rPr>
              <w:t>Do all appeals on the merits have to be terminated before damages are calculated?</w:t>
            </w:r>
          </w:p>
        </w:tc>
        <w:tc>
          <w:tcPr>
            <w:tcW w:w="3480" w:type="dxa"/>
            <w:shd w:val="clear" w:color="auto" w:fill="auto"/>
            <w:tcMar>
              <w:top w:w="80" w:type="dxa"/>
              <w:left w:w="120" w:type="dxa"/>
              <w:bottom w:w="100" w:type="dxa"/>
              <w:right w:w="120" w:type="dxa"/>
            </w:tcMar>
          </w:tcPr>
          <w:p w14:paraId="02177B37" w14:textId="77777777" w:rsidR="00752E25" w:rsidRPr="00115980" w:rsidRDefault="00752E25">
            <w:pPr>
              <w:spacing w:line="220" w:lineRule="atLeast"/>
              <w:ind w:firstLine="0"/>
              <w:rPr>
                <w:sz w:val="20"/>
                <w:szCs w:val="20"/>
              </w:rPr>
            </w:pPr>
            <w:r w:rsidRPr="00115980">
              <w:rPr>
                <w:sz w:val="20"/>
                <w:szCs w:val="20"/>
              </w:rPr>
              <w:t>No</w:t>
            </w:r>
          </w:p>
        </w:tc>
      </w:tr>
      <w:tr w:rsidR="00752E25" w:rsidRPr="00115980" w14:paraId="4FE89E9B" w14:textId="77777777">
        <w:trPr>
          <w:trHeight w:val="60"/>
        </w:trPr>
        <w:tc>
          <w:tcPr>
            <w:tcW w:w="3480" w:type="dxa"/>
            <w:shd w:val="clear" w:color="auto" w:fill="auto"/>
            <w:tcMar>
              <w:top w:w="80" w:type="dxa"/>
              <w:left w:w="120" w:type="dxa"/>
              <w:bottom w:w="100" w:type="dxa"/>
              <w:right w:w="120" w:type="dxa"/>
            </w:tcMar>
          </w:tcPr>
          <w:p w14:paraId="4DA74FB4" w14:textId="77777777" w:rsidR="00752E25" w:rsidRPr="00115980" w:rsidRDefault="00752E25">
            <w:pPr>
              <w:spacing w:line="220" w:lineRule="atLeast"/>
              <w:ind w:firstLine="0"/>
              <w:rPr>
                <w:sz w:val="20"/>
                <w:szCs w:val="20"/>
              </w:rPr>
            </w:pPr>
            <w:r w:rsidRPr="00115980">
              <w:rPr>
                <w:rFonts w:cs="NewBaskerville-Bold"/>
                <w:b/>
                <w:bCs/>
                <w:sz w:val="20"/>
                <w:szCs w:val="20"/>
              </w:rPr>
              <w:t>Largest damage award</w:t>
            </w:r>
          </w:p>
        </w:tc>
        <w:tc>
          <w:tcPr>
            <w:tcW w:w="3480" w:type="dxa"/>
            <w:shd w:val="clear" w:color="auto" w:fill="auto"/>
            <w:tcMar>
              <w:top w:w="80" w:type="dxa"/>
              <w:left w:w="120" w:type="dxa"/>
              <w:bottom w:w="100" w:type="dxa"/>
              <w:right w:w="120" w:type="dxa"/>
            </w:tcMar>
          </w:tcPr>
          <w:p w14:paraId="26A981E3" w14:textId="77777777" w:rsidR="00752E25" w:rsidRPr="00115980" w:rsidRDefault="00752E25">
            <w:pPr>
              <w:spacing w:line="220" w:lineRule="atLeast"/>
              <w:ind w:firstLine="0"/>
              <w:rPr>
                <w:sz w:val="20"/>
                <w:szCs w:val="20"/>
              </w:rPr>
            </w:pPr>
            <w:r w:rsidRPr="00115980">
              <w:rPr>
                <w:sz w:val="20"/>
                <w:szCs w:val="20"/>
              </w:rPr>
              <w:t>U.S. $70 million</w:t>
            </w:r>
            <w:r w:rsidRPr="00115980">
              <w:rPr>
                <w:rStyle w:val="FootnoteReference"/>
              </w:rPr>
              <w:footnoteReference w:id="6"/>
            </w:r>
          </w:p>
        </w:tc>
      </w:tr>
    </w:tbl>
    <w:p w14:paraId="2A19828B" w14:textId="77777777" w:rsidR="00752E25" w:rsidRPr="00115980" w:rsidRDefault="00752E25" w:rsidP="00752E25">
      <w:pPr>
        <w:pStyle w:val="TableTitle"/>
        <w:rPr>
          <w:lang w:val="en-GB"/>
        </w:rPr>
      </w:pPr>
    </w:p>
    <w:p w14:paraId="2FB1C6FE" w14:textId="77777777" w:rsidR="00752E25" w:rsidRPr="00115980" w:rsidRDefault="00752E25" w:rsidP="00752E25">
      <w:pPr>
        <w:pStyle w:val="Heading1"/>
      </w:pPr>
      <w:r w:rsidRPr="00115980">
        <w:t>I. Court Structure</w:t>
      </w:r>
    </w:p>
    <w:p w14:paraId="522BD677" w14:textId="66A8056E" w:rsidR="00752E25" w:rsidRDefault="00752E25" w:rsidP="00752E25">
      <w:pPr>
        <w:pStyle w:val="TableTitle"/>
        <w:spacing w:before="120"/>
      </w:pPr>
      <w:r w:rsidRPr="00115980">
        <w:lastRenderedPageBreak/>
        <w:t xml:space="preserve">Figure </w:t>
      </w:r>
      <w:r w:rsidR="0018402A">
        <w:t>37</w:t>
      </w:r>
      <w:r w:rsidRPr="00115980">
        <w:t xml:space="preserve">-3. Diagram of </w:t>
      </w:r>
      <w:r w:rsidR="006C23AD">
        <w:t xml:space="preserve">South Korea’s </w:t>
      </w:r>
      <w:r w:rsidRPr="00115980">
        <w:t>Bifurcated System</w:t>
      </w:r>
    </w:p>
    <w:p w14:paraId="76CF650D" w14:textId="785D2001" w:rsidR="00752E25" w:rsidRPr="00115980" w:rsidRDefault="00F036A7" w:rsidP="00752E25">
      <w:pPr>
        <w:pStyle w:val="TableTitle"/>
        <w:spacing w:before="120"/>
      </w:pPr>
      <w:r w:rsidRPr="00220F1B">
        <w:rPr>
          <w:noProof/>
          <w:lang w:eastAsia="ko-KR"/>
        </w:rPr>
        <w:drawing>
          <wp:inline distT="0" distB="0" distL="0" distR="0" wp14:anchorId="6A1C6297" wp14:editId="47D2ADAA">
            <wp:extent cx="3800475" cy="3924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00475" cy="3924300"/>
                    </a:xfrm>
                    <a:prstGeom prst="rect">
                      <a:avLst/>
                    </a:prstGeom>
                    <a:noFill/>
                    <a:ln>
                      <a:noFill/>
                    </a:ln>
                  </pic:spPr>
                </pic:pic>
              </a:graphicData>
            </a:graphic>
          </wp:inline>
        </w:drawing>
      </w:r>
    </w:p>
    <w:p w14:paraId="0D648B0D" w14:textId="43361D62" w:rsidR="00752E25" w:rsidRPr="00115980" w:rsidRDefault="00752E25" w:rsidP="00752E25">
      <w:r w:rsidRPr="00115980">
        <w:t>The South Korean court system is made up of 12 district courts,</w:t>
      </w:r>
      <w:r w:rsidR="00CE0BB2" w:rsidRPr="005732E7">
        <w:t xml:space="preserve"> </w:t>
      </w:r>
      <w:r w:rsidR="005732E7">
        <w:t>six</w:t>
      </w:r>
      <w:r w:rsidRPr="00115980">
        <w:t xml:space="preserve"> high courts, and one Supreme Court. The district courts and high courts are divided into geographical districts, with each district court having a number of branches. The district courts serve as the court of first instance for both civil and criminal matters. As of </w:t>
      </w:r>
      <w:r w:rsidR="008663C3">
        <w:t>March 2019</w:t>
      </w:r>
      <w:r w:rsidRPr="00115980">
        <w:t xml:space="preserve">, patent infringement cases (excluding preliminary injunction and criminal cases) must be filed in one of </w:t>
      </w:r>
      <w:r w:rsidR="003B770B">
        <w:t>six</w:t>
      </w:r>
      <w:r w:rsidRPr="00115980">
        <w:t xml:space="preserve"> regional district courts (Seoul Central, Daejeon, Daegu, Busan, Gwangju</w:t>
      </w:r>
      <w:r w:rsidR="003B770B">
        <w:t>, and Suwon</w:t>
      </w:r>
      <w:r w:rsidRPr="00115980">
        <w:t xml:space="preserve">), whichever satisfies the relevant venue requirements. However, any patent infringement case may be brought at the Seoul Central District Court (which has the most experience in handling IP infringement matters), regardless of venue. Further, appeals of the district court decisions in patent infringement </w:t>
      </w:r>
      <w:r w:rsidR="002126EA">
        <w:t>main actions</w:t>
      </w:r>
      <w:r w:rsidRPr="00115980">
        <w:t xml:space="preserve"> are heard by the Patent Court</w:t>
      </w:r>
      <w:r w:rsidR="002126EA">
        <w:t xml:space="preserve"> (with the high </w:t>
      </w:r>
      <w:r w:rsidR="0018402A">
        <w:t>court’s</w:t>
      </w:r>
      <w:r w:rsidR="002126EA">
        <w:t xml:space="preserve"> hearing appeals of preliminary injunction and criminal cases for patents</w:t>
      </w:r>
      <w:r w:rsidR="00247C87">
        <w:t>)</w:t>
      </w:r>
      <w:r w:rsidRPr="00115980">
        <w:t>.</w:t>
      </w:r>
    </w:p>
    <w:p w14:paraId="653737C7" w14:textId="7D74DDE4" w:rsidR="00752E25" w:rsidRPr="00115980" w:rsidRDefault="00752E25" w:rsidP="00752E25">
      <w:r w:rsidRPr="00115980">
        <w:t xml:space="preserve">Recognizing that judges, who are trained as lawyers, likely </w:t>
      </w:r>
      <w:r w:rsidR="009500EF">
        <w:t>do not have sufficient</w:t>
      </w:r>
      <w:r w:rsidRPr="00115980">
        <w:t xml:space="preserve"> scientific background </w:t>
      </w:r>
      <w:r w:rsidR="009500EF">
        <w:t>for</w:t>
      </w:r>
      <w:r w:rsidRPr="00115980">
        <w:t xml:space="preserve"> patent </w:t>
      </w:r>
      <w:r w:rsidR="009500EF">
        <w:t>matters</w:t>
      </w:r>
      <w:r w:rsidRPr="00115980">
        <w:t xml:space="preserve">, the Court Organization Act provides technical advisors to be drawn from former KIPO trial examiners having technical expertise in </w:t>
      </w:r>
      <w:r w:rsidR="009500EF">
        <w:t>various</w:t>
      </w:r>
      <w:r w:rsidR="009500EF" w:rsidRPr="00115980">
        <w:t xml:space="preserve"> </w:t>
      </w:r>
      <w:r w:rsidRPr="00115980">
        <w:t>technologies. The Supreme Court, one high court, and the Seoul District Court are all located within Seoul. The Patent Court is located in Daejeon, which is also home to KIPO.</w:t>
      </w:r>
    </w:p>
    <w:p w14:paraId="1263C721" w14:textId="71D7A150" w:rsidR="00752E25" w:rsidRPr="00115980" w:rsidRDefault="00752E25" w:rsidP="00752E25">
      <w:r w:rsidRPr="00115980">
        <w:t xml:space="preserve">The IPTAB is a first-instance tribunal within KIPO that adjudicates administrative actions such as invalidation actions, scope confirmation actions, and appeals from final rejections during patent prosecution. Win-rate data for the scope trial proceedings, which are </w:t>
      </w:r>
      <w:r w:rsidR="00DE22EE">
        <w:t>fairly common in Korea</w:t>
      </w:r>
      <w:r w:rsidRPr="00115980">
        <w:t xml:space="preserve">, are included below in Section IX, “Specific Details.” The IPTAB is ordinarily composed of a panel of three KIPO trial examiners who have technical backgrounds and are trained to resolve IP issues. Invalidation actions and scope confirmations are </w:t>
      </w:r>
      <w:r w:rsidRPr="00115980">
        <w:rPr>
          <w:rFonts w:cs="NewBaskerville-Italic"/>
          <w:i/>
          <w:iCs/>
        </w:rPr>
        <w:t>inter partes</w:t>
      </w:r>
      <w:r w:rsidR="00DE22EE">
        <w:rPr>
          <w:rFonts w:cs="NewBaskerville-Italic"/>
          <w:i/>
          <w:iCs/>
        </w:rPr>
        <w:t xml:space="preserve"> </w:t>
      </w:r>
      <w:r w:rsidR="00DE22EE">
        <w:rPr>
          <w:rFonts w:cs="NewBaskerville-Italic"/>
          <w:iCs/>
        </w:rPr>
        <w:lastRenderedPageBreak/>
        <w:t>proceedings</w:t>
      </w:r>
      <w:r w:rsidR="00DE22EE">
        <w:t>,</w:t>
      </w:r>
      <w:r w:rsidRPr="00115980">
        <w:t xml:space="preserve"> </w:t>
      </w:r>
      <w:r w:rsidR="00DE22EE">
        <w:t>while c</w:t>
      </w:r>
      <w:r w:rsidRPr="00115980">
        <w:t xml:space="preserve">orrection actions and appeals of rejections are </w:t>
      </w:r>
      <w:r w:rsidRPr="00115980">
        <w:rPr>
          <w:rFonts w:cs="NewBaskerville-Italic"/>
          <w:i/>
          <w:iCs/>
        </w:rPr>
        <w:t>ex parte</w:t>
      </w:r>
      <w:r w:rsidR="00DE22EE">
        <w:rPr>
          <w:rFonts w:cs="NewBaskerville-Italic"/>
          <w:i/>
          <w:iCs/>
        </w:rPr>
        <w:t xml:space="preserve"> </w:t>
      </w:r>
      <w:r w:rsidR="00DE22EE">
        <w:rPr>
          <w:rFonts w:cs="NewBaskerville-Italic"/>
          <w:iCs/>
        </w:rPr>
        <w:t>proceedings</w:t>
      </w:r>
      <w:r w:rsidRPr="00115980">
        <w:t xml:space="preserve">. Appeals of IPTAB decisions are made to the Patent Court, a court of law </w:t>
      </w:r>
      <w:r w:rsidR="00BD0395">
        <w:t xml:space="preserve">that was initially </w:t>
      </w:r>
      <w:r w:rsidRPr="00115980">
        <w:t xml:space="preserve">established to hear appeals of </w:t>
      </w:r>
      <w:r w:rsidR="00BD0395">
        <w:t xml:space="preserve">KIPO </w:t>
      </w:r>
      <w:r w:rsidRPr="00115980">
        <w:t>decisions.</w:t>
      </w:r>
      <w:r w:rsidRPr="00115980">
        <w:rPr>
          <w:rStyle w:val="FootnoteReference"/>
        </w:rPr>
        <w:footnoteReference w:id="7"/>
      </w:r>
      <w:r w:rsidRPr="00115980">
        <w:t xml:space="preserve"> Members of the judiciary sit on the Patent Court, which is composed of five panels of three judges. The judges have legal training and the same </w:t>
      </w:r>
      <w:r w:rsidR="00BD0395">
        <w:t xml:space="preserve">classification </w:t>
      </w:r>
      <w:r w:rsidRPr="00115980">
        <w:t>level as judges of the high court—in other words, the general civil appellate court. Appeals from the Patent Court are heard by the Supreme Court</w:t>
      </w:r>
      <w:r w:rsidR="00C02BF1">
        <w:t xml:space="preserve">, which can </w:t>
      </w:r>
      <w:r w:rsidR="00637741">
        <w:t xml:space="preserve">summarily </w:t>
      </w:r>
      <w:r w:rsidR="00C02BF1">
        <w:t>dismiss the appeal without</w:t>
      </w:r>
      <w:r w:rsidR="00637741">
        <w:t xml:space="preserve"> substantive review</w:t>
      </w:r>
      <w:r w:rsidRPr="00115980">
        <w:t>.</w:t>
      </w:r>
    </w:p>
    <w:p w14:paraId="18DAFDCE" w14:textId="77777777" w:rsidR="00752E25" w:rsidRPr="00115980" w:rsidRDefault="00752E25" w:rsidP="00752E25">
      <w:pPr>
        <w:pStyle w:val="Heading1"/>
      </w:pPr>
      <w:r w:rsidRPr="00115980">
        <w:t>II. Main Characteristics of Patent Litigation</w:t>
      </w:r>
    </w:p>
    <w:p w14:paraId="24477FE2" w14:textId="77777777" w:rsidR="00752E25" w:rsidRPr="00115980" w:rsidRDefault="00752E25" w:rsidP="00752E25">
      <w:pPr>
        <w:pStyle w:val="Heading2"/>
        <w:spacing w:before="0"/>
        <w:rPr>
          <w:rFonts w:cs="NewBaskerville-BoldItalic"/>
          <w:i/>
          <w:iCs/>
        </w:rPr>
      </w:pPr>
      <w:r w:rsidRPr="00115980">
        <w:t>A.</w:t>
      </w:r>
      <w:r w:rsidRPr="00115980">
        <w:tab/>
        <w:t>Procedural Law</w:t>
      </w:r>
    </w:p>
    <w:p w14:paraId="6601D5D8" w14:textId="77777777" w:rsidR="00752E25" w:rsidRPr="00115980" w:rsidRDefault="00752E25" w:rsidP="00752E25">
      <w:pPr>
        <w:pStyle w:val="Heading3"/>
        <w:spacing w:before="0"/>
      </w:pPr>
      <w:r w:rsidRPr="00115980">
        <w:t>1.</w:t>
      </w:r>
      <w:r w:rsidRPr="00115980">
        <w:tab/>
        <w:t>Overview</w:t>
      </w:r>
    </w:p>
    <w:p w14:paraId="6F75AA04" w14:textId="0EEFAF1E" w:rsidR="00752E25" w:rsidRPr="00115980" w:rsidRDefault="00752E25" w:rsidP="00752E25">
      <w:r w:rsidRPr="00115980">
        <w:t>South Korea’s legal regime is based on the civil law system, and patent infringement and validity issues are separately tried in a bifurcated judicial system. The main statutory framework is the KPA.</w:t>
      </w:r>
      <w:r w:rsidRPr="00115980">
        <w:rPr>
          <w:rStyle w:val="FootnoteReference"/>
        </w:rPr>
        <w:footnoteReference w:id="8"/>
      </w:r>
      <w:r w:rsidRPr="00115980">
        <w:t xml:space="preserve"> Plaintiffs can sue for infringement in a district court, whereas an invalidation action is brought before the IPTAB. The district courts and the IPTAB are not technically bound by each other’s decisions, except when a patent is held finally and conclusively invalid in an invalidation action. Further, the Korean Supreme Court recently affirmed that a district court may refuse to enforce a patent if it finds the patent to be obviously invalid. Still, the district courts and the IPTAB generally tend to give deference to each other’s decisions. In cases </w:t>
      </w:r>
      <w:r w:rsidR="00176FCD">
        <w:t>where both</w:t>
      </w:r>
      <w:r w:rsidRPr="00115980">
        <w:t xml:space="preserve"> an invalidation action </w:t>
      </w:r>
      <w:r w:rsidR="00176FCD">
        <w:t>and a</w:t>
      </w:r>
      <w:r w:rsidR="00842EF8">
        <w:t xml:space="preserve"> corresponding </w:t>
      </w:r>
      <w:r w:rsidRPr="00115980">
        <w:t xml:space="preserve">infringement action </w:t>
      </w:r>
      <w:r w:rsidR="00176FCD">
        <w:t>are</w:t>
      </w:r>
      <w:r w:rsidR="00842EF8">
        <w:t xml:space="preserve"> pending</w:t>
      </w:r>
      <w:r w:rsidRPr="00115980">
        <w:t xml:space="preserve">, the presiding judge of the infringement action has complete discretion </w:t>
      </w:r>
      <w:r w:rsidR="00176FCD">
        <w:t>as to issuing a</w:t>
      </w:r>
      <w:r w:rsidRPr="00115980">
        <w:t xml:space="preserve"> stay</w:t>
      </w:r>
      <w:r w:rsidR="00176FCD">
        <w:t xml:space="preserve"> to wait for</w:t>
      </w:r>
      <w:r w:rsidRPr="00115980">
        <w:t xml:space="preserve"> the outcome of the invalidation action.</w:t>
      </w:r>
    </w:p>
    <w:p w14:paraId="10084089" w14:textId="747577D1" w:rsidR="00752E25" w:rsidRPr="00115980" w:rsidRDefault="00752E25" w:rsidP="00752E25">
      <w:r w:rsidRPr="00115980">
        <w:t xml:space="preserve">In addition to civil liability for patent infringement, criminal prosecution is also possible at the request of the patent holder. However, prosecutors </w:t>
      </w:r>
      <w:r w:rsidR="00176FCD">
        <w:t>are</w:t>
      </w:r>
      <w:r w:rsidR="00176FCD" w:rsidRPr="00115980">
        <w:t xml:space="preserve"> </w:t>
      </w:r>
      <w:r w:rsidRPr="00115980">
        <w:t>generally reluctant to pursue such requests</w:t>
      </w:r>
      <w:r w:rsidR="00A7127E">
        <w:t>,</w:t>
      </w:r>
      <w:r w:rsidRPr="00115980">
        <w:t xml:space="preserve"> except in the most clear-cut and egregious </w:t>
      </w:r>
      <w:r w:rsidR="00A7127E">
        <w:t>cases</w:t>
      </w:r>
      <w:r w:rsidRPr="00115980">
        <w:t>.</w:t>
      </w:r>
    </w:p>
    <w:p w14:paraId="27A07C99" w14:textId="77777777" w:rsidR="00752E25" w:rsidRPr="00115980" w:rsidRDefault="00752E25" w:rsidP="00752E25">
      <w:pPr>
        <w:pStyle w:val="Heading3"/>
      </w:pPr>
      <w:r w:rsidRPr="00115980">
        <w:t>2.</w:t>
      </w:r>
      <w:r w:rsidRPr="00115980">
        <w:tab/>
        <w:t>Jurisdiction and Venue</w:t>
      </w:r>
    </w:p>
    <w:p w14:paraId="52D8AF3B" w14:textId="77777777" w:rsidR="00752E25" w:rsidRPr="00115980" w:rsidRDefault="00752E25" w:rsidP="00752E25">
      <w:r w:rsidRPr="00115980">
        <w:t>Under South Korean law, a patent owner or an exclusive licensee has standing to file a lawsuit for patent infringement. The plaintiff can choose to file the infringement action in a district court where the defendant resides, where the infringement took place, or, if damages are claimed, where the plaintiff resides.</w:t>
      </w:r>
      <w:r w:rsidRPr="00115980">
        <w:rPr>
          <w:rStyle w:val="FootnoteReference"/>
        </w:rPr>
        <w:footnoteReference w:id="9"/>
      </w:r>
    </w:p>
    <w:p w14:paraId="5DC7465E" w14:textId="77777777" w:rsidR="00752E25" w:rsidRPr="00115980" w:rsidRDefault="00752E25" w:rsidP="00752E25">
      <w:pPr>
        <w:pStyle w:val="Heading3"/>
      </w:pPr>
      <w:r w:rsidRPr="00115980">
        <w:t>3.</w:t>
      </w:r>
      <w:r w:rsidRPr="00115980">
        <w:tab/>
        <w:t>Representation</w:t>
      </w:r>
    </w:p>
    <w:p w14:paraId="40E37F7B" w14:textId="77777777" w:rsidR="00752E25" w:rsidRPr="00115980" w:rsidRDefault="00752E25" w:rsidP="00752E25">
      <w:r w:rsidRPr="00115980">
        <w:t xml:space="preserve">Licensed attorneys may represent clients before the South Korean courts. A licensed </w:t>
      </w:r>
      <w:r w:rsidRPr="00115980">
        <w:lastRenderedPageBreak/>
        <w:t>attorney or a licensed patent attorney may represent clients in actions before the IPTAB.</w:t>
      </w:r>
    </w:p>
    <w:p w14:paraId="729E6AC5" w14:textId="77777777" w:rsidR="00752E25" w:rsidRPr="00115980" w:rsidRDefault="00752E25" w:rsidP="00752E25">
      <w:pPr>
        <w:pStyle w:val="Heading2"/>
      </w:pPr>
      <w:r w:rsidRPr="00115980">
        <w:t>B.</w:t>
      </w:r>
      <w:r w:rsidRPr="00115980">
        <w:tab/>
        <w:t>Substantive Law</w:t>
      </w:r>
    </w:p>
    <w:p w14:paraId="427306A5" w14:textId="77777777" w:rsidR="00752E25" w:rsidRPr="00115980" w:rsidRDefault="00752E25" w:rsidP="00752E25">
      <w:pPr>
        <w:pStyle w:val="Heading3"/>
        <w:spacing w:before="0"/>
      </w:pPr>
      <w:r w:rsidRPr="00115980">
        <w:t>1.</w:t>
      </w:r>
      <w:r w:rsidRPr="00115980">
        <w:tab/>
        <w:t>Patentability</w:t>
      </w:r>
    </w:p>
    <w:p w14:paraId="51D2C42D" w14:textId="77777777" w:rsidR="00752E25" w:rsidRPr="00115980" w:rsidRDefault="00752E25" w:rsidP="00752E25">
      <w:r w:rsidRPr="00115980">
        <w:t>In South Korea, an invention is defined as a “high level creation of a technical idea utilizing the laws of nature,” and is distinct from utility models and registered designs.</w:t>
      </w:r>
      <w:r w:rsidRPr="00115980">
        <w:rPr>
          <w:rStyle w:val="FootnoteReference"/>
        </w:rPr>
        <w:footnoteReference w:id="10"/>
      </w:r>
      <w:r w:rsidRPr="00115980">
        <w:t xml:space="preserve"> In general, the universal patentability requirements are (1) novelty, (2) industrial application, and (3) inventive step.</w:t>
      </w:r>
    </w:p>
    <w:p w14:paraId="1DBCE331" w14:textId="77777777" w:rsidR="00752E25" w:rsidRPr="00115980" w:rsidRDefault="00752E25" w:rsidP="00752E25">
      <w:pPr>
        <w:pStyle w:val="Heading4"/>
      </w:pPr>
      <w:r w:rsidRPr="00115980">
        <w:t>a.</w:t>
      </w:r>
      <w:r w:rsidRPr="00115980">
        <w:tab/>
        <w:t>Patentable Subject Matter</w:t>
      </w:r>
    </w:p>
    <w:p w14:paraId="72649767" w14:textId="77777777" w:rsidR="00752E25" w:rsidRPr="00115980" w:rsidRDefault="00752E25" w:rsidP="00752E25">
      <w:r w:rsidRPr="00115980">
        <w:t>Process inventions such as software and business methods that only involve abstract ideas or mental steps do not qualify as inventions under the KPA. Further, inventions that are likely to contravene public order or morality or injure public health are not patentable.</w:t>
      </w:r>
      <w:r w:rsidRPr="00115980">
        <w:rPr>
          <w:rStyle w:val="FootnoteReference"/>
        </w:rPr>
        <w:footnoteReference w:id="11"/>
      </w:r>
    </w:p>
    <w:p w14:paraId="18114AFF" w14:textId="77777777" w:rsidR="00752E25" w:rsidRPr="00115980" w:rsidRDefault="00752E25" w:rsidP="00752E25">
      <w:r w:rsidRPr="00115980">
        <w:t>The following table summarizes KIPO’s current practice on patentable subject matter.</w:t>
      </w:r>
    </w:p>
    <w:p w14:paraId="6A76E6C9" w14:textId="59827E37" w:rsidR="00752E25" w:rsidRPr="00115980" w:rsidRDefault="00752E25" w:rsidP="00752E25">
      <w:pPr>
        <w:pStyle w:val="TableTitle"/>
      </w:pPr>
      <w:r w:rsidRPr="00115980">
        <w:t xml:space="preserve">Table </w:t>
      </w:r>
      <w:r w:rsidR="0018402A">
        <w:t>37</w:t>
      </w:r>
      <w:r w:rsidRPr="00115980">
        <w:t>-3. Korean Intellectual Property Office Guidelines on Patentable Subject Matter</w:t>
      </w:r>
    </w:p>
    <w:tbl>
      <w:tblPr>
        <w:tblW w:w="9600" w:type="dxa"/>
        <w:tblInd w:w="72" w:type="dxa"/>
        <w:tblLayout w:type="fixed"/>
        <w:tblCellMar>
          <w:left w:w="0" w:type="dxa"/>
          <w:right w:w="0" w:type="dxa"/>
        </w:tblCellMar>
        <w:tblLook w:val="0000" w:firstRow="0" w:lastRow="0" w:firstColumn="0" w:lastColumn="0" w:noHBand="0" w:noVBand="0"/>
      </w:tblPr>
      <w:tblGrid>
        <w:gridCol w:w="1573"/>
        <w:gridCol w:w="2979"/>
        <w:gridCol w:w="2069"/>
        <w:gridCol w:w="2979"/>
      </w:tblGrid>
      <w:tr w:rsidR="00752E25" w:rsidRPr="00115980" w14:paraId="606DAC6F" w14:textId="77777777">
        <w:trPr>
          <w:trHeight w:val="60"/>
          <w:tblHeader/>
        </w:trPr>
        <w:tc>
          <w:tcPr>
            <w:tcW w:w="1140" w:type="dxa"/>
            <w:tcBorders>
              <w:top w:val="single" w:sz="4" w:space="0" w:color="000000"/>
              <w:left w:val="single" w:sz="4" w:space="0" w:color="000000"/>
              <w:bottom w:val="single" w:sz="6" w:space="0" w:color="000000"/>
              <w:right w:val="single" w:sz="4" w:space="0" w:color="FFFFFF"/>
            </w:tcBorders>
            <w:shd w:val="clear" w:color="auto" w:fill="auto"/>
            <w:tcMar>
              <w:top w:w="80" w:type="dxa"/>
              <w:left w:w="72" w:type="dxa"/>
              <w:bottom w:w="80" w:type="dxa"/>
              <w:right w:w="72" w:type="dxa"/>
            </w:tcMar>
            <w:vAlign w:val="bottom"/>
          </w:tcPr>
          <w:p w14:paraId="6E80982A" w14:textId="77777777" w:rsidR="00752E25" w:rsidRPr="00115980" w:rsidRDefault="00752E25">
            <w:pPr>
              <w:pStyle w:val="TableHead"/>
            </w:pPr>
            <w:r w:rsidRPr="00115980">
              <w:rPr>
                <w:sz w:val="18"/>
                <w:szCs w:val="18"/>
              </w:rPr>
              <w:t>Claim Type</w:t>
            </w:r>
          </w:p>
        </w:tc>
        <w:tc>
          <w:tcPr>
            <w:tcW w:w="2160" w:type="dxa"/>
            <w:tcBorders>
              <w:top w:val="single" w:sz="4" w:space="0" w:color="000000"/>
              <w:left w:val="single" w:sz="4" w:space="0" w:color="FFFFFF"/>
              <w:bottom w:val="single" w:sz="6" w:space="0" w:color="000000"/>
              <w:right w:val="single" w:sz="4" w:space="0" w:color="FFFFFF"/>
            </w:tcBorders>
            <w:shd w:val="clear" w:color="auto" w:fill="auto"/>
            <w:tcMar>
              <w:top w:w="80" w:type="dxa"/>
              <w:left w:w="72" w:type="dxa"/>
              <w:bottom w:w="80" w:type="dxa"/>
              <w:right w:w="72" w:type="dxa"/>
            </w:tcMar>
            <w:vAlign w:val="bottom"/>
          </w:tcPr>
          <w:p w14:paraId="565A79B8" w14:textId="77777777" w:rsidR="00752E25" w:rsidRPr="00115980" w:rsidRDefault="00752E25">
            <w:pPr>
              <w:pStyle w:val="TableHead"/>
            </w:pPr>
            <w:r w:rsidRPr="00115980">
              <w:rPr>
                <w:sz w:val="18"/>
                <w:szCs w:val="18"/>
              </w:rPr>
              <w:t>Subject Matter</w:t>
            </w:r>
          </w:p>
        </w:tc>
        <w:tc>
          <w:tcPr>
            <w:tcW w:w="1500" w:type="dxa"/>
            <w:tcBorders>
              <w:top w:val="single" w:sz="4" w:space="0" w:color="000000"/>
              <w:left w:val="single" w:sz="4" w:space="0" w:color="FFFFFF"/>
              <w:bottom w:val="single" w:sz="6" w:space="0" w:color="000000"/>
              <w:right w:val="single" w:sz="4" w:space="0" w:color="FFFFFF"/>
            </w:tcBorders>
            <w:shd w:val="clear" w:color="auto" w:fill="auto"/>
            <w:tcMar>
              <w:top w:w="80" w:type="dxa"/>
              <w:left w:w="72" w:type="dxa"/>
              <w:bottom w:w="80" w:type="dxa"/>
              <w:right w:w="72" w:type="dxa"/>
            </w:tcMar>
            <w:vAlign w:val="bottom"/>
          </w:tcPr>
          <w:p w14:paraId="67FC686D" w14:textId="77777777" w:rsidR="00752E25" w:rsidRPr="00115980" w:rsidRDefault="00752E25">
            <w:pPr>
              <w:pStyle w:val="TableHead"/>
            </w:pPr>
            <w:r w:rsidRPr="00115980">
              <w:rPr>
                <w:sz w:val="18"/>
                <w:szCs w:val="18"/>
              </w:rPr>
              <w:t>Patentability</w:t>
            </w:r>
          </w:p>
        </w:tc>
        <w:tc>
          <w:tcPr>
            <w:tcW w:w="2160" w:type="dxa"/>
            <w:tcBorders>
              <w:top w:val="single" w:sz="4" w:space="0" w:color="000000"/>
              <w:left w:val="single" w:sz="4" w:space="0" w:color="FFFFFF"/>
              <w:bottom w:val="single" w:sz="6" w:space="0" w:color="000000"/>
              <w:right w:val="single" w:sz="4" w:space="0" w:color="000000"/>
            </w:tcBorders>
            <w:shd w:val="clear" w:color="auto" w:fill="auto"/>
            <w:tcMar>
              <w:top w:w="80" w:type="dxa"/>
              <w:left w:w="72" w:type="dxa"/>
              <w:bottom w:w="80" w:type="dxa"/>
              <w:right w:w="72" w:type="dxa"/>
            </w:tcMar>
            <w:vAlign w:val="bottom"/>
          </w:tcPr>
          <w:p w14:paraId="593EFC9B" w14:textId="77777777" w:rsidR="00752E25" w:rsidRPr="00115980" w:rsidRDefault="00752E25">
            <w:pPr>
              <w:pStyle w:val="TableHead"/>
            </w:pPr>
            <w:r w:rsidRPr="00115980">
              <w:rPr>
                <w:sz w:val="18"/>
                <w:szCs w:val="18"/>
              </w:rPr>
              <w:t>Remarks</w:t>
            </w:r>
          </w:p>
        </w:tc>
      </w:tr>
      <w:tr w:rsidR="00752E25" w:rsidRPr="00115980" w14:paraId="05CBFCD8" w14:textId="77777777">
        <w:trPr>
          <w:trHeight w:val="201"/>
        </w:trPr>
        <w:tc>
          <w:tcPr>
            <w:tcW w:w="114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6A7D0E44" w14:textId="77777777" w:rsidR="00752E25" w:rsidRPr="00115980" w:rsidRDefault="00752E25">
            <w:pPr>
              <w:spacing w:line="220" w:lineRule="atLeast"/>
              <w:ind w:firstLine="0"/>
              <w:rPr>
                <w:sz w:val="20"/>
                <w:szCs w:val="20"/>
              </w:rPr>
            </w:pPr>
            <w:r w:rsidRPr="00115980">
              <w:rPr>
                <w:rFonts w:cs="NewBaskerville-Bold"/>
                <w:b/>
                <w:bCs/>
                <w:sz w:val="18"/>
                <w:szCs w:val="18"/>
              </w:rPr>
              <w:t>Product</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5A992EC7" w14:textId="77777777" w:rsidR="00752E25" w:rsidRPr="00115980" w:rsidRDefault="00752E25">
            <w:pPr>
              <w:spacing w:line="220" w:lineRule="atLeast"/>
              <w:ind w:firstLine="0"/>
              <w:rPr>
                <w:sz w:val="20"/>
                <w:szCs w:val="20"/>
              </w:rPr>
            </w:pPr>
            <w:r w:rsidRPr="00115980">
              <w:rPr>
                <w:sz w:val="18"/>
                <w:szCs w:val="18"/>
              </w:rPr>
              <w:t>Microorganisms</w:t>
            </w:r>
          </w:p>
        </w:tc>
        <w:tc>
          <w:tcPr>
            <w:tcW w:w="15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41A46D99" w14:textId="77777777" w:rsidR="00752E25" w:rsidRPr="00115980" w:rsidRDefault="00752E25">
            <w:pPr>
              <w:spacing w:line="220" w:lineRule="atLeast"/>
              <w:ind w:firstLine="0"/>
              <w:rPr>
                <w:sz w:val="20"/>
                <w:szCs w:val="20"/>
              </w:rPr>
            </w:pPr>
            <w:r w:rsidRPr="00115980">
              <w:rPr>
                <w:sz w:val="18"/>
                <w:szCs w:val="18"/>
              </w:rPr>
              <w:t>Patentable</w:t>
            </w:r>
          </w:p>
        </w:tc>
        <w:tc>
          <w:tcPr>
            <w:tcW w:w="216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5C0D503C" w14:textId="77777777" w:rsidR="00752E25" w:rsidRPr="00115980" w:rsidRDefault="00752E25">
            <w:pPr>
              <w:spacing w:line="220" w:lineRule="atLeast"/>
              <w:ind w:firstLine="0"/>
              <w:rPr>
                <w:sz w:val="20"/>
                <w:szCs w:val="20"/>
              </w:rPr>
            </w:pPr>
            <w:r w:rsidRPr="00115980">
              <w:rPr>
                <w:sz w:val="18"/>
                <w:szCs w:val="18"/>
              </w:rPr>
              <w:t>N/A</w:t>
            </w:r>
          </w:p>
        </w:tc>
      </w:tr>
      <w:tr w:rsidR="00752E25" w:rsidRPr="00115980" w14:paraId="56131194" w14:textId="77777777">
        <w:trPr>
          <w:trHeight w:val="197"/>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7DAFA549"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5664D1E9" w14:textId="77777777" w:rsidR="00752E25" w:rsidRPr="00115980" w:rsidRDefault="00752E25">
            <w:pPr>
              <w:spacing w:line="220" w:lineRule="atLeast"/>
              <w:ind w:firstLine="0"/>
              <w:rPr>
                <w:sz w:val="20"/>
                <w:szCs w:val="20"/>
              </w:rPr>
            </w:pPr>
            <w:r w:rsidRPr="00115980">
              <w:rPr>
                <w:sz w:val="18"/>
                <w:szCs w:val="18"/>
              </w:rPr>
              <w:t>Animal/plant cells</w:t>
            </w:r>
          </w:p>
        </w:tc>
        <w:tc>
          <w:tcPr>
            <w:tcW w:w="1500" w:type="dxa"/>
            <w:vMerge/>
            <w:tcBorders>
              <w:top w:val="single" w:sz="4" w:space="0" w:color="000000"/>
              <w:left w:val="single" w:sz="4" w:space="0" w:color="000000"/>
              <w:bottom w:val="single" w:sz="4" w:space="0" w:color="000000"/>
              <w:right w:val="single" w:sz="4" w:space="0" w:color="000000"/>
            </w:tcBorders>
            <w:shd w:val="clear" w:color="auto" w:fill="auto"/>
          </w:tcPr>
          <w:p w14:paraId="74D5C32A"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vMerge/>
            <w:tcBorders>
              <w:top w:val="single" w:sz="4" w:space="0" w:color="000000"/>
              <w:left w:val="single" w:sz="4" w:space="0" w:color="000000"/>
              <w:bottom w:val="single" w:sz="4" w:space="0" w:color="000000"/>
              <w:right w:val="single" w:sz="4" w:space="0" w:color="000000"/>
            </w:tcBorders>
            <w:shd w:val="clear" w:color="auto" w:fill="auto"/>
          </w:tcPr>
          <w:p w14:paraId="47AD1533" w14:textId="77777777" w:rsidR="00752E25" w:rsidRPr="00115980" w:rsidRDefault="00752E25">
            <w:pPr>
              <w:pStyle w:val="NoParagraphStyle"/>
              <w:spacing w:line="240" w:lineRule="auto"/>
              <w:textAlignment w:val="auto"/>
              <w:rPr>
                <w:rFonts w:ascii="Times New Roman" w:hAnsi="Times New Roman" w:cs="Times New Roman"/>
                <w:color w:val="auto"/>
              </w:rPr>
            </w:pPr>
          </w:p>
        </w:tc>
      </w:tr>
      <w:tr w:rsidR="00752E25" w:rsidRPr="00115980" w14:paraId="3E7CF03E" w14:textId="77777777">
        <w:trPr>
          <w:trHeight w:val="197"/>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3496429E"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038677CD" w14:textId="77777777" w:rsidR="00752E25" w:rsidRPr="00115980" w:rsidRDefault="00752E25">
            <w:pPr>
              <w:spacing w:line="220" w:lineRule="atLeast"/>
              <w:ind w:firstLine="0"/>
              <w:rPr>
                <w:sz w:val="20"/>
                <w:szCs w:val="20"/>
              </w:rPr>
            </w:pPr>
            <w:r w:rsidRPr="00115980">
              <w:rPr>
                <w:sz w:val="18"/>
                <w:szCs w:val="18"/>
              </w:rPr>
              <w:t>Vectors including recombinant vectors</w:t>
            </w:r>
          </w:p>
        </w:tc>
        <w:tc>
          <w:tcPr>
            <w:tcW w:w="1500" w:type="dxa"/>
            <w:vMerge/>
            <w:tcBorders>
              <w:top w:val="single" w:sz="4" w:space="0" w:color="000000"/>
              <w:left w:val="single" w:sz="4" w:space="0" w:color="000000"/>
              <w:bottom w:val="single" w:sz="4" w:space="0" w:color="000000"/>
              <w:right w:val="single" w:sz="4" w:space="0" w:color="000000"/>
            </w:tcBorders>
            <w:shd w:val="clear" w:color="auto" w:fill="auto"/>
          </w:tcPr>
          <w:p w14:paraId="58AEA320"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vMerge/>
            <w:tcBorders>
              <w:top w:val="single" w:sz="4" w:space="0" w:color="000000"/>
              <w:left w:val="single" w:sz="4" w:space="0" w:color="000000"/>
              <w:bottom w:val="single" w:sz="4" w:space="0" w:color="000000"/>
              <w:right w:val="single" w:sz="4" w:space="0" w:color="000000"/>
            </w:tcBorders>
            <w:shd w:val="clear" w:color="auto" w:fill="auto"/>
          </w:tcPr>
          <w:p w14:paraId="3EB4F08C" w14:textId="77777777" w:rsidR="00752E25" w:rsidRPr="00115980" w:rsidRDefault="00752E25">
            <w:pPr>
              <w:pStyle w:val="NoParagraphStyle"/>
              <w:spacing w:line="240" w:lineRule="auto"/>
              <w:textAlignment w:val="auto"/>
              <w:rPr>
                <w:rFonts w:ascii="Times New Roman" w:hAnsi="Times New Roman" w:cs="Times New Roman"/>
                <w:color w:val="auto"/>
              </w:rPr>
            </w:pPr>
          </w:p>
        </w:tc>
      </w:tr>
      <w:tr w:rsidR="00752E25" w:rsidRPr="00115980" w14:paraId="76296968" w14:textId="77777777">
        <w:trPr>
          <w:trHeight w:val="197"/>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5A195C01"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19EB7845" w14:textId="77777777" w:rsidR="00752E25" w:rsidRPr="00115980" w:rsidRDefault="00752E25">
            <w:pPr>
              <w:spacing w:line="220" w:lineRule="atLeast"/>
              <w:ind w:firstLine="0"/>
              <w:rPr>
                <w:sz w:val="20"/>
                <w:szCs w:val="20"/>
              </w:rPr>
            </w:pPr>
            <w:r w:rsidRPr="00115980">
              <w:rPr>
                <w:sz w:val="18"/>
                <w:szCs w:val="18"/>
              </w:rPr>
              <w:t>Antibodies including monoclonal antibodies</w:t>
            </w:r>
          </w:p>
        </w:tc>
        <w:tc>
          <w:tcPr>
            <w:tcW w:w="1500" w:type="dxa"/>
            <w:vMerge/>
            <w:tcBorders>
              <w:top w:val="single" w:sz="4" w:space="0" w:color="000000"/>
              <w:left w:val="single" w:sz="4" w:space="0" w:color="000000"/>
              <w:bottom w:val="single" w:sz="4" w:space="0" w:color="000000"/>
              <w:right w:val="single" w:sz="4" w:space="0" w:color="000000"/>
            </w:tcBorders>
            <w:shd w:val="clear" w:color="auto" w:fill="auto"/>
          </w:tcPr>
          <w:p w14:paraId="7971A3BD"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vMerge/>
            <w:tcBorders>
              <w:top w:val="single" w:sz="4" w:space="0" w:color="000000"/>
              <w:left w:val="single" w:sz="4" w:space="0" w:color="000000"/>
              <w:bottom w:val="single" w:sz="4" w:space="0" w:color="000000"/>
              <w:right w:val="single" w:sz="4" w:space="0" w:color="000000"/>
            </w:tcBorders>
            <w:shd w:val="clear" w:color="auto" w:fill="auto"/>
          </w:tcPr>
          <w:p w14:paraId="17A37E1A" w14:textId="77777777" w:rsidR="00752E25" w:rsidRPr="00115980" w:rsidRDefault="00752E25">
            <w:pPr>
              <w:pStyle w:val="NoParagraphStyle"/>
              <w:spacing w:line="240" w:lineRule="auto"/>
              <w:textAlignment w:val="auto"/>
              <w:rPr>
                <w:rFonts w:ascii="Times New Roman" w:hAnsi="Times New Roman" w:cs="Times New Roman"/>
                <w:color w:val="auto"/>
              </w:rPr>
            </w:pPr>
          </w:p>
        </w:tc>
      </w:tr>
      <w:tr w:rsidR="00752E25" w:rsidRPr="00115980" w14:paraId="324B5CCC" w14:textId="77777777">
        <w:trPr>
          <w:trHeight w:val="60"/>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2DBDC34D"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63FA3903" w14:textId="77777777" w:rsidR="00752E25" w:rsidRPr="00115980" w:rsidRDefault="00752E25">
            <w:pPr>
              <w:spacing w:line="220" w:lineRule="atLeast"/>
              <w:ind w:firstLine="0"/>
              <w:rPr>
                <w:sz w:val="20"/>
                <w:szCs w:val="20"/>
              </w:rPr>
            </w:pPr>
            <w:r w:rsidRPr="00115980">
              <w:rPr>
                <w:sz w:val="18"/>
                <w:szCs w:val="18"/>
              </w:rPr>
              <w:t>Genes or proteins defined by DNA or amino acid sequences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116A1257" w14:textId="77777777" w:rsidR="00752E25" w:rsidRPr="00115980" w:rsidRDefault="00752E25">
            <w:pPr>
              <w:spacing w:line="220" w:lineRule="atLeast"/>
              <w:ind w:firstLine="0"/>
              <w:rPr>
                <w:sz w:val="20"/>
                <w:szCs w:val="20"/>
              </w:rPr>
            </w:pPr>
            <w:r w:rsidRPr="00115980">
              <w:rPr>
                <w:sz w:val="18"/>
                <w:szCs w:val="18"/>
              </w:rPr>
              <w:t>Patentable</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2D4E5CD0" w14:textId="77777777" w:rsidR="00752E25" w:rsidRPr="00115980" w:rsidRDefault="00752E25">
            <w:pPr>
              <w:spacing w:line="220" w:lineRule="atLeast"/>
              <w:ind w:firstLine="0"/>
              <w:rPr>
                <w:sz w:val="20"/>
                <w:szCs w:val="20"/>
              </w:rPr>
            </w:pPr>
            <w:r w:rsidRPr="00115980">
              <w:rPr>
                <w:sz w:val="18"/>
                <w:szCs w:val="18"/>
              </w:rPr>
              <w:t>At least one utility should be disclosed</w:t>
            </w:r>
          </w:p>
        </w:tc>
      </w:tr>
      <w:tr w:rsidR="00752E25" w:rsidRPr="00115980" w14:paraId="49A3B617" w14:textId="77777777">
        <w:trPr>
          <w:trHeight w:val="60"/>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1033D1A8"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2EFEE1D0" w14:textId="77777777" w:rsidR="00752E25" w:rsidRPr="00115980" w:rsidRDefault="00752E25">
            <w:pPr>
              <w:spacing w:line="220" w:lineRule="atLeast"/>
              <w:ind w:firstLine="0"/>
              <w:rPr>
                <w:sz w:val="20"/>
                <w:szCs w:val="20"/>
              </w:rPr>
            </w:pPr>
            <w:r w:rsidRPr="00115980">
              <w:rPr>
                <w:sz w:val="18"/>
                <w:szCs w:val="18"/>
              </w:rPr>
              <w:t>Bioengineered plants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0329C2DB" w14:textId="77777777" w:rsidR="00752E25" w:rsidRPr="00115980" w:rsidRDefault="00752E25">
            <w:pPr>
              <w:spacing w:line="220" w:lineRule="atLeast"/>
              <w:ind w:firstLine="0"/>
              <w:rPr>
                <w:sz w:val="20"/>
                <w:szCs w:val="20"/>
              </w:rPr>
            </w:pPr>
            <w:r w:rsidRPr="00115980">
              <w:rPr>
                <w:sz w:val="18"/>
                <w:szCs w:val="18"/>
              </w:rPr>
              <w:t>Patentable</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7424FA50" w14:textId="77777777" w:rsidR="00752E25" w:rsidRPr="00115980" w:rsidRDefault="00752E25">
            <w:pPr>
              <w:spacing w:line="220" w:lineRule="atLeast"/>
              <w:ind w:firstLine="0"/>
              <w:rPr>
                <w:sz w:val="20"/>
                <w:szCs w:val="20"/>
              </w:rPr>
            </w:pPr>
            <w:r w:rsidRPr="00115980">
              <w:rPr>
                <w:sz w:val="18"/>
                <w:szCs w:val="18"/>
              </w:rPr>
              <w:t>Plant seeds may also be protected by filing plant variety right applications under the Seed Industry Act</w:t>
            </w:r>
          </w:p>
        </w:tc>
      </w:tr>
      <w:tr w:rsidR="00752E25" w:rsidRPr="00115980" w14:paraId="671B3CAC" w14:textId="77777777">
        <w:trPr>
          <w:trHeight w:val="143"/>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288D77D5"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563AFA4C" w14:textId="77777777" w:rsidR="00752E25" w:rsidRPr="00115980" w:rsidRDefault="00752E25">
            <w:pPr>
              <w:spacing w:line="220" w:lineRule="atLeast"/>
              <w:ind w:firstLine="0"/>
              <w:rPr>
                <w:sz w:val="20"/>
                <w:szCs w:val="20"/>
              </w:rPr>
            </w:pPr>
            <w:r w:rsidRPr="00115980">
              <w:rPr>
                <w:sz w:val="18"/>
                <w:szCs w:val="18"/>
              </w:rPr>
              <w:t>Bioengineered animals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2FA1203C" w14:textId="77777777" w:rsidR="00752E25" w:rsidRPr="00115980" w:rsidRDefault="00752E25">
            <w:pPr>
              <w:spacing w:line="220" w:lineRule="atLeast"/>
              <w:ind w:firstLine="0"/>
              <w:rPr>
                <w:sz w:val="20"/>
                <w:szCs w:val="20"/>
              </w:rPr>
            </w:pPr>
            <w:r w:rsidRPr="00115980">
              <w:rPr>
                <w:sz w:val="18"/>
                <w:szCs w:val="18"/>
              </w:rPr>
              <w:t>Patentable</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535E637B" w14:textId="77777777" w:rsidR="00752E25" w:rsidRPr="00115980" w:rsidRDefault="00752E25">
            <w:pPr>
              <w:spacing w:line="220" w:lineRule="atLeast"/>
              <w:ind w:firstLine="0"/>
              <w:rPr>
                <w:sz w:val="20"/>
                <w:szCs w:val="20"/>
              </w:rPr>
            </w:pPr>
            <w:r w:rsidRPr="00115980">
              <w:rPr>
                <w:sz w:val="18"/>
                <w:szCs w:val="18"/>
              </w:rPr>
              <w:t>Excludes human beings</w:t>
            </w:r>
          </w:p>
        </w:tc>
      </w:tr>
      <w:tr w:rsidR="00752E25" w:rsidRPr="00115980" w14:paraId="48223D9D" w14:textId="77777777">
        <w:trPr>
          <w:trHeight w:val="143"/>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1AF38E45"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0CA5A33E" w14:textId="77777777" w:rsidR="00752E25" w:rsidRPr="00115980" w:rsidRDefault="00752E25">
            <w:pPr>
              <w:spacing w:line="220" w:lineRule="atLeast"/>
              <w:ind w:firstLine="0"/>
              <w:rPr>
                <w:sz w:val="20"/>
                <w:szCs w:val="20"/>
              </w:rPr>
            </w:pPr>
            <w:r w:rsidRPr="00115980">
              <w:rPr>
                <w:sz w:val="18"/>
                <w:szCs w:val="18"/>
              </w:rPr>
              <w:t>Embryonic stem cells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49744183" w14:textId="77777777" w:rsidR="00752E25" w:rsidRPr="00115980" w:rsidRDefault="00752E25">
            <w:pPr>
              <w:spacing w:line="220" w:lineRule="atLeast"/>
              <w:ind w:firstLine="0"/>
              <w:rPr>
                <w:sz w:val="20"/>
                <w:szCs w:val="20"/>
              </w:rPr>
            </w:pPr>
            <w:r w:rsidRPr="00115980">
              <w:rPr>
                <w:sz w:val="18"/>
                <w:szCs w:val="18"/>
              </w:rPr>
              <w:t>Unresolved</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0C021D14" w14:textId="77777777" w:rsidR="00752E25" w:rsidRPr="00115980" w:rsidRDefault="00752E25">
            <w:pPr>
              <w:spacing w:line="220" w:lineRule="atLeast"/>
              <w:ind w:firstLine="0"/>
              <w:rPr>
                <w:sz w:val="20"/>
                <w:szCs w:val="20"/>
              </w:rPr>
            </w:pPr>
            <w:r w:rsidRPr="00115980">
              <w:rPr>
                <w:sz w:val="18"/>
                <w:szCs w:val="18"/>
              </w:rPr>
              <w:t>N/A</w:t>
            </w:r>
          </w:p>
        </w:tc>
      </w:tr>
      <w:tr w:rsidR="00752E25" w:rsidRPr="00115980" w14:paraId="340D5491" w14:textId="77777777">
        <w:trPr>
          <w:trHeight w:val="143"/>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64A29676"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4C731252" w14:textId="77777777" w:rsidR="00752E25" w:rsidRPr="00115980" w:rsidRDefault="00752E25">
            <w:pPr>
              <w:spacing w:line="220" w:lineRule="atLeast"/>
              <w:ind w:firstLine="0"/>
              <w:rPr>
                <w:sz w:val="20"/>
                <w:szCs w:val="20"/>
              </w:rPr>
            </w:pPr>
            <w:r w:rsidRPr="00115980">
              <w:rPr>
                <w:sz w:val="18"/>
                <w:szCs w:val="18"/>
              </w:rPr>
              <w:t>Adult stem cells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7592AB61" w14:textId="77777777" w:rsidR="00752E25" w:rsidRPr="00115980" w:rsidRDefault="00752E25">
            <w:pPr>
              <w:spacing w:line="220" w:lineRule="atLeast"/>
              <w:ind w:firstLine="0"/>
              <w:rPr>
                <w:sz w:val="20"/>
                <w:szCs w:val="20"/>
              </w:rPr>
            </w:pPr>
            <w:r w:rsidRPr="00115980">
              <w:rPr>
                <w:sz w:val="18"/>
                <w:szCs w:val="18"/>
              </w:rPr>
              <w:t>Patentable</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16C58F0B" w14:textId="77777777" w:rsidR="00752E25" w:rsidRPr="00115980" w:rsidRDefault="00752E25">
            <w:pPr>
              <w:spacing w:line="220" w:lineRule="atLeast"/>
              <w:ind w:firstLine="0"/>
              <w:rPr>
                <w:sz w:val="20"/>
                <w:szCs w:val="20"/>
              </w:rPr>
            </w:pPr>
            <w:r w:rsidRPr="00115980">
              <w:rPr>
                <w:sz w:val="18"/>
                <w:szCs w:val="18"/>
              </w:rPr>
              <w:t>Excludes adult stem cells obtained artificially by injuring humans</w:t>
            </w:r>
          </w:p>
        </w:tc>
      </w:tr>
      <w:tr w:rsidR="00752E25" w:rsidRPr="00115980" w14:paraId="7E8020AD" w14:textId="77777777">
        <w:trPr>
          <w:trHeight w:val="143"/>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7E7201A8"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76B69911" w14:textId="77777777" w:rsidR="00752E25" w:rsidRPr="00115980" w:rsidRDefault="00752E25">
            <w:pPr>
              <w:spacing w:line="220" w:lineRule="atLeast"/>
              <w:ind w:firstLine="0"/>
              <w:rPr>
                <w:sz w:val="20"/>
                <w:szCs w:val="20"/>
              </w:rPr>
            </w:pPr>
            <w:r w:rsidRPr="00115980">
              <w:rPr>
                <w:sz w:val="18"/>
                <w:szCs w:val="18"/>
              </w:rPr>
              <w:t>Transformants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561B17F0" w14:textId="77777777" w:rsidR="00752E25" w:rsidRPr="00115980" w:rsidRDefault="00752E25">
            <w:pPr>
              <w:spacing w:line="220" w:lineRule="atLeast"/>
              <w:ind w:firstLine="0"/>
              <w:rPr>
                <w:sz w:val="20"/>
                <w:szCs w:val="20"/>
              </w:rPr>
            </w:pPr>
            <w:r w:rsidRPr="00115980">
              <w:rPr>
                <w:sz w:val="18"/>
                <w:szCs w:val="18"/>
              </w:rPr>
              <w:t>Patentable</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68722847" w14:textId="77777777" w:rsidR="00752E25" w:rsidRPr="00115980" w:rsidRDefault="00752E25">
            <w:pPr>
              <w:spacing w:line="220" w:lineRule="atLeast"/>
              <w:ind w:firstLine="0"/>
              <w:rPr>
                <w:sz w:val="20"/>
                <w:szCs w:val="20"/>
              </w:rPr>
            </w:pPr>
            <w:r w:rsidRPr="00115980">
              <w:rPr>
                <w:sz w:val="18"/>
                <w:szCs w:val="18"/>
              </w:rPr>
              <w:t>Excludes human beings</w:t>
            </w:r>
          </w:p>
        </w:tc>
      </w:tr>
      <w:tr w:rsidR="00752E25" w:rsidRPr="00115980" w14:paraId="0FA0CD6A" w14:textId="77777777">
        <w:trPr>
          <w:trHeight w:val="60"/>
        </w:trPr>
        <w:tc>
          <w:tcPr>
            <w:tcW w:w="114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14729AD7" w14:textId="77777777" w:rsidR="00752E25" w:rsidRPr="00115980" w:rsidRDefault="00752E25">
            <w:pPr>
              <w:spacing w:line="220" w:lineRule="atLeast"/>
              <w:ind w:firstLine="0"/>
              <w:rPr>
                <w:sz w:val="20"/>
                <w:szCs w:val="20"/>
              </w:rPr>
            </w:pPr>
            <w:r w:rsidRPr="00115980">
              <w:rPr>
                <w:rFonts w:cs="NewBaskerville-Bold"/>
                <w:b/>
                <w:bCs/>
                <w:sz w:val="18"/>
                <w:szCs w:val="18"/>
              </w:rPr>
              <w:t>Process or Method</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0BAAE5AD" w14:textId="77777777" w:rsidR="00752E25" w:rsidRPr="00115980" w:rsidRDefault="00752E25">
            <w:pPr>
              <w:spacing w:line="220" w:lineRule="atLeast"/>
              <w:ind w:firstLine="0"/>
              <w:rPr>
                <w:sz w:val="20"/>
                <w:szCs w:val="20"/>
              </w:rPr>
            </w:pPr>
            <w:r w:rsidRPr="00115980">
              <w:rPr>
                <w:sz w:val="18"/>
                <w:szCs w:val="18"/>
              </w:rPr>
              <w:t>Surgical/therapeutic methods including gene therapy</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3639E0D6" w14:textId="77777777" w:rsidR="00752E25" w:rsidRPr="00115980" w:rsidRDefault="00752E25">
            <w:pPr>
              <w:spacing w:line="220" w:lineRule="atLeast"/>
              <w:ind w:firstLine="0"/>
              <w:rPr>
                <w:sz w:val="20"/>
                <w:szCs w:val="20"/>
              </w:rPr>
            </w:pPr>
            <w:r w:rsidRPr="00115980">
              <w:rPr>
                <w:sz w:val="18"/>
                <w:szCs w:val="18"/>
              </w:rPr>
              <w:t>Unpatentable if applied to a human being</w:t>
            </w:r>
          </w:p>
        </w:tc>
        <w:tc>
          <w:tcPr>
            <w:tcW w:w="216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6573340D" w14:textId="77777777" w:rsidR="00752E25" w:rsidRPr="00115980" w:rsidRDefault="00752E25">
            <w:pPr>
              <w:spacing w:line="220" w:lineRule="atLeast"/>
              <w:ind w:firstLine="0"/>
              <w:rPr>
                <w:sz w:val="20"/>
                <w:szCs w:val="20"/>
              </w:rPr>
            </w:pPr>
            <w:r w:rsidRPr="00115980">
              <w:rPr>
                <w:sz w:val="18"/>
                <w:szCs w:val="18"/>
              </w:rPr>
              <w:t>Recommended that claims be redrafted as pharmaceutical composition or formulation claims or disclaimer language that the method is intended for veterinary application, but not human beings, be added.</w:t>
            </w:r>
          </w:p>
        </w:tc>
      </w:tr>
      <w:tr w:rsidR="00752E25" w:rsidRPr="00115980" w14:paraId="4A73C94C" w14:textId="77777777">
        <w:trPr>
          <w:trHeight w:val="60"/>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26F50432"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20AEBDD8" w14:textId="77777777" w:rsidR="00752E25" w:rsidRPr="00115980" w:rsidRDefault="00752E25">
            <w:pPr>
              <w:spacing w:line="220" w:lineRule="atLeast"/>
              <w:ind w:firstLine="0"/>
              <w:rPr>
                <w:sz w:val="20"/>
                <w:szCs w:val="20"/>
              </w:rPr>
            </w:pPr>
            <w:r w:rsidRPr="00115980">
              <w:rPr>
                <w:sz w:val="18"/>
                <w:szCs w:val="18"/>
              </w:rPr>
              <w:t>Diagnostic methods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6AB5CC7A" w14:textId="77777777" w:rsidR="00752E25" w:rsidRPr="00115980" w:rsidRDefault="00752E25">
            <w:pPr>
              <w:spacing w:line="220" w:lineRule="atLeast"/>
              <w:ind w:firstLine="0"/>
              <w:rPr>
                <w:sz w:val="20"/>
                <w:szCs w:val="20"/>
              </w:rPr>
            </w:pPr>
            <w:r w:rsidRPr="00115980">
              <w:rPr>
                <w:sz w:val="18"/>
                <w:szCs w:val="18"/>
              </w:rPr>
              <w:t>Patentable provided that the diagnosis does not involve “direct” contact with the human body or it does not involve any clinical judgment</w:t>
            </w:r>
          </w:p>
        </w:tc>
        <w:tc>
          <w:tcPr>
            <w:tcW w:w="2160" w:type="dxa"/>
            <w:vMerge/>
            <w:tcBorders>
              <w:top w:val="single" w:sz="4" w:space="0" w:color="000000"/>
              <w:left w:val="single" w:sz="4" w:space="0" w:color="000000"/>
              <w:bottom w:val="single" w:sz="4" w:space="0" w:color="000000"/>
              <w:right w:val="single" w:sz="4" w:space="0" w:color="000000"/>
            </w:tcBorders>
            <w:shd w:val="clear" w:color="auto" w:fill="auto"/>
          </w:tcPr>
          <w:p w14:paraId="5B724953" w14:textId="77777777" w:rsidR="00752E25" w:rsidRPr="00115980" w:rsidRDefault="00752E25">
            <w:pPr>
              <w:pStyle w:val="NoParagraphStyle"/>
              <w:spacing w:line="240" w:lineRule="auto"/>
              <w:textAlignment w:val="auto"/>
              <w:rPr>
                <w:rFonts w:ascii="Times New Roman" w:hAnsi="Times New Roman" w:cs="Times New Roman"/>
                <w:color w:val="auto"/>
              </w:rPr>
            </w:pPr>
          </w:p>
        </w:tc>
      </w:tr>
      <w:tr w:rsidR="00752E25" w:rsidRPr="00115980" w14:paraId="06DD4144" w14:textId="77777777">
        <w:trPr>
          <w:trHeight w:val="60"/>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56FE41C6"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732E289C" w14:textId="77777777" w:rsidR="00752E25" w:rsidRPr="00115980" w:rsidRDefault="00752E25">
            <w:pPr>
              <w:spacing w:line="220" w:lineRule="atLeast"/>
              <w:ind w:firstLine="0"/>
              <w:rPr>
                <w:sz w:val="20"/>
                <w:szCs w:val="20"/>
              </w:rPr>
            </w:pPr>
            <w:r w:rsidRPr="00115980">
              <w:rPr>
                <w:sz w:val="18"/>
                <w:szCs w:val="18"/>
              </w:rPr>
              <w:t>Processes for replicating human beings or processes for modifying the germ line genetic identity of human beings and products obtained by the same process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4CD8E726" w14:textId="77777777" w:rsidR="00752E25" w:rsidRPr="00115980" w:rsidRDefault="00752E25">
            <w:pPr>
              <w:spacing w:line="220" w:lineRule="atLeast"/>
              <w:ind w:firstLine="0"/>
              <w:rPr>
                <w:sz w:val="20"/>
                <w:szCs w:val="20"/>
              </w:rPr>
            </w:pPr>
            <w:r w:rsidRPr="00115980">
              <w:rPr>
                <w:sz w:val="18"/>
                <w:szCs w:val="18"/>
              </w:rPr>
              <w:t>Unpatentable</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38288E06" w14:textId="77777777" w:rsidR="00752E25" w:rsidRPr="00115980" w:rsidRDefault="00752E25">
            <w:pPr>
              <w:spacing w:line="220" w:lineRule="atLeast"/>
              <w:ind w:firstLine="0"/>
              <w:rPr>
                <w:sz w:val="20"/>
                <w:szCs w:val="20"/>
              </w:rPr>
            </w:pPr>
            <w:r w:rsidRPr="00115980">
              <w:rPr>
                <w:sz w:val="18"/>
                <w:szCs w:val="18"/>
              </w:rPr>
              <w:t>N/A</w:t>
            </w:r>
          </w:p>
        </w:tc>
      </w:tr>
      <w:tr w:rsidR="00752E25" w:rsidRPr="00115980" w14:paraId="292FDEB3" w14:textId="77777777">
        <w:trPr>
          <w:trHeight w:val="141"/>
        </w:trPr>
        <w:tc>
          <w:tcPr>
            <w:tcW w:w="114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711D934F" w14:textId="77777777" w:rsidR="00752E25" w:rsidRPr="00115980" w:rsidRDefault="00752E25">
            <w:pPr>
              <w:spacing w:line="220" w:lineRule="atLeast"/>
              <w:ind w:firstLine="0"/>
              <w:rPr>
                <w:sz w:val="20"/>
                <w:szCs w:val="20"/>
              </w:rPr>
            </w:pPr>
            <w:r w:rsidRPr="00115980">
              <w:rPr>
                <w:rFonts w:cs="NewBaskerville-Bold"/>
                <w:b/>
                <w:bCs/>
                <w:sz w:val="18"/>
                <w:szCs w:val="18"/>
              </w:rPr>
              <w:t>Others</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16A93417" w14:textId="77777777" w:rsidR="00752E25" w:rsidRPr="00115980" w:rsidRDefault="00752E25">
            <w:pPr>
              <w:spacing w:line="220" w:lineRule="atLeast"/>
              <w:ind w:firstLine="0"/>
              <w:rPr>
                <w:sz w:val="20"/>
                <w:szCs w:val="20"/>
              </w:rPr>
            </w:pPr>
            <w:r w:rsidRPr="00115980">
              <w:rPr>
                <w:sz w:val="18"/>
                <w:szCs w:val="18"/>
              </w:rPr>
              <w:t>Software-related inventions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74400987" w14:textId="77777777" w:rsidR="00752E25" w:rsidRPr="00115980" w:rsidRDefault="00752E25">
            <w:pPr>
              <w:spacing w:line="220" w:lineRule="atLeast"/>
              <w:ind w:firstLine="0"/>
              <w:rPr>
                <w:sz w:val="20"/>
                <w:szCs w:val="20"/>
              </w:rPr>
            </w:pPr>
            <w:r w:rsidRPr="00115980">
              <w:rPr>
                <w:sz w:val="18"/>
                <w:szCs w:val="18"/>
              </w:rPr>
              <w:t>Patentable if claimed as a process, apparatus/system, or recording medium</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57BA8291" w14:textId="77777777" w:rsidR="00752E25" w:rsidRPr="00115980" w:rsidRDefault="00752E25">
            <w:pPr>
              <w:spacing w:line="220" w:lineRule="atLeast"/>
              <w:ind w:firstLine="0"/>
              <w:rPr>
                <w:sz w:val="20"/>
                <w:szCs w:val="20"/>
              </w:rPr>
            </w:pPr>
            <w:r w:rsidRPr="00115980">
              <w:rPr>
                <w:sz w:val="18"/>
                <w:szCs w:val="18"/>
              </w:rPr>
              <w:t>Computer programs, program products, or data signals are not patentable</w:t>
            </w:r>
          </w:p>
        </w:tc>
      </w:tr>
      <w:tr w:rsidR="00752E25" w:rsidRPr="00115980" w14:paraId="12478901" w14:textId="77777777">
        <w:trPr>
          <w:trHeight w:val="140"/>
        </w:trPr>
        <w:tc>
          <w:tcPr>
            <w:tcW w:w="1140" w:type="dxa"/>
            <w:vMerge/>
            <w:tcBorders>
              <w:top w:val="single" w:sz="4" w:space="0" w:color="000000"/>
              <w:left w:val="single" w:sz="4" w:space="0" w:color="000000"/>
              <w:bottom w:val="single" w:sz="4" w:space="0" w:color="000000"/>
              <w:right w:val="single" w:sz="4" w:space="0" w:color="000000"/>
            </w:tcBorders>
            <w:shd w:val="clear" w:color="auto" w:fill="auto"/>
          </w:tcPr>
          <w:p w14:paraId="2C7F53B1" w14:textId="77777777" w:rsidR="00752E25" w:rsidRPr="00115980" w:rsidRDefault="00752E25">
            <w:pPr>
              <w:pStyle w:val="NoParagraphStyle"/>
              <w:spacing w:line="240" w:lineRule="auto"/>
              <w:textAlignment w:val="auto"/>
              <w:rPr>
                <w:rFonts w:ascii="Times New Roman" w:hAnsi="Times New Roman" w:cs="Times New Roman"/>
                <w:color w:val="auto"/>
              </w:rPr>
            </w:pP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2BBA7EE6" w14:textId="77777777" w:rsidR="00752E25" w:rsidRPr="00115980" w:rsidRDefault="00752E25">
            <w:pPr>
              <w:spacing w:line="220" w:lineRule="atLeast"/>
              <w:ind w:firstLine="0"/>
              <w:rPr>
                <w:sz w:val="20"/>
                <w:szCs w:val="20"/>
              </w:rPr>
            </w:pPr>
            <w:r w:rsidRPr="00115980">
              <w:rPr>
                <w:sz w:val="18"/>
                <w:szCs w:val="18"/>
              </w:rPr>
              <w:t>Business methods</w:t>
            </w:r>
          </w:p>
        </w:tc>
        <w:tc>
          <w:tcPr>
            <w:tcW w:w="150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2CA30FFA" w14:textId="77777777" w:rsidR="00752E25" w:rsidRPr="00115980" w:rsidRDefault="00752E25">
            <w:pPr>
              <w:spacing w:line="220" w:lineRule="atLeast"/>
              <w:ind w:firstLine="0"/>
              <w:rPr>
                <w:sz w:val="20"/>
                <w:szCs w:val="20"/>
              </w:rPr>
            </w:pPr>
            <w:r w:rsidRPr="00115980">
              <w:rPr>
                <w:sz w:val="18"/>
                <w:szCs w:val="18"/>
              </w:rPr>
              <w:t>Patentable if the methods are implemented by a computer and have industrial applicability</w:t>
            </w:r>
          </w:p>
        </w:tc>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72" w:type="dxa"/>
              <w:bottom w:w="100" w:type="dxa"/>
              <w:right w:w="72" w:type="dxa"/>
            </w:tcMar>
          </w:tcPr>
          <w:p w14:paraId="06A8BC2C" w14:textId="77777777" w:rsidR="00752E25" w:rsidRPr="00115980" w:rsidRDefault="00752E25">
            <w:pPr>
              <w:spacing w:line="220" w:lineRule="atLeast"/>
              <w:ind w:firstLine="0"/>
              <w:rPr>
                <w:sz w:val="20"/>
                <w:szCs w:val="20"/>
              </w:rPr>
            </w:pPr>
            <w:r w:rsidRPr="00115980">
              <w:rPr>
                <w:spacing w:val="-4"/>
                <w:sz w:val="18"/>
                <w:szCs w:val="18"/>
              </w:rPr>
              <w:t>Pure business methods (with no online implementation steps) or business methods having a combination of online steps and off-line (i.e., human acts) steps, abstract ideas, and mathematical algorithms are not patentable</w:t>
            </w:r>
          </w:p>
        </w:tc>
      </w:tr>
    </w:tbl>
    <w:p w14:paraId="5D5F947F" w14:textId="77777777" w:rsidR="00752E25" w:rsidRPr="00115980" w:rsidRDefault="00752E25" w:rsidP="00752E25">
      <w:pPr>
        <w:pStyle w:val="TableTitle"/>
      </w:pPr>
    </w:p>
    <w:p w14:paraId="36D0C1A0" w14:textId="77777777" w:rsidR="00752E25" w:rsidRPr="00115980" w:rsidRDefault="00752E25" w:rsidP="00752E25">
      <w:pPr>
        <w:pStyle w:val="Heading4"/>
      </w:pPr>
      <w:r w:rsidRPr="00115980">
        <w:t>b.</w:t>
      </w:r>
      <w:r w:rsidRPr="00115980">
        <w:tab/>
        <w:t>Utility/Industrial Applicability</w:t>
      </w:r>
    </w:p>
    <w:p w14:paraId="01A0E9C6" w14:textId="77777777" w:rsidR="00752E25" w:rsidRPr="00115980" w:rsidRDefault="00752E25" w:rsidP="00752E25">
      <w:r w:rsidRPr="00115980">
        <w:t>In South Korea, utility is characterized as the industrial applicability requirement.</w:t>
      </w:r>
      <w:r w:rsidRPr="00115980">
        <w:rPr>
          <w:rStyle w:val="FootnoteReference"/>
        </w:rPr>
        <w:footnoteReference w:id="12"/>
      </w:r>
      <w:r w:rsidRPr="00115980">
        <w:t xml:space="preserve"> Most patent applications that fail to meet this requirement involve incomplete inventions or inventions claiming unpatentable subject matter, such as those that violate the laws of nature.</w:t>
      </w:r>
      <w:r w:rsidRPr="00115980">
        <w:rPr>
          <w:rStyle w:val="FootnoteReference"/>
        </w:rPr>
        <w:footnoteReference w:id="13"/>
      </w:r>
      <w:r w:rsidRPr="00115980">
        <w:t xml:space="preserve"> Further, </w:t>
      </w:r>
      <w:r w:rsidRPr="00115980">
        <w:lastRenderedPageBreak/>
        <w:t>methods of treating or preventing human diseases are considered therapeutic in nature, and thus, are interpreted to be lacking industrial applicability, as are diagnostic methods that involve direct human contact or any clinical judgment.</w:t>
      </w:r>
      <w:r w:rsidRPr="00115980">
        <w:rPr>
          <w:rStyle w:val="FootnoteReference"/>
        </w:rPr>
        <w:footnoteReference w:id="14"/>
      </w:r>
    </w:p>
    <w:p w14:paraId="153511D2" w14:textId="77777777" w:rsidR="00752E25" w:rsidRPr="00115980" w:rsidRDefault="00752E25" w:rsidP="00752E25">
      <w:pPr>
        <w:pStyle w:val="Heading4"/>
      </w:pPr>
      <w:r w:rsidRPr="00115980">
        <w:t>c.</w:t>
      </w:r>
      <w:r w:rsidRPr="00115980">
        <w:tab/>
        <w:t>Novelty</w:t>
      </w:r>
    </w:p>
    <w:p w14:paraId="2FF9644E" w14:textId="77777777" w:rsidR="00752E25" w:rsidRPr="00115980" w:rsidRDefault="00752E25" w:rsidP="00752E25">
      <w:r w:rsidRPr="00115980">
        <w:t>In principle, South Korea is an absolute novelty country that does not allow public disclosure of an invention anywhere in the world before the filing of a patent application. Novelty is destroyed when:</w:t>
      </w:r>
    </w:p>
    <w:p w14:paraId="0D89E077" w14:textId="77777777" w:rsidR="00752E25" w:rsidRPr="00115980" w:rsidRDefault="00752E25" w:rsidP="00752E25">
      <w:pPr>
        <w:pStyle w:val="ListNumber"/>
      </w:pPr>
      <w:r w:rsidRPr="00115980">
        <w:t>(1)</w:t>
      </w:r>
      <w:r w:rsidRPr="00115980">
        <w:tab/>
        <w:t>an invention was publicly known or practiced in South Korea or a foreign country prior to the filing date of the patent application; or</w:t>
      </w:r>
    </w:p>
    <w:p w14:paraId="7D74E212" w14:textId="77777777" w:rsidR="00752E25" w:rsidRPr="00115980" w:rsidRDefault="00752E25" w:rsidP="00752E25">
      <w:pPr>
        <w:pStyle w:val="ListNumber"/>
      </w:pPr>
      <w:r w:rsidRPr="00115980">
        <w:t>(2)</w:t>
      </w:r>
      <w:r w:rsidRPr="00115980">
        <w:tab/>
        <w:t>an invention was described in a publication distributed in South Korea or a foreign country, or was made publicly available through telecommunication lines, as prescribed by the Enforcement Decree of the KPA, prior to the filing date of the patent application.</w:t>
      </w:r>
      <w:r w:rsidRPr="00115980">
        <w:rPr>
          <w:rStyle w:val="FootnoteReference"/>
        </w:rPr>
        <w:footnoteReference w:id="15"/>
      </w:r>
    </w:p>
    <w:p w14:paraId="0811D4E0" w14:textId="77777777" w:rsidR="00752E25" w:rsidRPr="00115980" w:rsidRDefault="00752E25" w:rsidP="00752E25">
      <w:r w:rsidRPr="00115980">
        <w:t>Article 30(1) of the KPA provides a novelty grace period provision allowing an applicant to maintain the novelty of the invention if the patent application is filed within 12 months of the date when novelty was destroyed, per Article 29(1), and if there are circumstances that satisfy any of the following:</w:t>
      </w:r>
    </w:p>
    <w:p w14:paraId="2F2048B4" w14:textId="77777777" w:rsidR="00752E25" w:rsidRPr="00115980" w:rsidRDefault="00752E25" w:rsidP="00752E25">
      <w:pPr>
        <w:pStyle w:val="ListNumber"/>
      </w:pPr>
      <w:r w:rsidRPr="00115980">
        <w:t>(1)</w:t>
      </w:r>
      <w:r w:rsidRPr="00115980">
        <w:tab/>
        <w:t>a person with the right to obtain a patent causes the invention to fall under Article 29(1) (except for a laid open publication or patent registration publication in or outside of South Korea under a treaty or law); or</w:t>
      </w:r>
    </w:p>
    <w:p w14:paraId="0491E521" w14:textId="77777777" w:rsidR="00752E25" w:rsidRPr="00115980" w:rsidRDefault="00752E25" w:rsidP="00752E25">
      <w:pPr>
        <w:pStyle w:val="ListNumber"/>
      </w:pPr>
      <w:r w:rsidRPr="00115980">
        <w:t>(2)</w:t>
      </w:r>
      <w:r w:rsidRPr="00115980">
        <w:tab/>
        <w:t>the invention falls under Article 29(1) against the intentions of a person with the right to obtain a patent.</w:t>
      </w:r>
      <w:r w:rsidRPr="00115980">
        <w:rPr>
          <w:rStyle w:val="FootnoteReference"/>
        </w:rPr>
        <w:footnoteReference w:id="16"/>
      </w:r>
    </w:p>
    <w:p w14:paraId="6C0FDE41" w14:textId="77777777" w:rsidR="00752E25" w:rsidRPr="00115980" w:rsidRDefault="00752E25" w:rsidP="00752E25">
      <w:pPr>
        <w:pStyle w:val="Heading4"/>
      </w:pPr>
      <w:r w:rsidRPr="00115980">
        <w:t>d.</w:t>
      </w:r>
      <w:r w:rsidRPr="00115980">
        <w:tab/>
        <w:t>Nonobviousness/Inventive Step</w:t>
      </w:r>
    </w:p>
    <w:p w14:paraId="37CE5774" w14:textId="77777777" w:rsidR="00752E25" w:rsidRPr="00115980" w:rsidRDefault="00752E25" w:rsidP="00752E25">
      <w:r w:rsidRPr="00115980">
        <w:t>The inventiveness requirement stipulates that a patent cannot be granted if the invention could have been easily conceived from prior art by one of ordinary skill in the art.</w:t>
      </w:r>
      <w:r w:rsidRPr="00115980">
        <w:rPr>
          <w:rStyle w:val="FootnoteReference"/>
        </w:rPr>
        <w:footnoteReference w:id="17"/>
      </w:r>
      <w:r w:rsidRPr="00115980">
        <w:t xml:space="preserve"> In general, this determination is made in South Korea by comparing the objective, technical elements and resulting effects of the invention with those of the cited prior art.</w:t>
      </w:r>
    </w:p>
    <w:p w14:paraId="01FDD017" w14:textId="77777777" w:rsidR="00752E25" w:rsidRPr="00115980" w:rsidRDefault="00752E25" w:rsidP="00752E25">
      <w:pPr>
        <w:pStyle w:val="Heading4"/>
      </w:pPr>
      <w:r w:rsidRPr="00115980">
        <w:t>e.</w:t>
      </w:r>
      <w:r w:rsidRPr="00115980">
        <w:tab/>
        <w:t>Supporting Disclosure</w:t>
      </w:r>
    </w:p>
    <w:p w14:paraId="0124B8C2" w14:textId="77777777" w:rsidR="00752E25" w:rsidRPr="00115980" w:rsidRDefault="00752E25" w:rsidP="00752E25">
      <w:r w:rsidRPr="00115980">
        <w:lastRenderedPageBreak/>
        <w:t>Under the KPA, the written description of the specification should contain a detailed description of the invention such that it can be easily practiced by a person of ordinary skill in the art.</w:t>
      </w:r>
      <w:r w:rsidRPr="00115980">
        <w:rPr>
          <w:rStyle w:val="FootnoteReference"/>
        </w:rPr>
        <w:footnoteReference w:id="18"/>
      </w:r>
      <w:r w:rsidRPr="00115980">
        <w:t xml:space="preserve"> In addition, all claims must clearly and specifically describe the invention and must be fully supported by the written description. There is no best-mode requirement under the KPA.</w:t>
      </w:r>
      <w:r w:rsidRPr="00115980">
        <w:rPr>
          <w:rStyle w:val="FootnoteReference"/>
        </w:rPr>
        <w:footnoteReference w:id="19"/>
      </w:r>
    </w:p>
    <w:p w14:paraId="78D09902" w14:textId="77777777" w:rsidR="00752E25" w:rsidRPr="00115980" w:rsidRDefault="00752E25" w:rsidP="00752E25">
      <w:pPr>
        <w:pStyle w:val="Heading3"/>
      </w:pPr>
      <w:r w:rsidRPr="00115980">
        <w:t>2.</w:t>
      </w:r>
      <w:r w:rsidRPr="00115980">
        <w:tab/>
        <w:t>Types of Patents Available</w:t>
      </w:r>
    </w:p>
    <w:p w14:paraId="758ACAD8" w14:textId="77777777" w:rsidR="00752E25" w:rsidRPr="00115980" w:rsidRDefault="00752E25" w:rsidP="00752E25">
      <w:r w:rsidRPr="00115980">
        <w:t>In South Korea, protection is available for invention patents, utility models, and registered designs.</w:t>
      </w:r>
      <w:r w:rsidRPr="00115980">
        <w:rPr>
          <w:rStyle w:val="FootnoteReference"/>
        </w:rPr>
        <w:footnoteReference w:id="20"/>
      </w:r>
    </w:p>
    <w:p w14:paraId="6894A77E" w14:textId="77777777" w:rsidR="00752E25" w:rsidRPr="00115980" w:rsidRDefault="00752E25" w:rsidP="00752E25">
      <w:pPr>
        <w:pStyle w:val="Heading3"/>
      </w:pPr>
      <w:r w:rsidRPr="00115980">
        <w:t>3.</w:t>
      </w:r>
      <w:r w:rsidRPr="00115980">
        <w:tab/>
        <w:t>Territorial Scope</w:t>
      </w:r>
    </w:p>
    <w:p w14:paraId="29EA83B0" w14:textId="77777777" w:rsidR="00752E25" w:rsidRPr="00115980" w:rsidRDefault="00752E25" w:rsidP="00752E25">
      <w:pPr>
        <w:rPr>
          <w:spacing w:val="2"/>
        </w:rPr>
      </w:pPr>
      <w:r w:rsidRPr="00115980">
        <w:rPr>
          <w:spacing w:val="2"/>
        </w:rPr>
        <w:t>Direct infringement occurs when at least one of the activities described below in Section III.A.1 takes place within South Korea during the life of a patent. However, ships, airplanes, and vehicles themselves (and machinery, instruments, equipment or other accessories therein) that merely pass through South Korea are exempt from infringement.</w:t>
      </w:r>
      <w:r w:rsidRPr="00115980">
        <w:rPr>
          <w:rStyle w:val="FootnoteReference"/>
          <w:spacing w:val="2"/>
        </w:rPr>
        <w:footnoteReference w:id="21"/>
      </w:r>
    </w:p>
    <w:p w14:paraId="24CAB488" w14:textId="77777777" w:rsidR="00752E25" w:rsidRPr="00115980" w:rsidRDefault="00752E25" w:rsidP="00752E25">
      <w:pPr>
        <w:pStyle w:val="Heading3"/>
      </w:pPr>
      <w:r w:rsidRPr="00115980">
        <w:t>4.</w:t>
      </w:r>
      <w:r w:rsidRPr="00115980">
        <w:tab/>
        <w:t>Claim Construction</w:t>
      </w:r>
    </w:p>
    <w:p w14:paraId="0F7C84B9" w14:textId="61DC6D0B" w:rsidR="00752E25" w:rsidRPr="00115980" w:rsidRDefault="00752E25" w:rsidP="00752E25">
      <w:pPr>
        <w:rPr>
          <w:spacing w:val="3"/>
        </w:rPr>
      </w:pPr>
      <w:r w:rsidRPr="00115980">
        <w:rPr>
          <w:spacing w:val="3"/>
        </w:rPr>
        <w:t xml:space="preserve">Claim construction is not conducted in a separate step or a </w:t>
      </w:r>
      <w:r w:rsidRPr="00115980">
        <w:rPr>
          <w:rFonts w:cs="NewBaskerville-Italic"/>
          <w:i/>
          <w:iCs/>
          <w:spacing w:val="3"/>
        </w:rPr>
        <w:t>Markman</w:t>
      </w:r>
      <w:r w:rsidRPr="00115980">
        <w:rPr>
          <w:spacing w:val="3"/>
        </w:rPr>
        <w:t>-type</w:t>
      </w:r>
      <w:r w:rsidRPr="00115980">
        <w:rPr>
          <w:rStyle w:val="FootnoteReference"/>
          <w:spacing w:val="3"/>
        </w:rPr>
        <w:footnoteReference w:id="22"/>
      </w:r>
      <w:r w:rsidRPr="00115980">
        <w:rPr>
          <w:spacing w:val="3"/>
        </w:rPr>
        <w:t xml:space="preserve"> hearing in South Korea but is addressed together with all the other issues in con</w:t>
      </w:r>
      <w:r w:rsidR="0001460B">
        <w:rPr>
          <w:spacing w:val="3"/>
        </w:rPr>
        <w:t>troversy</w:t>
      </w:r>
      <w:r w:rsidRPr="00115980">
        <w:rPr>
          <w:spacing w:val="3"/>
        </w:rPr>
        <w:t xml:space="preserve"> in a patent infringement litigation. The basic principle behind claim construction in South Korea is that the scope of protection conferred by a patented invention is to be determined by the subject matter described in the claims.</w:t>
      </w:r>
      <w:r w:rsidRPr="00115980">
        <w:rPr>
          <w:rStyle w:val="FootnoteReference"/>
          <w:spacing w:val="3"/>
        </w:rPr>
        <w:footnoteReference w:id="23"/>
      </w:r>
      <w:r w:rsidRPr="00115980">
        <w:rPr>
          <w:spacing w:val="3"/>
        </w:rPr>
        <w:t xml:space="preserve"> However, the Supreme Court has ruled that “[o]ne may resort to other descriptions in the specification if the claim description</w:t>
      </w:r>
      <w:r w:rsidR="0001460B">
        <w:rPr>
          <w:spacing w:val="3"/>
        </w:rPr>
        <w:t>s</w:t>
      </w:r>
      <w:r w:rsidRPr="00115980">
        <w:rPr>
          <w:spacing w:val="3"/>
        </w:rPr>
        <w:t xml:space="preserve"> alone do not sufficiently disclose the technical configuration of the patent or is not enough to confirm the technical scope. Even in such a case, the scope of the patent right may not be extended or restricted based on other parts of the specification if the claim language is clear in its technical scope.”</w:t>
      </w:r>
      <w:r w:rsidRPr="00115980">
        <w:rPr>
          <w:rStyle w:val="FootnoteReference"/>
          <w:spacing w:val="3"/>
        </w:rPr>
        <w:footnoteReference w:id="24"/>
      </w:r>
    </w:p>
    <w:p w14:paraId="7CC150B6" w14:textId="6996277C" w:rsidR="00726661" w:rsidRDefault="00752E25" w:rsidP="00752E25">
      <w:pPr>
        <w:pStyle w:val="Heading3"/>
      </w:pPr>
      <w:r w:rsidRPr="00115980">
        <w:lastRenderedPageBreak/>
        <w:t>5.</w:t>
      </w:r>
      <w:r w:rsidRPr="00115980">
        <w:tab/>
      </w:r>
      <w:r w:rsidR="00726661">
        <w:t>Infringement Actions</w:t>
      </w:r>
    </w:p>
    <w:p w14:paraId="5BEB2D3D" w14:textId="57F0C5ED" w:rsidR="00E10B24" w:rsidRPr="00E10B24" w:rsidRDefault="00D6664E" w:rsidP="00E10B24">
      <w:r>
        <w:t>There are two types of infringement actions in South Korea</w:t>
      </w:r>
      <w:r w:rsidR="006D3AD0">
        <w:t xml:space="preserve"> that a patentee may initiate at a district court</w:t>
      </w:r>
      <w:r>
        <w:t xml:space="preserve">: a main action and a </w:t>
      </w:r>
      <w:r w:rsidRPr="001D04D6">
        <w:rPr>
          <w:spacing w:val="2"/>
        </w:rPr>
        <w:t>preliminary</w:t>
      </w:r>
      <w:r>
        <w:t xml:space="preserve"> injunction action.</w:t>
      </w:r>
      <w:r w:rsidR="007B3F7E">
        <w:t xml:space="preserve"> A patentee may seek damages, permanent injunctive relief, and restoration of goodwill in a main action, while a preliminary injunctive relief is the only available remedy in a preliminary injunction action.</w:t>
      </w:r>
    </w:p>
    <w:p w14:paraId="280856F2" w14:textId="33C98A87" w:rsidR="00E10B24" w:rsidRDefault="00D6664E" w:rsidP="00752E25">
      <w:pPr>
        <w:pStyle w:val="Heading3"/>
      </w:pPr>
      <w:r>
        <w:t>6.</w:t>
      </w:r>
      <w:r>
        <w:tab/>
        <w:t>Invalidation</w:t>
      </w:r>
      <w:r w:rsidR="00E10B24">
        <w:t xml:space="preserve"> Actions</w:t>
      </w:r>
    </w:p>
    <w:p w14:paraId="55D42067" w14:textId="605022F3" w:rsidR="007B3F7E" w:rsidRDefault="007B3F7E" w:rsidP="007B3F7E">
      <w:r>
        <w:t>An interested party or a KIPO examiner may file an invalidation action before the IPTAB</w:t>
      </w:r>
      <w:r w:rsidR="00E32046">
        <w:t>, even after a patent has expired (due to the impact on damages</w:t>
      </w:r>
      <w:r w:rsidR="005732E7">
        <w:t xml:space="preserve"> incurred </w:t>
      </w:r>
      <w:r w:rsidR="00E32046">
        <w:t>before the expiration of the patent). An invalidation action can be brought against all o</w:t>
      </w:r>
      <w:r w:rsidR="002E7B75">
        <w:t>r</w:t>
      </w:r>
      <w:r w:rsidR="00E32046">
        <w:t xml:space="preserve"> some of the claims of a patent, meaning that partial invalidations are possible.</w:t>
      </w:r>
    </w:p>
    <w:p w14:paraId="6D17A851" w14:textId="04694980" w:rsidR="00E10B24" w:rsidRDefault="00E10B24" w:rsidP="00E10B24">
      <w:pPr>
        <w:pStyle w:val="Heading3"/>
      </w:pPr>
      <w:r>
        <w:t>7</w:t>
      </w:r>
      <w:r w:rsidRPr="00115980">
        <w:t>.</w:t>
      </w:r>
      <w:r>
        <w:tab/>
        <w:t>Cancellation Actions</w:t>
      </w:r>
    </w:p>
    <w:p w14:paraId="3FA12EA0" w14:textId="73D9E222" w:rsidR="00E10B24" w:rsidRDefault="00E10B24" w:rsidP="00E10B24">
      <w:r w:rsidRPr="00414A07">
        <w:t xml:space="preserve">A new patent cancellation system </w:t>
      </w:r>
      <w:r>
        <w:t>was enacted</w:t>
      </w:r>
      <w:r w:rsidRPr="00414A07">
        <w:t xml:space="preserve"> for patents registered</w:t>
      </w:r>
      <w:r w:rsidR="006D3AD0">
        <w:t xml:space="preserve"> on or after March 1, 2017. </w:t>
      </w:r>
      <w:r>
        <w:t>Under this system</w:t>
      </w:r>
      <w:r w:rsidRPr="00414A07">
        <w:t>, any part</w:t>
      </w:r>
      <w:r>
        <w:t>y</w:t>
      </w:r>
      <w:r w:rsidRPr="00414A07">
        <w:t xml:space="preserve"> may file a cancellation action against a patent within </w:t>
      </w:r>
      <w:r w:rsidR="002E7B75">
        <w:t>six</w:t>
      </w:r>
      <w:r w:rsidRPr="00414A07">
        <w:t xml:space="preserve"> months of the patent publication date</w:t>
      </w:r>
      <w:r>
        <w:t>.</w:t>
      </w:r>
    </w:p>
    <w:p w14:paraId="25868C10" w14:textId="0BD92780" w:rsidR="00E10B24" w:rsidRPr="00AB2916" w:rsidRDefault="00E10B24" w:rsidP="00E10B24">
      <w:r w:rsidRPr="00414A07">
        <w:t xml:space="preserve">The cancellation </w:t>
      </w:r>
      <w:r>
        <w:t xml:space="preserve">grounds </w:t>
      </w:r>
      <w:r w:rsidRPr="00414A07">
        <w:t>are limited to (i) lack of novelty or inventive step in view</w:t>
      </w:r>
      <w:r w:rsidR="00637741">
        <w:t xml:space="preserve"> of </w:t>
      </w:r>
      <w:r w:rsidRPr="00414A07">
        <w:t>written publications, including patent and non-patent literature</w:t>
      </w:r>
      <w:r>
        <w:t>,</w:t>
      </w:r>
      <w:r w:rsidRPr="00414A07">
        <w:t xml:space="preserve"> and (ii) violat</w:t>
      </w:r>
      <w:r w:rsidR="006D3AD0">
        <w:t xml:space="preserve">ion of the first-to-file rule. </w:t>
      </w:r>
      <w:r w:rsidRPr="00414A07">
        <w:t xml:space="preserve">Other grounds for invalidation, such as violation of patentable subject matter, are not available in </w:t>
      </w:r>
      <w:r>
        <w:t xml:space="preserve">a </w:t>
      </w:r>
      <w:r w:rsidRPr="00414A07">
        <w:t>cancellatio</w:t>
      </w:r>
      <w:r w:rsidR="006D3AD0">
        <w:t xml:space="preserve">n action. </w:t>
      </w:r>
      <w:r w:rsidRPr="00414A07">
        <w:t xml:space="preserve">In addition, a petitioner </w:t>
      </w:r>
      <w:r>
        <w:t>cannot re</w:t>
      </w:r>
      <w:r w:rsidRPr="00414A07">
        <w:t xml:space="preserve">ly solely on the prior art cited during </w:t>
      </w:r>
      <w:r>
        <w:t xml:space="preserve">the prosecution of the patent, but rather, must rely </w:t>
      </w:r>
      <w:r w:rsidRPr="00414A07">
        <w:t xml:space="preserve">on a combination of </w:t>
      </w:r>
      <w:r>
        <w:t xml:space="preserve">the </w:t>
      </w:r>
      <w:r w:rsidRPr="00414A07">
        <w:t xml:space="preserve">prior art references cited during </w:t>
      </w:r>
      <w:r>
        <w:t xml:space="preserve">the </w:t>
      </w:r>
      <w:r w:rsidRPr="00414A07">
        <w:t>prosecution and a new prior art reference.</w:t>
      </w:r>
    </w:p>
    <w:p w14:paraId="35B816C8" w14:textId="396F13A0" w:rsidR="00E10B24" w:rsidRPr="00AB2916" w:rsidRDefault="00E10B24" w:rsidP="00E10B24">
      <w:r w:rsidRPr="00414A07">
        <w:t>The IPTAB reviews</w:t>
      </w:r>
      <w:r>
        <w:t xml:space="preserve"> a</w:t>
      </w:r>
      <w:r w:rsidRPr="00414A07">
        <w:t xml:space="preserve"> ca</w:t>
      </w:r>
      <w:r>
        <w:t>ncellation</w:t>
      </w:r>
      <w:r w:rsidRPr="00414A07">
        <w:t xml:space="preserve"> </w:t>
      </w:r>
      <w:r>
        <w:t xml:space="preserve">action </w:t>
      </w:r>
      <w:r w:rsidRPr="00414A07">
        <w:t xml:space="preserve">based only on </w:t>
      </w:r>
      <w:r>
        <w:t>the examination of documents before issuing</w:t>
      </w:r>
      <w:r w:rsidR="006D3AD0">
        <w:t xml:space="preserve"> a written decision. </w:t>
      </w:r>
      <w:r w:rsidRPr="00414A07">
        <w:t>If the IPTAB determines that at least one of the cancellation grounds has merit, the IPTAB will issue a notice incl</w:t>
      </w:r>
      <w:r>
        <w:t>uding the cancellation grounds</w:t>
      </w:r>
      <w:r w:rsidR="006D3AD0">
        <w:t xml:space="preserve"> to the patentee. </w:t>
      </w:r>
      <w:r w:rsidRPr="00414A07">
        <w:t xml:space="preserve">The patentee will be given a chance to submit its response with a request for correction within a </w:t>
      </w:r>
      <w:r>
        <w:t>designated</w:t>
      </w:r>
      <w:r w:rsidRPr="00414A07">
        <w:t xml:space="preserve"> time.</w:t>
      </w:r>
    </w:p>
    <w:p w14:paraId="0B7056BD" w14:textId="60AC971B" w:rsidR="00E10B24" w:rsidRDefault="00526BD6" w:rsidP="00E10B24">
      <w:r>
        <w:t>If</w:t>
      </w:r>
      <w:r w:rsidR="00E10B24" w:rsidRPr="00414A07">
        <w:t xml:space="preserve"> the IPTAB finds </w:t>
      </w:r>
      <w:r w:rsidR="00E10B24">
        <w:t xml:space="preserve">that </w:t>
      </w:r>
      <w:r w:rsidR="00E10B24" w:rsidRPr="00414A07">
        <w:t xml:space="preserve">at least one claim </w:t>
      </w:r>
      <w:r w:rsidR="00E10B24">
        <w:t>should be cancelled,</w:t>
      </w:r>
      <w:r w:rsidR="00E10B24" w:rsidRPr="00414A07">
        <w:t xml:space="preserve"> the patentee may appeal to the Patent C</w:t>
      </w:r>
      <w:r w:rsidR="00E10B24">
        <w:t>o</w:t>
      </w:r>
      <w:r w:rsidR="00E10B24" w:rsidRPr="00414A07">
        <w:t xml:space="preserve">urt, </w:t>
      </w:r>
      <w:r w:rsidR="00E10B24">
        <w:t xml:space="preserve">but </w:t>
      </w:r>
      <w:r w:rsidR="00E10B24" w:rsidRPr="00414A07">
        <w:t xml:space="preserve">the petitioner </w:t>
      </w:r>
      <w:r w:rsidR="00E10B24">
        <w:t>cannot</w:t>
      </w:r>
      <w:r w:rsidR="00E10B24" w:rsidRPr="00414A07">
        <w:t xml:space="preserve"> appeal if the IPTAB finds the patent valid.</w:t>
      </w:r>
    </w:p>
    <w:p w14:paraId="36FC7357" w14:textId="1048424D" w:rsidR="00752E25" w:rsidRPr="00115980" w:rsidRDefault="00E10B24" w:rsidP="00752E25">
      <w:pPr>
        <w:pStyle w:val="Heading3"/>
      </w:pPr>
      <w:r>
        <w:t xml:space="preserve">8. </w:t>
      </w:r>
      <w:r>
        <w:tab/>
        <w:t>Scope Confirmation</w:t>
      </w:r>
      <w:r w:rsidR="00752E25" w:rsidRPr="00115980">
        <w:t xml:space="preserve"> Actions</w:t>
      </w:r>
    </w:p>
    <w:p w14:paraId="44A584AE" w14:textId="280C4680" w:rsidR="00852DD3" w:rsidRPr="00E10B24" w:rsidRDefault="00752E25" w:rsidP="00E10B24">
      <w:pPr>
        <w:rPr>
          <w:spacing w:val="2"/>
        </w:rPr>
      </w:pPr>
      <w:r w:rsidRPr="00115980">
        <w:rPr>
          <w:spacing w:val="2"/>
        </w:rPr>
        <w:t xml:space="preserve">Although it is not an exact equivalent </w:t>
      </w:r>
      <w:r w:rsidR="006B345D">
        <w:rPr>
          <w:spacing w:val="2"/>
        </w:rPr>
        <w:t>of</w:t>
      </w:r>
      <w:r w:rsidRPr="00115980">
        <w:rPr>
          <w:spacing w:val="2"/>
        </w:rPr>
        <w:t xml:space="preserve"> the United States’ declaratory judgment, the </w:t>
      </w:r>
      <w:r w:rsidR="001A02B5" w:rsidRPr="00115980">
        <w:rPr>
          <w:spacing w:val="2"/>
        </w:rPr>
        <w:t>administrative action of scope confirmation</w:t>
      </w:r>
      <w:r w:rsidR="001A02B5">
        <w:rPr>
          <w:spacing w:val="2"/>
        </w:rPr>
        <w:t xml:space="preserve"> by the</w:t>
      </w:r>
      <w:r w:rsidR="001A02B5" w:rsidRPr="00115980">
        <w:rPr>
          <w:spacing w:val="2"/>
        </w:rPr>
        <w:t xml:space="preserve"> </w:t>
      </w:r>
      <w:r w:rsidRPr="00115980">
        <w:rPr>
          <w:spacing w:val="2"/>
        </w:rPr>
        <w:t xml:space="preserve">IPTAB </w:t>
      </w:r>
      <w:r w:rsidR="001A02B5">
        <w:rPr>
          <w:spacing w:val="2"/>
        </w:rPr>
        <w:t>is available in Korea</w:t>
      </w:r>
      <w:r w:rsidRPr="00115980">
        <w:rPr>
          <w:spacing w:val="2"/>
        </w:rPr>
        <w:t xml:space="preserve">, which determines the </w:t>
      </w:r>
      <w:r w:rsidR="001A02B5">
        <w:rPr>
          <w:spacing w:val="2"/>
        </w:rPr>
        <w:t xml:space="preserve">claim </w:t>
      </w:r>
      <w:r w:rsidRPr="00115980">
        <w:rPr>
          <w:spacing w:val="2"/>
        </w:rPr>
        <w:t xml:space="preserve">scope of a patent. The patentee, an exclusive licensee, or any interested party may </w:t>
      </w:r>
      <w:r w:rsidR="00F53429">
        <w:rPr>
          <w:spacing w:val="2"/>
        </w:rPr>
        <w:t xml:space="preserve">file a </w:t>
      </w:r>
      <w:r w:rsidRPr="00115980">
        <w:rPr>
          <w:spacing w:val="2"/>
        </w:rPr>
        <w:t>petition for scope confirmation.</w:t>
      </w:r>
      <w:r w:rsidRPr="00115980">
        <w:rPr>
          <w:rStyle w:val="FootnoteReference"/>
          <w:spacing w:val="2"/>
        </w:rPr>
        <w:footnoteReference w:id="25"/>
      </w:r>
      <w:r w:rsidRPr="00115980">
        <w:rPr>
          <w:spacing w:val="2"/>
        </w:rPr>
        <w:t xml:space="preserve"> An “interested party” is anyone who is likely to be threatened or disadvantaged by the existence of a valid patent, which in practice has been a low threshold. A scope confirmation </w:t>
      </w:r>
      <w:r w:rsidRPr="00115980">
        <w:rPr>
          <w:rFonts w:cs="NewBaskerville-Italic"/>
          <w:i/>
          <w:iCs/>
          <w:spacing w:val="2"/>
        </w:rPr>
        <w:t>inter partes</w:t>
      </w:r>
      <w:r w:rsidRPr="00115980">
        <w:rPr>
          <w:spacing w:val="2"/>
        </w:rPr>
        <w:t xml:space="preserve"> trial is normally instituted by an </w:t>
      </w:r>
      <w:r w:rsidRPr="00115980">
        <w:rPr>
          <w:spacing w:val="2"/>
        </w:rPr>
        <w:lastRenderedPageBreak/>
        <w:t xml:space="preserve">interested party who is seeking a decision that its </w:t>
      </w:r>
      <w:r w:rsidR="002E0E3A">
        <w:rPr>
          <w:spacing w:val="2"/>
        </w:rPr>
        <w:t>product</w:t>
      </w:r>
      <w:r w:rsidR="002E0E3A" w:rsidRPr="00115980">
        <w:rPr>
          <w:spacing w:val="2"/>
        </w:rPr>
        <w:t xml:space="preserve"> </w:t>
      </w:r>
      <w:r w:rsidRPr="00115980">
        <w:rPr>
          <w:spacing w:val="2"/>
        </w:rPr>
        <w:t>does not fall within the scope of a patent, often after receiving a warning letter or being sued for infringement in civil court. A scope</w:t>
      </w:r>
      <w:r w:rsidR="004E208D">
        <w:rPr>
          <w:spacing w:val="2"/>
        </w:rPr>
        <w:t xml:space="preserve"> </w:t>
      </w:r>
      <w:r w:rsidRPr="00115980">
        <w:rPr>
          <w:spacing w:val="2"/>
        </w:rPr>
        <w:t>trial decision may be appealed to the Patent Court.</w:t>
      </w:r>
    </w:p>
    <w:p w14:paraId="256BA80E" w14:textId="51D77069" w:rsidR="00752E25" w:rsidRPr="00115980" w:rsidRDefault="003A7197" w:rsidP="00752E25">
      <w:pPr>
        <w:pStyle w:val="Heading3"/>
      </w:pPr>
      <w:r>
        <w:t>9</w:t>
      </w:r>
      <w:r w:rsidR="001D04D6">
        <w:t>.</w:t>
      </w:r>
      <w:r w:rsidR="001D04D6">
        <w:tab/>
      </w:r>
      <w:r w:rsidR="00752E25" w:rsidRPr="00115980">
        <w:t>Summary Judgment Motions</w:t>
      </w:r>
    </w:p>
    <w:p w14:paraId="2E1AD982" w14:textId="77777777" w:rsidR="00752E25" w:rsidRPr="00115980" w:rsidRDefault="00752E25" w:rsidP="00752E25">
      <w:pPr>
        <w:rPr>
          <w:rFonts w:cs="NewBaskerville-Bold"/>
          <w:b/>
          <w:bCs/>
        </w:rPr>
      </w:pPr>
      <w:r w:rsidRPr="00115980">
        <w:t>Summary judgments are not available in South Korea.</w:t>
      </w:r>
    </w:p>
    <w:p w14:paraId="57172173" w14:textId="77777777" w:rsidR="00752E25" w:rsidRPr="00115980" w:rsidRDefault="00752E25" w:rsidP="00752E25">
      <w:pPr>
        <w:pStyle w:val="Heading1"/>
      </w:pPr>
      <w:r w:rsidRPr="00115980">
        <w:t>III. Infringement Conditions and Defenses</w:t>
      </w:r>
    </w:p>
    <w:p w14:paraId="2D6B0EB9" w14:textId="77777777" w:rsidR="00752E25" w:rsidRPr="00115980" w:rsidRDefault="00752E25" w:rsidP="00752E25">
      <w:pPr>
        <w:pStyle w:val="Heading2"/>
        <w:spacing w:before="0"/>
      </w:pPr>
      <w:r w:rsidRPr="00115980">
        <w:t>A.</w:t>
      </w:r>
      <w:r w:rsidRPr="00115980">
        <w:tab/>
        <w:t>Infringement</w:t>
      </w:r>
    </w:p>
    <w:p w14:paraId="7F208FCB" w14:textId="79F969D3" w:rsidR="00752E25" w:rsidRPr="00115980" w:rsidRDefault="00752E25" w:rsidP="00752E25">
      <w:r w:rsidRPr="00115980">
        <w:t xml:space="preserve">South Korea recognizes two types of infringement: direct infringement and indirect infringement. The doctrine of equivalents is also </w:t>
      </w:r>
      <w:r w:rsidR="002E1BD4">
        <w:t>recognized</w:t>
      </w:r>
      <w:r w:rsidR="002E1BD4" w:rsidRPr="00115980">
        <w:t xml:space="preserve"> </w:t>
      </w:r>
      <w:r w:rsidRPr="00115980">
        <w:t>in South Korea.</w:t>
      </w:r>
      <w:r w:rsidRPr="00115980">
        <w:rPr>
          <w:rStyle w:val="FootnoteReference"/>
        </w:rPr>
        <w:footnoteReference w:id="26"/>
      </w:r>
    </w:p>
    <w:p w14:paraId="1F394E9E" w14:textId="77777777" w:rsidR="00752E25" w:rsidRPr="00115980" w:rsidRDefault="00752E25" w:rsidP="00752E25">
      <w:pPr>
        <w:pStyle w:val="Heading3"/>
      </w:pPr>
      <w:r w:rsidRPr="00115980">
        <w:t>1.</w:t>
      </w:r>
      <w:r w:rsidRPr="00115980">
        <w:tab/>
        <w:t>Direct Infringement</w:t>
      </w:r>
    </w:p>
    <w:p w14:paraId="7489BE37" w14:textId="77777777" w:rsidR="00752E25" w:rsidRPr="00115980" w:rsidRDefault="00752E25" w:rsidP="00752E25">
      <w:r w:rsidRPr="00115980">
        <w:t>Direct infringement is:</w:t>
      </w:r>
    </w:p>
    <w:p w14:paraId="6353345F" w14:textId="77777777" w:rsidR="00752E25" w:rsidRPr="00115980" w:rsidRDefault="00752E25" w:rsidP="00752E25">
      <w:pPr>
        <w:pStyle w:val="BlockQuote"/>
        <w:suppressAutoHyphens/>
        <w:spacing w:after="80"/>
      </w:pPr>
      <w:r w:rsidRPr="00115980">
        <w:t>(a) acts of manufacturing, using, assigning, leasing, importing, or offering for assignment or lease (including acts of display for assignment or lease) an invented product;</w:t>
      </w:r>
    </w:p>
    <w:p w14:paraId="0A0D0C0A" w14:textId="77777777" w:rsidR="00752E25" w:rsidRPr="00115980" w:rsidRDefault="00752E25" w:rsidP="00752E25">
      <w:pPr>
        <w:pStyle w:val="BlockQuote"/>
        <w:suppressAutoHyphens/>
        <w:spacing w:before="0" w:after="80"/>
      </w:pPr>
      <w:r w:rsidRPr="00115980">
        <w:t>(b) acts of using an invented process; and</w:t>
      </w:r>
    </w:p>
    <w:p w14:paraId="319381D9" w14:textId="77777777" w:rsidR="00752E25" w:rsidRPr="00115980" w:rsidRDefault="00752E25" w:rsidP="00752E25">
      <w:pPr>
        <w:pStyle w:val="BlockQuote"/>
        <w:suppressAutoHyphens/>
        <w:spacing w:before="0"/>
      </w:pPr>
      <w:r w:rsidRPr="00115980">
        <w:t>(c) acts of using, assigning, leasing, importing, or offering for assignment or lease a product manufactured by an invented process for manufacturing a product, in addition to the acts mentioned in subparagraph (b).</w:t>
      </w:r>
      <w:r w:rsidRPr="00115980">
        <w:rPr>
          <w:rStyle w:val="FootnoteReference"/>
        </w:rPr>
        <w:footnoteReference w:id="27"/>
      </w:r>
    </w:p>
    <w:p w14:paraId="02E92DBD" w14:textId="77777777" w:rsidR="00752E25" w:rsidRPr="00115980" w:rsidRDefault="00752E25" w:rsidP="00752E25">
      <w:pPr>
        <w:pStyle w:val="Heading3"/>
      </w:pPr>
      <w:r w:rsidRPr="00115980">
        <w:t>2.</w:t>
      </w:r>
      <w:r w:rsidRPr="00115980">
        <w:tab/>
        <w:t>Indirect Infringement</w:t>
      </w:r>
    </w:p>
    <w:p w14:paraId="468C5F36" w14:textId="77777777" w:rsidR="00752E25" w:rsidRPr="00115980" w:rsidRDefault="00752E25" w:rsidP="00752E25">
      <w:r w:rsidRPr="00115980">
        <w:t>Indirect infringement is:</w:t>
      </w:r>
    </w:p>
    <w:p w14:paraId="122D7343" w14:textId="77777777" w:rsidR="00752E25" w:rsidRPr="00115980" w:rsidRDefault="00752E25" w:rsidP="00752E25">
      <w:pPr>
        <w:pStyle w:val="BlockQuote"/>
        <w:suppressAutoHyphens/>
        <w:spacing w:after="80"/>
      </w:pPr>
      <w:r w:rsidRPr="00115980">
        <w:t>(i) an act of making, assigning, leasing, importing, or offering for assignment or lease articles used exclusively for producing an invented product; or</w:t>
      </w:r>
    </w:p>
    <w:p w14:paraId="74AB973F" w14:textId="77777777" w:rsidR="00752E25" w:rsidRPr="00115980" w:rsidRDefault="00752E25" w:rsidP="00752E25">
      <w:pPr>
        <w:pStyle w:val="BlockQuote"/>
        <w:suppressAutoHyphens/>
        <w:spacing w:before="0"/>
      </w:pPr>
      <w:r w:rsidRPr="00115980">
        <w:t>(ii) an act of making, assigning, leasing, importing, or offering for assignment or lease articles used exclusively for practicing an invented process.</w:t>
      </w:r>
      <w:r w:rsidRPr="00115980">
        <w:rPr>
          <w:rStyle w:val="FootnoteReference"/>
        </w:rPr>
        <w:footnoteReference w:id="28"/>
      </w:r>
    </w:p>
    <w:p w14:paraId="75D637C8" w14:textId="705DAEDF" w:rsidR="00752E25" w:rsidRPr="00115980" w:rsidRDefault="00752E25" w:rsidP="00752E25">
      <w:pPr>
        <w:pStyle w:val="Heading3"/>
      </w:pPr>
      <w:r w:rsidRPr="00115980">
        <w:t>3.</w:t>
      </w:r>
      <w:r w:rsidRPr="00115980">
        <w:tab/>
        <w:t xml:space="preserve">Infringement </w:t>
      </w:r>
      <w:r w:rsidR="00C14B57">
        <w:t>u</w:t>
      </w:r>
      <w:r w:rsidRPr="00115980">
        <w:t>nder the Doctrine of Equivalents</w:t>
      </w:r>
    </w:p>
    <w:p w14:paraId="3626E313" w14:textId="77777777" w:rsidR="00752E25" w:rsidRPr="00115980" w:rsidRDefault="00752E25" w:rsidP="00752E25">
      <w:r w:rsidRPr="00115980">
        <w:t>Infringement may be found under the doctrine of equivalents if the following requirements are met:</w:t>
      </w:r>
    </w:p>
    <w:p w14:paraId="0CE22DA4" w14:textId="77777777" w:rsidR="00752E25" w:rsidRPr="00115980" w:rsidRDefault="00752E25" w:rsidP="00752E25">
      <w:pPr>
        <w:pStyle w:val="BlockQuote"/>
        <w:suppressAutoHyphens/>
        <w:spacing w:after="80"/>
      </w:pPr>
      <w:r w:rsidRPr="00115980">
        <w:t xml:space="preserve">(i) the patented invention and the accused article must have or share the same technical idea to accomplish </w:t>
      </w:r>
      <w:r w:rsidRPr="00115980">
        <w:lastRenderedPageBreak/>
        <w:t>the same purpose;</w:t>
      </w:r>
    </w:p>
    <w:p w14:paraId="5BFDA8F8" w14:textId="77777777" w:rsidR="00752E25" w:rsidRPr="00115980" w:rsidRDefault="00752E25" w:rsidP="00752E25">
      <w:pPr>
        <w:pStyle w:val="BlockQuote"/>
        <w:suppressAutoHyphens/>
        <w:spacing w:before="0" w:after="80"/>
      </w:pPr>
      <w:r w:rsidRPr="00115980">
        <w:t>(ii) the replaced element in the accused article must carry out substantially the same function to produce substantially the same result as the relevant element of the patented invention;</w:t>
      </w:r>
    </w:p>
    <w:p w14:paraId="2D481B5F" w14:textId="77777777" w:rsidR="00752E25" w:rsidRPr="00115980" w:rsidRDefault="00752E25" w:rsidP="00752E25">
      <w:pPr>
        <w:pStyle w:val="BlockQuote"/>
        <w:suppressAutoHyphens/>
        <w:spacing w:before="0" w:after="80"/>
      </w:pPr>
      <w:r w:rsidRPr="00115980">
        <w:t>(iii) such a replacement must have been easily conceivable to one of ordinary skill in the relevant art;</w:t>
      </w:r>
    </w:p>
    <w:p w14:paraId="424EC6DB" w14:textId="77777777" w:rsidR="00752E25" w:rsidRPr="00115980" w:rsidRDefault="00752E25" w:rsidP="00752E25">
      <w:pPr>
        <w:pStyle w:val="BlockQuote"/>
        <w:suppressAutoHyphens/>
        <w:spacing w:before="0" w:after="80"/>
      </w:pPr>
      <w:r w:rsidRPr="00115980">
        <w:t>(iv) the accused article must not be prior art technology or easily conceived from the prior art at the time of the filing of the application for the patented invention; and</w:t>
      </w:r>
    </w:p>
    <w:p w14:paraId="632F9400" w14:textId="77777777" w:rsidR="00752E25" w:rsidRPr="00115980" w:rsidRDefault="00752E25" w:rsidP="00752E25">
      <w:pPr>
        <w:pStyle w:val="BlockQuote"/>
        <w:suppressAutoHyphens/>
        <w:spacing w:before="0"/>
      </w:pPr>
      <w:r w:rsidRPr="00115980">
        <w:t>(v) the replaced element must not have been intentionally excluded from the patent claims during the prosecution history of the patented invention.</w:t>
      </w:r>
      <w:r w:rsidRPr="00115980">
        <w:rPr>
          <w:rStyle w:val="FootnoteReference"/>
        </w:rPr>
        <w:footnoteReference w:id="29"/>
      </w:r>
    </w:p>
    <w:p w14:paraId="334DB90A" w14:textId="77777777" w:rsidR="00752E25" w:rsidRPr="00115980" w:rsidRDefault="00752E25" w:rsidP="00752E25">
      <w:pPr>
        <w:pStyle w:val="Heading3"/>
      </w:pPr>
      <w:r w:rsidRPr="00115980">
        <w:t>4.</w:t>
      </w:r>
      <w:r w:rsidRPr="00115980">
        <w:tab/>
        <w:t>Presumption of Identical Process</w:t>
      </w:r>
    </w:p>
    <w:p w14:paraId="47C083D5" w14:textId="77777777" w:rsidR="00752E25" w:rsidRPr="00115980" w:rsidRDefault="00752E25" w:rsidP="00752E25">
      <w:r w:rsidRPr="00115980">
        <w:t>In cases involving a process patent for the manufacture of an article that is also new as of the patent filing date, articles that are found to be identical will be presumed to have been produced by the patented process, and the defendant will bear the burden of rebutting such an assumption.</w:t>
      </w:r>
      <w:r w:rsidRPr="00115980">
        <w:rPr>
          <w:rStyle w:val="FootnoteReference"/>
        </w:rPr>
        <w:footnoteReference w:id="30"/>
      </w:r>
    </w:p>
    <w:p w14:paraId="3F8E5BFE" w14:textId="77777777" w:rsidR="00752E25" w:rsidRPr="00115980" w:rsidRDefault="00752E25" w:rsidP="00752E25">
      <w:pPr>
        <w:pStyle w:val="Heading2"/>
      </w:pPr>
      <w:r w:rsidRPr="00115980">
        <w:t>B.</w:t>
      </w:r>
      <w:r w:rsidRPr="00115980">
        <w:tab/>
        <w:t>Defenses</w:t>
      </w:r>
    </w:p>
    <w:p w14:paraId="536C0267" w14:textId="77777777" w:rsidR="00752E25" w:rsidRPr="00115980" w:rsidRDefault="00752E25" w:rsidP="00752E25">
      <w:pPr>
        <w:pStyle w:val="Heading3"/>
        <w:spacing w:before="0"/>
      </w:pPr>
      <w:r w:rsidRPr="00115980">
        <w:t>1.</w:t>
      </w:r>
      <w:r w:rsidRPr="00115980">
        <w:tab/>
        <w:t>Noninfringement and Invalidity</w:t>
      </w:r>
    </w:p>
    <w:p w14:paraId="71A50F2B" w14:textId="77777777" w:rsidR="00752E25" w:rsidRPr="00115980" w:rsidRDefault="00752E25" w:rsidP="00752E25">
      <w:r w:rsidRPr="00B228F7">
        <w:t>The </w:t>
      </w:r>
      <w:r w:rsidRPr="00115980">
        <w:t xml:space="preserve">Supreme Court </w:t>
      </w:r>
      <w:r w:rsidRPr="00B228F7">
        <w:t xml:space="preserve">has </w:t>
      </w:r>
      <w:r w:rsidRPr="00115980">
        <w:t>held that a</w:t>
      </w:r>
      <w:r w:rsidRPr="00B228F7">
        <w:t>n infringement</w:t>
      </w:r>
      <w:r w:rsidRPr="00115980">
        <w:t xml:space="preserve"> court may refuse to enforce a patent in an infringement action if the patent is clearly invalid based on lack of novelty or inventive step.</w:t>
      </w:r>
      <w:r w:rsidRPr="00115980">
        <w:rPr>
          <w:rStyle w:val="FootnoteReference"/>
        </w:rPr>
        <w:footnoteReference w:id="31"/>
      </w:r>
    </w:p>
    <w:p w14:paraId="6443D815" w14:textId="77777777" w:rsidR="00752E25" w:rsidRPr="00115980" w:rsidRDefault="00752E25" w:rsidP="00752E25">
      <w:r w:rsidRPr="00115980">
        <w:t>A defendant may also argue non</w:t>
      </w:r>
      <w:r w:rsidR="002E0E3A">
        <w:t>-</w:t>
      </w:r>
      <w:r w:rsidRPr="00115980">
        <w:t>infringement by asserting that the accused product or process does not fall within the scope of the subject patent.</w:t>
      </w:r>
    </w:p>
    <w:p w14:paraId="19C59A63" w14:textId="77777777" w:rsidR="00752E25" w:rsidRPr="00115980" w:rsidRDefault="00752E25" w:rsidP="00752E25">
      <w:pPr>
        <w:pStyle w:val="Heading3"/>
      </w:pPr>
      <w:r w:rsidRPr="00115980">
        <w:t>2.</w:t>
      </w:r>
      <w:r w:rsidRPr="00115980">
        <w:tab/>
        <w:t>Other Statutory Defenses</w:t>
      </w:r>
    </w:p>
    <w:p w14:paraId="4CC08C00" w14:textId="77777777" w:rsidR="00752E25" w:rsidRPr="00115980" w:rsidRDefault="00752E25" w:rsidP="00752E25">
      <w:pPr>
        <w:pStyle w:val="Heading4"/>
        <w:spacing w:before="0"/>
      </w:pPr>
      <w:r w:rsidRPr="00115980">
        <w:t>a.</w:t>
      </w:r>
      <w:r w:rsidRPr="00115980">
        <w:tab/>
        <w:t>Experiments</w:t>
      </w:r>
    </w:p>
    <w:p w14:paraId="11C7B325" w14:textId="550A9E84" w:rsidR="00752E25" w:rsidRPr="00115980" w:rsidRDefault="00752E25" w:rsidP="00752E25">
      <w:r w:rsidRPr="00115980">
        <w:t>A patent right does not extend to the “practice of a patented invention for research and experimental purposes.”</w:t>
      </w:r>
      <w:r w:rsidRPr="00115980">
        <w:rPr>
          <w:rStyle w:val="FootnoteReference"/>
        </w:rPr>
        <w:footnoteReference w:id="32"/>
      </w:r>
      <w:r w:rsidRPr="00115980">
        <w:t xml:space="preserve"> A later amendment to this provision clarified that practice of the patented invention for research and testing to obtain regulatory approval under the Pharmaceutical Affairs Act or the Agricultural Management Act does fall under this defense.</w:t>
      </w:r>
    </w:p>
    <w:p w14:paraId="35304F6F" w14:textId="77777777" w:rsidR="00752E25" w:rsidRPr="00115980" w:rsidRDefault="00752E25" w:rsidP="00752E25">
      <w:pPr>
        <w:pStyle w:val="Heading4"/>
      </w:pPr>
      <w:r w:rsidRPr="00115980">
        <w:lastRenderedPageBreak/>
        <w:t>b.</w:t>
      </w:r>
      <w:r w:rsidRPr="00115980">
        <w:tab/>
        <w:t>Compulsory Licenses</w:t>
      </w:r>
    </w:p>
    <w:p w14:paraId="1964299F" w14:textId="77777777" w:rsidR="00752E25" w:rsidRPr="00115980" w:rsidRDefault="00752E25" w:rsidP="00752E25">
      <w:r w:rsidRPr="00115980">
        <w:t>A compulsory license may be granted in a number of circumstances in South Korea:</w:t>
      </w:r>
      <w:r w:rsidRPr="00115980">
        <w:rPr>
          <w:rStyle w:val="FootnoteReference"/>
        </w:rPr>
        <w:footnoteReference w:id="33"/>
      </w:r>
    </w:p>
    <w:p w14:paraId="329D7980" w14:textId="77777777" w:rsidR="00752E25" w:rsidRPr="00115980" w:rsidRDefault="00752E25" w:rsidP="00752E25">
      <w:pPr>
        <w:pStyle w:val="ListNumber"/>
      </w:pPr>
      <w:r w:rsidRPr="00115980">
        <w:t>(1)</w:t>
      </w:r>
      <w:r w:rsidRPr="00115980">
        <w:tab/>
        <w:t>When the patented invention has not been practiced in South Korea consecutively for three or more years in the absence of any justifiable reason or in which the invention has been underutilized to the degree that South Korea’s domestic demand has not been satisfied for three or more consecutive years;</w:t>
      </w:r>
      <w:r w:rsidRPr="00115980">
        <w:rPr>
          <w:rStyle w:val="FootnoteReference"/>
        </w:rPr>
        <w:footnoteReference w:id="34"/>
      </w:r>
    </w:p>
    <w:p w14:paraId="5E4AFAF1" w14:textId="77777777" w:rsidR="00752E25" w:rsidRPr="00115980" w:rsidRDefault="00752E25" w:rsidP="00752E25">
      <w:pPr>
        <w:pStyle w:val="ListNumber"/>
      </w:pPr>
      <w:r w:rsidRPr="00115980">
        <w:t>(2)</w:t>
      </w:r>
      <w:r w:rsidRPr="00115980">
        <w:tab/>
        <w:t>When a practice of a patented invention is needed to rectify conduct that has been found to constitute unfair trade practice in judicial or administrative proceedings;</w:t>
      </w:r>
      <w:r w:rsidRPr="00115980">
        <w:rPr>
          <w:rStyle w:val="FootnoteReference"/>
        </w:rPr>
        <w:footnoteReference w:id="35"/>
      </w:r>
    </w:p>
    <w:p w14:paraId="7D89C86A" w14:textId="77777777" w:rsidR="00752E25" w:rsidRPr="00115980" w:rsidRDefault="00752E25" w:rsidP="00752E25">
      <w:pPr>
        <w:pStyle w:val="ListNumber"/>
      </w:pPr>
      <w:r w:rsidRPr="00115980">
        <w:t>(3)</w:t>
      </w:r>
      <w:r w:rsidRPr="00115980">
        <w:tab/>
        <w:t>When the practice of the patented invention is required for the export of medicines under the World Trade Organization’s Doha Declaration;</w:t>
      </w:r>
      <w:r w:rsidRPr="00115980">
        <w:rPr>
          <w:rStyle w:val="FootnoteReference"/>
        </w:rPr>
        <w:footnoteReference w:id="36"/>
      </w:r>
      <w:r w:rsidRPr="00115980">
        <w:t xml:space="preserve"> and</w:t>
      </w:r>
    </w:p>
    <w:p w14:paraId="29DA74AF" w14:textId="77777777" w:rsidR="00752E25" w:rsidRPr="00115980" w:rsidRDefault="00752E25" w:rsidP="00752E25">
      <w:pPr>
        <w:pStyle w:val="ListNumber"/>
      </w:pPr>
      <w:r w:rsidRPr="00115980">
        <w:t>(4)</w:t>
      </w:r>
      <w:r w:rsidRPr="00115980">
        <w:tab/>
        <w:t>In instances in which the practice of the patented invention is deemed to be necessary for the public interest.</w:t>
      </w:r>
      <w:r w:rsidRPr="00115980">
        <w:rPr>
          <w:rStyle w:val="FootnoteReference"/>
        </w:rPr>
        <w:footnoteReference w:id="37"/>
      </w:r>
    </w:p>
    <w:p w14:paraId="3CBB1FE3" w14:textId="77777777" w:rsidR="00752E25" w:rsidRPr="00115980" w:rsidRDefault="00752E25" w:rsidP="00752E25">
      <w:r w:rsidRPr="00115980">
        <w:t>There have been very few compulsory license cases in South Korea to date.</w:t>
      </w:r>
    </w:p>
    <w:p w14:paraId="71C317C9" w14:textId="77777777" w:rsidR="00752E25" w:rsidRPr="00115980" w:rsidRDefault="00752E25" w:rsidP="00752E25">
      <w:pPr>
        <w:pStyle w:val="Heading4"/>
      </w:pPr>
      <w:r w:rsidRPr="00115980">
        <w:t>c.</w:t>
      </w:r>
      <w:r w:rsidRPr="00115980">
        <w:tab/>
        <w:t>Private Prior Use</w:t>
      </w:r>
    </w:p>
    <w:p w14:paraId="64746F6E" w14:textId="13701163" w:rsidR="00752E25" w:rsidRPr="00115980" w:rsidRDefault="00752E25" w:rsidP="00752E25">
      <w:r w:rsidRPr="00115980">
        <w:t xml:space="preserve">Anyone who </w:t>
      </w:r>
      <w:r w:rsidR="00C10C00">
        <w:t>was already</w:t>
      </w:r>
      <w:r w:rsidRPr="00115980">
        <w:t xml:space="preserve"> engaged in the business of practicing or preparing to practice a patented invention, without knowledge of the patented invention as of its priority date, is entitled to a nonexclusive license for the practice of the patented invention within the scope of that business.</w:t>
      </w:r>
      <w:r w:rsidRPr="00115980">
        <w:rPr>
          <w:rStyle w:val="FootnoteReference"/>
        </w:rPr>
        <w:footnoteReference w:id="38"/>
      </w:r>
    </w:p>
    <w:p w14:paraId="61E3C113" w14:textId="77777777" w:rsidR="00752E25" w:rsidRPr="00115980" w:rsidRDefault="00752E25" w:rsidP="00752E25">
      <w:pPr>
        <w:pStyle w:val="Heading4"/>
      </w:pPr>
      <w:r w:rsidRPr="00115980">
        <w:t>d.</w:t>
      </w:r>
      <w:r w:rsidRPr="00115980">
        <w:tab/>
        <w:t>Exhaustion</w:t>
      </w:r>
    </w:p>
    <w:p w14:paraId="7972E83D" w14:textId="4D57B7DD" w:rsidR="00752E25" w:rsidRPr="00115980" w:rsidRDefault="00752E25" w:rsidP="00752E25">
      <w:r w:rsidRPr="00115980">
        <w:t xml:space="preserve">The theory of exhaustion is not provided by the KPA, but it is an accepted common view that, when a third party purchases a patented product lawfully from the patentee or an authorized party, the patent right is deemed to have been exhausted, and the third party’s subsequent use or </w:t>
      </w:r>
      <w:r w:rsidRPr="00115980">
        <w:lastRenderedPageBreak/>
        <w:t>sale of the patented product does not constitute infringement.</w:t>
      </w:r>
      <w:r w:rsidRPr="00115980">
        <w:rPr>
          <w:rStyle w:val="FootnoteReference"/>
        </w:rPr>
        <w:footnoteReference w:id="39"/>
      </w:r>
    </w:p>
    <w:p w14:paraId="48447368" w14:textId="77777777" w:rsidR="00752E25" w:rsidRPr="00115980" w:rsidRDefault="00752E25" w:rsidP="00752E25">
      <w:pPr>
        <w:pStyle w:val="Heading1"/>
      </w:pPr>
      <w:r w:rsidRPr="00115980">
        <w:t>IV. Evidentiary Process</w:t>
      </w:r>
    </w:p>
    <w:p w14:paraId="050C3161" w14:textId="39357C44" w:rsidR="00752E25" w:rsidRPr="00115980" w:rsidRDefault="00752E25" w:rsidP="00752E25">
      <w:r w:rsidRPr="00115980">
        <w:t xml:space="preserve">South Korea does not have U.S.-style pre-trial discovery, and each party is generally responsible for producing its own evidence. However, the following means of discovery </w:t>
      </w:r>
      <w:r w:rsidR="00C10C00">
        <w:t xml:space="preserve">are </w:t>
      </w:r>
      <w:r w:rsidRPr="00115980">
        <w:t>available in South Korea.</w:t>
      </w:r>
    </w:p>
    <w:p w14:paraId="3FCF0C7D" w14:textId="77777777" w:rsidR="00752E25" w:rsidRPr="00115980" w:rsidRDefault="00752E25" w:rsidP="00752E25">
      <w:pPr>
        <w:pStyle w:val="BlockQuote"/>
        <w:spacing w:after="80"/>
      </w:pPr>
      <w:r w:rsidRPr="00115980">
        <w:rPr>
          <w:rFonts w:cs="NewBaskerville-Italic"/>
          <w:i/>
          <w:iCs/>
        </w:rPr>
        <w:t>1. Witness Testimony:</w:t>
      </w:r>
      <w:r w:rsidRPr="00115980">
        <w:t> Any party to a court action may request the court to call witnesses. Witness testimony and examination is normally conducted during the hearing. Before the witness testimony at the hearing, it is useful and general practice to have the witness prepare an affidavit that is a narrative of the testimony, and at the hearing, to phrase the questions so that the witness needs to only give very brief answers (e.g., yes or no). After the direct examination, the opposing party may cross-examine the witness. Although the direct examination questionnaire should be presented in advance to the court and the opposing party before the hearing date, the cross-examination questions are not presented in advance.</w:t>
      </w:r>
    </w:p>
    <w:p w14:paraId="051EDE5F" w14:textId="254367B4" w:rsidR="00752E25" w:rsidRPr="00115980" w:rsidRDefault="00752E25" w:rsidP="00752E25">
      <w:pPr>
        <w:pStyle w:val="BlockQuote"/>
        <w:spacing w:before="0" w:after="80"/>
      </w:pPr>
      <w:r w:rsidRPr="00115980">
        <w:rPr>
          <w:rFonts w:cs="NewBaskerville-Italic"/>
          <w:i/>
          <w:iCs/>
        </w:rPr>
        <w:t>2. Production/Inspection of Documents or Product Samples:</w:t>
      </w:r>
      <w:r w:rsidRPr="00115980">
        <w:t> A party making a motion for the production/inspection of documents or product samples should persuade the court with respect to the following: (1) the possession of the documents by a certain party (e.g., the defendant or a government agency); and (2) the reasons why the documents or product samples are necessary for the case. If the court accepts the motion, then the court will order the possessing party to produce the documents or product samples or authorize the requesting party (or an independent expert appointed by the court) to carry out the inspection.</w:t>
      </w:r>
      <w:r w:rsidR="00125D17">
        <w:t xml:space="preserve"> Previously, a</w:t>
      </w:r>
      <w:r w:rsidR="00125D17" w:rsidRPr="00125D17">
        <w:t xml:space="preserve">ccused infringers </w:t>
      </w:r>
      <w:r w:rsidR="006242A0">
        <w:t xml:space="preserve">were </w:t>
      </w:r>
      <w:r w:rsidR="00532F39">
        <w:t xml:space="preserve">often </w:t>
      </w:r>
      <w:r w:rsidR="006242A0">
        <w:t>able to</w:t>
      </w:r>
      <w:r w:rsidR="005732E7">
        <w:t xml:space="preserve"> successfully respond</w:t>
      </w:r>
      <w:r w:rsidR="001F062B">
        <w:t xml:space="preserve"> to a document production order</w:t>
      </w:r>
      <w:r w:rsidR="00A479AA">
        <w:t xml:space="preserve"> request</w:t>
      </w:r>
      <w:r w:rsidR="00E9684D">
        <w:t xml:space="preserve"> </w:t>
      </w:r>
      <w:r w:rsidR="00125D17" w:rsidRPr="00125D17">
        <w:t>on the basis that the documents contain</w:t>
      </w:r>
      <w:r w:rsidR="00532F39">
        <w:t>ed</w:t>
      </w:r>
      <w:r w:rsidR="00125D17" w:rsidRPr="00125D17">
        <w:t xml:space="preserve"> trade secrets</w:t>
      </w:r>
      <w:r w:rsidR="006242A0">
        <w:t xml:space="preserve">. After </w:t>
      </w:r>
      <w:r w:rsidR="00106615">
        <w:t>a recent amendment</w:t>
      </w:r>
      <w:r w:rsidR="006242A0">
        <w:t xml:space="preserve"> to the Patent Act, however, </w:t>
      </w:r>
      <w:r w:rsidR="007255C0">
        <w:t>an accused in</w:t>
      </w:r>
      <w:r w:rsidR="00532F39" w:rsidRPr="00532F39">
        <w:t xml:space="preserve">fringer </w:t>
      </w:r>
      <w:r w:rsidR="00713A76">
        <w:t>c</w:t>
      </w:r>
      <w:r w:rsidR="00D21D0B">
        <w:t>an no longer</w:t>
      </w:r>
      <w:r w:rsidR="00532F39" w:rsidRPr="00532F39">
        <w:t xml:space="preserve"> refuse </w:t>
      </w:r>
      <w:r w:rsidR="001F062B">
        <w:t>submission</w:t>
      </w:r>
      <w:r w:rsidR="00532F39" w:rsidRPr="00532F39">
        <w:t xml:space="preserve"> </w:t>
      </w:r>
      <w:r w:rsidR="00D21D0B">
        <w:t xml:space="preserve">by </w:t>
      </w:r>
      <w:r w:rsidR="00532F39" w:rsidRPr="00532F39">
        <w:t xml:space="preserve">simply </w:t>
      </w:r>
      <w:r w:rsidR="00713A76">
        <w:t>asserting trade secret status</w:t>
      </w:r>
      <w:r w:rsidR="00D21D0B">
        <w:t>, if the documents are essential for</w:t>
      </w:r>
      <w:r w:rsidR="00532F39" w:rsidRPr="00532F39">
        <w:t xml:space="preserve"> proving patent infringement or calculating damages</w:t>
      </w:r>
      <w:r w:rsidR="00106615">
        <w:t>.</w:t>
      </w:r>
      <w:r w:rsidR="00D21D0B">
        <w:t xml:space="preserve"> </w:t>
      </w:r>
      <w:r w:rsidR="00D21D0B" w:rsidRPr="00D21D0B">
        <w:t>Instead, the court may</w:t>
      </w:r>
      <w:r w:rsidR="001F062B">
        <w:t xml:space="preserve"> choose to</w:t>
      </w:r>
      <w:r w:rsidR="00D21D0B" w:rsidRPr="00D21D0B">
        <w:t xml:space="preserve"> </w:t>
      </w:r>
      <w:r w:rsidR="00803A9A">
        <w:t>limit</w:t>
      </w:r>
      <w:r w:rsidR="00D21D0B" w:rsidRPr="00D21D0B">
        <w:t xml:space="preserve"> a</w:t>
      </w:r>
      <w:r w:rsidR="00803A9A">
        <w:t>ccess to the confidential</w:t>
      </w:r>
      <w:r w:rsidR="00D21D0B" w:rsidRPr="00D21D0B">
        <w:t xml:space="preserve"> information </w:t>
      </w:r>
      <w:r w:rsidR="001F062B">
        <w:t xml:space="preserve">in such circumstances </w:t>
      </w:r>
      <w:r w:rsidR="00D21D0B" w:rsidRPr="00D21D0B">
        <w:t>(</w:t>
      </w:r>
      <w:r w:rsidR="00803A9A">
        <w:t xml:space="preserve">e.g., </w:t>
      </w:r>
      <w:r w:rsidR="007255C0">
        <w:t xml:space="preserve">to only the </w:t>
      </w:r>
      <w:r w:rsidR="001F062B">
        <w:t xml:space="preserve">patentee’s </w:t>
      </w:r>
      <w:r w:rsidR="007255C0">
        <w:t>counsels</w:t>
      </w:r>
      <w:r w:rsidR="00A479AA">
        <w:t xml:space="preserve"> in exceptional cases</w:t>
      </w:r>
      <w:r w:rsidR="00D21D0B" w:rsidRPr="00D21D0B">
        <w:t xml:space="preserve">, </w:t>
      </w:r>
      <w:r w:rsidR="007255C0">
        <w:t>akin to the “attorneys</w:t>
      </w:r>
      <w:r w:rsidR="008F014F">
        <w:t>’</w:t>
      </w:r>
      <w:r w:rsidR="007255C0">
        <w:t xml:space="preserve"> eyes only” designation under U</w:t>
      </w:r>
      <w:r w:rsidR="008F014F">
        <w:t>.</w:t>
      </w:r>
      <w:r w:rsidR="007255C0">
        <w:t>S</w:t>
      </w:r>
      <w:r w:rsidR="008F014F">
        <w:t>.</w:t>
      </w:r>
      <w:r w:rsidR="007255C0">
        <w:t xml:space="preserve"> protective order</w:t>
      </w:r>
      <w:r w:rsidR="001F062B">
        <w:t>s</w:t>
      </w:r>
      <w:r w:rsidR="00D21D0B" w:rsidRPr="00D21D0B">
        <w:t>)</w:t>
      </w:r>
      <w:r w:rsidR="007255C0">
        <w:t xml:space="preserve">. </w:t>
      </w:r>
      <w:r w:rsidR="00D21D0B">
        <w:t>A</w:t>
      </w:r>
      <w:r w:rsidR="007255C0">
        <w:t>nother</w:t>
      </w:r>
      <w:r w:rsidR="001F062B">
        <w:t xml:space="preserve"> recent</w:t>
      </w:r>
      <w:r w:rsidR="007255C0">
        <w:t xml:space="preserve"> amendment </w:t>
      </w:r>
      <w:r w:rsidR="001F062B">
        <w:t xml:space="preserve">requires the accused infringer to </w:t>
      </w:r>
      <w:r w:rsidR="001F062B" w:rsidRPr="001F062B">
        <w:t>provide</w:t>
      </w:r>
      <w:r w:rsidR="006C08AE">
        <w:t xml:space="preserve"> details regarding its</w:t>
      </w:r>
      <w:r w:rsidR="001F062B" w:rsidRPr="001F062B">
        <w:t xml:space="preserve"> </w:t>
      </w:r>
      <w:r w:rsidR="006C08AE">
        <w:t xml:space="preserve">accused </w:t>
      </w:r>
      <w:r w:rsidR="001F062B" w:rsidRPr="001F062B">
        <w:t xml:space="preserve">product or process </w:t>
      </w:r>
      <w:r w:rsidR="006C08AE">
        <w:t>once the patentee</w:t>
      </w:r>
      <w:r w:rsidR="006C08AE" w:rsidRPr="006C08AE">
        <w:t xml:space="preserve"> has </w:t>
      </w:r>
      <w:r w:rsidR="006C08AE">
        <w:t xml:space="preserve">presented plausible </w:t>
      </w:r>
      <w:r w:rsidR="006C08AE" w:rsidRPr="006C08AE">
        <w:rPr>
          <w:i/>
        </w:rPr>
        <w:t>prima facie</w:t>
      </w:r>
      <w:r w:rsidR="006C08AE">
        <w:t xml:space="preserve"> evidence that</w:t>
      </w:r>
      <w:r w:rsidR="006C08AE" w:rsidRPr="006C08AE">
        <w:t xml:space="preserve"> the infringer is using the patent</w:t>
      </w:r>
      <w:r w:rsidR="006C08AE">
        <w:t xml:space="preserve">. </w:t>
      </w:r>
      <w:r w:rsidR="006C08AE" w:rsidRPr="006C08AE">
        <w:t xml:space="preserve">If the accused infringer </w:t>
      </w:r>
      <w:r w:rsidR="006C08AE">
        <w:t xml:space="preserve">unjustifiably </w:t>
      </w:r>
      <w:r w:rsidR="006C08AE" w:rsidRPr="006C08AE">
        <w:t>refuses to provide such details</w:t>
      </w:r>
      <w:r w:rsidR="00245475">
        <w:t xml:space="preserve">, the court </w:t>
      </w:r>
      <w:r w:rsidR="00245475" w:rsidRPr="00742AD0">
        <w:t xml:space="preserve">may </w:t>
      </w:r>
      <w:r w:rsidR="008020F0" w:rsidRPr="00742AD0">
        <w:t>draw a conclusion for</w:t>
      </w:r>
      <w:r w:rsidR="006C08AE" w:rsidRPr="006C08AE">
        <w:t xml:space="preserve"> the infringing activity </w:t>
      </w:r>
      <w:r w:rsidR="00245475">
        <w:t>asserted</w:t>
      </w:r>
      <w:r w:rsidR="006C08AE" w:rsidRPr="006C08AE">
        <w:t xml:space="preserve"> by the </w:t>
      </w:r>
      <w:r w:rsidR="00245475">
        <w:t>patentee.</w:t>
      </w:r>
    </w:p>
    <w:p w14:paraId="0C459684" w14:textId="77777777" w:rsidR="00752E25" w:rsidRPr="00115980" w:rsidRDefault="00752E25" w:rsidP="00752E25">
      <w:pPr>
        <w:pStyle w:val="BlockQuote"/>
        <w:spacing w:before="0" w:after="80"/>
      </w:pPr>
      <w:r w:rsidRPr="00115980">
        <w:rPr>
          <w:rFonts w:cs="NewBaskerville-Italic"/>
          <w:i/>
          <w:iCs/>
        </w:rPr>
        <w:t>3.</w:t>
      </w:r>
      <w:r w:rsidRPr="00115980">
        <w:t xml:space="preserve"> </w:t>
      </w:r>
      <w:r w:rsidRPr="00115980">
        <w:rPr>
          <w:rFonts w:cs="NewBaskerville-Italic"/>
          <w:i/>
          <w:iCs/>
        </w:rPr>
        <w:t>On-Site Inspection:</w:t>
      </w:r>
      <w:r w:rsidRPr="00115980">
        <w:t> A requesting party must persuade the court that the site should be inspected. For example, in a case in which a patent is directed to a manufacturing process, a defendant’s product is presumed to have been produced by the patented process if the product was novel at the time of filing the patent application under the KPA. In such cases, the court may accept a motion for an on-site inspection. The court then generally appoints an expert witness to inspect the defendant’s premises to identify the manufacturing process.</w:t>
      </w:r>
    </w:p>
    <w:p w14:paraId="64ABFBAD" w14:textId="654083D4" w:rsidR="00752E25" w:rsidRPr="00115980" w:rsidRDefault="00752E25" w:rsidP="00752E25">
      <w:pPr>
        <w:pStyle w:val="BlockQuote"/>
        <w:spacing w:before="0" w:after="80"/>
      </w:pPr>
      <w:r w:rsidRPr="00115980">
        <w:rPr>
          <w:rFonts w:cs="NewBaskerville-Italic"/>
          <w:i/>
          <w:iCs/>
        </w:rPr>
        <w:t>4. Expert Witness’s Testing and Opinion:</w:t>
      </w:r>
      <w:r w:rsidRPr="00115980">
        <w:t xml:space="preserve"> Recently, the use of expert witnesses in patent infringement actions has increased significantly. Either party may submit its own expert witness opinion. However, the court may also appoint an independent expert witness. Both parties are required to submit a list of expert witness candidates and subject matters to be tested or identified by the </w:t>
      </w:r>
      <w:r w:rsidR="00742AD0">
        <w:t xml:space="preserve">independent </w:t>
      </w:r>
      <w:r w:rsidRPr="00115980">
        <w:t>expert witness</w:t>
      </w:r>
      <w:r w:rsidR="00742AD0">
        <w:t xml:space="preserve"> to be appointed by the court</w:t>
      </w:r>
      <w:r w:rsidRPr="00115980">
        <w:t>.</w:t>
      </w:r>
    </w:p>
    <w:p w14:paraId="34E2FEC1" w14:textId="53ED1485" w:rsidR="00752E25" w:rsidRPr="00115980" w:rsidRDefault="00752E25" w:rsidP="00752E25">
      <w:pPr>
        <w:pStyle w:val="BlockQuote"/>
        <w:spacing w:before="0"/>
      </w:pPr>
      <w:r w:rsidRPr="00115980">
        <w:rPr>
          <w:rFonts w:cs="NewBaskerville-Italic"/>
          <w:i/>
          <w:iCs/>
        </w:rPr>
        <w:t>5. Preservation of Evidence</w:t>
      </w:r>
      <w:r w:rsidRPr="00B228F7">
        <w:rPr>
          <w:rFonts w:cs="NewBaskerville-Italic"/>
          <w:i/>
          <w:iCs/>
        </w:rPr>
        <w:t>:</w:t>
      </w:r>
      <w:r w:rsidRPr="00B228F7">
        <w:t xml:space="preserve"> Before or after filing a complaint, this </w:t>
      </w:r>
      <w:r w:rsidRPr="00115980">
        <w:t>discovery means</w:t>
      </w:r>
      <w:r w:rsidRPr="00B228F7">
        <w:t xml:space="preserve"> </w:t>
      </w:r>
      <w:r w:rsidRPr="00115980">
        <w:t xml:space="preserve">is available </w:t>
      </w:r>
      <w:r w:rsidRPr="00B228F7">
        <w:t>to preserve evidence mainly regarding infringement</w:t>
      </w:r>
      <w:r w:rsidRPr="00115980">
        <w:t xml:space="preserve">. </w:t>
      </w:r>
      <w:r w:rsidRPr="00B228F7">
        <w:t>T</w:t>
      </w:r>
      <w:r w:rsidRPr="00115980">
        <w:t xml:space="preserve">he requesting party should demonstrate that (1) there is a likelihood of success on the merits, and (2) it will be </w:t>
      </w:r>
      <w:r w:rsidRPr="00B228F7">
        <w:t xml:space="preserve">difficult to obtain such evidence </w:t>
      </w:r>
      <w:r w:rsidRPr="00115980">
        <w:t>without such a procedure.</w:t>
      </w:r>
    </w:p>
    <w:p w14:paraId="035402F7" w14:textId="77777777" w:rsidR="00752E25" w:rsidRPr="00115980" w:rsidRDefault="00752E25" w:rsidP="00752E25">
      <w:pPr>
        <w:pStyle w:val="Heading1"/>
      </w:pPr>
      <w:r w:rsidRPr="00115980">
        <w:t>V. Preliminary Injunction</w:t>
      </w:r>
    </w:p>
    <w:p w14:paraId="490270D5" w14:textId="77777777" w:rsidR="00752E25" w:rsidRPr="00115980" w:rsidRDefault="00752E25" w:rsidP="00752E25">
      <w:pPr>
        <w:tabs>
          <w:tab w:val="left" w:pos="720"/>
        </w:tabs>
      </w:pPr>
      <w:r w:rsidRPr="00115980">
        <w:lastRenderedPageBreak/>
        <w:t xml:space="preserve">A preliminary injunction is available on a </w:t>
      </w:r>
      <w:r w:rsidRPr="00115980">
        <w:rPr>
          <w:rFonts w:cs="NewBaskerville-Italic"/>
          <w:i/>
          <w:iCs/>
        </w:rPr>
        <w:t>prima facie</w:t>
      </w:r>
      <w:r w:rsidRPr="00115980">
        <w:t xml:space="preserve"> showing of infringement and the ne</w:t>
      </w:r>
      <w:r w:rsidRPr="00B228F7">
        <w:t>ed</w:t>
      </w:r>
      <w:r w:rsidRPr="00115980">
        <w:t xml:space="preserve"> for </w:t>
      </w:r>
      <w:r w:rsidRPr="00B228F7">
        <w:t>immediate injunctive order</w:t>
      </w:r>
      <w:r w:rsidRPr="00115980">
        <w:t xml:space="preserve">. </w:t>
      </w:r>
      <w:r w:rsidRPr="00B228F7">
        <w:t>T</w:t>
      </w:r>
      <w:r w:rsidRPr="00115980">
        <w:t>he court will balance the irreparable harm that the plaintiff would suffer from continued infringement against the economic harm that the defendant would suffer from the grant of an injunction.</w:t>
      </w:r>
    </w:p>
    <w:p w14:paraId="7DAF7092" w14:textId="77777777" w:rsidR="00752E25" w:rsidRPr="00115980" w:rsidRDefault="00752E25" w:rsidP="00752E25">
      <w:pPr>
        <w:pStyle w:val="Heading1"/>
      </w:pPr>
      <w:r w:rsidRPr="00115980">
        <w:t>VI. Remedies and Damages</w:t>
      </w:r>
    </w:p>
    <w:p w14:paraId="4E7E9609" w14:textId="77777777" w:rsidR="00752E25" w:rsidRPr="00115980" w:rsidRDefault="00752E25" w:rsidP="00752E25">
      <w:pPr>
        <w:tabs>
          <w:tab w:val="left" w:pos="960"/>
        </w:tabs>
      </w:pPr>
      <w:r w:rsidRPr="00115980">
        <w:t>The KPA provides the following three types of remedies for patent infringement:</w:t>
      </w:r>
    </w:p>
    <w:p w14:paraId="694EC0FE" w14:textId="77777777" w:rsidR="00752E25" w:rsidRPr="00115980" w:rsidRDefault="00752E25" w:rsidP="00752E25">
      <w:pPr>
        <w:pStyle w:val="ListNumber"/>
      </w:pPr>
      <w:r w:rsidRPr="00115980">
        <w:t>(1)</w:t>
      </w:r>
      <w:r w:rsidRPr="00115980">
        <w:tab/>
        <w:t>injunctive relief (preliminary and permanent);</w:t>
      </w:r>
      <w:r w:rsidRPr="00115980">
        <w:rPr>
          <w:rStyle w:val="FootnoteReference"/>
        </w:rPr>
        <w:footnoteReference w:id="40"/>
      </w:r>
    </w:p>
    <w:p w14:paraId="0D4EB56E" w14:textId="77777777" w:rsidR="00752E25" w:rsidRPr="00115980" w:rsidRDefault="00752E25" w:rsidP="00752E25">
      <w:pPr>
        <w:pStyle w:val="ListNumber"/>
      </w:pPr>
      <w:r w:rsidRPr="00115980">
        <w:t>(2)</w:t>
      </w:r>
      <w:r w:rsidRPr="00115980">
        <w:tab/>
        <w:t>damages compensation;</w:t>
      </w:r>
      <w:r w:rsidRPr="00115980">
        <w:rPr>
          <w:rStyle w:val="FootnoteReference"/>
        </w:rPr>
        <w:footnoteReference w:id="41"/>
      </w:r>
      <w:r w:rsidRPr="00115980">
        <w:t xml:space="preserve"> and</w:t>
      </w:r>
    </w:p>
    <w:p w14:paraId="1F92F8AE" w14:textId="77777777" w:rsidR="00752E25" w:rsidRPr="00115980" w:rsidRDefault="00752E25" w:rsidP="00752E25">
      <w:pPr>
        <w:pStyle w:val="ListNumber"/>
      </w:pPr>
      <w:r w:rsidRPr="00115980">
        <w:t>(3)</w:t>
      </w:r>
      <w:r w:rsidRPr="00115980">
        <w:tab/>
        <w:t>restoration of injured business goodwill or reputation.</w:t>
      </w:r>
      <w:r w:rsidRPr="00115980">
        <w:rPr>
          <w:rStyle w:val="FootnoteReference"/>
        </w:rPr>
        <w:footnoteReference w:id="42"/>
      </w:r>
    </w:p>
    <w:p w14:paraId="645AFC22" w14:textId="72EFCED6" w:rsidR="00752E25" w:rsidRPr="00115980" w:rsidRDefault="00752E25" w:rsidP="00752E25">
      <w:pPr>
        <w:tabs>
          <w:tab w:val="left" w:pos="440"/>
        </w:tabs>
      </w:pPr>
      <w:r w:rsidRPr="00115980">
        <w:t>Criminal prosecution is also possible (with a maximum imprisonment of seven years or a fine of up to U.S. $92,000</w:t>
      </w:r>
      <w:r w:rsidRPr="00115980">
        <w:rPr>
          <w:rStyle w:val="FootnoteReference"/>
        </w:rPr>
        <w:footnoteReference w:id="43"/>
      </w:r>
      <w:r w:rsidRPr="00115980">
        <w:t>)</w:t>
      </w:r>
      <w:r w:rsidR="00547749">
        <w:t xml:space="preserve"> </w:t>
      </w:r>
      <w:r w:rsidR="008020F0" w:rsidRPr="00742AD0">
        <w:t>absent</w:t>
      </w:r>
      <w:r w:rsidR="00742AD0">
        <w:t xml:space="preserve"> an objection from the</w:t>
      </w:r>
      <w:r w:rsidR="00547749" w:rsidRPr="00742AD0">
        <w:t xml:space="preserve"> patentee, but </w:t>
      </w:r>
      <w:r w:rsidR="008020F0" w:rsidRPr="00742AD0">
        <w:t xml:space="preserve">is still </w:t>
      </w:r>
      <w:r w:rsidR="00547749" w:rsidRPr="00742AD0">
        <w:t>rare</w:t>
      </w:r>
      <w:r w:rsidR="008020F0" w:rsidRPr="00742AD0">
        <w:t xml:space="preserve"> in most instances</w:t>
      </w:r>
      <w:r w:rsidRPr="00742AD0">
        <w:t>.</w:t>
      </w:r>
    </w:p>
    <w:p w14:paraId="118784CA" w14:textId="77777777" w:rsidR="00752E25" w:rsidRPr="00115980" w:rsidRDefault="00752E25" w:rsidP="00752E25">
      <w:pPr>
        <w:pStyle w:val="Heading2"/>
      </w:pPr>
      <w:r w:rsidRPr="00115980">
        <w:t>A.</w:t>
      </w:r>
      <w:r w:rsidRPr="00115980">
        <w:tab/>
        <w:t>Calculating Damages</w:t>
      </w:r>
    </w:p>
    <w:p w14:paraId="16FDE418" w14:textId="77777777" w:rsidR="00752E25" w:rsidRPr="00115980" w:rsidRDefault="00752E25" w:rsidP="00752E25">
      <w:pPr>
        <w:tabs>
          <w:tab w:val="left" w:pos="960"/>
        </w:tabs>
      </w:pPr>
      <w:r w:rsidRPr="00115980">
        <w:t>For damages to be awarded, the plaintiff must prove with specificity the amount of damages caused by the defendant’s infringement.</w:t>
      </w:r>
    </w:p>
    <w:p w14:paraId="252434BA" w14:textId="77777777" w:rsidR="00752E25" w:rsidRPr="00115980" w:rsidRDefault="00752E25" w:rsidP="00752E25">
      <w:pPr>
        <w:tabs>
          <w:tab w:val="left" w:pos="960"/>
        </w:tabs>
      </w:pPr>
      <w:r w:rsidRPr="00115980">
        <w:t>There are three methods for the calculation of damages:</w:t>
      </w:r>
    </w:p>
    <w:p w14:paraId="79078C66" w14:textId="77777777" w:rsidR="00752E25" w:rsidRPr="00115980" w:rsidRDefault="00752E25" w:rsidP="00752E25">
      <w:pPr>
        <w:pStyle w:val="ListNumber"/>
      </w:pPr>
      <w:r w:rsidRPr="00115980">
        <w:t>(1)</w:t>
      </w:r>
      <w:r w:rsidRPr="00115980">
        <w:tab/>
        <w:t>the lost profit of the plaintiff;</w:t>
      </w:r>
      <w:r w:rsidRPr="00115980">
        <w:rPr>
          <w:rStyle w:val="FootnoteReference"/>
        </w:rPr>
        <w:footnoteReference w:id="44"/>
      </w:r>
    </w:p>
    <w:p w14:paraId="31A2142D" w14:textId="2718D937" w:rsidR="00752E25" w:rsidRPr="00115980" w:rsidRDefault="00752E25" w:rsidP="00752E25">
      <w:pPr>
        <w:pStyle w:val="ListNumber"/>
      </w:pPr>
      <w:r w:rsidRPr="00115980">
        <w:t>(2)</w:t>
      </w:r>
      <w:r w:rsidRPr="00115980">
        <w:tab/>
        <w:t>the profits of the infringer;</w:t>
      </w:r>
      <w:r w:rsidRPr="00115980">
        <w:rPr>
          <w:rStyle w:val="FootnoteReference"/>
        </w:rPr>
        <w:footnoteReference w:id="45"/>
      </w:r>
      <w:r w:rsidR="0076525D">
        <w:rPr>
          <w:rFonts w:asciiTheme="minorEastAsia" w:eastAsiaTheme="minorEastAsia" w:hAnsiTheme="minorEastAsia" w:hint="eastAsia"/>
          <w:lang w:eastAsia="ko-KR"/>
        </w:rPr>
        <w:t xml:space="preserve"> </w:t>
      </w:r>
      <w:r w:rsidRPr="00115980">
        <w:t>and</w:t>
      </w:r>
    </w:p>
    <w:p w14:paraId="31ECC436" w14:textId="77777777" w:rsidR="00752E25" w:rsidRPr="00115980" w:rsidRDefault="00752E25" w:rsidP="00752E25">
      <w:pPr>
        <w:pStyle w:val="ListNumber"/>
      </w:pPr>
      <w:r w:rsidRPr="00115980">
        <w:lastRenderedPageBreak/>
        <w:t>(3)</w:t>
      </w:r>
      <w:r w:rsidRPr="00115980">
        <w:tab/>
        <w:t>reasonable royalty.</w:t>
      </w:r>
      <w:r w:rsidRPr="00115980">
        <w:rPr>
          <w:rStyle w:val="FootnoteReference"/>
        </w:rPr>
        <w:footnoteReference w:id="46"/>
      </w:r>
    </w:p>
    <w:p w14:paraId="6330187E" w14:textId="48F86757" w:rsidR="00752E25" w:rsidRPr="00115980" w:rsidRDefault="00752E25" w:rsidP="00752E25">
      <w:r w:rsidRPr="00115980">
        <w:t xml:space="preserve">The court </w:t>
      </w:r>
      <w:r w:rsidR="00742AD0" w:rsidRPr="00877930">
        <w:t>is bound by the metho</w:t>
      </w:r>
      <w:r w:rsidR="00742AD0">
        <w:t>d selected by a plaintiff among</w:t>
      </w:r>
      <w:r w:rsidRPr="00115980">
        <w:t xml:space="preserve"> the three methods, or alternatively, it may award damages </w:t>
      </w:r>
      <w:r w:rsidR="00742AD0">
        <w:t xml:space="preserve">at its discretion </w:t>
      </w:r>
      <w:r w:rsidRPr="00115980">
        <w:t>based on all of the presented evidence.</w:t>
      </w:r>
      <w:r w:rsidRPr="00115980">
        <w:rPr>
          <w:rStyle w:val="FootnoteReference"/>
        </w:rPr>
        <w:footnoteReference w:id="47"/>
      </w:r>
    </w:p>
    <w:p w14:paraId="4728818D" w14:textId="5592C2D5" w:rsidR="00752E25" w:rsidRPr="00115980" w:rsidRDefault="00752E25" w:rsidP="00752E25">
      <w:r w:rsidRPr="00115980">
        <w:t>The largest damages award to date in South Korea was</w:t>
      </w:r>
      <w:r w:rsidR="004E208D">
        <w:t xml:space="preserve"> U</w:t>
      </w:r>
      <w:r w:rsidR="002E7B75">
        <w:t>.</w:t>
      </w:r>
      <w:r w:rsidR="004E208D">
        <w:t>S</w:t>
      </w:r>
      <w:r w:rsidR="002E7B75">
        <w:t xml:space="preserve">. </w:t>
      </w:r>
      <w:r w:rsidR="004E208D">
        <w:t>$70 million in</w:t>
      </w:r>
      <w:r w:rsidRPr="00115980">
        <w:t xml:space="preserve"> </w:t>
      </w:r>
      <w:r w:rsidRPr="00115980">
        <w:rPr>
          <w:rFonts w:cs="NewBaskerville-Italic"/>
          <w:i/>
          <w:iCs/>
        </w:rPr>
        <w:t>Kimberly-Clark Corp. v. Ssang Yong Paper Co.</w:t>
      </w:r>
      <w:r w:rsidRPr="00115980">
        <w:rPr>
          <w:rStyle w:val="FootnoteReference"/>
        </w:rPr>
        <w:footnoteReference w:id="48"/>
      </w:r>
      <w:r w:rsidRPr="00115980">
        <w:t xml:space="preserve"> </w:t>
      </w:r>
      <w:r w:rsidR="00C14B57">
        <w:t>I</w:t>
      </w:r>
      <w:r w:rsidRPr="00115980">
        <w:t>n 2011, there were two damages awards for U.S. $258,000 and $263,000.</w:t>
      </w:r>
      <w:r w:rsidRPr="00115980">
        <w:rPr>
          <w:rStyle w:val="FootnoteReference"/>
        </w:rPr>
        <w:footnoteReference w:id="49"/>
      </w:r>
    </w:p>
    <w:p w14:paraId="77FEC7A6" w14:textId="77777777" w:rsidR="00752E25" w:rsidRPr="00115980" w:rsidRDefault="00752E25" w:rsidP="00752E25">
      <w:pPr>
        <w:pStyle w:val="Heading3"/>
      </w:pPr>
      <w:r w:rsidRPr="00115980">
        <w:t>1.</w:t>
      </w:r>
      <w:r w:rsidRPr="00115980">
        <w:tab/>
        <w:t>Statutory Limitations on the Damages Period</w:t>
      </w:r>
    </w:p>
    <w:p w14:paraId="043E2BD0" w14:textId="7A494642" w:rsidR="00752E25" w:rsidRDefault="00752E25" w:rsidP="00752E25">
      <w:pPr>
        <w:tabs>
          <w:tab w:val="left" w:pos="440"/>
        </w:tabs>
      </w:pPr>
      <w:r w:rsidRPr="00115980">
        <w:t>In general, the damages claim can go back</w:t>
      </w:r>
      <w:r w:rsidR="00546BD8">
        <w:t xml:space="preserve"> up</w:t>
      </w:r>
      <w:r w:rsidRPr="00115980">
        <w:t xml:space="preserve"> to 10 years from the date of the lawsuit filing but could be shortened to three years if the patentee had knowledge of the infringement and the identity of the infringer for more than three years.</w:t>
      </w:r>
      <w:r w:rsidRPr="00115980">
        <w:rPr>
          <w:rStyle w:val="FootnoteReference"/>
        </w:rPr>
        <w:footnoteReference w:id="50"/>
      </w:r>
    </w:p>
    <w:p w14:paraId="00A9B916" w14:textId="37BD297C" w:rsidR="006F4874" w:rsidRPr="00115980" w:rsidRDefault="006F4874" w:rsidP="006F4874">
      <w:pPr>
        <w:pStyle w:val="Heading2"/>
      </w:pPr>
      <w:r>
        <w:t>B</w:t>
      </w:r>
      <w:r w:rsidRPr="00115980">
        <w:t>.</w:t>
      </w:r>
      <w:r w:rsidRPr="00115980">
        <w:tab/>
        <w:t>Punitive Damages</w:t>
      </w:r>
    </w:p>
    <w:p w14:paraId="0A2E2C14" w14:textId="17F624D7" w:rsidR="006F4874" w:rsidRPr="00DA3402" w:rsidRDefault="006F4874" w:rsidP="006F4874">
      <w:pPr>
        <w:tabs>
          <w:tab w:val="left" w:pos="720"/>
        </w:tabs>
      </w:pPr>
      <w:r>
        <w:t xml:space="preserve">A recent amendment to the Patent Act introduced for the first time </w:t>
      </w:r>
      <w:r w:rsidRPr="00115980">
        <w:t>in South Korea</w:t>
      </w:r>
      <w:r>
        <w:t xml:space="preserve"> p</w:t>
      </w:r>
      <w:r w:rsidRPr="00115980">
        <w:t>unitive damages for patent infringement</w:t>
      </w:r>
      <w:r>
        <w:t>, effective July 9, 2019</w:t>
      </w:r>
      <w:r w:rsidRPr="00115980">
        <w:t>.</w:t>
      </w:r>
      <w:r>
        <w:t xml:space="preserve"> With the change</w:t>
      </w:r>
      <w:r w:rsidRPr="00DA3402">
        <w:t xml:space="preserve">, </w:t>
      </w:r>
      <w:r>
        <w:t xml:space="preserve">the </w:t>
      </w:r>
      <w:r w:rsidRPr="00DA3402">
        <w:t>courts are now authorized to award</w:t>
      </w:r>
      <w:r>
        <w:t xml:space="preserve">, </w:t>
      </w:r>
      <w:r w:rsidRPr="00DA3402">
        <w:t>as a punitive measure</w:t>
      </w:r>
      <w:r>
        <w:t>,</w:t>
      </w:r>
      <w:r w:rsidRPr="00DA3402">
        <w:t xml:space="preserve"> </w:t>
      </w:r>
      <w:r>
        <w:t>a sum</w:t>
      </w:r>
      <w:r w:rsidRPr="00DA3402">
        <w:t xml:space="preserve"> of up to three times the actual damages for intentional </w:t>
      </w:r>
      <w:r>
        <w:t>or willful acts of infringement.</w:t>
      </w:r>
    </w:p>
    <w:p w14:paraId="00146BB0" w14:textId="74E7C6B7" w:rsidR="006F4874" w:rsidRPr="006F4874" w:rsidRDefault="006F4874" w:rsidP="001E3BB8">
      <w:pPr>
        <w:tabs>
          <w:tab w:val="left" w:pos="720"/>
        </w:tabs>
      </w:pPr>
      <w:r w:rsidRPr="00DA3402">
        <w:t xml:space="preserve">When calculating such punitive damages, courts are instructed to consider the following </w:t>
      </w:r>
      <w:r w:rsidR="00114721">
        <w:t xml:space="preserve">eight </w:t>
      </w:r>
      <w:r w:rsidRPr="00DA3402">
        <w:t>factors: (i) whether the infringer has a dominant position; (ii) whether the infringer knew the act of infringement would cause harm to a patent owner, or intended such harm; (iii) the significance of any such damages; (iv) the economic benefits to the infringer from the infringement; (v) how frequently and how long the infringing activity was committed; (vi) the criminal penalty for the infringing activity; (vii) the infringer's financial status; and (viii) what efforts the infringer has made to reduce the harm to the p</w:t>
      </w:r>
      <w:r>
        <w:t>atent owner.</w:t>
      </w:r>
    </w:p>
    <w:p w14:paraId="60236B74" w14:textId="68194CDB" w:rsidR="00752E25" w:rsidRPr="00115980" w:rsidRDefault="006F4874" w:rsidP="00752E25">
      <w:pPr>
        <w:pStyle w:val="Heading2"/>
      </w:pPr>
      <w:r>
        <w:lastRenderedPageBreak/>
        <w:t>C</w:t>
      </w:r>
      <w:r w:rsidR="00752E25" w:rsidRPr="00115980">
        <w:t>.</w:t>
      </w:r>
      <w:r w:rsidR="00752E25" w:rsidRPr="00115980">
        <w:tab/>
        <w:t>Attorney’s Fees</w:t>
      </w:r>
    </w:p>
    <w:p w14:paraId="49DE3761" w14:textId="2DA66991" w:rsidR="00752E25" w:rsidRPr="00115980" w:rsidRDefault="00752E25" w:rsidP="00752E25">
      <w:pPr>
        <w:tabs>
          <w:tab w:val="left" w:pos="440"/>
        </w:tabs>
        <w:rPr>
          <w:rFonts w:cs="NewBaskerville-Bold"/>
          <w:b/>
          <w:bCs/>
        </w:rPr>
      </w:pPr>
      <w:r w:rsidRPr="00115980">
        <w:t>Partial attorney’s fees are available to the prevailing party in South Korea,</w:t>
      </w:r>
      <w:r w:rsidRPr="00115980">
        <w:rPr>
          <w:rStyle w:val="FootnoteReference"/>
        </w:rPr>
        <w:footnoteReference w:id="51"/>
      </w:r>
      <w:r w:rsidRPr="00115980">
        <w:t xml:space="preserve"> but the awarded amount is determined by a rule issued by the Supreme Court and is </w:t>
      </w:r>
      <w:r w:rsidR="00546BD8">
        <w:t>usually nominal relative to the</w:t>
      </w:r>
      <w:r w:rsidRPr="00115980">
        <w:t xml:space="preserve"> actual costs.</w:t>
      </w:r>
    </w:p>
    <w:p w14:paraId="6CFF4FD7" w14:textId="642CAAC1" w:rsidR="00752E25" w:rsidRPr="00115980" w:rsidRDefault="006F4874" w:rsidP="00752E25">
      <w:pPr>
        <w:pStyle w:val="Heading2"/>
      </w:pPr>
      <w:r>
        <w:t>D</w:t>
      </w:r>
      <w:r w:rsidR="00752E25" w:rsidRPr="00115980">
        <w:t>.</w:t>
      </w:r>
      <w:r w:rsidR="00752E25" w:rsidRPr="00115980">
        <w:tab/>
        <w:t>Permanent Injunction</w:t>
      </w:r>
    </w:p>
    <w:p w14:paraId="19A6CF83" w14:textId="23352D0E" w:rsidR="00752E25" w:rsidRPr="00115980" w:rsidRDefault="00752E25" w:rsidP="00752E25">
      <w:pPr>
        <w:tabs>
          <w:tab w:val="left" w:pos="960"/>
        </w:tabs>
      </w:pPr>
      <w:r w:rsidRPr="00115980">
        <w:t>A permanent injunction is available in a main action</w:t>
      </w:r>
      <w:r w:rsidR="00841F6A">
        <w:t>,</w:t>
      </w:r>
      <w:r w:rsidRPr="00115980">
        <w:t xml:space="preserve"> in which other civil remedies such as damages may be sought together</w:t>
      </w:r>
      <w:r w:rsidR="00841F6A" w:rsidRPr="00841F6A">
        <w:t xml:space="preserve"> </w:t>
      </w:r>
      <w:r w:rsidR="00841F6A" w:rsidRPr="00115980">
        <w:t>unlike the preliminary injunction action</w:t>
      </w:r>
      <w:r w:rsidRPr="00115980">
        <w:t>. The requirements for a permanent injunction differ from a preliminary injunction primarily in two respects:</w:t>
      </w:r>
    </w:p>
    <w:p w14:paraId="2F73975A" w14:textId="77777777" w:rsidR="00752E25" w:rsidRPr="00115980" w:rsidRDefault="00752E25" w:rsidP="00752E25">
      <w:pPr>
        <w:pStyle w:val="ListNumber"/>
      </w:pPr>
      <w:r w:rsidRPr="00115980">
        <w:t>(1)</w:t>
      </w:r>
      <w:r w:rsidRPr="00115980">
        <w:tab/>
        <w:t>the necessity for a preliminary relief need not be proven for a permanent injunction; and</w:t>
      </w:r>
    </w:p>
    <w:p w14:paraId="00822B78" w14:textId="77777777" w:rsidR="00752E25" w:rsidRPr="00115980" w:rsidRDefault="00752E25" w:rsidP="00752E25">
      <w:pPr>
        <w:pStyle w:val="ListNumber"/>
      </w:pPr>
      <w:r w:rsidRPr="00115980">
        <w:t>(2)</w:t>
      </w:r>
      <w:r w:rsidRPr="00115980">
        <w:tab/>
        <w:t>the required level of proof is a preponderance of the evidence, as compared to a prima facie case for a preliminary injunction.</w:t>
      </w:r>
    </w:p>
    <w:p w14:paraId="4430E65A" w14:textId="77777777" w:rsidR="00752E25" w:rsidRPr="00115980" w:rsidRDefault="00752E25" w:rsidP="00752E25">
      <w:pPr>
        <w:pStyle w:val="Heading1"/>
      </w:pPr>
      <w:r w:rsidRPr="00115980">
        <w:t>VII. Compensation of Costs</w:t>
      </w:r>
    </w:p>
    <w:p w14:paraId="2301F5CF" w14:textId="3EF046C5" w:rsidR="00752E25" w:rsidRPr="00115980" w:rsidRDefault="00752E25" w:rsidP="00752E25">
      <w:pPr>
        <w:tabs>
          <w:tab w:val="left" w:pos="720"/>
        </w:tabs>
      </w:pPr>
      <w:r w:rsidRPr="00115980">
        <w:t>The winning party may recover court costs from the losing party,</w:t>
      </w:r>
      <w:r w:rsidRPr="00115980">
        <w:rPr>
          <w:rStyle w:val="FootnoteReference"/>
        </w:rPr>
        <w:footnoteReference w:id="52"/>
      </w:r>
      <w:r w:rsidRPr="00115980">
        <w:t xml:space="preserve"> but with such awards usually </w:t>
      </w:r>
      <w:r w:rsidR="00E868DF">
        <w:t>being in the range</w:t>
      </w:r>
      <w:r w:rsidRPr="00115980">
        <w:t xml:space="preserve"> of a few thousand dollars, the recovered </w:t>
      </w:r>
      <w:r w:rsidR="00E868DF">
        <w:t>costs are nominal</w:t>
      </w:r>
      <w:r w:rsidRPr="00115980">
        <w:t xml:space="preserve"> relative to the total costs of litigation.</w:t>
      </w:r>
    </w:p>
    <w:p w14:paraId="1D3FBF99" w14:textId="77777777" w:rsidR="00752E25" w:rsidRPr="00115980" w:rsidRDefault="00752E25" w:rsidP="00752E25">
      <w:pPr>
        <w:pStyle w:val="Heading1"/>
        <w:tabs>
          <w:tab w:val="left" w:pos="440"/>
        </w:tabs>
      </w:pPr>
      <w:r w:rsidRPr="00115980">
        <w:t>VIII. Border Enforcement</w:t>
      </w:r>
    </w:p>
    <w:p w14:paraId="31A6094E" w14:textId="77777777" w:rsidR="00752E25" w:rsidRPr="00115980" w:rsidRDefault="00752E25" w:rsidP="00752E25">
      <w:pPr>
        <w:pStyle w:val="Heading2"/>
        <w:spacing w:before="0"/>
      </w:pPr>
      <w:r w:rsidRPr="00115980">
        <w:t>A.</w:t>
      </w:r>
      <w:r w:rsidRPr="00115980">
        <w:tab/>
        <w:t>Korean Trade Commission Actions</w:t>
      </w:r>
    </w:p>
    <w:p w14:paraId="49BFBC11" w14:textId="4CF574AF" w:rsidR="00752E25" w:rsidRPr="00115980" w:rsidRDefault="00752E25" w:rsidP="00752E25">
      <w:pPr>
        <w:tabs>
          <w:tab w:val="left" w:pos="960"/>
        </w:tabs>
      </w:pPr>
      <w:r w:rsidRPr="00115980">
        <w:t xml:space="preserve">The Korean Trade Commission (KTC) is the government agency charged with carrying out the relief system for </w:t>
      </w:r>
      <w:r w:rsidR="00742AD0">
        <w:t>trade (</w:t>
      </w:r>
      <w:r w:rsidRPr="009D69A6">
        <w:t>i</w:t>
      </w:r>
      <w:r w:rsidRPr="00115980">
        <w:t>mport</w:t>
      </w:r>
      <w:r w:rsidR="00742AD0">
        <w:t xml:space="preserve"> and export)</w:t>
      </w:r>
      <w:r w:rsidR="00C3185F">
        <w:t>-</w:t>
      </w:r>
      <w:r w:rsidRPr="00115980">
        <w:t xml:space="preserve">related injuries and preventing unfair trade practices in South Korea. </w:t>
      </w:r>
      <w:r w:rsidR="00E868DF">
        <w:t>A</w:t>
      </w:r>
      <w:r w:rsidRPr="00115980">
        <w:t>ctivities constituting unfair trade practice</w:t>
      </w:r>
      <w:r w:rsidR="00652FF7">
        <w:t>s</w:t>
      </w:r>
      <w:r w:rsidRPr="00115980">
        <w:t xml:space="preserve"> in South Korea are:</w:t>
      </w:r>
    </w:p>
    <w:p w14:paraId="5B9EC3FF" w14:textId="7F8A3F94" w:rsidR="00752E25" w:rsidRPr="00115980" w:rsidRDefault="00752E25" w:rsidP="00752E25">
      <w:pPr>
        <w:pStyle w:val="ListNumber"/>
      </w:pPr>
      <w:r w:rsidRPr="00115980">
        <w:t>(1)</w:t>
      </w:r>
      <w:r w:rsidRPr="00115980">
        <w:tab/>
        <w:t xml:space="preserve">the importation of products into or exportation of products out of South Korea that infringe another party’s patent, utility model, design, trademark, copyright, neighboring rights, etc., </w:t>
      </w:r>
      <w:r w:rsidR="00C3185F">
        <w:t xml:space="preserve">that are protected </w:t>
      </w:r>
      <w:r w:rsidRPr="00115980">
        <w:t>under the laws of South Korea or treaties to which South Korea is a party;</w:t>
      </w:r>
    </w:p>
    <w:p w14:paraId="0E59264C" w14:textId="77777777" w:rsidR="00252062" w:rsidRDefault="00752E25" w:rsidP="00752E25">
      <w:pPr>
        <w:pStyle w:val="ListNumber"/>
      </w:pPr>
      <w:r w:rsidRPr="00115980">
        <w:t>(2)</w:t>
      </w:r>
      <w:r w:rsidRPr="00115980">
        <w:tab/>
        <w:t xml:space="preserve">the sale of such infringing products in South Korea; </w:t>
      </w:r>
    </w:p>
    <w:p w14:paraId="74D1F615" w14:textId="4B606B7B" w:rsidR="00752E25" w:rsidRPr="00115980" w:rsidRDefault="00C3185F" w:rsidP="00752E25">
      <w:pPr>
        <w:pStyle w:val="ListNumber"/>
      </w:pPr>
      <w:r w:rsidRPr="00F67CB5">
        <w:t>(3)</w:t>
      </w:r>
      <w:r w:rsidRPr="00F67CB5">
        <w:tab/>
        <w:t>the supply of such infringing products to South Korea from abroad;</w:t>
      </w:r>
      <w:r>
        <w:t xml:space="preserve"> </w:t>
      </w:r>
      <w:r w:rsidR="00752E25" w:rsidRPr="00115980">
        <w:t>and</w:t>
      </w:r>
    </w:p>
    <w:p w14:paraId="35DA8BC6" w14:textId="75B60115" w:rsidR="00752E25" w:rsidRPr="00115980" w:rsidRDefault="00752E25" w:rsidP="00752E25">
      <w:pPr>
        <w:pStyle w:val="ListNumber"/>
      </w:pPr>
      <w:r w:rsidRPr="00115980">
        <w:t>(</w:t>
      </w:r>
      <w:r w:rsidR="00C3185F">
        <w:t>4</w:t>
      </w:r>
      <w:r w:rsidRPr="00F67CB5">
        <w:t>)</w:t>
      </w:r>
      <w:r w:rsidRPr="00115980">
        <w:tab/>
        <w:t>manufacture of infringing products for the purpose of exportation.</w:t>
      </w:r>
      <w:r w:rsidRPr="00115980">
        <w:rPr>
          <w:rStyle w:val="FootnoteReference"/>
        </w:rPr>
        <w:footnoteReference w:id="53"/>
      </w:r>
    </w:p>
    <w:p w14:paraId="1C31066B" w14:textId="2F7C2F38" w:rsidR="00752E25" w:rsidRPr="00115980" w:rsidRDefault="00752E25" w:rsidP="00752E25">
      <w:pPr>
        <w:tabs>
          <w:tab w:val="left" w:pos="440"/>
        </w:tabs>
      </w:pPr>
      <w:r w:rsidRPr="00115980">
        <w:lastRenderedPageBreak/>
        <w:t xml:space="preserve">The KTC has the authority to commence an investigation independently, but more commonly, a petition is filed before the Commission by an interested party. In such instance, the interested party must apply for an investigation within </w:t>
      </w:r>
      <w:r w:rsidR="00C3185F">
        <w:t>two</w:t>
      </w:r>
      <w:r w:rsidRPr="008D5A6A">
        <w:t xml:space="preserve"> year</w:t>
      </w:r>
      <w:r w:rsidR="00C3185F">
        <w:t>s</w:t>
      </w:r>
      <w:r w:rsidRPr="00115980">
        <w:t xml:space="preserve"> of when the suspected unfair trade practice </w:t>
      </w:r>
      <w:r w:rsidR="00C3185F">
        <w:t>occurred</w:t>
      </w:r>
      <w:r w:rsidRPr="00115980">
        <w:t xml:space="preserve">. After the application has been formally accepted by the KTC, it has </w:t>
      </w:r>
      <w:r w:rsidR="00C3185F">
        <w:t>2</w:t>
      </w:r>
      <w:r w:rsidRPr="00537966">
        <w:t>0</w:t>
      </w:r>
      <w:r w:rsidRPr="00115980">
        <w:t xml:space="preserve"> days to decide whether to conduct an investigation. If initiated, an investigation typically takes about three to six months to complete, although some exceptional cases can take up to a year. It is also possible that the KTC may suspend its investigation if legal disputes between the parties are brought before the South Korean courts involving the asserted IP right(s).</w:t>
      </w:r>
    </w:p>
    <w:p w14:paraId="1FD00865" w14:textId="77777777" w:rsidR="00752E25" w:rsidRPr="00115980" w:rsidRDefault="00752E25" w:rsidP="00752E25">
      <w:pPr>
        <w:tabs>
          <w:tab w:val="left" w:pos="440"/>
        </w:tabs>
      </w:pPr>
      <w:r w:rsidRPr="00115980">
        <w:t>On findings of unfair trade practices, the KTC has authority to award administrative remedies, such as the suspension of exports, imports, and the sale or manufacture of infringing products, or fines of up to 30 percent of the transaction amount.</w:t>
      </w:r>
    </w:p>
    <w:p w14:paraId="0ADED626" w14:textId="77777777" w:rsidR="00752E25" w:rsidRPr="00115980" w:rsidRDefault="00752E25" w:rsidP="00752E25">
      <w:pPr>
        <w:pStyle w:val="Heading2"/>
      </w:pPr>
      <w:r w:rsidRPr="00115980">
        <w:t>B.</w:t>
      </w:r>
      <w:r w:rsidRPr="00115980">
        <w:tab/>
        <w:t>Customs Action</w:t>
      </w:r>
    </w:p>
    <w:p w14:paraId="21CA1FE9" w14:textId="77777777" w:rsidR="00752E25" w:rsidRPr="00115980" w:rsidRDefault="00752E25" w:rsidP="00752E25">
      <w:pPr>
        <w:tabs>
          <w:tab w:val="left" w:pos="960"/>
        </w:tabs>
      </w:pPr>
      <w:r w:rsidRPr="00115980">
        <w:t>Pursuant to the Free Trade Agreement with the European Union, South Korea has expanded its customs actions to cover patent and design rights, effective July 1, 2013. Before this addition, customs actions available from the Korea Customs Service (KCS) were based only on trademarks, copyrights, plant variety rights, and geographical indications.</w:t>
      </w:r>
    </w:p>
    <w:p w14:paraId="6236F8A5" w14:textId="77777777" w:rsidR="00752E25" w:rsidRPr="00115980" w:rsidRDefault="00752E25" w:rsidP="00752E25">
      <w:pPr>
        <w:tabs>
          <w:tab w:val="left" w:pos="960"/>
        </w:tabs>
      </w:pPr>
      <w:r w:rsidRPr="00115980">
        <w:t>As a result, South Korea now has a customs action (similar to a customs action in the EU) and a Korea Trade Commission action (similar to ITC action in the United States) based on patent and design rights. South Korean customs actions (and KTC actions) are applicable to both imports and exports.</w:t>
      </w:r>
    </w:p>
    <w:p w14:paraId="71EDCB53" w14:textId="77777777" w:rsidR="00752E25" w:rsidRPr="00115980" w:rsidRDefault="00752E25" w:rsidP="00752E25">
      <w:pPr>
        <w:tabs>
          <w:tab w:val="left" w:pos="960"/>
        </w:tabs>
      </w:pPr>
      <w:r w:rsidRPr="00115980">
        <w:t>According to the revised guidelines on the protection of intellectual property rights (Guidelines) announced by the KCS on June 28, 2013, the KCS may suspend the release of goods at the request of a rights holder under the following circumstances:</w:t>
      </w:r>
    </w:p>
    <w:p w14:paraId="4A9E12E2" w14:textId="77777777" w:rsidR="00752E25" w:rsidRPr="00115980" w:rsidRDefault="00752E25" w:rsidP="00752E25">
      <w:pPr>
        <w:pStyle w:val="ListNumber"/>
      </w:pPr>
      <w:r w:rsidRPr="00115980">
        <w:t>(1)</w:t>
      </w:r>
      <w:r w:rsidRPr="00115980">
        <w:tab/>
        <w:t>A rights holder may register its IP rights with the KCS in advance, and the KCS will notify the rights holder and the importer/exporter when it finds goods that potentially infringe the registered IP rights.</w:t>
      </w:r>
    </w:p>
    <w:p w14:paraId="2D4738F3" w14:textId="77777777" w:rsidR="00752E25" w:rsidRPr="00115980" w:rsidRDefault="00752E25" w:rsidP="00752E25">
      <w:pPr>
        <w:pStyle w:val="ListNumber"/>
      </w:pPr>
      <w:r w:rsidRPr="00115980">
        <w:t>(2)</w:t>
      </w:r>
      <w:r w:rsidRPr="00115980">
        <w:tab/>
        <w:t>Even if an IPR is not registered with the KCS, the KCS may notify the rights holder and the importer/exporter when it finds goods that are suspected of infringing an unregistered IPR.</w:t>
      </w:r>
    </w:p>
    <w:p w14:paraId="20609BBE" w14:textId="77777777" w:rsidR="00752E25" w:rsidRPr="00115980" w:rsidRDefault="00752E25" w:rsidP="00752E25">
      <w:pPr>
        <w:pStyle w:val="ListNumber"/>
      </w:pPr>
      <w:r w:rsidRPr="00115980">
        <w:t>(3)</w:t>
      </w:r>
      <w:r w:rsidRPr="00115980">
        <w:tab/>
        <w:t>A rights holder may also file a request for suspension of release for specific shipments, providing the specific importation/exportation information of the infringing goods (i.e., scheduled date, name of the importer/exporter, flight number, etc.).</w:t>
      </w:r>
    </w:p>
    <w:p w14:paraId="35439D38" w14:textId="77777777" w:rsidR="00752E25" w:rsidRPr="00115980" w:rsidRDefault="00752E25" w:rsidP="00752E25">
      <w:r w:rsidRPr="00115980">
        <w:t>When requesting a suspension of release, the rights holder must provide evidence of infringement and a security deposit equal to 120 percent of the taxable value of the goods, all within specified times after a notification.</w:t>
      </w:r>
    </w:p>
    <w:p w14:paraId="7DF334F9" w14:textId="77777777" w:rsidR="00752E25" w:rsidRPr="00115980" w:rsidRDefault="00752E25" w:rsidP="00752E25">
      <w:r w:rsidRPr="00115980">
        <w:t>When the KCS receives a suspension request from a rights holder, it will generally suspend the release of the goods absent special considerations. The KCS will send the suspension notice to the rights holder and the importer/exporter. The suspension will generally last around 10 days, but if the rights holder establishes that a court proceeding has been filed within 10 days of its receipt of the suspension notice, the KCS may continue to suspend the release of the goods (per Customs Act regulations).</w:t>
      </w:r>
    </w:p>
    <w:p w14:paraId="7644272B" w14:textId="77777777" w:rsidR="00752E25" w:rsidRPr="00115980" w:rsidRDefault="00752E25" w:rsidP="00752E25">
      <w:pPr>
        <w:rPr>
          <w:spacing w:val="1"/>
        </w:rPr>
      </w:pPr>
      <w:r w:rsidRPr="00115980">
        <w:rPr>
          <w:spacing w:val="1"/>
        </w:rPr>
        <w:lastRenderedPageBreak/>
        <w:t>An importer/exporter may file a request for the release of detained goods with the KCS, along with a security deposit equal to 120 percent of the taxable value and evidence of noninfringement (per Customs Act regulations). The KCS will inform the rights holder of the request by the importer/exporter, and the rights holder can submit evidence to prove infringement. The KCS will decide whether to release the detained goods within seven days of the receipt of the importer/exporter’s request.</w:t>
      </w:r>
    </w:p>
    <w:p w14:paraId="2F9FA06C" w14:textId="77777777" w:rsidR="00752E25" w:rsidRPr="00115980" w:rsidRDefault="00752E25" w:rsidP="00752E25">
      <w:r w:rsidRPr="00115980">
        <w:t xml:space="preserve">In addition, KCS may suspend the release of the goods on its own </w:t>
      </w:r>
      <w:r w:rsidRPr="00115980">
        <w:rPr>
          <w:rFonts w:cs="NewBaskerville-Italic"/>
          <w:i/>
          <w:iCs/>
        </w:rPr>
        <w:t>sua sponte</w:t>
      </w:r>
      <w:r w:rsidRPr="00115980">
        <w:t xml:space="preserve"> in instances in which an IPR has clearly been infringed (e.g., a final court decision or a KTC decision), without the request of the rights holder.</w:t>
      </w:r>
    </w:p>
    <w:p w14:paraId="19DA1632" w14:textId="711E7282" w:rsidR="00752E25" w:rsidRDefault="00752E25" w:rsidP="00752E25">
      <w:r w:rsidRPr="00115980">
        <w:t>Finally, in rendering a decision on requests filed by an IP rights holder or importer/exporter, the KCS may at its discretion designate a committee composed of five individuals, including two or more outside experts such as a customs specialist, attorney at law, or patent attorney.</w:t>
      </w:r>
    </w:p>
    <w:p w14:paraId="5E92302A" w14:textId="77777777" w:rsidR="00752E25" w:rsidRPr="00115980" w:rsidRDefault="00752E25" w:rsidP="00752E25">
      <w:pPr>
        <w:pStyle w:val="Heading1"/>
        <w:spacing w:before="480" w:after="300"/>
      </w:pPr>
      <w:r w:rsidRPr="00115980">
        <w:t>IX. Specific Details</w:t>
      </w:r>
    </w:p>
    <w:p w14:paraId="294E9759" w14:textId="4A2C5108" w:rsidR="00752E25" w:rsidRPr="00115980" w:rsidRDefault="00752E25" w:rsidP="00752E25">
      <w:pPr>
        <w:pStyle w:val="Heading2"/>
        <w:spacing w:before="0" w:after="180"/>
      </w:pPr>
      <w:r w:rsidRPr="00115980">
        <w:t>A.</w:t>
      </w:r>
      <w:r w:rsidRPr="00115980">
        <w:tab/>
        <w:t xml:space="preserve">Patent Litigation Filings and Percentage Going </w:t>
      </w:r>
      <w:r w:rsidR="004E7FB4">
        <w:t>t</w:t>
      </w:r>
      <w:r w:rsidRPr="00115980">
        <w:t>hrough to Decision on the Merits</w:t>
      </w:r>
    </w:p>
    <w:p w14:paraId="4710EDE0" w14:textId="4294AE67" w:rsidR="00752E25" w:rsidRPr="00115980" w:rsidRDefault="00752E25" w:rsidP="00752E25">
      <w:r w:rsidRPr="00115980">
        <w:t>It is estimated that there are approximately 50 to 130 patent infringement actions filed annually in South Korea. Of these, it is estimated that about three quarters are filed in Seoul Central District Court.</w:t>
      </w:r>
      <w:r w:rsidR="00B37938">
        <w:rPr>
          <w:rStyle w:val="FootnoteReference"/>
        </w:rPr>
        <w:footnoteReference w:id="54"/>
      </w:r>
      <w:r w:rsidRPr="00115980">
        <w:t xml:space="preserve"> </w:t>
      </w:r>
      <w:r w:rsidRPr="00C3185F">
        <w:t xml:space="preserve">Of the cases filed annually, about half </w:t>
      </w:r>
      <w:r w:rsidR="004E7FB4" w:rsidRPr="00C3185F">
        <w:t xml:space="preserve">are estimated to proceed </w:t>
      </w:r>
      <w:r w:rsidRPr="00C3185F">
        <w:t>to a decision on the merits.</w:t>
      </w:r>
      <w:r w:rsidRPr="00115980">
        <w:t xml:space="preserve"> Based on data released by the IPTAB, in </w:t>
      </w:r>
      <w:r w:rsidR="003A3521">
        <w:t>2020</w:t>
      </w:r>
      <w:r w:rsidRPr="00115980">
        <w:t xml:space="preserve">, </w:t>
      </w:r>
      <w:r w:rsidR="003A3521">
        <w:t>383</w:t>
      </w:r>
      <w:r w:rsidRPr="00115980">
        <w:t xml:space="preserve"> invalidity actions were filed and </w:t>
      </w:r>
      <w:r w:rsidR="003A3521">
        <w:t>434</w:t>
      </w:r>
      <w:r w:rsidRPr="00115980">
        <w:t xml:space="preserve"> invalidity actions were decided. Also</w:t>
      </w:r>
      <w:r w:rsidR="00BC3470">
        <w:t>,</w:t>
      </w:r>
      <w:r w:rsidRPr="00115980">
        <w:t xml:space="preserve"> for </w:t>
      </w:r>
      <w:r w:rsidR="003A3521">
        <w:t>2020</w:t>
      </w:r>
      <w:r w:rsidRPr="00115980">
        <w:t xml:space="preserve">, </w:t>
      </w:r>
      <w:r w:rsidR="003A3521">
        <w:t>374</w:t>
      </w:r>
      <w:r w:rsidRPr="00115980">
        <w:t xml:space="preserve"> scope trials were requested and </w:t>
      </w:r>
      <w:r w:rsidR="003A3521">
        <w:t>458</w:t>
      </w:r>
      <w:r w:rsidRPr="00115980">
        <w:t xml:space="preserve"> scope trials were decided.</w:t>
      </w:r>
    </w:p>
    <w:p w14:paraId="6F827B38" w14:textId="77777777" w:rsidR="00752E25" w:rsidRPr="00115980" w:rsidRDefault="00752E25" w:rsidP="00752E25">
      <w:pPr>
        <w:pStyle w:val="Heading2"/>
        <w:spacing w:after="180"/>
      </w:pPr>
      <w:r w:rsidRPr="00115980">
        <w:t>B.</w:t>
      </w:r>
      <w:r w:rsidRPr="00115980">
        <w:tab/>
        <w:t>Average Costs</w:t>
      </w:r>
    </w:p>
    <w:p w14:paraId="7BBE132B" w14:textId="77777777" w:rsidR="00752E25" w:rsidRPr="00115980" w:rsidRDefault="00752E25" w:rsidP="00752E25">
      <w:r w:rsidRPr="00115980">
        <w:t>The fees for a first-instance patent infringement case can vary widely, depending on the complexity of issues and the number of patents/claims involved. However, on average, an infringement action would be expected to cost around U.S. $400,000,</w:t>
      </w:r>
      <w:r w:rsidRPr="00115980">
        <w:rPr>
          <w:rStyle w:val="FootnoteReference"/>
        </w:rPr>
        <w:footnoteReference w:id="55"/>
      </w:r>
      <w:r w:rsidRPr="00115980">
        <w:t xml:space="preserve"> and an invalidation action or a scope confirmation action would be about U.S. $100,000.</w:t>
      </w:r>
      <w:r w:rsidRPr="00115980">
        <w:rPr>
          <w:rStyle w:val="FootnoteReference"/>
        </w:rPr>
        <w:footnoteReference w:id="56"/>
      </w:r>
    </w:p>
    <w:p w14:paraId="45F25454" w14:textId="5CF384BA" w:rsidR="00752E25" w:rsidRPr="00115980" w:rsidRDefault="00752E25" w:rsidP="00752E25">
      <w:pPr>
        <w:pStyle w:val="Heading2"/>
        <w:spacing w:after="180"/>
      </w:pPr>
      <w:r w:rsidRPr="00115980">
        <w:t>C.</w:t>
      </w:r>
      <w:r w:rsidRPr="00115980">
        <w:tab/>
        <w:t xml:space="preserve">Average Time </w:t>
      </w:r>
      <w:r w:rsidR="004E7FB4">
        <w:t>f</w:t>
      </w:r>
      <w:r w:rsidRPr="00115980">
        <w:t>rom Filing to Final Decision</w:t>
      </w:r>
    </w:p>
    <w:p w14:paraId="7C99F028" w14:textId="38A74B35" w:rsidR="00752E25" w:rsidRPr="00115980" w:rsidRDefault="00123E0A" w:rsidP="00752E25">
      <w:pPr>
        <w:rPr>
          <w:spacing w:val="2"/>
        </w:rPr>
      </w:pPr>
      <w:r>
        <w:rPr>
          <w:spacing w:val="2"/>
        </w:rPr>
        <w:t>A</w:t>
      </w:r>
      <w:r w:rsidR="00752E25" w:rsidRPr="00115980">
        <w:rPr>
          <w:spacing w:val="2"/>
        </w:rPr>
        <w:t>n infringement action before the district court</w:t>
      </w:r>
      <w:r>
        <w:rPr>
          <w:spacing w:val="2"/>
        </w:rPr>
        <w:t xml:space="preserve"> can take three to eight months for</w:t>
      </w:r>
      <w:r w:rsidR="00752E25" w:rsidRPr="00115980">
        <w:rPr>
          <w:spacing w:val="2"/>
        </w:rPr>
        <w:t xml:space="preserve"> a preliminary injunction</w:t>
      </w:r>
      <w:r>
        <w:rPr>
          <w:spacing w:val="2"/>
        </w:rPr>
        <w:t>,</w:t>
      </w:r>
      <w:r w:rsidR="00752E25" w:rsidRPr="00115980">
        <w:rPr>
          <w:spacing w:val="2"/>
        </w:rPr>
        <w:t xml:space="preserve"> </w:t>
      </w:r>
      <w:r>
        <w:rPr>
          <w:spacing w:val="2"/>
        </w:rPr>
        <w:t>and</w:t>
      </w:r>
      <w:r w:rsidR="00752E25" w:rsidRPr="00115980">
        <w:rPr>
          <w:spacing w:val="2"/>
        </w:rPr>
        <w:t xml:space="preserve"> </w:t>
      </w:r>
      <w:r w:rsidR="005078B2">
        <w:rPr>
          <w:spacing w:val="2"/>
        </w:rPr>
        <w:t>nine to 20-plus</w:t>
      </w:r>
      <w:r>
        <w:rPr>
          <w:spacing w:val="2"/>
        </w:rPr>
        <w:t xml:space="preserve"> months for </w:t>
      </w:r>
      <w:r w:rsidR="00752E25" w:rsidRPr="00115980">
        <w:rPr>
          <w:spacing w:val="2"/>
        </w:rPr>
        <w:t xml:space="preserve">a main action. </w:t>
      </w:r>
      <w:r w:rsidR="005078B2">
        <w:rPr>
          <w:spacing w:val="2"/>
        </w:rPr>
        <w:t>T</w:t>
      </w:r>
      <w:r w:rsidR="00752E25" w:rsidRPr="00115980">
        <w:rPr>
          <w:spacing w:val="2"/>
        </w:rPr>
        <w:t xml:space="preserve">he average time from </w:t>
      </w:r>
      <w:r w:rsidR="00752E25" w:rsidRPr="00115980">
        <w:rPr>
          <w:spacing w:val="2"/>
        </w:rPr>
        <w:lastRenderedPageBreak/>
        <w:t xml:space="preserve">filing to decision was </w:t>
      </w:r>
      <w:r w:rsidR="005078B2">
        <w:rPr>
          <w:spacing w:val="2"/>
        </w:rPr>
        <w:t>16.9</w:t>
      </w:r>
      <w:r w:rsidR="00752E25" w:rsidRPr="00115980">
        <w:rPr>
          <w:spacing w:val="2"/>
        </w:rPr>
        <w:t xml:space="preserve"> months (2012–201</w:t>
      </w:r>
      <w:r w:rsidR="005078B2">
        <w:rPr>
          <w:spacing w:val="2"/>
        </w:rPr>
        <w:t>8</w:t>
      </w:r>
      <w:r w:rsidR="00752E25" w:rsidRPr="00115980">
        <w:rPr>
          <w:spacing w:val="2"/>
        </w:rPr>
        <w:t>)</w:t>
      </w:r>
      <w:r w:rsidR="008E2DA0">
        <w:rPr>
          <w:spacing w:val="2"/>
        </w:rPr>
        <w:t>,</w:t>
      </w:r>
      <w:r w:rsidR="001A2075">
        <w:rPr>
          <w:rStyle w:val="FootnoteReference"/>
          <w:spacing w:val="2"/>
        </w:rPr>
        <w:footnoteReference w:id="57"/>
      </w:r>
      <w:r w:rsidR="008E2DA0">
        <w:rPr>
          <w:spacing w:val="2"/>
        </w:rPr>
        <w:t xml:space="preserve"> trending towards longer trials of 20-plus months in 2017 and 2018</w:t>
      </w:r>
      <w:r w:rsidR="00752E25" w:rsidRPr="00115980">
        <w:rPr>
          <w:spacing w:val="2"/>
        </w:rPr>
        <w:t>. An invalidation action or a scope confirmation action before the IPTAB typically takes between six and nine months.</w:t>
      </w:r>
      <w:r w:rsidR="00752E25" w:rsidRPr="00115980">
        <w:rPr>
          <w:rStyle w:val="FootnoteReference"/>
          <w:spacing w:val="2"/>
        </w:rPr>
        <w:footnoteReference w:id="58"/>
      </w:r>
    </w:p>
    <w:p w14:paraId="389F1FF9" w14:textId="7995F69B" w:rsidR="00752E25" w:rsidRDefault="00752E25" w:rsidP="00752E25">
      <w:pPr>
        <w:pStyle w:val="TableTitle"/>
      </w:pPr>
      <w:r w:rsidRPr="00115980">
        <w:t xml:space="preserve">Figure </w:t>
      </w:r>
      <w:r w:rsidR="0018402A">
        <w:t>37</w:t>
      </w:r>
      <w:r w:rsidRPr="00115980">
        <w:t xml:space="preserve">-4. Sample Time and Cost of </w:t>
      </w:r>
      <w:r w:rsidR="000C55EC" w:rsidRPr="003A3521">
        <w:t>Infringement Action</w:t>
      </w:r>
      <w:r w:rsidR="000C55EC" w:rsidRPr="00115980">
        <w:t xml:space="preserve"> </w:t>
      </w:r>
      <w:r w:rsidRPr="00115980">
        <w:t>in South Korea</w:t>
      </w:r>
      <w:r w:rsidRPr="00115980">
        <w:rPr>
          <w:rStyle w:val="FootnoteReference"/>
          <w:b w:val="0"/>
          <w:bCs w:val="0"/>
        </w:rPr>
        <w:footnoteReference w:id="59"/>
      </w:r>
    </w:p>
    <w:p w14:paraId="4B9A6D98" w14:textId="53A9F079" w:rsidR="00752E25" w:rsidRPr="00115980" w:rsidRDefault="00F036A7" w:rsidP="00752E25">
      <w:pPr>
        <w:pStyle w:val="TableTitle"/>
      </w:pPr>
      <w:r w:rsidRPr="00220F1B">
        <w:rPr>
          <w:noProof/>
          <w:lang w:eastAsia="ko-KR"/>
        </w:rPr>
        <w:drawing>
          <wp:inline distT="0" distB="0" distL="0" distR="0" wp14:anchorId="5DFF2D92" wp14:editId="7FBEBEC8">
            <wp:extent cx="4419600" cy="1647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9600" cy="1647825"/>
                    </a:xfrm>
                    <a:prstGeom prst="rect">
                      <a:avLst/>
                    </a:prstGeom>
                    <a:noFill/>
                    <a:ln>
                      <a:noFill/>
                    </a:ln>
                  </pic:spPr>
                </pic:pic>
              </a:graphicData>
            </a:graphic>
          </wp:inline>
        </w:drawing>
      </w:r>
    </w:p>
    <w:p w14:paraId="7E6B4DC3" w14:textId="055C7DE3" w:rsidR="00752E25" w:rsidRDefault="00752E25" w:rsidP="00752E25">
      <w:pPr>
        <w:pStyle w:val="TableTitle"/>
      </w:pPr>
      <w:r w:rsidRPr="00115980">
        <w:t xml:space="preserve">Figure </w:t>
      </w:r>
      <w:r w:rsidR="0018402A">
        <w:t>37</w:t>
      </w:r>
      <w:r w:rsidRPr="00115980">
        <w:t xml:space="preserve">-5. Sample Time and Cost of </w:t>
      </w:r>
      <w:r w:rsidR="000C55EC" w:rsidRPr="003A3521">
        <w:t xml:space="preserve">Invalidity Trial </w:t>
      </w:r>
      <w:r w:rsidRPr="00115980">
        <w:t>in South Korea</w:t>
      </w:r>
    </w:p>
    <w:p w14:paraId="7593211B" w14:textId="00EC7BC4" w:rsidR="00752E25" w:rsidRPr="00115980" w:rsidRDefault="00F036A7" w:rsidP="00752E25">
      <w:pPr>
        <w:pStyle w:val="TableTitle"/>
      </w:pPr>
      <w:r w:rsidRPr="00220F1B">
        <w:rPr>
          <w:noProof/>
          <w:lang w:eastAsia="ko-KR"/>
        </w:rPr>
        <w:drawing>
          <wp:inline distT="0" distB="0" distL="0" distR="0" wp14:anchorId="21841767" wp14:editId="3EE20BD3">
            <wp:extent cx="3143250" cy="1647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43250" cy="1647825"/>
                    </a:xfrm>
                    <a:prstGeom prst="rect">
                      <a:avLst/>
                    </a:prstGeom>
                    <a:noFill/>
                    <a:ln>
                      <a:noFill/>
                    </a:ln>
                  </pic:spPr>
                </pic:pic>
              </a:graphicData>
            </a:graphic>
          </wp:inline>
        </w:drawing>
      </w:r>
    </w:p>
    <w:p w14:paraId="2869FEF9" w14:textId="77777777" w:rsidR="00752E25" w:rsidRPr="00115980" w:rsidRDefault="00752E25" w:rsidP="00752E25">
      <w:pPr>
        <w:pStyle w:val="Heading2"/>
      </w:pPr>
      <w:r w:rsidRPr="00115980">
        <w:t>D.</w:t>
      </w:r>
      <w:r w:rsidRPr="00115980">
        <w:tab/>
        <w:t>Average Win Rates</w:t>
      </w:r>
    </w:p>
    <w:p w14:paraId="05675B2C" w14:textId="77777777" w:rsidR="00752E25" w:rsidRPr="00115980" w:rsidRDefault="00752E25" w:rsidP="00752E25">
      <w:pPr>
        <w:pStyle w:val="Heading3"/>
        <w:spacing w:before="0"/>
      </w:pPr>
      <w:r w:rsidRPr="00115980">
        <w:t>1.</w:t>
      </w:r>
      <w:r w:rsidRPr="00115980">
        <w:tab/>
        <w:t>Infringement Actions</w:t>
      </w:r>
    </w:p>
    <w:p w14:paraId="692149C0" w14:textId="48561B65" w:rsidR="00752E25" w:rsidRPr="00115980" w:rsidRDefault="00752E25" w:rsidP="00752E25">
      <w:pPr>
        <w:rPr>
          <w:rStyle w:val="FootnoteReference"/>
        </w:rPr>
      </w:pPr>
      <w:r w:rsidRPr="00115980">
        <w:t>Win rates and other figures for 2012 to 201</w:t>
      </w:r>
      <w:r w:rsidR="000925E8">
        <w:t>8</w:t>
      </w:r>
      <w:r w:rsidRPr="00115980">
        <w:t xml:space="preserve"> presented in this section are provided by DARTS-IP</w:t>
      </w:r>
      <w:r w:rsidR="001A2075">
        <w:t>/CLARIVATE</w:t>
      </w:r>
      <w:r w:rsidRPr="00115980">
        <w:t>, our Global IP Project partner.</w:t>
      </w:r>
      <w:r w:rsidRPr="00115980">
        <w:rPr>
          <w:rStyle w:val="FootnoteReference"/>
        </w:rPr>
        <w:footnoteReference w:id="60"/>
      </w:r>
    </w:p>
    <w:p w14:paraId="3D172F61" w14:textId="3C88190B" w:rsidR="00752E25" w:rsidRPr="00115980" w:rsidRDefault="00752E25" w:rsidP="00752E25">
      <w:r w:rsidRPr="00115980">
        <w:lastRenderedPageBreak/>
        <w:t xml:space="preserve">From 2012 to </w:t>
      </w:r>
      <w:r w:rsidR="001A2075" w:rsidRPr="00115980">
        <w:t>201</w:t>
      </w:r>
      <w:r w:rsidR="001A2075">
        <w:t>8</w:t>
      </w:r>
      <w:r w:rsidRPr="00115980">
        <w:t xml:space="preserve">, the patentee’s win rate (win = </w:t>
      </w:r>
      <w:r w:rsidR="001A2075">
        <w:t>at least one claim found infringed</w:t>
      </w:r>
      <w:r w:rsidRPr="00115980">
        <w:t>) at the court of first instance reached 3</w:t>
      </w:r>
      <w:r w:rsidR="000925E8">
        <w:t>2</w:t>
      </w:r>
      <w:r w:rsidRPr="00115980">
        <w:t xml:space="preserve"> percent (</w:t>
      </w:r>
      <w:r w:rsidR="00BF7B07">
        <w:t>101</w:t>
      </w:r>
      <w:r w:rsidRPr="00115980">
        <w:t xml:space="preserve"> wins/</w:t>
      </w:r>
      <w:r w:rsidR="00BF7B07">
        <w:t>319</w:t>
      </w:r>
      <w:r w:rsidRPr="00115980">
        <w:t xml:space="preserve"> cases).</w:t>
      </w:r>
      <w:r w:rsidRPr="00115980">
        <w:rPr>
          <w:rStyle w:val="FootnoteReference"/>
        </w:rPr>
        <w:footnoteReference w:id="61"/>
      </w:r>
      <w:r w:rsidRPr="00115980">
        <w:rPr>
          <w:rStyle w:val="FootnoteReference"/>
        </w:rPr>
        <w:t xml:space="preserve"> </w:t>
      </w:r>
      <w:r w:rsidRPr="00115980">
        <w:t>The below chart further breaks down the win rates by year.</w:t>
      </w:r>
    </w:p>
    <w:p w14:paraId="3D8173E8" w14:textId="3C2343DE" w:rsidR="00752E25" w:rsidRDefault="00752E25" w:rsidP="00752E25">
      <w:pPr>
        <w:pStyle w:val="TableTitle"/>
      </w:pPr>
      <w:r w:rsidRPr="00115980">
        <w:t xml:space="preserve">Figure </w:t>
      </w:r>
      <w:r w:rsidR="0018402A">
        <w:t>37</w:t>
      </w:r>
      <w:r w:rsidRPr="00115980">
        <w:t>-6. First-Instance Infringement Win Rates by Year: 2012–201</w:t>
      </w:r>
      <w:r w:rsidR="00124978">
        <w:t>8</w:t>
      </w:r>
      <w:r w:rsidRPr="00115980">
        <w:rPr>
          <w:rStyle w:val="FootnoteReference"/>
          <w:b w:val="0"/>
          <w:bCs w:val="0"/>
        </w:rPr>
        <w:footnoteReference w:id="62"/>
      </w:r>
    </w:p>
    <w:p w14:paraId="2A4852B1" w14:textId="2FEF66F4" w:rsidR="00752E25" w:rsidRDefault="00752E25" w:rsidP="00752E25">
      <w:pPr>
        <w:pStyle w:val="TableTitle"/>
      </w:pPr>
    </w:p>
    <w:p w14:paraId="57D81512" w14:textId="5C578DFA" w:rsidR="001A2075" w:rsidRPr="00115980" w:rsidRDefault="001A2075" w:rsidP="00752E25">
      <w:pPr>
        <w:pStyle w:val="TableTitle"/>
        <w:rPr>
          <w:rStyle w:val="FootnoteReference"/>
        </w:rPr>
      </w:pPr>
      <w:r w:rsidRPr="001A2075">
        <w:rPr>
          <w:rFonts w:cs="NewBaskerville-Roman"/>
          <w:noProof/>
          <w:vertAlign w:val="superscript"/>
          <w:lang w:eastAsia="ko-KR"/>
        </w:rPr>
        <w:drawing>
          <wp:inline distT="0" distB="0" distL="0" distR="0" wp14:anchorId="25EEA589" wp14:editId="438ED73F">
            <wp:extent cx="5157787" cy="3684588"/>
            <wp:effectExtent l="0" t="0" r="5080" b="11430"/>
            <wp:docPr id="16" name="Chart 16">
              <a:extLst xmlns:a="http://schemas.openxmlformats.org/drawingml/2006/main">
                <a:ext uri="{FF2B5EF4-FFF2-40B4-BE49-F238E27FC236}">
                  <a16:creationId xmlns:a16="http://schemas.microsoft.com/office/drawing/2014/main" id="{D675CC53-23F5-401F-8407-782FDBB194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F5E86F2" w14:textId="77777777" w:rsidR="001A2075" w:rsidRDefault="001A2075" w:rsidP="00752E25"/>
    <w:p w14:paraId="339907C0" w14:textId="786BE155" w:rsidR="00752E25" w:rsidRPr="00115980" w:rsidRDefault="00752E25" w:rsidP="00752E25">
      <w:r w:rsidRPr="00115980">
        <w:t>The following is the plaintiffs’ win rates broken down by the district courts. Although the win rates vary widely, most infringement actions are brought before the Seoul Central District Court, and forum shopping based on win rates does not exist in South Korea.</w:t>
      </w:r>
    </w:p>
    <w:p w14:paraId="10CB141D" w14:textId="0EE35332" w:rsidR="00752E25" w:rsidRDefault="00752E25" w:rsidP="00752E25">
      <w:pPr>
        <w:pStyle w:val="TableTitle"/>
      </w:pPr>
      <w:r w:rsidRPr="00115980">
        <w:lastRenderedPageBreak/>
        <w:t xml:space="preserve">Figure </w:t>
      </w:r>
      <w:r w:rsidR="0018402A">
        <w:t>37</w:t>
      </w:r>
      <w:r w:rsidRPr="00115980">
        <w:t xml:space="preserve">-7. Infringement Win Rate Across </w:t>
      </w:r>
      <w:r w:rsidR="00442CBD">
        <w:t xml:space="preserve">Most Active </w:t>
      </w:r>
      <w:r w:rsidRPr="00115980">
        <w:t>Courts: 2012–201</w:t>
      </w:r>
      <w:r w:rsidR="00124978">
        <w:t>8</w:t>
      </w:r>
      <w:r w:rsidRPr="00115980">
        <w:rPr>
          <w:rStyle w:val="FootnoteReference"/>
          <w:b w:val="0"/>
          <w:bCs w:val="0"/>
        </w:rPr>
        <w:footnoteReference w:id="63"/>
      </w:r>
    </w:p>
    <w:p w14:paraId="59CF5B53" w14:textId="41FB5C50" w:rsidR="00752E25" w:rsidRPr="00115980" w:rsidRDefault="00752E25" w:rsidP="00752E25">
      <w:pPr>
        <w:pStyle w:val="TableTitle"/>
      </w:pPr>
    </w:p>
    <w:p w14:paraId="3B6158EA" w14:textId="4A37F664" w:rsidR="00442CBD" w:rsidRDefault="00442CBD" w:rsidP="00752E25">
      <w:r w:rsidRPr="00442CBD">
        <w:rPr>
          <w:noProof/>
          <w:lang w:eastAsia="ko-KR"/>
        </w:rPr>
        <w:drawing>
          <wp:inline distT="0" distB="0" distL="0" distR="0" wp14:anchorId="5FF43D4F" wp14:editId="0839F14D">
            <wp:extent cx="5455708" cy="3760258"/>
            <wp:effectExtent l="0" t="0" r="12065" b="12065"/>
            <wp:docPr id="17" name="Chart 17">
              <a:extLst xmlns:a="http://schemas.openxmlformats.org/drawingml/2006/main">
                <a:ext uri="{FF2B5EF4-FFF2-40B4-BE49-F238E27FC236}">
                  <a16:creationId xmlns:a16="http://schemas.microsoft.com/office/drawing/2014/main" id="{34820C07-AA29-4FB8-AB6F-AC9D4F9590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E6F683A" w14:textId="77777777" w:rsidR="00442CBD" w:rsidRDefault="00442CBD" w:rsidP="00752E25"/>
    <w:p w14:paraId="02EF613D" w14:textId="055110D6" w:rsidR="00752E25" w:rsidRPr="00115980" w:rsidRDefault="00752E25" w:rsidP="00752E25">
      <w:pPr>
        <w:rPr>
          <w:rFonts w:cs="NewBaskerville-Bold"/>
          <w:b/>
          <w:bCs/>
        </w:rPr>
      </w:pPr>
      <w:r w:rsidRPr="00115980">
        <w:t>The next two graphics illustrate the most active industries and their respective win rates in infringement trials from 2012 to 201</w:t>
      </w:r>
      <w:r w:rsidR="00BF7B07">
        <w:t>8</w:t>
      </w:r>
      <w:r w:rsidRPr="00115980">
        <w:t>.</w:t>
      </w:r>
    </w:p>
    <w:p w14:paraId="34720BB8" w14:textId="15FDCC28" w:rsidR="00752E25" w:rsidRDefault="00752E25" w:rsidP="00752E25">
      <w:pPr>
        <w:pStyle w:val="TableTitle"/>
      </w:pPr>
      <w:r w:rsidRPr="00115980">
        <w:lastRenderedPageBreak/>
        <w:t xml:space="preserve">Figure </w:t>
      </w:r>
      <w:r w:rsidR="0018402A">
        <w:t>37</w:t>
      </w:r>
      <w:r w:rsidRPr="00115980">
        <w:t>-8. Number of First-Instance Infringement Decisions by Technology: 2012–201</w:t>
      </w:r>
      <w:r w:rsidR="00124978">
        <w:t>8</w:t>
      </w:r>
      <w:r w:rsidRPr="00115980">
        <w:rPr>
          <w:rStyle w:val="FootnoteReference"/>
          <w:b w:val="0"/>
          <w:bCs w:val="0"/>
        </w:rPr>
        <w:footnoteReference w:id="64"/>
      </w:r>
    </w:p>
    <w:p w14:paraId="16387248" w14:textId="448DCCA9" w:rsidR="00752E25" w:rsidRDefault="00752E25" w:rsidP="00752E25">
      <w:pPr>
        <w:pStyle w:val="TableTitle"/>
      </w:pPr>
    </w:p>
    <w:p w14:paraId="0E7B2A28" w14:textId="101333E1" w:rsidR="0029726F" w:rsidRPr="00115980" w:rsidRDefault="0029726F" w:rsidP="00752E25">
      <w:pPr>
        <w:pStyle w:val="TableTitle"/>
      </w:pPr>
      <w:r w:rsidRPr="0029726F">
        <w:rPr>
          <w:noProof/>
          <w:lang w:eastAsia="ko-KR"/>
        </w:rPr>
        <w:drawing>
          <wp:inline distT="0" distB="0" distL="0" distR="0" wp14:anchorId="4BB9F9A2" wp14:editId="41026BE8">
            <wp:extent cx="5157787" cy="3684588"/>
            <wp:effectExtent l="0" t="0" r="5080" b="11430"/>
            <wp:docPr id="18" name="Chart 18">
              <a:extLst xmlns:a="http://schemas.openxmlformats.org/drawingml/2006/main">
                <a:ext uri="{FF2B5EF4-FFF2-40B4-BE49-F238E27FC236}">
                  <a16:creationId xmlns:a16="http://schemas.microsoft.com/office/drawing/2014/main" id="{01FCD914-8B5B-49EE-954A-2E2AD446D7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E84F5DF" w14:textId="5C62D3E9" w:rsidR="00752E25" w:rsidRDefault="00752E25" w:rsidP="00752E25">
      <w:pPr>
        <w:pStyle w:val="TableTitle"/>
        <w:spacing w:before="180"/>
      </w:pPr>
      <w:r w:rsidRPr="00115980">
        <w:t xml:space="preserve">Figure </w:t>
      </w:r>
      <w:r w:rsidR="0018402A">
        <w:t>37</w:t>
      </w:r>
      <w:r w:rsidRPr="00115980">
        <w:t>-9. First-Instance Infringement Win Rates by Technology: 2012–201</w:t>
      </w:r>
      <w:r w:rsidR="00124978">
        <w:t>8</w:t>
      </w:r>
      <w:r w:rsidRPr="00115980">
        <w:rPr>
          <w:rStyle w:val="FootnoteReference"/>
          <w:b w:val="0"/>
          <w:bCs w:val="0"/>
        </w:rPr>
        <w:footnoteReference w:id="65"/>
      </w:r>
    </w:p>
    <w:p w14:paraId="1DD92AF4" w14:textId="56686F4E" w:rsidR="00752E25" w:rsidRDefault="00752E25" w:rsidP="00752E25">
      <w:pPr>
        <w:pStyle w:val="TableTitle"/>
        <w:spacing w:before="180"/>
      </w:pPr>
    </w:p>
    <w:p w14:paraId="673E8E4E" w14:textId="0EB6EA41" w:rsidR="008B66CA" w:rsidRPr="00115980" w:rsidRDefault="008B66CA" w:rsidP="00752E25">
      <w:pPr>
        <w:pStyle w:val="TableTitle"/>
        <w:spacing w:before="180"/>
      </w:pPr>
      <w:r w:rsidRPr="008B66CA">
        <w:rPr>
          <w:noProof/>
          <w:lang w:eastAsia="ko-KR"/>
        </w:rPr>
        <w:lastRenderedPageBreak/>
        <w:drawing>
          <wp:inline distT="0" distB="0" distL="0" distR="0" wp14:anchorId="1A4583E0" wp14:editId="65E0C2C1">
            <wp:extent cx="5574242" cy="3987800"/>
            <wp:effectExtent l="0" t="0" r="7620" b="12700"/>
            <wp:docPr id="19" name="Chart 19">
              <a:extLst xmlns:a="http://schemas.openxmlformats.org/drawingml/2006/main">
                <a:ext uri="{FF2B5EF4-FFF2-40B4-BE49-F238E27FC236}">
                  <a16:creationId xmlns:a16="http://schemas.microsoft.com/office/drawing/2014/main" id="{7C25DC66-F4A9-4C01-A5A8-63D1242438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F519C4C" w14:textId="3C62F00F" w:rsidR="00752E25" w:rsidRPr="00115980" w:rsidRDefault="00752E25" w:rsidP="00752E25">
      <w:r w:rsidRPr="00115980">
        <w:t xml:space="preserve">There is less data on the preliminary injunction win rates over the same period, and the win rates for 2012 </w:t>
      </w:r>
      <w:r w:rsidR="00BF7B07">
        <w:t>to</w:t>
      </w:r>
      <w:r w:rsidRPr="00115980">
        <w:t xml:space="preserve"> 201</w:t>
      </w:r>
      <w:r w:rsidR="00BF7B07">
        <w:t>8</w:t>
      </w:r>
      <w:r w:rsidRPr="00115980">
        <w:t xml:space="preserve"> </w:t>
      </w:r>
      <w:r w:rsidR="00BF7B07">
        <w:t xml:space="preserve">based on partial data </w:t>
      </w:r>
      <w:r w:rsidRPr="00115980">
        <w:t>are provided below.</w:t>
      </w:r>
      <w:r w:rsidR="00013378">
        <w:t xml:space="preserve"> On average, a preliminary injunction request was granted 30 percent of the time (34/115). </w:t>
      </w:r>
    </w:p>
    <w:p w14:paraId="68E5D84A" w14:textId="2EB5F542" w:rsidR="00752E25" w:rsidRDefault="00752E25" w:rsidP="00752E25">
      <w:pPr>
        <w:pStyle w:val="TableTitle"/>
      </w:pPr>
      <w:r w:rsidRPr="00115980">
        <w:lastRenderedPageBreak/>
        <w:t xml:space="preserve">Figure </w:t>
      </w:r>
      <w:r w:rsidR="0018402A">
        <w:t>37</w:t>
      </w:r>
      <w:r w:rsidRPr="00115980">
        <w:t>-10. Preliminary Injunction Win Rates: 2012–201</w:t>
      </w:r>
      <w:r w:rsidR="00124978">
        <w:t>8</w:t>
      </w:r>
      <w:r w:rsidRPr="00115980">
        <w:rPr>
          <w:rStyle w:val="FootnoteReference"/>
          <w:b w:val="0"/>
          <w:bCs w:val="0"/>
        </w:rPr>
        <w:footnoteReference w:id="66"/>
      </w:r>
    </w:p>
    <w:p w14:paraId="54A77010" w14:textId="158EBD8B" w:rsidR="00752E25" w:rsidRDefault="00752E25" w:rsidP="00752E25">
      <w:pPr>
        <w:pStyle w:val="TableTitle"/>
      </w:pPr>
    </w:p>
    <w:p w14:paraId="2C34B469" w14:textId="0C407A90" w:rsidR="00034696" w:rsidRDefault="00034696" w:rsidP="00752E25">
      <w:pPr>
        <w:pStyle w:val="TableTitle"/>
      </w:pPr>
      <w:r w:rsidRPr="00034696">
        <w:rPr>
          <w:noProof/>
          <w:lang w:eastAsia="ko-KR"/>
        </w:rPr>
        <w:drawing>
          <wp:inline distT="0" distB="0" distL="0" distR="0" wp14:anchorId="20AAA09C" wp14:editId="53B445A1">
            <wp:extent cx="5157787" cy="3684588"/>
            <wp:effectExtent l="0" t="0" r="5080" b="11430"/>
            <wp:docPr id="20" name="Chart 20">
              <a:extLst xmlns:a="http://schemas.openxmlformats.org/drawingml/2006/main">
                <a:ext uri="{FF2B5EF4-FFF2-40B4-BE49-F238E27FC236}">
                  <a16:creationId xmlns:a16="http://schemas.microsoft.com/office/drawing/2014/main" id="{9B8E6E77-D954-413C-A452-80D885B24AC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A6C6EE6" w14:textId="77777777" w:rsidR="00034696" w:rsidRPr="00115980" w:rsidRDefault="00034696" w:rsidP="00752E25">
      <w:pPr>
        <w:pStyle w:val="TableTitle"/>
      </w:pPr>
    </w:p>
    <w:p w14:paraId="36830635" w14:textId="33B66F0F" w:rsidR="00752E25" w:rsidRPr="00115980" w:rsidRDefault="00752E25" w:rsidP="0018402A">
      <w:pPr>
        <w:pStyle w:val="TableNotes"/>
      </w:pPr>
      <w:r w:rsidRPr="00115980">
        <w:t>Over the same time period of 2012–201</w:t>
      </w:r>
      <w:r w:rsidR="00BF7B07">
        <w:t>8</w:t>
      </w:r>
      <w:r w:rsidRPr="00115980">
        <w:t xml:space="preserve">, patent owners enjoyed a similar appeal win rate of </w:t>
      </w:r>
      <w:r w:rsidR="004A4E72">
        <w:t>27</w:t>
      </w:r>
      <w:r w:rsidRPr="00115980">
        <w:t xml:space="preserve"> percent</w:t>
      </w:r>
      <w:r w:rsidR="00013378">
        <w:t xml:space="preserve"> (38/142)</w:t>
      </w:r>
      <w:r w:rsidRPr="00115980">
        <w:t xml:space="preserve">, slightly </w:t>
      </w:r>
      <w:r w:rsidR="004A4E72">
        <w:t>lower</w:t>
      </w:r>
      <w:r w:rsidRPr="00115980">
        <w:t xml:space="preserve"> than the 3</w:t>
      </w:r>
      <w:r w:rsidR="004A4E72">
        <w:t>2</w:t>
      </w:r>
      <w:r w:rsidRPr="00115980">
        <w:t xml:space="preserve"> percent first</w:t>
      </w:r>
      <w:r w:rsidR="002E7B75">
        <w:t>-</w:t>
      </w:r>
      <w:r w:rsidRPr="00115980">
        <w:t>instance win rate.</w:t>
      </w:r>
      <w:r w:rsidR="00BC3470">
        <w:t xml:space="preserve"> This is a </w:t>
      </w:r>
      <w:r w:rsidR="00310A4B">
        <w:t xml:space="preserve">patentee </w:t>
      </w:r>
      <w:r w:rsidR="00BC3470">
        <w:t>win rate</w:t>
      </w:r>
      <w:r w:rsidR="00310A4B">
        <w:t xml:space="preserve">, </w:t>
      </w:r>
      <w:r w:rsidR="00BC3470">
        <w:t>not an affirmance rate</w:t>
      </w:r>
      <w:r w:rsidR="00310A4B">
        <w:t>,</w:t>
      </w:r>
      <w:r w:rsidR="00BC3470">
        <w:t xml:space="preserve"> which would be another way to analyze appeal decisions. </w:t>
      </w:r>
      <w:r w:rsidRPr="00115980">
        <w:t xml:space="preserve">. The below chart breaks down the </w:t>
      </w:r>
      <w:r w:rsidR="00BC3470">
        <w:t xml:space="preserve">appeal </w:t>
      </w:r>
      <w:r w:rsidRPr="00115980">
        <w:t>win rates by year.</w:t>
      </w:r>
    </w:p>
    <w:p w14:paraId="5B91E469" w14:textId="449A712C" w:rsidR="00752E25" w:rsidRDefault="00752E25" w:rsidP="00752E25">
      <w:pPr>
        <w:pStyle w:val="TableTitle"/>
      </w:pPr>
      <w:r w:rsidRPr="00115980">
        <w:lastRenderedPageBreak/>
        <w:t xml:space="preserve">Figure </w:t>
      </w:r>
      <w:r w:rsidR="0018402A">
        <w:t>37</w:t>
      </w:r>
      <w:r w:rsidRPr="00115980">
        <w:t>-11. Appeal Infringement Win Rates: 2012–201</w:t>
      </w:r>
      <w:r w:rsidR="00124978">
        <w:t>8</w:t>
      </w:r>
      <w:r w:rsidRPr="00115980">
        <w:rPr>
          <w:rStyle w:val="FootnoteReference"/>
          <w:b w:val="0"/>
          <w:bCs w:val="0"/>
        </w:rPr>
        <w:footnoteReference w:id="67"/>
      </w:r>
    </w:p>
    <w:p w14:paraId="06F48317" w14:textId="73F480C5" w:rsidR="00752E25" w:rsidRDefault="00752E25" w:rsidP="00752E25">
      <w:pPr>
        <w:pStyle w:val="TableTitle"/>
      </w:pPr>
    </w:p>
    <w:p w14:paraId="3FCADA05" w14:textId="576C3900" w:rsidR="00013378" w:rsidRDefault="00013378" w:rsidP="00752E25">
      <w:pPr>
        <w:pStyle w:val="TableTitle"/>
      </w:pPr>
      <w:r w:rsidRPr="00013378">
        <w:rPr>
          <w:noProof/>
          <w:lang w:eastAsia="ko-KR"/>
        </w:rPr>
        <w:drawing>
          <wp:inline distT="0" distB="0" distL="0" distR="0" wp14:anchorId="6DD38B3D" wp14:editId="42784187">
            <wp:extent cx="5157787" cy="3684588"/>
            <wp:effectExtent l="0" t="0" r="5080" b="11430"/>
            <wp:docPr id="21" name="Chart 21">
              <a:extLst xmlns:a="http://schemas.openxmlformats.org/drawingml/2006/main">
                <a:ext uri="{FF2B5EF4-FFF2-40B4-BE49-F238E27FC236}">
                  <a16:creationId xmlns:a16="http://schemas.microsoft.com/office/drawing/2014/main" id="{7B4D12B5-4D8F-4FC5-935A-B0736D22D5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6348D58" w14:textId="77777777" w:rsidR="00013378" w:rsidRPr="00115980" w:rsidRDefault="00013378" w:rsidP="00752E25">
      <w:pPr>
        <w:pStyle w:val="TableTitle"/>
      </w:pPr>
    </w:p>
    <w:p w14:paraId="6D55AEE4" w14:textId="74E3B1B6" w:rsidR="00752E25" w:rsidRPr="00115980" w:rsidRDefault="00752E25" w:rsidP="00752E25">
      <w:pPr>
        <w:rPr>
          <w:rFonts w:cs="NewBaskerville-Bold"/>
          <w:b/>
          <w:bCs/>
        </w:rPr>
      </w:pPr>
      <w:r w:rsidRPr="00115980">
        <w:t>Finally, the below chart breaks down the respective win rates of foreign companies versus local companies in infringement trials from 2012 to 201</w:t>
      </w:r>
      <w:r w:rsidR="004A4E72">
        <w:t>8</w:t>
      </w:r>
      <w:r w:rsidRPr="00115980">
        <w:t xml:space="preserve">. While there were more cases involving local patent owners, foreign patent owners enjoyed a noticeably higher win rate (at </w:t>
      </w:r>
      <w:r w:rsidR="00D40146">
        <w:t>42</w:t>
      </w:r>
      <w:r w:rsidRPr="00115980">
        <w:t xml:space="preserve"> percent for foreign companies versus </w:t>
      </w:r>
      <w:r w:rsidR="00D40146">
        <w:t>26</w:t>
      </w:r>
      <w:r w:rsidRPr="00115980">
        <w:t xml:space="preserve"> percent for local companies), indicating the absence of bias against foreign patent owners.</w:t>
      </w:r>
    </w:p>
    <w:p w14:paraId="0B23611C" w14:textId="7DD5F90A" w:rsidR="00752E25" w:rsidRDefault="00752E25" w:rsidP="00752E25">
      <w:pPr>
        <w:pStyle w:val="TableTitle"/>
      </w:pPr>
      <w:r w:rsidRPr="00115980">
        <w:lastRenderedPageBreak/>
        <w:t xml:space="preserve">Figure </w:t>
      </w:r>
      <w:r w:rsidR="0018402A">
        <w:t>37</w:t>
      </w:r>
      <w:r w:rsidRPr="00115980">
        <w:t xml:space="preserve">-12. </w:t>
      </w:r>
      <w:r w:rsidR="00310A4B" w:rsidRPr="00310A4B">
        <w:t>Patentee Infringement Win Rate, Local Patentee vs. Foreign Patentee</w:t>
      </w:r>
      <w:r w:rsidRPr="00115980">
        <w:t>: 2012–201</w:t>
      </w:r>
      <w:r w:rsidR="00124978">
        <w:t>8</w:t>
      </w:r>
      <w:r w:rsidRPr="00115980">
        <w:rPr>
          <w:rStyle w:val="FootnoteReference"/>
          <w:b w:val="0"/>
          <w:bCs w:val="0"/>
        </w:rPr>
        <w:footnoteReference w:id="68"/>
      </w:r>
    </w:p>
    <w:p w14:paraId="67512172" w14:textId="14BFE3E8" w:rsidR="00752E25" w:rsidRDefault="00752E25" w:rsidP="00752E25">
      <w:pPr>
        <w:pStyle w:val="TableTitle"/>
      </w:pPr>
    </w:p>
    <w:p w14:paraId="196B7026" w14:textId="5E31F769" w:rsidR="00013378" w:rsidRDefault="00013378" w:rsidP="00752E25">
      <w:pPr>
        <w:pStyle w:val="TableTitle"/>
      </w:pPr>
      <w:r w:rsidRPr="00013378">
        <w:rPr>
          <w:noProof/>
          <w:lang w:eastAsia="ko-KR"/>
        </w:rPr>
        <w:drawing>
          <wp:inline distT="0" distB="0" distL="0" distR="0" wp14:anchorId="3DED599A" wp14:editId="095F7AE9">
            <wp:extent cx="5157787" cy="3684588"/>
            <wp:effectExtent l="0" t="0" r="5080" b="11430"/>
            <wp:docPr id="22" name="Chart 22">
              <a:extLst xmlns:a="http://schemas.openxmlformats.org/drawingml/2006/main">
                <a:ext uri="{FF2B5EF4-FFF2-40B4-BE49-F238E27FC236}">
                  <a16:creationId xmlns:a16="http://schemas.microsoft.com/office/drawing/2014/main" id="{8C05CE3F-27E7-4596-89F6-FD2DADA217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CCB552E" w14:textId="77777777" w:rsidR="00013378" w:rsidRPr="00115980" w:rsidRDefault="00013378" w:rsidP="00752E25">
      <w:pPr>
        <w:pStyle w:val="TableTitle"/>
      </w:pPr>
    </w:p>
    <w:p w14:paraId="2E7D0E0C" w14:textId="77777777" w:rsidR="00752E25" w:rsidRPr="00115980" w:rsidRDefault="00752E25" w:rsidP="00752E25">
      <w:pPr>
        <w:pStyle w:val="Heading3"/>
        <w:spacing w:before="120"/>
      </w:pPr>
      <w:r w:rsidRPr="00115980">
        <w:t>2.</w:t>
      </w:r>
      <w:r w:rsidRPr="00115980">
        <w:tab/>
        <w:t>Invalidation Actions</w:t>
      </w:r>
    </w:p>
    <w:p w14:paraId="0E90B0F6" w14:textId="58590AE7" w:rsidR="00752E25" w:rsidRPr="00115980" w:rsidRDefault="00752E25" w:rsidP="00752E25">
      <w:r w:rsidRPr="00115980">
        <w:t xml:space="preserve">The average validity win rate (claims survived validity challenge) in South Korea stood at </w:t>
      </w:r>
      <w:r w:rsidR="00D40146">
        <w:t>37</w:t>
      </w:r>
      <w:r w:rsidR="00CB5CD7">
        <w:t>.5</w:t>
      </w:r>
      <w:r w:rsidRPr="00115980">
        <w:t xml:space="preserve"> percent over the 2012 to 201</w:t>
      </w:r>
      <w:r w:rsidR="00D40146">
        <w:t>8</w:t>
      </w:r>
      <w:r w:rsidRPr="00115980">
        <w:t xml:space="preserve"> time frame.</w:t>
      </w:r>
    </w:p>
    <w:p w14:paraId="5FE19599" w14:textId="1BE36508" w:rsidR="00752E25" w:rsidRDefault="00752E25" w:rsidP="00752E25">
      <w:pPr>
        <w:pStyle w:val="TableTitle"/>
      </w:pPr>
      <w:r w:rsidRPr="00115980">
        <w:lastRenderedPageBreak/>
        <w:t xml:space="preserve">Figure </w:t>
      </w:r>
      <w:r w:rsidR="0018402A">
        <w:t>37</w:t>
      </w:r>
      <w:r w:rsidRPr="00115980">
        <w:t>-13. Plaintiff Win Rates for Invalidation Trials on Patents: 2012–201</w:t>
      </w:r>
      <w:r w:rsidR="00124978">
        <w:t>8</w:t>
      </w:r>
      <w:r w:rsidRPr="00115980">
        <w:rPr>
          <w:rStyle w:val="FootnoteReference"/>
          <w:b w:val="0"/>
          <w:bCs w:val="0"/>
        </w:rPr>
        <w:footnoteReference w:id="69"/>
      </w:r>
    </w:p>
    <w:p w14:paraId="6C34EC51" w14:textId="7DA7B234" w:rsidR="00752E25" w:rsidRDefault="00752E25" w:rsidP="00752E25">
      <w:pPr>
        <w:pStyle w:val="TableTitle"/>
      </w:pPr>
    </w:p>
    <w:p w14:paraId="276352FB" w14:textId="16512576" w:rsidR="00CB5CD7" w:rsidRPr="00115980" w:rsidRDefault="00CB5CD7" w:rsidP="00752E25">
      <w:pPr>
        <w:pStyle w:val="TableTitle"/>
      </w:pPr>
      <w:r w:rsidRPr="00CB5CD7">
        <w:rPr>
          <w:noProof/>
          <w:lang w:eastAsia="ko-KR"/>
        </w:rPr>
        <w:drawing>
          <wp:inline distT="0" distB="0" distL="0" distR="0" wp14:anchorId="4216D5E4" wp14:editId="2AA84673">
            <wp:extent cx="5157787" cy="3684588"/>
            <wp:effectExtent l="0" t="0" r="5080" b="11430"/>
            <wp:docPr id="23" name="Chart 23">
              <a:extLst xmlns:a="http://schemas.openxmlformats.org/drawingml/2006/main">
                <a:ext uri="{FF2B5EF4-FFF2-40B4-BE49-F238E27FC236}">
                  <a16:creationId xmlns:a16="http://schemas.microsoft.com/office/drawing/2014/main" id="{48D75932-6434-4378-BE0E-62965D1348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55AC22E" w14:textId="77777777" w:rsidR="00752E25" w:rsidRPr="00115980" w:rsidRDefault="00752E25" w:rsidP="00752E25">
      <w:pPr>
        <w:pStyle w:val="Heading3"/>
      </w:pPr>
      <w:r w:rsidRPr="00115980">
        <w:t>3.</w:t>
      </w:r>
      <w:r w:rsidRPr="00115980">
        <w:tab/>
        <w:t>Scope Confirmation Actions</w:t>
      </w:r>
    </w:p>
    <w:p w14:paraId="45D84823" w14:textId="77777777" w:rsidR="00752E25" w:rsidRPr="00115980" w:rsidRDefault="00752E25" w:rsidP="00752E25">
      <w:pPr>
        <w:pStyle w:val="Heading4"/>
        <w:spacing w:before="0"/>
      </w:pPr>
      <w:r w:rsidRPr="00115980">
        <w:t>a.</w:t>
      </w:r>
      <w:r w:rsidRPr="00115980">
        <w:tab/>
        <w:t>Positive Scope Confirmation Trial</w:t>
      </w:r>
    </w:p>
    <w:p w14:paraId="59C215D6" w14:textId="3A4D4793" w:rsidR="00752E25" w:rsidRPr="00115980" w:rsidRDefault="00752E25" w:rsidP="00752E25">
      <w:r w:rsidRPr="00115980">
        <w:t xml:space="preserve">In positive scope confirmation trials in which a patentee files a suit against the opposing party’s product or process to prove it falls within the scope of the patent claim(s), the rate of success </w:t>
      </w:r>
      <w:r w:rsidR="00A54B39">
        <w:t>has hovered around 20 to 33 percent in the past 12 years, twice reaching a peak of 33 percent in 2014 and 2016</w:t>
      </w:r>
      <w:r w:rsidRPr="00115980">
        <w:t>.</w:t>
      </w:r>
    </w:p>
    <w:p w14:paraId="05CCA889" w14:textId="29AC8C0B" w:rsidR="00752E25" w:rsidRPr="00115980" w:rsidRDefault="00752E25" w:rsidP="00752E25">
      <w:pPr>
        <w:pStyle w:val="TableTitle"/>
      </w:pPr>
      <w:r w:rsidRPr="00115980">
        <w:t xml:space="preserve">Table </w:t>
      </w:r>
      <w:r w:rsidR="0018402A">
        <w:t>37</w:t>
      </w:r>
      <w:r w:rsidRPr="00115980">
        <w:t>-4. Positive Scope Trial Results at the Intellectual Property Tribunal: 20</w:t>
      </w:r>
      <w:r w:rsidR="00D61AD6">
        <w:t>10</w:t>
      </w:r>
      <w:r w:rsidRPr="00115980">
        <w:t>–20</w:t>
      </w:r>
      <w:r w:rsidR="00D61AD6">
        <w:t>21</w:t>
      </w:r>
      <w:r w:rsidRPr="00115980">
        <w:rPr>
          <w:rStyle w:val="FootnoteReference"/>
          <w:b w:val="0"/>
          <w:bCs w:val="0"/>
        </w:rPr>
        <w:footnoteReference w:id="70"/>
      </w:r>
    </w:p>
    <w:tbl>
      <w:tblPr>
        <w:tblW w:w="9667" w:type="dxa"/>
        <w:tblInd w:w="60" w:type="dxa"/>
        <w:tblLayout w:type="fixed"/>
        <w:tblCellMar>
          <w:left w:w="0" w:type="dxa"/>
          <w:right w:w="0" w:type="dxa"/>
        </w:tblCellMar>
        <w:tblLook w:val="0000" w:firstRow="0" w:lastRow="0" w:firstColumn="0" w:lastColumn="0" w:noHBand="0" w:noVBand="0"/>
      </w:tblPr>
      <w:tblGrid>
        <w:gridCol w:w="1465"/>
        <w:gridCol w:w="683"/>
        <w:gridCol w:w="684"/>
        <w:gridCol w:w="683"/>
        <w:gridCol w:w="684"/>
        <w:gridCol w:w="683"/>
        <w:gridCol w:w="684"/>
        <w:gridCol w:w="683"/>
        <w:gridCol w:w="684"/>
        <w:gridCol w:w="683"/>
        <w:gridCol w:w="684"/>
        <w:gridCol w:w="683"/>
        <w:gridCol w:w="684"/>
      </w:tblGrid>
      <w:tr w:rsidR="00A56BFC" w:rsidRPr="00115980" w14:paraId="281F9F3B" w14:textId="77777777" w:rsidTr="00D61AD6">
        <w:trPr>
          <w:trHeight w:val="60"/>
        </w:trPr>
        <w:tc>
          <w:tcPr>
            <w:tcW w:w="1465" w:type="dxa"/>
            <w:tcBorders>
              <w:top w:val="single" w:sz="4" w:space="0" w:color="000000"/>
              <w:left w:val="single" w:sz="4" w:space="0" w:color="000000"/>
              <w:bottom w:val="single" w:sz="6" w:space="0" w:color="000000"/>
              <w:right w:val="single" w:sz="4" w:space="0" w:color="FFFFFF"/>
            </w:tcBorders>
            <w:shd w:val="clear" w:color="auto" w:fill="auto"/>
            <w:tcMar>
              <w:top w:w="80" w:type="dxa"/>
              <w:left w:w="60" w:type="dxa"/>
              <w:bottom w:w="80" w:type="dxa"/>
              <w:right w:w="60" w:type="dxa"/>
            </w:tcMar>
            <w:vAlign w:val="center"/>
          </w:tcPr>
          <w:p w14:paraId="176A3191" w14:textId="77777777" w:rsidR="00A56BFC" w:rsidRPr="00115980" w:rsidRDefault="00A56BFC">
            <w:pPr>
              <w:pStyle w:val="TableHead"/>
            </w:pPr>
            <w:r w:rsidRPr="00115980">
              <w:t xml:space="preserve">Scope Confirmation </w:t>
            </w:r>
            <w:r w:rsidRPr="00115980">
              <w:lastRenderedPageBreak/>
              <w:t>(positive)</w:t>
            </w:r>
          </w:p>
        </w:tc>
        <w:tc>
          <w:tcPr>
            <w:tcW w:w="683" w:type="dxa"/>
            <w:tcBorders>
              <w:top w:val="single" w:sz="4" w:space="0" w:color="000000"/>
              <w:left w:val="single" w:sz="4" w:space="0" w:color="FFFFFF"/>
              <w:bottom w:val="single" w:sz="6" w:space="0" w:color="000000"/>
              <w:right w:val="single" w:sz="4" w:space="0" w:color="FFFFFF"/>
            </w:tcBorders>
            <w:vAlign w:val="center"/>
          </w:tcPr>
          <w:p w14:paraId="04518A18" w14:textId="591F3CBC" w:rsidR="00A56BFC" w:rsidRPr="00115980" w:rsidRDefault="00A56BFC" w:rsidP="00A56BFC">
            <w:pPr>
              <w:pStyle w:val="TableHead"/>
            </w:pPr>
            <w:r>
              <w:lastRenderedPageBreak/>
              <w:t>2010</w:t>
            </w:r>
          </w:p>
        </w:tc>
        <w:tc>
          <w:tcPr>
            <w:tcW w:w="684" w:type="dxa"/>
            <w:tcBorders>
              <w:top w:val="single" w:sz="4" w:space="0" w:color="000000"/>
              <w:left w:val="single" w:sz="4" w:space="0" w:color="FFFFFF"/>
              <w:bottom w:val="single" w:sz="6" w:space="0" w:color="000000"/>
              <w:right w:val="single" w:sz="4" w:space="0" w:color="FFFFFF"/>
            </w:tcBorders>
            <w:vAlign w:val="center"/>
          </w:tcPr>
          <w:p w14:paraId="3AEF7487" w14:textId="5F90FE05" w:rsidR="00A56BFC" w:rsidRPr="00115980" w:rsidRDefault="00A56BFC" w:rsidP="00E973C2">
            <w:pPr>
              <w:pStyle w:val="TableHead"/>
            </w:pPr>
            <w:r>
              <w:t>2011</w:t>
            </w:r>
          </w:p>
        </w:tc>
        <w:tc>
          <w:tcPr>
            <w:tcW w:w="683" w:type="dxa"/>
            <w:tcBorders>
              <w:top w:val="single" w:sz="4" w:space="0" w:color="000000"/>
              <w:left w:val="single" w:sz="4" w:space="0" w:color="FFFFFF"/>
              <w:bottom w:val="single" w:sz="6" w:space="0" w:color="000000"/>
              <w:right w:val="single" w:sz="4" w:space="0" w:color="FFFFFF"/>
            </w:tcBorders>
            <w:vAlign w:val="center"/>
          </w:tcPr>
          <w:p w14:paraId="3CE4E9AD" w14:textId="3C4EB426" w:rsidR="00A56BFC" w:rsidRPr="00115980" w:rsidRDefault="00A56BFC" w:rsidP="00E973C2">
            <w:pPr>
              <w:pStyle w:val="TableHead"/>
            </w:pPr>
            <w:r>
              <w:t>2012</w:t>
            </w:r>
          </w:p>
        </w:tc>
        <w:tc>
          <w:tcPr>
            <w:tcW w:w="684"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5FFC3814" w14:textId="5B854A73" w:rsidR="00A56BFC" w:rsidRPr="00115980" w:rsidRDefault="00A56BFC">
            <w:pPr>
              <w:pStyle w:val="TableHead"/>
            </w:pPr>
            <w:r w:rsidRPr="00115980">
              <w:t>20</w:t>
            </w:r>
            <w:r>
              <w:t>13</w:t>
            </w:r>
          </w:p>
        </w:tc>
        <w:tc>
          <w:tcPr>
            <w:tcW w:w="683"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6A003E24" w14:textId="2386106B" w:rsidR="00A56BFC" w:rsidRPr="00115980" w:rsidRDefault="00A56BFC">
            <w:pPr>
              <w:pStyle w:val="TableHead"/>
            </w:pPr>
            <w:r w:rsidRPr="00115980">
              <w:t>20</w:t>
            </w:r>
            <w:r>
              <w:t>14</w:t>
            </w:r>
          </w:p>
        </w:tc>
        <w:tc>
          <w:tcPr>
            <w:tcW w:w="684"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265CD3FB" w14:textId="6930AF43" w:rsidR="00A56BFC" w:rsidRPr="00115980" w:rsidRDefault="00A56BFC">
            <w:pPr>
              <w:pStyle w:val="TableHead"/>
            </w:pPr>
            <w:r w:rsidRPr="00115980">
              <w:t>20</w:t>
            </w:r>
            <w:r>
              <w:t>15</w:t>
            </w:r>
          </w:p>
        </w:tc>
        <w:tc>
          <w:tcPr>
            <w:tcW w:w="683"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523D030C" w14:textId="0BC087BE" w:rsidR="00A56BFC" w:rsidRPr="00115980" w:rsidRDefault="00A56BFC">
            <w:pPr>
              <w:pStyle w:val="TableHead"/>
            </w:pPr>
            <w:r w:rsidRPr="00115980">
              <w:t>20</w:t>
            </w:r>
            <w:r>
              <w:t>16</w:t>
            </w:r>
          </w:p>
        </w:tc>
        <w:tc>
          <w:tcPr>
            <w:tcW w:w="684"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09AACC6A" w14:textId="742434CD" w:rsidR="00A56BFC" w:rsidRPr="00115980" w:rsidRDefault="00A56BFC">
            <w:pPr>
              <w:pStyle w:val="TableHead"/>
            </w:pPr>
            <w:r w:rsidRPr="00115980">
              <w:t>20</w:t>
            </w:r>
            <w:r>
              <w:t>17</w:t>
            </w:r>
          </w:p>
        </w:tc>
        <w:tc>
          <w:tcPr>
            <w:tcW w:w="683"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7870A4F1" w14:textId="2C0A7FD4" w:rsidR="00A56BFC" w:rsidRPr="00115980" w:rsidRDefault="00A56BFC">
            <w:pPr>
              <w:pStyle w:val="TableHead"/>
            </w:pPr>
            <w:r w:rsidRPr="00115980">
              <w:t>20</w:t>
            </w:r>
            <w:r>
              <w:t>18</w:t>
            </w:r>
          </w:p>
        </w:tc>
        <w:tc>
          <w:tcPr>
            <w:tcW w:w="684"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1474B8B9" w14:textId="29D6BC76" w:rsidR="00A56BFC" w:rsidRPr="00115980" w:rsidRDefault="00A56BFC">
            <w:pPr>
              <w:pStyle w:val="TableHead"/>
            </w:pPr>
            <w:r w:rsidRPr="00115980">
              <w:t>20</w:t>
            </w:r>
            <w:r w:rsidR="00E973C2">
              <w:t>19</w:t>
            </w:r>
          </w:p>
        </w:tc>
        <w:tc>
          <w:tcPr>
            <w:tcW w:w="683"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5CDF5EC2" w14:textId="2E08C98B" w:rsidR="00A56BFC" w:rsidRPr="00115980" w:rsidRDefault="00A56BFC">
            <w:pPr>
              <w:pStyle w:val="TableHead"/>
            </w:pPr>
            <w:r w:rsidRPr="00115980">
              <w:t>20</w:t>
            </w:r>
            <w:r w:rsidR="00E973C2">
              <w:t>10</w:t>
            </w:r>
          </w:p>
        </w:tc>
        <w:tc>
          <w:tcPr>
            <w:tcW w:w="684" w:type="dxa"/>
            <w:tcBorders>
              <w:top w:val="single" w:sz="4" w:space="0" w:color="000000"/>
              <w:left w:val="single" w:sz="4" w:space="0" w:color="FFFFFF"/>
              <w:bottom w:val="single" w:sz="6" w:space="0" w:color="000000"/>
              <w:right w:val="single" w:sz="4" w:space="0" w:color="000000"/>
            </w:tcBorders>
            <w:shd w:val="clear" w:color="auto" w:fill="auto"/>
            <w:tcMar>
              <w:top w:w="80" w:type="dxa"/>
              <w:left w:w="60" w:type="dxa"/>
              <w:bottom w:w="80" w:type="dxa"/>
              <w:right w:w="60" w:type="dxa"/>
            </w:tcMar>
            <w:vAlign w:val="center"/>
          </w:tcPr>
          <w:p w14:paraId="0043123F" w14:textId="2228A8B3" w:rsidR="00A56BFC" w:rsidRPr="00115980" w:rsidRDefault="00A56BFC">
            <w:pPr>
              <w:pStyle w:val="TableHead"/>
            </w:pPr>
            <w:r w:rsidRPr="00115980">
              <w:t>20</w:t>
            </w:r>
            <w:r w:rsidR="00E973C2">
              <w:t>21</w:t>
            </w:r>
          </w:p>
        </w:tc>
      </w:tr>
      <w:tr w:rsidR="00D61AD6" w:rsidRPr="00115980" w14:paraId="13C8CEFC" w14:textId="77777777" w:rsidTr="00D61AD6">
        <w:trPr>
          <w:trHeight w:val="60"/>
        </w:trPr>
        <w:tc>
          <w:tcPr>
            <w:tcW w:w="1465"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02C5195" w14:textId="77777777" w:rsidR="00A56BFC" w:rsidRPr="00115980" w:rsidRDefault="00A56BFC" w:rsidP="00E973C2">
            <w:pPr>
              <w:spacing w:line="220" w:lineRule="atLeast"/>
              <w:ind w:firstLine="0"/>
              <w:rPr>
                <w:sz w:val="20"/>
                <w:szCs w:val="20"/>
              </w:rPr>
            </w:pPr>
            <w:r w:rsidRPr="00115980">
              <w:rPr>
                <w:rFonts w:cs="NewBaskerville-Bold"/>
                <w:b/>
                <w:bCs/>
                <w:sz w:val="18"/>
                <w:szCs w:val="18"/>
              </w:rPr>
              <w:t>Plaintiff’s win</w:t>
            </w:r>
          </w:p>
        </w:tc>
        <w:tc>
          <w:tcPr>
            <w:tcW w:w="683" w:type="dxa"/>
            <w:tcBorders>
              <w:top w:val="single" w:sz="6" w:space="0" w:color="000000"/>
              <w:left w:val="single" w:sz="4" w:space="0" w:color="000000"/>
              <w:bottom w:val="single" w:sz="4" w:space="0" w:color="000000"/>
              <w:right w:val="single" w:sz="4" w:space="0" w:color="000000"/>
            </w:tcBorders>
            <w:vAlign w:val="center"/>
          </w:tcPr>
          <w:p w14:paraId="6680193C" w14:textId="6044E938" w:rsidR="00A56BFC" w:rsidRPr="00115980" w:rsidRDefault="0057042F" w:rsidP="00D61AD6">
            <w:pPr>
              <w:spacing w:line="220" w:lineRule="atLeast"/>
              <w:ind w:firstLine="0"/>
              <w:rPr>
                <w:sz w:val="18"/>
                <w:szCs w:val="18"/>
              </w:rPr>
            </w:pPr>
            <w:r>
              <w:rPr>
                <w:sz w:val="18"/>
                <w:szCs w:val="18"/>
              </w:rPr>
              <w:t>40</w:t>
            </w:r>
          </w:p>
        </w:tc>
        <w:tc>
          <w:tcPr>
            <w:tcW w:w="684" w:type="dxa"/>
            <w:tcBorders>
              <w:top w:val="single" w:sz="6" w:space="0" w:color="000000"/>
              <w:left w:val="single" w:sz="4" w:space="0" w:color="000000"/>
              <w:bottom w:val="single" w:sz="4" w:space="0" w:color="000000"/>
              <w:right w:val="single" w:sz="4" w:space="0" w:color="000000"/>
            </w:tcBorders>
            <w:vAlign w:val="center"/>
          </w:tcPr>
          <w:p w14:paraId="78109BF2" w14:textId="67735C12" w:rsidR="00A56BFC" w:rsidRPr="00115980" w:rsidRDefault="0057042F" w:rsidP="00D61AD6">
            <w:pPr>
              <w:spacing w:line="220" w:lineRule="atLeast"/>
              <w:ind w:firstLine="0"/>
              <w:rPr>
                <w:sz w:val="18"/>
                <w:szCs w:val="18"/>
              </w:rPr>
            </w:pPr>
            <w:r>
              <w:rPr>
                <w:sz w:val="18"/>
                <w:szCs w:val="18"/>
              </w:rPr>
              <w:t>65</w:t>
            </w:r>
          </w:p>
        </w:tc>
        <w:tc>
          <w:tcPr>
            <w:tcW w:w="683" w:type="dxa"/>
            <w:tcBorders>
              <w:top w:val="single" w:sz="6" w:space="0" w:color="000000"/>
              <w:left w:val="single" w:sz="4" w:space="0" w:color="000000"/>
              <w:bottom w:val="single" w:sz="4" w:space="0" w:color="000000"/>
              <w:right w:val="single" w:sz="4" w:space="0" w:color="000000"/>
            </w:tcBorders>
            <w:vAlign w:val="center"/>
          </w:tcPr>
          <w:p w14:paraId="613B86C7" w14:textId="5B4540ED" w:rsidR="00A56BFC" w:rsidRPr="00115980" w:rsidRDefault="0057042F" w:rsidP="00D61AD6">
            <w:pPr>
              <w:spacing w:line="220" w:lineRule="atLeast"/>
              <w:ind w:firstLine="0"/>
              <w:rPr>
                <w:sz w:val="18"/>
                <w:szCs w:val="18"/>
              </w:rPr>
            </w:pPr>
            <w:r>
              <w:rPr>
                <w:sz w:val="18"/>
                <w:szCs w:val="18"/>
              </w:rPr>
              <w:t>56</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F429D5E" w14:textId="0CDC8E48" w:rsidR="00A56BFC" w:rsidRPr="00115980" w:rsidRDefault="00D61AD6" w:rsidP="00D61AD6">
            <w:pPr>
              <w:spacing w:line="220" w:lineRule="atLeast"/>
              <w:ind w:firstLine="0"/>
              <w:rPr>
                <w:sz w:val="20"/>
                <w:szCs w:val="20"/>
              </w:rPr>
            </w:pPr>
            <w:r>
              <w:rPr>
                <w:sz w:val="18"/>
                <w:szCs w:val="18"/>
              </w:rPr>
              <w:t>38</w:t>
            </w:r>
          </w:p>
        </w:tc>
        <w:tc>
          <w:tcPr>
            <w:tcW w:w="683"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99BE9A0" w14:textId="044B1CED" w:rsidR="00A56BFC" w:rsidRPr="00115980" w:rsidRDefault="00D61AD6" w:rsidP="00D61AD6">
            <w:pPr>
              <w:spacing w:line="220" w:lineRule="atLeast"/>
              <w:ind w:firstLine="0"/>
              <w:rPr>
                <w:sz w:val="20"/>
                <w:szCs w:val="20"/>
              </w:rPr>
            </w:pPr>
            <w:r>
              <w:rPr>
                <w:sz w:val="18"/>
                <w:szCs w:val="18"/>
              </w:rPr>
              <w:t>54</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4D5E8E18" w14:textId="50A16F7C" w:rsidR="00A56BFC" w:rsidRPr="00115980" w:rsidRDefault="00D61AD6" w:rsidP="00D61AD6">
            <w:pPr>
              <w:spacing w:line="220" w:lineRule="atLeast"/>
              <w:ind w:firstLine="0"/>
              <w:rPr>
                <w:sz w:val="20"/>
                <w:szCs w:val="20"/>
              </w:rPr>
            </w:pPr>
            <w:r>
              <w:rPr>
                <w:sz w:val="18"/>
                <w:szCs w:val="18"/>
              </w:rPr>
              <w:t>44</w:t>
            </w:r>
          </w:p>
        </w:tc>
        <w:tc>
          <w:tcPr>
            <w:tcW w:w="683"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F7E08EF" w14:textId="5C3EDB83" w:rsidR="00A56BFC" w:rsidRPr="00115980" w:rsidRDefault="00D61AD6" w:rsidP="00D61AD6">
            <w:pPr>
              <w:spacing w:line="220" w:lineRule="atLeast"/>
              <w:ind w:firstLine="0"/>
              <w:rPr>
                <w:sz w:val="20"/>
                <w:szCs w:val="20"/>
              </w:rPr>
            </w:pPr>
            <w:r>
              <w:rPr>
                <w:sz w:val="18"/>
                <w:szCs w:val="18"/>
              </w:rPr>
              <w:t>41</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12986F9" w14:textId="727806E8" w:rsidR="00A56BFC" w:rsidRPr="00115980" w:rsidRDefault="0013522B" w:rsidP="00D61AD6">
            <w:pPr>
              <w:spacing w:line="220" w:lineRule="atLeast"/>
              <w:ind w:firstLine="0"/>
              <w:rPr>
                <w:sz w:val="20"/>
                <w:szCs w:val="20"/>
              </w:rPr>
            </w:pPr>
            <w:r>
              <w:rPr>
                <w:sz w:val="18"/>
                <w:szCs w:val="18"/>
              </w:rPr>
              <w:t>35</w:t>
            </w:r>
          </w:p>
        </w:tc>
        <w:tc>
          <w:tcPr>
            <w:tcW w:w="683"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12BE99C" w14:textId="01ADD5B7" w:rsidR="00A56BFC" w:rsidRPr="00115980" w:rsidRDefault="00322231" w:rsidP="00D61AD6">
            <w:pPr>
              <w:spacing w:line="220" w:lineRule="atLeast"/>
              <w:ind w:firstLine="0"/>
              <w:rPr>
                <w:sz w:val="20"/>
                <w:szCs w:val="20"/>
              </w:rPr>
            </w:pPr>
            <w:r>
              <w:rPr>
                <w:sz w:val="18"/>
                <w:szCs w:val="18"/>
              </w:rPr>
              <w:t>29</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CADAF68" w14:textId="04EC8275" w:rsidR="00A56BFC" w:rsidRPr="00115980" w:rsidRDefault="00322231" w:rsidP="00D61AD6">
            <w:pPr>
              <w:spacing w:line="220" w:lineRule="atLeast"/>
              <w:ind w:firstLine="0"/>
              <w:rPr>
                <w:sz w:val="20"/>
                <w:szCs w:val="20"/>
              </w:rPr>
            </w:pPr>
            <w:r>
              <w:rPr>
                <w:sz w:val="18"/>
                <w:szCs w:val="18"/>
              </w:rPr>
              <w:t>31</w:t>
            </w:r>
          </w:p>
        </w:tc>
        <w:tc>
          <w:tcPr>
            <w:tcW w:w="683"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E2F094B" w14:textId="00558619" w:rsidR="00A56BFC" w:rsidRPr="00115980" w:rsidRDefault="00322231" w:rsidP="00D61AD6">
            <w:pPr>
              <w:spacing w:line="220" w:lineRule="atLeast"/>
              <w:ind w:firstLine="0"/>
              <w:rPr>
                <w:sz w:val="20"/>
                <w:szCs w:val="20"/>
              </w:rPr>
            </w:pPr>
            <w:r>
              <w:rPr>
                <w:sz w:val="18"/>
                <w:szCs w:val="18"/>
              </w:rPr>
              <w:t>25</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D8433ED" w14:textId="6C060B0B" w:rsidR="00A56BFC" w:rsidRPr="00115980" w:rsidRDefault="00322231" w:rsidP="00D61AD6">
            <w:pPr>
              <w:spacing w:line="220" w:lineRule="atLeast"/>
              <w:ind w:firstLine="0"/>
              <w:rPr>
                <w:sz w:val="20"/>
                <w:szCs w:val="20"/>
              </w:rPr>
            </w:pPr>
            <w:r>
              <w:rPr>
                <w:sz w:val="18"/>
                <w:szCs w:val="18"/>
              </w:rPr>
              <w:t>25</w:t>
            </w:r>
          </w:p>
        </w:tc>
      </w:tr>
      <w:tr w:rsidR="00D61AD6" w:rsidRPr="00115980" w14:paraId="74D17EE4" w14:textId="77777777" w:rsidTr="00D61AD6">
        <w:trPr>
          <w:trHeight w:val="60"/>
        </w:trPr>
        <w:tc>
          <w:tcPr>
            <w:tcW w:w="1465"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9B962C1" w14:textId="77777777" w:rsidR="00A56BFC" w:rsidRPr="00115980" w:rsidRDefault="00A56BFC" w:rsidP="00E973C2">
            <w:pPr>
              <w:spacing w:line="220" w:lineRule="atLeast"/>
              <w:ind w:firstLine="0"/>
              <w:rPr>
                <w:sz w:val="20"/>
                <w:szCs w:val="20"/>
              </w:rPr>
            </w:pPr>
            <w:r w:rsidRPr="00115980">
              <w:rPr>
                <w:rFonts w:cs="NewBaskerville-Bold"/>
                <w:b/>
                <w:bCs/>
                <w:sz w:val="18"/>
                <w:szCs w:val="18"/>
              </w:rPr>
              <w:t>Rejection</w:t>
            </w:r>
          </w:p>
        </w:tc>
        <w:tc>
          <w:tcPr>
            <w:tcW w:w="683" w:type="dxa"/>
            <w:tcBorders>
              <w:top w:val="single" w:sz="4" w:space="0" w:color="000000"/>
              <w:left w:val="single" w:sz="4" w:space="0" w:color="000000"/>
              <w:bottom w:val="single" w:sz="4" w:space="0" w:color="000000"/>
              <w:right w:val="single" w:sz="4" w:space="0" w:color="000000"/>
            </w:tcBorders>
            <w:vAlign w:val="center"/>
          </w:tcPr>
          <w:p w14:paraId="649C7429" w14:textId="5E52E527" w:rsidR="00A56BFC" w:rsidRPr="00115980" w:rsidRDefault="0057042F" w:rsidP="00D61AD6">
            <w:pPr>
              <w:spacing w:line="220" w:lineRule="atLeast"/>
              <w:ind w:firstLine="0"/>
              <w:rPr>
                <w:sz w:val="18"/>
                <w:szCs w:val="18"/>
              </w:rPr>
            </w:pPr>
            <w:r>
              <w:rPr>
                <w:sz w:val="18"/>
                <w:szCs w:val="18"/>
              </w:rPr>
              <w:t>96</w:t>
            </w:r>
          </w:p>
        </w:tc>
        <w:tc>
          <w:tcPr>
            <w:tcW w:w="684" w:type="dxa"/>
            <w:tcBorders>
              <w:top w:val="single" w:sz="4" w:space="0" w:color="000000"/>
              <w:left w:val="single" w:sz="4" w:space="0" w:color="000000"/>
              <w:bottom w:val="single" w:sz="4" w:space="0" w:color="000000"/>
              <w:right w:val="single" w:sz="4" w:space="0" w:color="000000"/>
            </w:tcBorders>
            <w:vAlign w:val="center"/>
          </w:tcPr>
          <w:p w14:paraId="77120874" w14:textId="07BABD15" w:rsidR="00A56BFC" w:rsidRPr="00115980" w:rsidRDefault="0057042F" w:rsidP="00D61AD6">
            <w:pPr>
              <w:spacing w:line="220" w:lineRule="atLeast"/>
              <w:ind w:firstLine="0"/>
              <w:rPr>
                <w:sz w:val="18"/>
                <w:szCs w:val="18"/>
              </w:rPr>
            </w:pPr>
            <w:r>
              <w:rPr>
                <w:sz w:val="18"/>
                <w:szCs w:val="18"/>
              </w:rPr>
              <w:t>93</w:t>
            </w:r>
          </w:p>
        </w:tc>
        <w:tc>
          <w:tcPr>
            <w:tcW w:w="683" w:type="dxa"/>
            <w:tcBorders>
              <w:top w:val="single" w:sz="4" w:space="0" w:color="000000"/>
              <w:left w:val="single" w:sz="4" w:space="0" w:color="000000"/>
              <w:bottom w:val="single" w:sz="4" w:space="0" w:color="000000"/>
              <w:right w:val="single" w:sz="4" w:space="0" w:color="000000"/>
            </w:tcBorders>
            <w:vAlign w:val="center"/>
          </w:tcPr>
          <w:p w14:paraId="1781A573" w14:textId="2A382C50" w:rsidR="00A56BFC" w:rsidRPr="00115980" w:rsidRDefault="0057042F" w:rsidP="00D61AD6">
            <w:pPr>
              <w:spacing w:line="220" w:lineRule="atLeast"/>
              <w:ind w:firstLine="0"/>
              <w:rPr>
                <w:sz w:val="18"/>
                <w:szCs w:val="18"/>
              </w:rPr>
            </w:pPr>
            <w:r>
              <w:rPr>
                <w:sz w:val="18"/>
                <w:szCs w:val="18"/>
              </w:rPr>
              <w:t>82</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80E4B58" w14:textId="3EE288C1" w:rsidR="00A56BFC" w:rsidRPr="00115980" w:rsidRDefault="00D61AD6" w:rsidP="00D61AD6">
            <w:pPr>
              <w:spacing w:line="220" w:lineRule="atLeast"/>
              <w:ind w:firstLine="0"/>
              <w:rPr>
                <w:sz w:val="20"/>
                <w:szCs w:val="20"/>
              </w:rPr>
            </w:pPr>
            <w:r>
              <w:rPr>
                <w:sz w:val="18"/>
                <w:szCs w:val="18"/>
              </w:rPr>
              <w:t>65</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76D68E0" w14:textId="13A53AB1" w:rsidR="00A56BFC" w:rsidRPr="00115980" w:rsidRDefault="00D61AD6" w:rsidP="00D61AD6">
            <w:pPr>
              <w:spacing w:line="220" w:lineRule="atLeast"/>
              <w:ind w:firstLine="0"/>
              <w:rPr>
                <w:sz w:val="20"/>
                <w:szCs w:val="20"/>
              </w:rPr>
            </w:pPr>
            <w:r>
              <w:rPr>
                <w:sz w:val="18"/>
                <w:szCs w:val="18"/>
              </w:rPr>
              <w:t>68</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B5D4799" w14:textId="44C96554" w:rsidR="00A56BFC" w:rsidRPr="00115980" w:rsidRDefault="00D61AD6" w:rsidP="00D61AD6">
            <w:pPr>
              <w:spacing w:line="220" w:lineRule="atLeast"/>
              <w:ind w:firstLine="0"/>
              <w:rPr>
                <w:sz w:val="20"/>
                <w:szCs w:val="20"/>
              </w:rPr>
            </w:pPr>
            <w:r>
              <w:rPr>
                <w:sz w:val="18"/>
                <w:szCs w:val="18"/>
              </w:rPr>
              <w:t>52</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4907379" w14:textId="7D4116DC" w:rsidR="00A56BFC" w:rsidRPr="00115980" w:rsidRDefault="00D61AD6" w:rsidP="00D61AD6">
            <w:pPr>
              <w:spacing w:line="220" w:lineRule="atLeast"/>
              <w:ind w:firstLine="0"/>
              <w:rPr>
                <w:sz w:val="20"/>
                <w:szCs w:val="20"/>
              </w:rPr>
            </w:pPr>
            <w:r>
              <w:rPr>
                <w:sz w:val="18"/>
                <w:szCs w:val="18"/>
              </w:rPr>
              <w:t>37</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4AAE052" w14:textId="451703D6" w:rsidR="00A56BFC" w:rsidRPr="00115980" w:rsidRDefault="0013522B" w:rsidP="00D61AD6">
            <w:pPr>
              <w:spacing w:line="220" w:lineRule="atLeast"/>
              <w:ind w:firstLine="0"/>
              <w:rPr>
                <w:sz w:val="20"/>
                <w:szCs w:val="20"/>
              </w:rPr>
            </w:pPr>
            <w:r>
              <w:rPr>
                <w:sz w:val="18"/>
                <w:szCs w:val="18"/>
              </w:rPr>
              <w:t>39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A6C6AD3" w14:textId="1EFB03C8" w:rsidR="00A56BFC" w:rsidRPr="00115980" w:rsidRDefault="00322231" w:rsidP="00D61AD6">
            <w:pPr>
              <w:spacing w:line="220" w:lineRule="atLeast"/>
              <w:ind w:firstLine="0"/>
              <w:rPr>
                <w:sz w:val="20"/>
                <w:szCs w:val="20"/>
              </w:rPr>
            </w:pPr>
            <w:r>
              <w:rPr>
                <w:sz w:val="18"/>
                <w:szCs w:val="18"/>
              </w:rPr>
              <w:t>34</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C4B13F8" w14:textId="1ECCDDBC" w:rsidR="00A56BFC" w:rsidRPr="00115980" w:rsidRDefault="00322231" w:rsidP="00D61AD6">
            <w:pPr>
              <w:spacing w:line="220" w:lineRule="atLeast"/>
              <w:ind w:firstLine="0"/>
              <w:rPr>
                <w:sz w:val="20"/>
                <w:szCs w:val="20"/>
              </w:rPr>
            </w:pPr>
            <w:r>
              <w:rPr>
                <w:sz w:val="18"/>
                <w:szCs w:val="18"/>
              </w:rPr>
              <w:t>42</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749D98C" w14:textId="3463331D" w:rsidR="00A56BFC" w:rsidRPr="00115980" w:rsidRDefault="00322231" w:rsidP="00D61AD6">
            <w:pPr>
              <w:spacing w:line="220" w:lineRule="atLeast"/>
              <w:ind w:firstLine="0"/>
              <w:rPr>
                <w:sz w:val="20"/>
                <w:szCs w:val="20"/>
              </w:rPr>
            </w:pPr>
            <w:r>
              <w:rPr>
                <w:sz w:val="18"/>
                <w:szCs w:val="18"/>
              </w:rPr>
              <w:t>38</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472BC280" w14:textId="5CACB3C1" w:rsidR="00A56BFC" w:rsidRPr="00115980" w:rsidRDefault="00322231" w:rsidP="00D61AD6">
            <w:pPr>
              <w:spacing w:line="220" w:lineRule="atLeast"/>
              <w:ind w:firstLine="0"/>
              <w:rPr>
                <w:sz w:val="20"/>
                <w:szCs w:val="20"/>
              </w:rPr>
            </w:pPr>
            <w:r>
              <w:rPr>
                <w:sz w:val="18"/>
                <w:szCs w:val="18"/>
              </w:rPr>
              <w:t>37</w:t>
            </w:r>
          </w:p>
        </w:tc>
      </w:tr>
      <w:tr w:rsidR="00D61AD6" w:rsidRPr="00115980" w14:paraId="70F79254" w14:textId="77777777" w:rsidTr="00D61AD6">
        <w:trPr>
          <w:trHeight w:val="60"/>
        </w:trPr>
        <w:tc>
          <w:tcPr>
            <w:tcW w:w="1465"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3FDDB3A" w14:textId="77777777" w:rsidR="00A56BFC" w:rsidRPr="00115980" w:rsidRDefault="00A56BFC" w:rsidP="00E973C2">
            <w:pPr>
              <w:spacing w:line="220" w:lineRule="atLeast"/>
              <w:ind w:firstLine="0"/>
              <w:rPr>
                <w:sz w:val="20"/>
                <w:szCs w:val="20"/>
              </w:rPr>
            </w:pPr>
            <w:r w:rsidRPr="00115980">
              <w:rPr>
                <w:rFonts w:cs="NewBaskerville-Bold"/>
                <w:b/>
                <w:bCs/>
                <w:sz w:val="18"/>
                <w:szCs w:val="18"/>
              </w:rPr>
              <w:t>Dismissed</w:t>
            </w:r>
          </w:p>
        </w:tc>
        <w:tc>
          <w:tcPr>
            <w:tcW w:w="683" w:type="dxa"/>
            <w:tcBorders>
              <w:top w:val="single" w:sz="4" w:space="0" w:color="000000"/>
              <w:left w:val="single" w:sz="4" w:space="0" w:color="000000"/>
              <w:bottom w:val="single" w:sz="4" w:space="0" w:color="000000"/>
              <w:right w:val="single" w:sz="4" w:space="0" w:color="000000"/>
            </w:tcBorders>
            <w:vAlign w:val="center"/>
          </w:tcPr>
          <w:p w14:paraId="518E7D54" w14:textId="12E87A8D" w:rsidR="00A56BFC" w:rsidRPr="00115980" w:rsidRDefault="0057042F" w:rsidP="00D61AD6">
            <w:pPr>
              <w:spacing w:line="220" w:lineRule="atLeast"/>
              <w:ind w:firstLine="0"/>
              <w:rPr>
                <w:sz w:val="18"/>
                <w:szCs w:val="18"/>
              </w:rPr>
            </w:pPr>
            <w:r>
              <w:rPr>
                <w:sz w:val="18"/>
                <w:szCs w:val="18"/>
              </w:rPr>
              <w:t>64</w:t>
            </w:r>
          </w:p>
        </w:tc>
        <w:tc>
          <w:tcPr>
            <w:tcW w:w="684" w:type="dxa"/>
            <w:tcBorders>
              <w:top w:val="single" w:sz="4" w:space="0" w:color="000000"/>
              <w:left w:val="single" w:sz="4" w:space="0" w:color="000000"/>
              <w:bottom w:val="single" w:sz="4" w:space="0" w:color="000000"/>
              <w:right w:val="single" w:sz="4" w:space="0" w:color="000000"/>
            </w:tcBorders>
            <w:vAlign w:val="center"/>
          </w:tcPr>
          <w:p w14:paraId="3D863AB8" w14:textId="4D8850A4" w:rsidR="00A56BFC" w:rsidRPr="00115980" w:rsidRDefault="0057042F" w:rsidP="00D61AD6">
            <w:pPr>
              <w:spacing w:line="220" w:lineRule="atLeast"/>
              <w:ind w:firstLine="0"/>
              <w:rPr>
                <w:sz w:val="18"/>
                <w:szCs w:val="18"/>
              </w:rPr>
            </w:pPr>
            <w:r>
              <w:rPr>
                <w:sz w:val="18"/>
                <w:szCs w:val="18"/>
              </w:rPr>
              <w:t>85</w:t>
            </w:r>
          </w:p>
        </w:tc>
        <w:tc>
          <w:tcPr>
            <w:tcW w:w="683" w:type="dxa"/>
            <w:tcBorders>
              <w:top w:val="single" w:sz="4" w:space="0" w:color="000000"/>
              <w:left w:val="single" w:sz="4" w:space="0" w:color="000000"/>
              <w:bottom w:val="single" w:sz="4" w:space="0" w:color="000000"/>
              <w:right w:val="single" w:sz="4" w:space="0" w:color="000000"/>
            </w:tcBorders>
            <w:vAlign w:val="center"/>
          </w:tcPr>
          <w:p w14:paraId="30D1C3D5" w14:textId="66A4BE50" w:rsidR="00A56BFC" w:rsidRPr="00115980" w:rsidRDefault="0057042F" w:rsidP="00D61AD6">
            <w:pPr>
              <w:spacing w:line="220" w:lineRule="atLeast"/>
              <w:ind w:firstLine="0"/>
              <w:rPr>
                <w:sz w:val="18"/>
                <w:szCs w:val="18"/>
              </w:rPr>
            </w:pPr>
            <w:r>
              <w:rPr>
                <w:sz w:val="18"/>
                <w:szCs w:val="18"/>
              </w:rPr>
              <w:t>79</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CD01736" w14:textId="6878D33E" w:rsidR="00A56BFC" w:rsidRPr="00115980" w:rsidRDefault="00D61AD6" w:rsidP="00D61AD6">
            <w:pPr>
              <w:spacing w:line="220" w:lineRule="atLeast"/>
              <w:ind w:firstLine="0"/>
              <w:rPr>
                <w:sz w:val="20"/>
                <w:szCs w:val="20"/>
              </w:rPr>
            </w:pPr>
            <w:r>
              <w:rPr>
                <w:sz w:val="18"/>
                <w:szCs w:val="18"/>
              </w:rPr>
              <w:t>48</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61755F9" w14:textId="7E4CF372" w:rsidR="00A56BFC" w:rsidRPr="00115980" w:rsidRDefault="00D61AD6" w:rsidP="00D61AD6">
            <w:pPr>
              <w:spacing w:line="220" w:lineRule="atLeast"/>
              <w:ind w:firstLine="0"/>
              <w:rPr>
                <w:sz w:val="20"/>
                <w:szCs w:val="20"/>
              </w:rPr>
            </w:pPr>
            <w:r>
              <w:rPr>
                <w:sz w:val="18"/>
                <w:szCs w:val="18"/>
              </w:rPr>
              <w:t>40</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84A05C1" w14:textId="69245B44" w:rsidR="00A56BFC" w:rsidRPr="00115980" w:rsidRDefault="00D61AD6" w:rsidP="00D61AD6">
            <w:pPr>
              <w:spacing w:line="220" w:lineRule="atLeast"/>
              <w:ind w:firstLine="0"/>
              <w:rPr>
                <w:sz w:val="20"/>
                <w:szCs w:val="20"/>
              </w:rPr>
            </w:pPr>
            <w:r>
              <w:rPr>
                <w:sz w:val="18"/>
                <w:szCs w:val="18"/>
              </w:rPr>
              <w:t>53</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ACB7DDB" w14:textId="32CE2D79" w:rsidR="00A56BFC" w:rsidRPr="00115980" w:rsidRDefault="00D61AD6" w:rsidP="00D61AD6">
            <w:pPr>
              <w:spacing w:line="220" w:lineRule="atLeast"/>
              <w:ind w:firstLine="0"/>
              <w:rPr>
                <w:sz w:val="20"/>
                <w:szCs w:val="20"/>
              </w:rPr>
            </w:pPr>
            <w:r>
              <w:rPr>
                <w:sz w:val="18"/>
                <w:szCs w:val="18"/>
              </w:rPr>
              <w:t>46</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BA7EBA3" w14:textId="2AB358C5" w:rsidR="00A56BFC" w:rsidRPr="00115980" w:rsidRDefault="00322231" w:rsidP="00D61AD6">
            <w:pPr>
              <w:spacing w:line="220" w:lineRule="atLeast"/>
              <w:ind w:firstLine="0"/>
              <w:rPr>
                <w:sz w:val="20"/>
                <w:szCs w:val="20"/>
              </w:rPr>
            </w:pPr>
            <w:r>
              <w:rPr>
                <w:sz w:val="18"/>
                <w:szCs w:val="18"/>
              </w:rPr>
              <w:t>49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407A515" w14:textId="3D6140ED" w:rsidR="00A56BFC" w:rsidRPr="00115980" w:rsidRDefault="00322231" w:rsidP="00D61AD6">
            <w:pPr>
              <w:spacing w:line="220" w:lineRule="atLeast"/>
              <w:ind w:firstLine="0"/>
              <w:rPr>
                <w:sz w:val="20"/>
                <w:szCs w:val="20"/>
              </w:rPr>
            </w:pPr>
            <w:r>
              <w:rPr>
                <w:sz w:val="18"/>
                <w:szCs w:val="18"/>
              </w:rPr>
              <w:t>44</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454DA71" w14:textId="77777777" w:rsidR="00A56BFC" w:rsidRPr="00115980" w:rsidRDefault="00A56BFC" w:rsidP="00D61AD6">
            <w:pPr>
              <w:spacing w:line="220" w:lineRule="atLeast"/>
              <w:ind w:firstLine="0"/>
              <w:rPr>
                <w:sz w:val="20"/>
                <w:szCs w:val="20"/>
              </w:rPr>
            </w:pPr>
            <w:r w:rsidRPr="00115980">
              <w:rPr>
                <w:sz w:val="18"/>
                <w:szCs w:val="18"/>
              </w:rPr>
              <w:t>57</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64CE349" w14:textId="5704A940" w:rsidR="00A56BFC" w:rsidRPr="00115980" w:rsidRDefault="00322231" w:rsidP="00D61AD6">
            <w:pPr>
              <w:spacing w:line="220" w:lineRule="atLeast"/>
              <w:ind w:firstLine="0"/>
              <w:rPr>
                <w:sz w:val="20"/>
                <w:szCs w:val="20"/>
              </w:rPr>
            </w:pPr>
            <w:r>
              <w:rPr>
                <w:sz w:val="18"/>
                <w:szCs w:val="18"/>
              </w:rPr>
              <w:t>46</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EB8573D" w14:textId="68DDDE54" w:rsidR="00A56BFC" w:rsidRPr="00115980" w:rsidRDefault="00322231" w:rsidP="00D61AD6">
            <w:pPr>
              <w:spacing w:line="220" w:lineRule="atLeast"/>
              <w:ind w:firstLine="0"/>
              <w:rPr>
                <w:sz w:val="20"/>
                <w:szCs w:val="20"/>
              </w:rPr>
            </w:pPr>
            <w:r>
              <w:rPr>
                <w:sz w:val="18"/>
                <w:szCs w:val="18"/>
              </w:rPr>
              <w:t>66</w:t>
            </w:r>
          </w:p>
        </w:tc>
      </w:tr>
      <w:tr w:rsidR="00D61AD6" w:rsidRPr="00115980" w14:paraId="71F7F7BE" w14:textId="77777777" w:rsidTr="00D61AD6">
        <w:trPr>
          <w:trHeight w:val="60"/>
        </w:trPr>
        <w:tc>
          <w:tcPr>
            <w:tcW w:w="1465"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4B5922E" w14:textId="2583D85B" w:rsidR="00A56BFC" w:rsidRPr="00115980" w:rsidRDefault="00A56BFC" w:rsidP="00E973C2">
            <w:pPr>
              <w:spacing w:line="220" w:lineRule="atLeast"/>
              <w:ind w:firstLine="0"/>
              <w:rPr>
                <w:sz w:val="20"/>
                <w:szCs w:val="20"/>
              </w:rPr>
            </w:pPr>
            <w:r w:rsidRPr="00115980">
              <w:rPr>
                <w:rFonts w:cs="NewBaskerville-Bold"/>
                <w:b/>
                <w:bCs/>
                <w:sz w:val="18"/>
                <w:szCs w:val="18"/>
              </w:rPr>
              <w:t>Total number of cases</w:t>
            </w:r>
          </w:p>
        </w:tc>
        <w:tc>
          <w:tcPr>
            <w:tcW w:w="683" w:type="dxa"/>
            <w:tcBorders>
              <w:top w:val="single" w:sz="4" w:space="0" w:color="000000"/>
              <w:left w:val="single" w:sz="4" w:space="0" w:color="000000"/>
              <w:bottom w:val="single" w:sz="4" w:space="0" w:color="000000"/>
              <w:right w:val="single" w:sz="4" w:space="0" w:color="000000"/>
            </w:tcBorders>
            <w:vAlign w:val="center"/>
          </w:tcPr>
          <w:p w14:paraId="3752530B" w14:textId="127F42B7" w:rsidR="00A56BFC" w:rsidRPr="00115980" w:rsidRDefault="0057042F" w:rsidP="00D61AD6">
            <w:pPr>
              <w:spacing w:line="220" w:lineRule="atLeast"/>
              <w:ind w:firstLine="0"/>
              <w:rPr>
                <w:sz w:val="18"/>
                <w:szCs w:val="18"/>
              </w:rPr>
            </w:pPr>
            <w:r>
              <w:rPr>
                <w:sz w:val="18"/>
                <w:szCs w:val="18"/>
              </w:rPr>
              <w:t>200</w:t>
            </w:r>
          </w:p>
        </w:tc>
        <w:tc>
          <w:tcPr>
            <w:tcW w:w="684" w:type="dxa"/>
            <w:tcBorders>
              <w:top w:val="single" w:sz="4" w:space="0" w:color="000000"/>
              <w:left w:val="single" w:sz="4" w:space="0" w:color="000000"/>
              <w:bottom w:val="single" w:sz="4" w:space="0" w:color="000000"/>
              <w:right w:val="single" w:sz="4" w:space="0" w:color="000000"/>
            </w:tcBorders>
            <w:vAlign w:val="center"/>
          </w:tcPr>
          <w:p w14:paraId="23A40D50" w14:textId="1291C590" w:rsidR="00A56BFC" w:rsidRPr="00115980" w:rsidRDefault="0057042F" w:rsidP="00D61AD6">
            <w:pPr>
              <w:spacing w:line="220" w:lineRule="atLeast"/>
              <w:ind w:firstLine="0"/>
              <w:rPr>
                <w:sz w:val="18"/>
                <w:szCs w:val="18"/>
              </w:rPr>
            </w:pPr>
            <w:r>
              <w:rPr>
                <w:sz w:val="18"/>
                <w:szCs w:val="18"/>
              </w:rPr>
              <w:t>243</w:t>
            </w:r>
          </w:p>
        </w:tc>
        <w:tc>
          <w:tcPr>
            <w:tcW w:w="683" w:type="dxa"/>
            <w:tcBorders>
              <w:top w:val="single" w:sz="4" w:space="0" w:color="000000"/>
              <w:left w:val="single" w:sz="4" w:space="0" w:color="000000"/>
              <w:bottom w:val="single" w:sz="4" w:space="0" w:color="000000"/>
              <w:right w:val="single" w:sz="4" w:space="0" w:color="000000"/>
            </w:tcBorders>
            <w:vAlign w:val="center"/>
          </w:tcPr>
          <w:p w14:paraId="4DA4A900" w14:textId="714014A7" w:rsidR="00A56BFC" w:rsidRPr="00115980" w:rsidRDefault="0057042F" w:rsidP="00D61AD6">
            <w:pPr>
              <w:spacing w:line="220" w:lineRule="atLeast"/>
              <w:ind w:firstLine="0"/>
              <w:rPr>
                <w:sz w:val="18"/>
                <w:szCs w:val="18"/>
              </w:rPr>
            </w:pPr>
            <w:r>
              <w:rPr>
                <w:sz w:val="18"/>
                <w:szCs w:val="18"/>
              </w:rPr>
              <w:t>217</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4B5DDAF" w14:textId="4E0FE310" w:rsidR="00A56BFC" w:rsidRPr="00115980" w:rsidRDefault="00D61AD6" w:rsidP="00D61AD6">
            <w:pPr>
              <w:spacing w:line="220" w:lineRule="atLeast"/>
              <w:ind w:firstLine="0"/>
              <w:rPr>
                <w:sz w:val="20"/>
                <w:szCs w:val="20"/>
              </w:rPr>
            </w:pPr>
            <w:r>
              <w:rPr>
                <w:sz w:val="18"/>
                <w:szCs w:val="18"/>
              </w:rPr>
              <w:t>151</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006366C" w14:textId="5286CC01" w:rsidR="00A56BFC" w:rsidRPr="00115980" w:rsidRDefault="00D61AD6" w:rsidP="00D61AD6">
            <w:pPr>
              <w:spacing w:line="220" w:lineRule="atLeast"/>
              <w:ind w:firstLine="0"/>
              <w:rPr>
                <w:sz w:val="20"/>
                <w:szCs w:val="20"/>
              </w:rPr>
            </w:pPr>
            <w:r>
              <w:rPr>
                <w:sz w:val="18"/>
                <w:szCs w:val="18"/>
              </w:rPr>
              <w:t>162</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962C1C0" w14:textId="184D317C" w:rsidR="00A56BFC" w:rsidRPr="00115980" w:rsidRDefault="00D61AD6" w:rsidP="00D61AD6">
            <w:pPr>
              <w:spacing w:line="220" w:lineRule="atLeast"/>
              <w:ind w:firstLine="0"/>
              <w:rPr>
                <w:sz w:val="20"/>
                <w:szCs w:val="20"/>
              </w:rPr>
            </w:pPr>
            <w:r>
              <w:rPr>
                <w:sz w:val="18"/>
                <w:szCs w:val="18"/>
              </w:rPr>
              <w:t>149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CAFA79D" w14:textId="647023D5" w:rsidR="00A56BFC" w:rsidRPr="00115980" w:rsidRDefault="00D61AD6" w:rsidP="00D61AD6">
            <w:pPr>
              <w:spacing w:line="220" w:lineRule="atLeast"/>
              <w:ind w:firstLine="0"/>
              <w:rPr>
                <w:sz w:val="20"/>
                <w:szCs w:val="20"/>
              </w:rPr>
            </w:pPr>
            <w:r>
              <w:rPr>
                <w:sz w:val="18"/>
                <w:szCs w:val="18"/>
              </w:rPr>
              <w:t>124</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9BDE2BE" w14:textId="3D1B8EA7" w:rsidR="00A56BFC" w:rsidRPr="00115980" w:rsidRDefault="00322231" w:rsidP="00D61AD6">
            <w:pPr>
              <w:spacing w:line="220" w:lineRule="atLeast"/>
              <w:ind w:firstLine="0"/>
              <w:rPr>
                <w:sz w:val="20"/>
                <w:szCs w:val="20"/>
              </w:rPr>
            </w:pPr>
            <w:r>
              <w:rPr>
                <w:sz w:val="18"/>
                <w:szCs w:val="18"/>
              </w:rPr>
              <w:t>123</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4B0490C" w14:textId="653C6233" w:rsidR="00A56BFC" w:rsidRPr="00115980" w:rsidRDefault="00322231" w:rsidP="00D61AD6">
            <w:pPr>
              <w:spacing w:line="220" w:lineRule="atLeast"/>
              <w:ind w:firstLine="0"/>
              <w:rPr>
                <w:sz w:val="20"/>
                <w:szCs w:val="20"/>
              </w:rPr>
            </w:pPr>
            <w:r>
              <w:rPr>
                <w:sz w:val="18"/>
                <w:szCs w:val="18"/>
              </w:rPr>
              <w:t>107</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9EF29C7" w14:textId="58902DF2" w:rsidR="00A56BFC" w:rsidRPr="00115980" w:rsidRDefault="00322231" w:rsidP="00D61AD6">
            <w:pPr>
              <w:spacing w:line="220" w:lineRule="atLeast"/>
              <w:ind w:firstLine="0"/>
              <w:rPr>
                <w:sz w:val="20"/>
                <w:szCs w:val="20"/>
              </w:rPr>
            </w:pPr>
            <w:r>
              <w:rPr>
                <w:sz w:val="18"/>
                <w:szCs w:val="18"/>
              </w:rPr>
              <w:t>130</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72277A9" w14:textId="2E3F7A93" w:rsidR="00A56BFC" w:rsidRPr="00115980" w:rsidRDefault="00322231" w:rsidP="00D61AD6">
            <w:pPr>
              <w:spacing w:line="220" w:lineRule="atLeast"/>
              <w:ind w:firstLine="0"/>
              <w:rPr>
                <w:sz w:val="20"/>
                <w:szCs w:val="20"/>
              </w:rPr>
            </w:pPr>
            <w:r>
              <w:rPr>
                <w:sz w:val="18"/>
                <w:szCs w:val="18"/>
              </w:rPr>
              <w:t>109</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05542FE" w14:textId="544E3530" w:rsidR="00A56BFC" w:rsidRPr="00115980" w:rsidRDefault="00322231" w:rsidP="00D61AD6">
            <w:pPr>
              <w:spacing w:line="220" w:lineRule="atLeast"/>
              <w:ind w:firstLine="0"/>
              <w:rPr>
                <w:sz w:val="20"/>
                <w:szCs w:val="20"/>
              </w:rPr>
            </w:pPr>
            <w:r>
              <w:rPr>
                <w:sz w:val="18"/>
                <w:szCs w:val="18"/>
              </w:rPr>
              <w:t>128</w:t>
            </w:r>
          </w:p>
        </w:tc>
      </w:tr>
      <w:tr w:rsidR="00D61AD6" w:rsidRPr="00115980" w14:paraId="752326F1" w14:textId="77777777" w:rsidTr="00D61AD6">
        <w:trPr>
          <w:trHeight w:val="60"/>
        </w:trPr>
        <w:tc>
          <w:tcPr>
            <w:tcW w:w="1465"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0E81C53" w14:textId="77777777" w:rsidR="00A56BFC" w:rsidRPr="00115980" w:rsidRDefault="00A56BFC" w:rsidP="00E973C2">
            <w:pPr>
              <w:spacing w:line="220" w:lineRule="atLeast"/>
              <w:ind w:firstLine="0"/>
              <w:rPr>
                <w:sz w:val="20"/>
                <w:szCs w:val="20"/>
              </w:rPr>
            </w:pPr>
            <w:r w:rsidRPr="00115980">
              <w:rPr>
                <w:rFonts w:cs="NewBaskerville-Bold"/>
                <w:b/>
                <w:bCs/>
                <w:sz w:val="18"/>
                <w:szCs w:val="18"/>
              </w:rPr>
              <w:t>Win rate</w:t>
            </w:r>
          </w:p>
        </w:tc>
        <w:tc>
          <w:tcPr>
            <w:tcW w:w="683" w:type="dxa"/>
            <w:tcBorders>
              <w:top w:val="single" w:sz="4" w:space="0" w:color="000000"/>
              <w:left w:val="single" w:sz="4" w:space="0" w:color="000000"/>
              <w:bottom w:val="single" w:sz="4" w:space="0" w:color="000000"/>
              <w:right w:val="single" w:sz="4" w:space="0" w:color="000000"/>
            </w:tcBorders>
            <w:vAlign w:val="center"/>
          </w:tcPr>
          <w:p w14:paraId="389D03C7" w14:textId="320FC68C" w:rsidR="00A56BFC" w:rsidRPr="00115980" w:rsidRDefault="0057042F" w:rsidP="00E973C2">
            <w:pPr>
              <w:spacing w:line="220" w:lineRule="atLeast"/>
              <w:ind w:firstLine="0"/>
              <w:rPr>
                <w:sz w:val="18"/>
                <w:szCs w:val="18"/>
              </w:rPr>
            </w:pPr>
            <w:r>
              <w:rPr>
                <w:sz w:val="18"/>
                <w:szCs w:val="18"/>
              </w:rPr>
              <w:t>20.0%</w:t>
            </w:r>
          </w:p>
        </w:tc>
        <w:tc>
          <w:tcPr>
            <w:tcW w:w="684" w:type="dxa"/>
            <w:tcBorders>
              <w:top w:val="single" w:sz="4" w:space="0" w:color="000000"/>
              <w:left w:val="single" w:sz="4" w:space="0" w:color="000000"/>
              <w:bottom w:val="single" w:sz="4" w:space="0" w:color="000000"/>
              <w:right w:val="single" w:sz="4" w:space="0" w:color="000000"/>
            </w:tcBorders>
            <w:vAlign w:val="center"/>
          </w:tcPr>
          <w:p w14:paraId="6B587104" w14:textId="74665096" w:rsidR="00A56BFC" w:rsidRPr="00115980" w:rsidRDefault="0057042F" w:rsidP="00E973C2">
            <w:pPr>
              <w:spacing w:line="220" w:lineRule="atLeast"/>
              <w:ind w:firstLine="0"/>
              <w:rPr>
                <w:sz w:val="18"/>
                <w:szCs w:val="18"/>
              </w:rPr>
            </w:pPr>
            <w:r>
              <w:rPr>
                <w:sz w:val="18"/>
                <w:szCs w:val="18"/>
              </w:rPr>
              <w:t>26.7</w:t>
            </w:r>
            <w:r w:rsidR="00086790">
              <w:rPr>
                <w:sz w:val="18"/>
                <w:szCs w:val="18"/>
              </w:rPr>
              <w:t>%</w:t>
            </w:r>
          </w:p>
        </w:tc>
        <w:tc>
          <w:tcPr>
            <w:tcW w:w="683" w:type="dxa"/>
            <w:tcBorders>
              <w:top w:val="single" w:sz="4" w:space="0" w:color="000000"/>
              <w:left w:val="single" w:sz="4" w:space="0" w:color="000000"/>
              <w:bottom w:val="single" w:sz="4" w:space="0" w:color="000000"/>
              <w:right w:val="single" w:sz="4" w:space="0" w:color="000000"/>
            </w:tcBorders>
            <w:vAlign w:val="center"/>
          </w:tcPr>
          <w:p w14:paraId="73E51DBE" w14:textId="5509C81E" w:rsidR="00A56BFC" w:rsidRPr="00115980" w:rsidRDefault="0057042F" w:rsidP="0057042F">
            <w:pPr>
              <w:spacing w:line="220" w:lineRule="atLeast"/>
              <w:ind w:firstLine="0"/>
              <w:rPr>
                <w:sz w:val="18"/>
                <w:szCs w:val="18"/>
              </w:rPr>
            </w:pPr>
            <w:r>
              <w:rPr>
                <w:sz w:val="18"/>
                <w:szCs w:val="18"/>
              </w:rPr>
              <w:t>25.8%</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3936FFF" w14:textId="575B5FD5" w:rsidR="00A56BFC" w:rsidRPr="00115980" w:rsidRDefault="00D61AD6" w:rsidP="0057042F">
            <w:pPr>
              <w:spacing w:line="220" w:lineRule="atLeast"/>
              <w:ind w:firstLine="0"/>
              <w:rPr>
                <w:sz w:val="20"/>
                <w:szCs w:val="20"/>
              </w:rPr>
            </w:pPr>
            <w:r>
              <w:rPr>
                <w:sz w:val="18"/>
                <w:szCs w:val="18"/>
              </w:rPr>
              <w:t>25.2%</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A3C6D4A" w14:textId="67784FB5" w:rsidR="00A56BFC" w:rsidRPr="00115980" w:rsidRDefault="00D61AD6" w:rsidP="0057042F">
            <w:pPr>
              <w:spacing w:line="220" w:lineRule="atLeast"/>
              <w:ind w:firstLine="0"/>
              <w:rPr>
                <w:sz w:val="20"/>
                <w:szCs w:val="20"/>
              </w:rPr>
            </w:pPr>
            <w:r>
              <w:rPr>
                <w:sz w:val="18"/>
                <w:szCs w:val="18"/>
              </w:rPr>
              <w:t>33.3%</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B39A032" w14:textId="6DDFF5E8" w:rsidR="00A56BFC" w:rsidRPr="00115980" w:rsidRDefault="00D61AD6" w:rsidP="00D61AD6">
            <w:pPr>
              <w:spacing w:line="220" w:lineRule="atLeast"/>
              <w:ind w:firstLine="0"/>
              <w:rPr>
                <w:sz w:val="20"/>
                <w:szCs w:val="20"/>
              </w:rPr>
            </w:pPr>
            <w:r>
              <w:rPr>
                <w:sz w:val="18"/>
                <w:szCs w:val="18"/>
              </w:rPr>
              <w:t>29.5%</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CC3A927" w14:textId="43E9B8F8" w:rsidR="00A56BFC" w:rsidRPr="00115980" w:rsidRDefault="00D61AD6" w:rsidP="00D61AD6">
            <w:pPr>
              <w:spacing w:line="220" w:lineRule="atLeast"/>
              <w:ind w:firstLine="0"/>
              <w:rPr>
                <w:sz w:val="20"/>
                <w:szCs w:val="20"/>
              </w:rPr>
            </w:pPr>
            <w:r>
              <w:rPr>
                <w:sz w:val="18"/>
                <w:szCs w:val="18"/>
              </w:rPr>
              <w:t>33.1%</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93D3B46" w14:textId="7869ED50" w:rsidR="00A56BFC" w:rsidRPr="00115980" w:rsidRDefault="00322231" w:rsidP="00D61AD6">
            <w:pPr>
              <w:spacing w:line="220" w:lineRule="atLeast"/>
              <w:ind w:firstLine="0"/>
              <w:rPr>
                <w:sz w:val="20"/>
                <w:szCs w:val="20"/>
              </w:rPr>
            </w:pPr>
            <w:r>
              <w:rPr>
                <w:sz w:val="18"/>
                <w:szCs w:val="18"/>
              </w:rPr>
              <w:t>28.5%</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D17BAE2" w14:textId="12C2137F" w:rsidR="00A56BFC" w:rsidRPr="00115980" w:rsidRDefault="00322231" w:rsidP="00322231">
            <w:pPr>
              <w:spacing w:line="220" w:lineRule="atLeast"/>
              <w:ind w:firstLine="0"/>
              <w:rPr>
                <w:sz w:val="20"/>
                <w:szCs w:val="20"/>
              </w:rPr>
            </w:pPr>
            <w:r>
              <w:rPr>
                <w:sz w:val="18"/>
                <w:szCs w:val="18"/>
              </w:rPr>
              <w:t>27.1</w:t>
            </w:r>
            <w:r w:rsidR="0020594C">
              <w:rPr>
                <w:sz w:val="18"/>
                <w:szCs w:val="18"/>
              </w:rPr>
              <w:t>%</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2692A66" w14:textId="3A72A54F" w:rsidR="00A56BFC" w:rsidRPr="00115980" w:rsidRDefault="00322231" w:rsidP="00322231">
            <w:pPr>
              <w:spacing w:line="220" w:lineRule="atLeast"/>
              <w:ind w:firstLine="0"/>
              <w:rPr>
                <w:sz w:val="20"/>
                <w:szCs w:val="20"/>
              </w:rPr>
            </w:pPr>
            <w:r>
              <w:rPr>
                <w:sz w:val="18"/>
                <w:szCs w:val="18"/>
              </w:rPr>
              <w:t>23.8%</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78C4AAC" w14:textId="5B3CAE0D" w:rsidR="00A56BFC" w:rsidRPr="00115980" w:rsidRDefault="00322231" w:rsidP="00322231">
            <w:pPr>
              <w:spacing w:line="220" w:lineRule="atLeast"/>
              <w:ind w:firstLine="0"/>
              <w:rPr>
                <w:sz w:val="20"/>
                <w:szCs w:val="20"/>
              </w:rPr>
            </w:pPr>
            <w:r>
              <w:rPr>
                <w:sz w:val="18"/>
                <w:szCs w:val="18"/>
              </w:rPr>
              <w:t>22.9%</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C196420" w14:textId="41EE0735" w:rsidR="00A56BFC" w:rsidRPr="00115980" w:rsidRDefault="00322231" w:rsidP="00322231">
            <w:pPr>
              <w:spacing w:line="220" w:lineRule="atLeast"/>
              <w:ind w:firstLine="0"/>
              <w:rPr>
                <w:sz w:val="20"/>
                <w:szCs w:val="20"/>
              </w:rPr>
            </w:pPr>
            <w:r>
              <w:rPr>
                <w:sz w:val="18"/>
                <w:szCs w:val="18"/>
              </w:rPr>
              <w:t>19.5%</w:t>
            </w:r>
          </w:p>
        </w:tc>
      </w:tr>
    </w:tbl>
    <w:p w14:paraId="6099ED8D" w14:textId="77777777" w:rsidR="00752E25" w:rsidRPr="00115980" w:rsidRDefault="00752E25" w:rsidP="00752E25">
      <w:pPr>
        <w:pStyle w:val="TableTitle"/>
      </w:pPr>
    </w:p>
    <w:p w14:paraId="7729D166" w14:textId="77777777" w:rsidR="00752E25" w:rsidRPr="00115980" w:rsidRDefault="00752E25" w:rsidP="00752E25">
      <w:pPr>
        <w:pStyle w:val="Heading4"/>
      </w:pPr>
      <w:r w:rsidRPr="00115980">
        <w:t>b.</w:t>
      </w:r>
      <w:r w:rsidRPr="00115980">
        <w:tab/>
        <w:t>Negative Scope Confirmation Trial</w:t>
      </w:r>
    </w:p>
    <w:p w14:paraId="1A532780" w14:textId="78469A76" w:rsidR="00752E25" w:rsidRPr="00115980" w:rsidRDefault="00752E25" w:rsidP="00752E25">
      <w:r w:rsidRPr="00115980">
        <w:t xml:space="preserve">In negative scope confirmation trials in which a plaintiff files a suit requesting confirmation that the accused product or process does not fall within the scope of a patent right, the rate of success for such claims </w:t>
      </w:r>
      <w:r w:rsidR="00C62712">
        <w:t xml:space="preserve">ranged from </w:t>
      </w:r>
      <w:r w:rsidR="00C62712" w:rsidRPr="00C62712">
        <w:t>63.2</w:t>
      </w:r>
      <w:r w:rsidR="00C62712">
        <w:t xml:space="preserve"> to</w:t>
      </w:r>
      <w:r w:rsidRPr="00115980">
        <w:t xml:space="preserve"> </w:t>
      </w:r>
      <w:r w:rsidR="00C62712">
        <w:t>82.6</w:t>
      </w:r>
      <w:r w:rsidRPr="00115980">
        <w:t xml:space="preserve"> percent in the </w:t>
      </w:r>
      <w:r w:rsidR="00C62712">
        <w:t>past 12 years</w:t>
      </w:r>
      <w:r w:rsidRPr="00115980">
        <w:t>.</w:t>
      </w:r>
    </w:p>
    <w:p w14:paraId="031F0D48" w14:textId="47A09648" w:rsidR="00752E25" w:rsidRPr="00115980" w:rsidRDefault="00752E25" w:rsidP="00752E25">
      <w:pPr>
        <w:pStyle w:val="TableTitle"/>
      </w:pPr>
      <w:r w:rsidRPr="00115980">
        <w:t xml:space="preserve">Table </w:t>
      </w:r>
      <w:r w:rsidR="0018402A">
        <w:t>37</w:t>
      </w:r>
      <w:r w:rsidRPr="00115980">
        <w:t>-6. Negative Scope Trial Results at the Intellectual Property Tribunal and Related Scope Confirmation Rulings</w:t>
      </w:r>
      <w:r w:rsidRPr="00115980">
        <w:rPr>
          <w:rStyle w:val="FootnoteReference"/>
          <w:b w:val="0"/>
          <w:bCs w:val="0"/>
        </w:rPr>
        <w:footnoteReference w:id="71"/>
      </w:r>
    </w:p>
    <w:tbl>
      <w:tblPr>
        <w:tblW w:w="9667" w:type="dxa"/>
        <w:tblInd w:w="60" w:type="dxa"/>
        <w:tblLayout w:type="fixed"/>
        <w:tblCellMar>
          <w:left w:w="0" w:type="dxa"/>
          <w:right w:w="0" w:type="dxa"/>
        </w:tblCellMar>
        <w:tblLook w:val="0000" w:firstRow="0" w:lastRow="0" w:firstColumn="0" w:lastColumn="0" w:noHBand="0" w:noVBand="0"/>
      </w:tblPr>
      <w:tblGrid>
        <w:gridCol w:w="1465"/>
        <w:gridCol w:w="683"/>
        <w:gridCol w:w="684"/>
        <w:gridCol w:w="683"/>
        <w:gridCol w:w="684"/>
        <w:gridCol w:w="683"/>
        <w:gridCol w:w="684"/>
        <w:gridCol w:w="683"/>
        <w:gridCol w:w="684"/>
        <w:gridCol w:w="683"/>
        <w:gridCol w:w="684"/>
        <w:gridCol w:w="683"/>
        <w:gridCol w:w="684"/>
      </w:tblGrid>
      <w:tr w:rsidR="00C20C9D" w:rsidRPr="00115980" w14:paraId="5B0B952D" w14:textId="77777777" w:rsidTr="00C20C9D">
        <w:trPr>
          <w:trHeight w:val="60"/>
        </w:trPr>
        <w:tc>
          <w:tcPr>
            <w:tcW w:w="1465" w:type="dxa"/>
            <w:tcBorders>
              <w:top w:val="single" w:sz="4" w:space="0" w:color="000000"/>
              <w:left w:val="single" w:sz="4" w:space="0" w:color="000000"/>
              <w:bottom w:val="single" w:sz="6" w:space="0" w:color="000000"/>
              <w:right w:val="single" w:sz="4" w:space="0" w:color="FFFFFF"/>
            </w:tcBorders>
            <w:shd w:val="clear" w:color="auto" w:fill="auto"/>
            <w:tcMar>
              <w:top w:w="80" w:type="dxa"/>
              <w:left w:w="60" w:type="dxa"/>
              <w:bottom w:w="80" w:type="dxa"/>
              <w:right w:w="60" w:type="dxa"/>
            </w:tcMar>
            <w:vAlign w:val="center"/>
          </w:tcPr>
          <w:p w14:paraId="122894F4" w14:textId="39DDE4BD" w:rsidR="00C20C9D" w:rsidRPr="00115980" w:rsidRDefault="00C20C9D" w:rsidP="00CE0BB2">
            <w:pPr>
              <w:pStyle w:val="TableHead"/>
            </w:pPr>
            <w:r w:rsidRPr="00115980">
              <w:t>Scope Confirmation (</w:t>
            </w:r>
            <w:r>
              <w:t>negative)</w:t>
            </w:r>
          </w:p>
        </w:tc>
        <w:tc>
          <w:tcPr>
            <w:tcW w:w="683" w:type="dxa"/>
            <w:tcBorders>
              <w:top w:val="single" w:sz="4" w:space="0" w:color="000000"/>
              <w:left w:val="single" w:sz="4" w:space="0" w:color="FFFFFF"/>
              <w:bottom w:val="single" w:sz="6" w:space="0" w:color="000000"/>
              <w:right w:val="single" w:sz="4" w:space="0" w:color="FFFFFF"/>
            </w:tcBorders>
            <w:vAlign w:val="center"/>
          </w:tcPr>
          <w:p w14:paraId="39E71814" w14:textId="77777777" w:rsidR="00C20C9D" w:rsidRPr="00115980" w:rsidRDefault="00C20C9D" w:rsidP="00CE0BB2">
            <w:pPr>
              <w:pStyle w:val="TableHead"/>
            </w:pPr>
            <w:r>
              <w:t>2010</w:t>
            </w:r>
          </w:p>
        </w:tc>
        <w:tc>
          <w:tcPr>
            <w:tcW w:w="684" w:type="dxa"/>
            <w:tcBorders>
              <w:top w:val="single" w:sz="4" w:space="0" w:color="000000"/>
              <w:left w:val="single" w:sz="4" w:space="0" w:color="FFFFFF"/>
              <w:bottom w:val="single" w:sz="6" w:space="0" w:color="000000"/>
              <w:right w:val="single" w:sz="4" w:space="0" w:color="FFFFFF"/>
            </w:tcBorders>
            <w:vAlign w:val="center"/>
          </w:tcPr>
          <w:p w14:paraId="71937D05" w14:textId="77777777" w:rsidR="00C20C9D" w:rsidRPr="00115980" w:rsidRDefault="00C20C9D" w:rsidP="00CE0BB2">
            <w:pPr>
              <w:pStyle w:val="TableHead"/>
            </w:pPr>
            <w:r>
              <w:t>2011</w:t>
            </w:r>
          </w:p>
        </w:tc>
        <w:tc>
          <w:tcPr>
            <w:tcW w:w="683" w:type="dxa"/>
            <w:tcBorders>
              <w:top w:val="single" w:sz="4" w:space="0" w:color="000000"/>
              <w:left w:val="single" w:sz="4" w:space="0" w:color="FFFFFF"/>
              <w:bottom w:val="single" w:sz="6" w:space="0" w:color="000000"/>
              <w:right w:val="single" w:sz="4" w:space="0" w:color="FFFFFF"/>
            </w:tcBorders>
            <w:vAlign w:val="center"/>
          </w:tcPr>
          <w:p w14:paraId="42302D24" w14:textId="77777777" w:rsidR="00C20C9D" w:rsidRPr="00115980" w:rsidRDefault="00C20C9D" w:rsidP="00CE0BB2">
            <w:pPr>
              <w:pStyle w:val="TableHead"/>
            </w:pPr>
            <w:r>
              <w:t>2012</w:t>
            </w:r>
          </w:p>
        </w:tc>
        <w:tc>
          <w:tcPr>
            <w:tcW w:w="684"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4D408F86" w14:textId="77777777" w:rsidR="00C20C9D" w:rsidRPr="00115980" w:rsidRDefault="00C20C9D" w:rsidP="00CE0BB2">
            <w:pPr>
              <w:pStyle w:val="TableHead"/>
            </w:pPr>
            <w:r w:rsidRPr="00115980">
              <w:t>20</w:t>
            </w:r>
            <w:r>
              <w:t>13</w:t>
            </w:r>
          </w:p>
        </w:tc>
        <w:tc>
          <w:tcPr>
            <w:tcW w:w="683"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40CEF287" w14:textId="77777777" w:rsidR="00C20C9D" w:rsidRPr="00115980" w:rsidRDefault="00C20C9D" w:rsidP="00CE0BB2">
            <w:pPr>
              <w:pStyle w:val="TableHead"/>
            </w:pPr>
            <w:r w:rsidRPr="00115980">
              <w:t>20</w:t>
            </w:r>
            <w:r>
              <w:t>14</w:t>
            </w:r>
          </w:p>
        </w:tc>
        <w:tc>
          <w:tcPr>
            <w:tcW w:w="684"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5E3AFFA1" w14:textId="77777777" w:rsidR="00C20C9D" w:rsidRPr="00115980" w:rsidRDefault="00C20C9D" w:rsidP="00CE0BB2">
            <w:pPr>
              <w:pStyle w:val="TableHead"/>
            </w:pPr>
            <w:r w:rsidRPr="00115980">
              <w:t>20</w:t>
            </w:r>
            <w:r>
              <w:t>15</w:t>
            </w:r>
          </w:p>
        </w:tc>
        <w:tc>
          <w:tcPr>
            <w:tcW w:w="683"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186DB47C" w14:textId="77777777" w:rsidR="00C20C9D" w:rsidRPr="00115980" w:rsidRDefault="00C20C9D" w:rsidP="00CE0BB2">
            <w:pPr>
              <w:pStyle w:val="TableHead"/>
            </w:pPr>
            <w:r w:rsidRPr="00115980">
              <w:t>20</w:t>
            </w:r>
            <w:r>
              <w:t>16</w:t>
            </w:r>
          </w:p>
        </w:tc>
        <w:tc>
          <w:tcPr>
            <w:tcW w:w="684"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43B1A93A" w14:textId="77777777" w:rsidR="00C20C9D" w:rsidRPr="00115980" w:rsidRDefault="00C20C9D" w:rsidP="00CE0BB2">
            <w:pPr>
              <w:pStyle w:val="TableHead"/>
            </w:pPr>
            <w:r w:rsidRPr="00115980">
              <w:t>20</w:t>
            </w:r>
            <w:r>
              <w:t>17</w:t>
            </w:r>
          </w:p>
        </w:tc>
        <w:tc>
          <w:tcPr>
            <w:tcW w:w="683"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11B5E80C" w14:textId="77777777" w:rsidR="00C20C9D" w:rsidRPr="00115980" w:rsidRDefault="00C20C9D" w:rsidP="00CE0BB2">
            <w:pPr>
              <w:pStyle w:val="TableHead"/>
            </w:pPr>
            <w:r w:rsidRPr="00115980">
              <w:t>20</w:t>
            </w:r>
            <w:r>
              <w:t>18</w:t>
            </w:r>
          </w:p>
        </w:tc>
        <w:tc>
          <w:tcPr>
            <w:tcW w:w="684"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0A93BCE6" w14:textId="77777777" w:rsidR="00C20C9D" w:rsidRPr="00115980" w:rsidRDefault="00C20C9D" w:rsidP="00CE0BB2">
            <w:pPr>
              <w:pStyle w:val="TableHead"/>
            </w:pPr>
            <w:r w:rsidRPr="00115980">
              <w:t>20</w:t>
            </w:r>
            <w:r>
              <w:t>19</w:t>
            </w:r>
          </w:p>
        </w:tc>
        <w:tc>
          <w:tcPr>
            <w:tcW w:w="683" w:type="dxa"/>
            <w:tcBorders>
              <w:top w:val="single" w:sz="4" w:space="0" w:color="000000"/>
              <w:left w:val="single" w:sz="4" w:space="0" w:color="FFFFFF"/>
              <w:bottom w:val="single" w:sz="6" w:space="0" w:color="000000"/>
              <w:right w:val="single" w:sz="4" w:space="0" w:color="FFFFFF"/>
            </w:tcBorders>
            <w:shd w:val="clear" w:color="auto" w:fill="auto"/>
            <w:tcMar>
              <w:top w:w="80" w:type="dxa"/>
              <w:left w:w="60" w:type="dxa"/>
              <w:bottom w:w="80" w:type="dxa"/>
              <w:right w:w="60" w:type="dxa"/>
            </w:tcMar>
            <w:vAlign w:val="center"/>
          </w:tcPr>
          <w:p w14:paraId="60C2814B" w14:textId="77777777" w:rsidR="00C20C9D" w:rsidRPr="00115980" w:rsidRDefault="00C20C9D" w:rsidP="00CE0BB2">
            <w:pPr>
              <w:pStyle w:val="TableHead"/>
            </w:pPr>
            <w:r w:rsidRPr="00115980">
              <w:t>20</w:t>
            </w:r>
            <w:r>
              <w:t>10</w:t>
            </w:r>
          </w:p>
        </w:tc>
        <w:tc>
          <w:tcPr>
            <w:tcW w:w="684" w:type="dxa"/>
            <w:tcBorders>
              <w:top w:val="single" w:sz="4" w:space="0" w:color="000000"/>
              <w:left w:val="single" w:sz="4" w:space="0" w:color="FFFFFF"/>
              <w:bottom w:val="single" w:sz="6" w:space="0" w:color="000000"/>
              <w:right w:val="single" w:sz="4" w:space="0" w:color="000000"/>
            </w:tcBorders>
            <w:shd w:val="clear" w:color="auto" w:fill="auto"/>
            <w:tcMar>
              <w:top w:w="80" w:type="dxa"/>
              <w:left w:w="60" w:type="dxa"/>
              <w:bottom w:w="80" w:type="dxa"/>
              <w:right w:w="60" w:type="dxa"/>
            </w:tcMar>
            <w:vAlign w:val="center"/>
          </w:tcPr>
          <w:p w14:paraId="20E70DDD" w14:textId="77777777" w:rsidR="00C20C9D" w:rsidRPr="00115980" w:rsidRDefault="00C20C9D" w:rsidP="00CE0BB2">
            <w:pPr>
              <w:pStyle w:val="TableHead"/>
            </w:pPr>
            <w:r w:rsidRPr="00115980">
              <w:t>20</w:t>
            </w:r>
            <w:r>
              <w:t>21</w:t>
            </w:r>
          </w:p>
        </w:tc>
      </w:tr>
      <w:tr w:rsidR="00C20C9D" w:rsidRPr="00115980" w14:paraId="0FA0FFF3" w14:textId="77777777" w:rsidTr="00C20C9D">
        <w:trPr>
          <w:trHeight w:val="60"/>
        </w:trPr>
        <w:tc>
          <w:tcPr>
            <w:tcW w:w="1465"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666BA89" w14:textId="77777777" w:rsidR="00C20C9D" w:rsidRPr="00115980" w:rsidRDefault="00C20C9D" w:rsidP="00CE0BB2">
            <w:pPr>
              <w:spacing w:line="220" w:lineRule="atLeast"/>
              <w:ind w:firstLine="0"/>
              <w:rPr>
                <w:sz w:val="20"/>
                <w:szCs w:val="20"/>
              </w:rPr>
            </w:pPr>
            <w:r w:rsidRPr="00115980">
              <w:rPr>
                <w:rFonts w:cs="NewBaskerville-Bold"/>
                <w:b/>
                <w:bCs/>
                <w:sz w:val="18"/>
                <w:szCs w:val="18"/>
              </w:rPr>
              <w:t>Plaintiff’s win</w:t>
            </w:r>
          </w:p>
        </w:tc>
        <w:tc>
          <w:tcPr>
            <w:tcW w:w="683" w:type="dxa"/>
            <w:tcBorders>
              <w:top w:val="single" w:sz="6" w:space="0" w:color="000000"/>
              <w:left w:val="single" w:sz="4" w:space="0" w:color="000000"/>
              <w:bottom w:val="single" w:sz="4" w:space="0" w:color="000000"/>
              <w:right w:val="single" w:sz="4" w:space="0" w:color="000000"/>
            </w:tcBorders>
            <w:vAlign w:val="center"/>
          </w:tcPr>
          <w:p w14:paraId="0E0EF5C9" w14:textId="547B2D61" w:rsidR="00C20C9D" w:rsidRPr="00115980" w:rsidRDefault="0048319D" w:rsidP="00CE0BB2">
            <w:pPr>
              <w:spacing w:line="220" w:lineRule="atLeast"/>
              <w:ind w:firstLine="0"/>
              <w:rPr>
                <w:sz w:val="18"/>
                <w:szCs w:val="18"/>
              </w:rPr>
            </w:pPr>
            <w:r>
              <w:rPr>
                <w:sz w:val="18"/>
                <w:szCs w:val="18"/>
              </w:rPr>
              <w:t>155</w:t>
            </w:r>
          </w:p>
        </w:tc>
        <w:tc>
          <w:tcPr>
            <w:tcW w:w="684" w:type="dxa"/>
            <w:tcBorders>
              <w:top w:val="single" w:sz="6" w:space="0" w:color="000000"/>
              <w:left w:val="single" w:sz="4" w:space="0" w:color="000000"/>
              <w:bottom w:val="single" w:sz="4" w:space="0" w:color="000000"/>
              <w:right w:val="single" w:sz="4" w:space="0" w:color="000000"/>
            </w:tcBorders>
            <w:vAlign w:val="center"/>
          </w:tcPr>
          <w:p w14:paraId="6EF7D597" w14:textId="2D33AF40" w:rsidR="00C20C9D" w:rsidRPr="00115980" w:rsidRDefault="00086790" w:rsidP="00CE0BB2">
            <w:pPr>
              <w:spacing w:line="220" w:lineRule="atLeast"/>
              <w:ind w:firstLine="0"/>
              <w:rPr>
                <w:sz w:val="18"/>
                <w:szCs w:val="18"/>
              </w:rPr>
            </w:pPr>
            <w:r>
              <w:rPr>
                <w:sz w:val="18"/>
                <w:szCs w:val="18"/>
              </w:rPr>
              <w:t>163</w:t>
            </w:r>
          </w:p>
        </w:tc>
        <w:tc>
          <w:tcPr>
            <w:tcW w:w="683" w:type="dxa"/>
            <w:tcBorders>
              <w:top w:val="single" w:sz="6" w:space="0" w:color="000000"/>
              <w:left w:val="single" w:sz="4" w:space="0" w:color="000000"/>
              <w:bottom w:val="single" w:sz="4" w:space="0" w:color="000000"/>
              <w:right w:val="single" w:sz="4" w:space="0" w:color="000000"/>
            </w:tcBorders>
            <w:vAlign w:val="center"/>
          </w:tcPr>
          <w:p w14:paraId="34C9FD30" w14:textId="09DBA281" w:rsidR="00C20C9D" w:rsidRPr="00115980" w:rsidRDefault="00086790" w:rsidP="00CE0BB2">
            <w:pPr>
              <w:spacing w:line="220" w:lineRule="atLeast"/>
              <w:ind w:firstLine="0"/>
              <w:rPr>
                <w:sz w:val="18"/>
                <w:szCs w:val="18"/>
              </w:rPr>
            </w:pPr>
            <w:r>
              <w:rPr>
                <w:sz w:val="18"/>
                <w:szCs w:val="18"/>
              </w:rPr>
              <w:t>139</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4402F3AD" w14:textId="2E6AA983" w:rsidR="00C20C9D" w:rsidRPr="00115980" w:rsidRDefault="00086790" w:rsidP="00CE0BB2">
            <w:pPr>
              <w:spacing w:line="220" w:lineRule="atLeast"/>
              <w:ind w:firstLine="0"/>
              <w:rPr>
                <w:sz w:val="20"/>
                <w:szCs w:val="20"/>
              </w:rPr>
            </w:pPr>
            <w:r>
              <w:rPr>
                <w:sz w:val="18"/>
                <w:szCs w:val="18"/>
              </w:rPr>
              <w:t>121</w:t>
            </w:r>
          </w:p>
        </w:tc>
        <w:tc>
          <w:tcPr>
            <w:tcW w:w="683"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404B1A80" w14:textId="441A29CF" w:rsidR="00C20C9D" w:rsidRPr="00115980" w:rsidRDefault="00086790" w:rsidP="00CE0BB2">
            <w:pPr>
              <w:spacing w:line="220" w:lineRule="atLeast"/>
              <w:ind w:firstLine="0"/>
              <w:rPr>
                <w:sz w:val="20"/>
                <w:szCs w:val="20"/>
              </w:rPr>
            </w:pPr>
            <w:r>
              <w:rPr>
                <w:sz w:val="18"/>
                <w:szCs w:val="18"/>
              </w:rPr>
              <w:t>109</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C44747F" w14:textId="352648AC" w:rsidR="00C20C9D" w:rsidRPr="00115980" w:rsidRDefault="00086790" w:rsidP="00CE0BB2">
            <w:pPr>
              <w:spacing w:line="220" w:lineRule="atLeast"/>
              <w:ind w:firstLine="0"/>
              <w:rPr>
                <w:sz w:val="20"/>
                <w:szCs w:val="20"/>
              </w:rPr>
            </w:pPr>
            <w:r>
              <w:rPr>
                <w:sz w:val="18"/>
                <w:szCs w:val="18"/>
              </w:rPr>
              <w:t>315</w:t>
            </w:r>
          </w:p>
        </w:tc>
        <w:tc>
          <w:tcPr>
            <w:tcW w:w="683"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935F75E" w14:textId="182C61A8" w:rsidR="00C20C9D" w:rsidRPr="00115980" w:rsidRDefault="0020594C" w:rsidP="00CE0BB2">
            <w:pPr>
              <w:spacing w:line="220" w:lineRule="atLeast"/>
              <w:ind w:firstLine="0"/>
              <w:rPr>
                <w:sz w:val="20"/>
                <w:szCs w:val="20"/>
              </w:rPr>
            </w:pPr>
            <w:r>
              <w:rPr>
                <w:sz w:val="18"/>
                <w:szCs w:val="18"/>
              </w:rPr>
              <w:t>198</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65F92B5" w14:textId="40F42F59" w:rsidR="00C20C9D" w:rsidRPr="00115980" w:rsidRDefault="0020594C" w:rsidP="00CE0BB2">
            <w:pPr>
              <w:spacing w:line="220" w:lineRule="atLeast"/>
              <w:ind w:firstLine="0"/>
              <w:rPr>
                <w:sz w:val="20"/>
                <w:szCs w:val="20"/>
              </w:rPr>
            </w:pPr>
            <w:r>
              <w:rPr>
                <w:sz w:val="18"/>
                <w:szCs w:val="18"/>
              </w:rPr>
              <w:t>243</w:t>
            </w:r>
          </w:p>
        </w:tc>
        <w:tc>
          <w:tcPr>
            <w:tcW w:w="683"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4B8C277C" w14:textId="35EFECC4" w:rsidR="00C20C9D" w:rsidRPr="00115980" w:rsidRDefault="0020594C" w:rsidP="00CE0BB2">
            <w:pPr>
              <w:spacing w:line="220" w:lineRule="atLeast"/>
              <w:ind w:firstLine="0"/>
              <w:rPr>
                <w:sz w:val="20"/>
                <w:szCs w:val="20"/>
              </w:rPr>
            </w:pPr>
            <w:r>
              <w:rPr>
                <w:sz w:val="18"/>
                <w:szCs w:val="18"/>
              </w:rPr>
              <w:t>237</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AD39218" w14:textId="73952232" w:rsidR="00C20C9D" w:rsidRPr="00115980" w:rsidRDefault="0020594C" w:rsidP="00CE0BB2">
            <w:pPr>
              <w:spacing w:line="220" w:lineRule="atLeast"/>
              <w:ind w:firstLine="0"/>
              <w:rPr>
                <w:sz w:val="20"/>
                <w:szCs w:val="20"/>
              </w:rPr>
            </w:pPr>
            <w:r>
              <w:rPr>
                <w:sz w:val="18"/>
                <w:szCs w:val="18"/>
              </w:rPr>
              <w:t>258</w:t>
            </w:r>
          </w:p>
        </w:tc>
        <w:tc>
          <w:tcPr>
            <w:tcW w:w="683"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1987897" w14:textId="53541466" w:rsidR="00C20C9D" w:rsidRPr="00115980" w:rsidRDefault="0020594C" w:rsidP="00CE0BB2">
            <w:pPr>
              <w:spacing w:line="220" w:lineRule="atLeast"/>
              <w:ind w:firstLine="0"/>
              <w:rPr>
                <w:sz w:val="20"/>
                <w:szCs w:val="20"/>
              </w:rPr>
            </w:pPr>
            <w:r>
              <w:rPr>
                <w:sz w:val="18"/>
                <w:szCs w:val="18"/>
              </w:rPr>
              <w:t>168</w:t>
            </w:r>
          </w:p>
        </w:tc>
        <w:tc>
          <w:tcPr>
            <w:tcW w:w="684" w:type="dxa"/>
            <w:tcBorders>
              <w:top w:val="single" w:sz="6"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156F279" w14:textId="00A28F1D" w:rsidR="00C20C9D" w:rsidRPr="00115980" w:rsidRDefault="0020594C" w:rsidP="00CE0BB2">
            <w:pPr>
              <w:spacing w:line="220" w:lineRule="atLeast"/>
              <w:ind w:firstLine="0"/>
              <w:rPr>
                <w:sz w:val="20"/>
                <w:szCs w:val="20"/>
              </w:rPr>
            </w:pPr>
            <w:r>
              <w:rPr>
                <w:sz w:val="18"/>
                <w:szCs w:val="18"/>
              </w:rPr>
              <w:t>138</w:t>
            </w:r>
          </w:p>
        </w:tc>
      </w:tr>
      <w:tr w:rsidR="00C20C9D" w:rsidRPr="00115980" w14:paraId="1478E003" w14:textId="77777777" w:rsidTr="00C20C9D">
        <w:trPr>
          <w:trHeight w:val="60"/>
        </w:trPr>
        <w:tc>
          <w:tcPr>
            <w:tcW w:w="1465"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E87D31D" w14:textId="77777777" w:rsidR="00C20C9D" w:rsidRPr="00115980" w:rsidRDefault="00C20C9D" w:rsidP="00CE0BB2">
            <w:pPr>
              <w:spacing w:line="220" w:lineRule="atLeast"/>
              <w:ind w:firstLine="0"/>
              <w:rPr>
                <w:sz w:val="20"/>
                <w:szCs w:val="20"/>
              </w:rPr>
            </w:pPr>
            <w:r w:rsidRPr="00115980">
              <w:rPr>
                <w:rFonts w:cs="NewBaskerville-Bold"/>
                <w:b/>
                <w:bCs/>
                <w:sz w:val="18"/>
                <w:szCs w:val="18"/>
              </w:rPr>
              <w:t>Rejection</w:t>
            </w:r>
          </w:p>
        </w:tc>
        <w:tc>
          <w:tcPr>
            <w:tcW w:w="683" w:type="dxa"/>
            <w:tcBorders>
              <w:top w:val="single" w:sz="4" w:space="0" w:color="000000"/>
              <w:left w:val="single" w:sz="4" w:space="0" w:color="000000"/>
              <w:bottom w:val="single" w:sz="4" w:space="0" w:color="000000"/>
              <w:right w:val="single" w:sz="4" w:space="0" w:color="000000"/>
            </w:tcBorders>
            <w:vAlign w:val="center"/>
          </w:tcPr>
          <w:p w14:paraId="2BBABE1A" w14:textId="075A4142" w:rsidR="00C20C9D" w:rsidRPr="00115980" w:rsidRDefault="0048319D" w:rsidP="00CE0BB2">
            <w:pPr>
              <w:spacing w:line="220" w:lineRule="atLeast"/>
              <w:ind w:firstLine="0"/>
              <w:rPr>
                <w:sz w:val="18"/>
                <w:szCs w:val="18"/>
              </w:rPr>
            </w:pPr>
            <w:r>
              <w:rPr>
                <w:sz w:val="18"/>
                <w:szCs w:val="18"/>
              </w:rPr>
              <w:t>22</w:t>
            </w:r>
          </w:p>
        </w:tc>
        <w:tc>
          <w:tcPr>
            <w:tcW w:w="684" w:type="dxa"/>
            <w:tcBorders>
              <w:top w:val="single" w:sz="4" w:space="0" w:color="000000"/>
              <w:left w:val="single" w:sz="4" w:space="0" w:color="000000"/>
              <w:bottom w:val="single" w:sz="4" w:space="0" w:color="000000"/>
              <w:right w:val="single" w:sz="4" w:space="0" w:color="000000"/>
            </w:tcBorders>
            <w:vAlign w:val="center"/>
          </w:tcPr>
          <w:p w14:paraId="361BB89F" w14:textId="373D0689" w:rsidR="00C20C9D" w:rsidRPr="00115980" w:rsidRDefault="00086790" w:rsidP="00CE0BB2">
            <w:pPr>
              <w:spacing w:line="220" w:lineRule="atLeast"/>
              <w:ind w:firstLine="0"/>
              <w:rPr>
                <w:sz w:val="18"/>
                <w:szCs w:val="18"/>
              </w:rPr>
            </w:pPr>
            <w:r>
              <w:rPr>
                <w:sz w:val="18"/>
                <w:szCs w:val="18"/>
              </w:rPr>
              <w:t>27</w:t>
            </w:r>
          </w:p>
        </w:tc>
        <w:tc>
          <w:tcPr>
            <w:tcW w:w="683" w:type="dxa"/>
            <w:tcBorders>
              <w:top w:val="single" w:sz="4" w:space="0" w:color="000000"/>
              <w:left w:val="single" w:sz="4" w:space="0" w:color="000000"/>
              <w:bottom w:val="single" w:sz="4" w:space="0" w:color="000000"/>
              <w:right w:val="single" w:sz="4" w:space="0" w:color="000000"/>
            </w:tcBorders>
            <w:vAlign w:val="center"/>
          </w:tcPr>
          <w:p w14:paraId="6086890C" w14:textId="72B22078" w:rsidR="00C20C9D" w:rsidRPr="00115980" w:rsidRDefault="00086790" w:rsidP="00CE0BB2">
            <w:pPr>
              <w:spacing w:line="220" w:lineRule="atLeast"/>
              <w:ind w:firstLine="0"/>
              <w:rPr>
                <w:sz w:val="18"/>
                <w:szCs w:val="18"/>
              </w:rPr>
            </w:pPr>
            <w:r>
              <w:rPr>
                <w:sz w:val="18"/>
                <w:szCs w:val="18"/>
              </w:rPr>
              <w:t>29</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44470AC" w14:textId="1635DA39" w:rsidR="00C20C9D" w:rsidRPr="00115980" w:rsidRDefault="00086790" w:rsidP="00CE0BB2">
            <w:pPr>
              <w:spacing w:line="220" w:lineRule="atLeast"/>
              <w:ind w:firstLine="0"/>
              <w:rPr>
                <w:sz w:val="20"/>
                <w:szCs w:val="20"/>
              </w:rPr>
            </w:pPr>
            <w:r>
              <w:rPr>
                <w:sz w:val="18"/>
                <w:szCs w:val="18"/>
              </w:rPr>
              <w:t>27</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0A32BC1" w14:textId="77D52ADB" w:rsidR="00C20C9D" w:rsidRPr="00115980" w:rsidRDefault="00086790" w:rsidP="00CE0BB2">
            <w:pPr>
              <w:spacing w:line="220" w:lineRule="atLeast"/>
              <w:ind w:firstLine="0"/>
              <w:rPr>
                <w:sz w:val="20"/>
                <w:szCs w:val="20"/>
              </w:rPr>
            </w:pPr>
            <w:r>
              <w:rPr>
                <w:sz w:val="18"/>
                <w:szCs w:val="18"/>
              </w:rPr>
              <w:t>15</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ED290F0" w14:textId="4A2EB01A" w:rsidR="00C20C9D" w:rsidRPr="00115980" w:rsidRDefault="00C20C9D" w:rsidP="00CE0BB2">
            <w:pPr>
              <w:spacing w:line="220" w:lineRule="atLeast"/>
              <w:ind w:firstLine="0"/>
              <w:rPr>
                <w:sz w:val="20"/>
                <w:szCs w:val="20"/>
              </w:rPr>
            </w:pPr>
            <w:r>
              <w:rPr>
                <w:sz w:val="18"/>
                <w:szCs w:val="18"/>
              </w:rPr>
              <w:t>5</w:t>
            </w:r>
            <w:r w:rsidR="00086790">
              <w:rPr>
                <w:sz w:val="18"/>
                <w:szCs w:val="18"/>
              </w:rPr>
              <w:t>5</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F0F0A8D" w14:textId="697BEB93" w:rsidR="00C20C9D" w:rsidRPr="00115980" w:rsidRDefault="0020594C" w:rsidP="00CE0BB2">
            <w:pPr>
              <w:spacing w:line="220" w:lineRule="atLeast"/>
              <w:ind w:firstLine="0"/>
              <w:rPr>
                <w:sz w:val="20"/>
                <w:szCs w:val="20"/>
              </w:rPr>
            </w:pPr>
            <w:r>
              <w:rPr>
                <w:sz w:val="18"/>
                <w:szCs w:val="18"/>
              </w:rPr>
              <w:t>43</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F148203" w14:textId="4B6C7C83" w:rsidR="00C20C9D" w:rsidRPr="00115980" w:rsidRDefault="0020594C" w:rsidP="00CE0BB2">
            <w:pPr>
              <w:spacing w:line="220" w:lineRule="atLeast"/>
              <w:ind w:firstLine="0"/>
              <w:rPr>
                <w:sz w:val="20"/>
                <w:szCs w:val="20"/>
              </w:rPr>
            </w:pPr>
            <w:r>
              <w:rPr>
                <w:sz w:val="18"/>
                <w:szCs w:val="18"/>
              </w:rPr>
              <w:t>53</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0CC8F2D" w14:textId="160F0B9C" w:rsidR="00C20C9D" w:rsidRPr="00115980" w:rsidRDefault="0020594C" w:rsidP="00CE0BB2">
            <w:pPr>
              <w:spacing w:line="220" w:lineRule="atLeast"/>
              <w:ind w:firstLine="0"/>
              <w:rPr>
                <w:sz w:val="20"/>
                <w:szCs w:val="20"/>
              </w:rPr>
            </w:pPr>
            <w:r>
              <w:rPr>
                <w:sz w:val="18"/>
                <w:szCs w:val="18"/>
              </w:rPr>
              <w:t>15</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429D5BFB" w14:textId="5A432114" w:rsidR="00C20C9D" w:rsidRPr="00115980" w:rsidRDefault="0020594C" w:rsidP="00CE0BB2">
            <w:pPr>
              <w:spacing w:line="220" w:lineRule="atLeast"/>
              <w:ind w:firstLine="0"/>
              <w:rPr>
                <w:sz w:val="20"/>
                <w:szCs w:val="20"/>
              </w:rPr>
            </w:pPr>
            <w:r>
              <w:rPr>
                <w:sz w:val="18"/>
                <w:szCs w:val="18"/>
              </w:rPr>
              <w:t>52</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9DE9396" w14:textId="41B1DAE5" w:rsidR="00C20C9D" w:rsidRPr="00115980" w:rsidRDefault="0020594C" w:rsidP="00CE0BB2">
            <w:pPr>
              <w:spacing w:line="220" w:lineRule="atLeast"/>
              <w:ind w:firstLine="0"/>
              <w:rPr>
                <w:sz w:val="20"/>
                <w:szCs w:val="20"/>
              </w:rPr>
            </w:pPr>
            <w:r>
              <w:rPr>
                <w:sz w:val="18"/>
                <w:szCs w:val="18"/>
              </w:rPr>
              <w:t>92</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AD0B9E8" w14:textId="4C037355" w:rsidR="00C20C9D" w:rsidRPr="00115980" w:rsidRDefault="0020594C" w:rsidP="00CE0BB2">
            <w:pPr>
              <w:spacing w:line="220" w:lineRule="atLeast"/>
              <w:ind w:firstLine="0"/>
              <w:rPr>
                <w:sz w:val="20"/>
                <w:szCs w:val="20"/>
              </w:rPr>
            </w:pPr>
            <w:r>
              <w:rPr>
                <w:sz w:val="18"/>
                <w:szCs w:val="18"/>
              </w:rPr>
              <w:t>16</w:t>
            </w:r>
          </w:p>
        </w:tc>
      </w:tr>
      <w:tr w:rsidR="00C20C9D" w:rsidRPr="00115980" w14:paraId="3266E3E2" w14:textId="77777777" w:rsidTr="00C20C9D">
        <w:trPr>
          <w:trHeight w:val="60"/>
        </w:trPr>
        <w:tc>
          <w:tcPr>
            <w:tcW w:w="1465"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C3687B0" w14:textId="77777777" w:rsidR="00C20C9D" w:rsidRPr="00115980" w:rsidRDefault="00C20C9D" w:rsidP="00CE0BB2">
            <w:pPr>
              <w:spacing w:line="220" w:lineRule="atLeast"/>
              <w:ind w:firstLine="0"/>
              <w:rPr>
                <w:sz w:val="20"/>
                <w:szCs w:val="20"/>
              </w:rPr>
            </w:pPr>
            <w:r w:rsidRPr="00115980">
              <w:rPr>
                <w:rFonts w:cs="NewBaskerville-Bold"/>
                <w:b/>
                <w:bCs/>
                <w:sz w:val="18"/>
                <w:szCs w:val="18"/>
              </w:rPr>
              <w:t>Dismissed</w:t>
            </w:r>
          </w:p>
        </w:tc>
        <w:tc>
          <w:tcPr>
            <w:tcW w:w="683" w:type="dxa"/>
            <w:tcBorders>
              <w:top w:val="single" w:sz="4" w:space="0" w:color="000000"/>
              <w:left w:val="single" w:sz="4" w:space="0" w:color="000000"/>
              <w:bottom w:val="single" w:sz="4" w:space="0" w:color="000000"/>
              <w:right w:val="single" w:sz="4" w:space="0" w:color="000000"/>
            </w:tcBorders>
            <w:vAlign w:val="center"/>
          </w:tcPr>
          <w:p w14:paraId="53005868" w14:textId="754FE039" w:rsidR="00C20C9D" w:rsidRPr="00115980" w:rsidRDefault="0048319D" w:rsidP="00CE0BB2">
            <w:pPr>
              <w:spacing w:line="220" w:lineRule="atLeast"/>
              <w:ind w:firstLine="0"/>
              <w:rPr>
                <w:sz w:val="18"/>
                <w:szCs w:val="18"/>
              </w:rPr>
            </w:pPr>
            <w:r>
              <w:rPr>
                <w:sz w:val="18"/>
                <w:szCs w:val="18"/>
              </w:rPr>
              <w:t>30</w:t>
            </w:r>
          </w:p>
        </w:tc>
        <w:tc>
          <w:tcPr>
            <w:tcW w:w="684" w:type="dxa"/>
            <w:tcBorders>
              <w:top w:val="single" w:sz="4" w:space="0" w:color="000000"/>
              <w:left w:val="single" w:sz="4" w:space="0" w:color="000000"/>
              <w:bottom w:val="single" w:sz="4" w:space="0" w:color="000000"/>
              <w:right w:val="single" w:sz="4" w:space="0" w:color="000000"/>
            </w:tcBorders>
            <w:vAlign w:val="center"/>
          </w:tcPr>
          <w:p w14:paraId="4F4C7628" w14:textId="305B064B" w:rsidR="00C20C9D" w:rsidRPr="00115980" w:rsidRDefault="00086790" w:rsidP="00CE0BB2">
            <w:pPr>
              <w:spacing w:line="220" w:lineRule="atLeast"/>
              <w:ind w:firstLine="0"/>
              <w:rPr>
                <w:sz w:val="18"/>
                <w:szCs w:val="18"/>
              </w:rPr>
            </w:pPr>
            <w:r>
              <w:rPr>
                <w:sz w:val="18"/>
                <w:szCs w:val="18"/>
              </w:rPr>
              <w:t>28</w:t>
            </w:r>
          </w:p>
        </w:tc>
        <w:tc>
          <w:tcPr>
            <w:tcW w:w="683" w:type="dxa"/>
            <w:tcBorders>
              <w:top w:val="single" w:sz="4" w:space="0" w:color="000000"/>
              <w:left w:val="single" w:sz="4" w:space="0" w:color="000000"/>
              <w:bottom w:val="single" w:sz="4" w:space="0" w:color="000000"/>
              <w:right w:val="single" w:sz="4" w:space="0" w:color="000000"/>
            </w:tcBorders>
            <w:vAlign w:val="center"/>
          </w:tcPr>
          <w:p w14:paraId="435DB758" w14:textId="54FA9C7C" w:rsidR="00C20C9D" w:rsidRPr="00115980" w:rsidRDefault="00086790" w:rsidP="00CE0BB2">
            <w:pPr>
              <w:spacing w:line="220" w:lineRule="atLeast"/>
              <w:ind w:firstLine="0"/>
              <w:rPr>
                <w:sz w:val="18"/>
                <w:szCs w:val="18"/>
              </w:rPr>
            </w:pPr>
            <w:r>
              <w:rPr>
                <w:sz w:val="18"/>
                <w:szCs w:val="18"/>
              </w:rPr>
              <w:t>17</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D4F8A80" w14:textId="2783473E" w:rsidR="00C20C9D" w:rsidRPr="00115980" w:rsidRDefault="00086790" w:rsidP="00CE0BB2">
            <w:pPr>
              <w:spacing w:line="220" w:lineRule="atLeast"/>
              <w:ind w:firstLine="0"/>
              <w:rPr>
                <w:sz w:val="20"/>
                <w:szCs w:val="20"/>
              </w:rPr>
            </w:pPr>
            <w:r>
              <w:rPr>
                <w:sz w:val="18"/>
                <w:szCs w:val="18"/>
              </w:rPr>
              <w:t>29</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F81410A" w14:textId="268794C3" w:rsidR="00C20C9D" w:rsidRPr="00115980" w:rsidRDefault="00086790" w:rsidP="00CE0BB2">
            <w:pPr>
              <w:spacing w:line="220" w:lineRule="atLeast"/>
              <w:ind w:firstLine="0"/>
              <w:rPr>
                <w:sz w:val="20"/>
                <w:szCs w:val="20"/>
              </w:rPr>
            </w:pPr>
            <w:r>
              <w:rPr>
                <w:sz w:val="18"/>
                <w:szCs w:val="18"/>
              </w:rPr>
              <w:t>19</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4CA9163E" w14:textId="424B9A7A" w:rsidR="00C20C9D" w:rsidRPr="00115980" w:rsidRDefault="0020594C" w:rsidP="00CE0BB2">
            <w:pPr>
              <w:spacing w:line="220" w:lineRule="atLeast"/>
              <w:ind w:firstLine="0"/>
              <w:rPr>
                <w:sz w:val="20"/>
                <w:szCs w:val="20"/>
              </w:rPr>
            </w:pPr>
            <w:r>
              <w:rPr>
                <w:sz w:val="18"/>
                <w:szCs w:val="18"/>
              </w:rPr>
              <w:t>18</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DC71ADF" w14:textId="278CBA41" w:rsidR="00C20C9D" w:rsidRPr="00115980" w:rsidRDefault="0020594C" w:rsidP="00CE0BB2">
            <w:pPr>
              <w:spacing w:line="220" w:lineRule="atLeast"/>
              <w:ind w:firstLine="0"/>
              <w:rPr>
                <w:sz w:val="20"/>
                <w:szCs w:val="20"/>
              </w:rPr>
            </w:pPr>
            <w:r>
              <w:rPr>
                <w:sz w:val="18"/>
                <w:szCs w:val="18"/>
              </w:rPr>
              <w:t>6</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A5EA864" w14:textId="1115DB5A" w:rsidR="00C20C9D" w:rsidRPr="00115980" w:rsidRDefault="0020594C" w:rsidP="00CE0BB2">
            <w:pPr>
              <w:spacing w:line="220" w:lineRule="atLeast"/>
              <w:ind w:firstLine="0"/>
              <w:rPr>
                <w:sz w:val="20"/>
                <w:szCs w:val="20"/>
              </w:rPr>
            </w:pPr>
            <w:r>
              <w:rPr>
                <w:sz w:val="18"/>
                <w:szCs w:val="18"/>
              </w:rPr>
              <w:t>12</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C6ED3D5" w14:textId="21FC3B55" w:rsidR="00C20C9D" w:rsidRPr="00115980" w:rsidRDefault="00C20C9D" w:rsidP="00CE0BB2">
            <w:pPr>
              <w:spacing w:line="220" w:lineRule="atLeast"/>
              <w:ind w:firstLine="0"/>
              <w:rPr>
                <w:sz w:val="20"/>
                <w:szCs w:val="20"/>
              </w:rPr>
            </w:pPr>
            <w:r>
              <w:rPr>
                <w:sz w:val="18"/>
                <w:szCs w:val="18"/>
              </w:rPr>
              <w:t>4</w:t>
            </w:r>
            <w:r w:rsidR="0020594C">
              <w:rPr>
                <w:sz w:val="18"/>
                <w:szCs w:val="18"/>
              </w:rPr>
              <w:t>2</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2C13B25" w14:textId="39733013" w:rsidR="00C20C9D" w:rsidRPr="00115980" w:rsidRDefault="0020594C" w:rsidP="00CE0BB2">
            <w:pPr>
              <w:spacing w:line="220" w:lineRule="atLeast"/>
              <w:ind w:firstLine="0"/>
              <w:rPr>
                <w:sz w:val="20"/>
                <w:szCs w:val="20"/>
              </w:rPr>
            </w:pPr>
            <w:r>
              <w:rPr>
                <w:sz w:val="18"/>
                <w:szCs w:val="18"/>
              </w:rPr>
              <w:t>20</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A06A6BA" w14:textId="664AF1F4" w:rsidR="00C20C9D" w:rsidRPr="00115980" w:rsidRDefault="0020594C" w:rsidP="00CE0BB2">
            <w:pPr>
              <w:spacing w:line="220" w:lineRule="atLeast"/>
              <w:ind w:firstLine="0"/>
              <w:rPr>
                <w:sz w:val="20"/>
                <w:szCs w:val="20"/>
              </w:rPr>
            </w:pPr>
            <w:r>
              <w:rPr>
                <w:sz w:val="18"/>
                <w:szCs w:val="18"/>
              </w:rPr>
              <w:t>6</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C36EE76" w14:textId="6E00EA82" w:rsidR="00C20C9D" w:rsidRPr="00115980" w:rsidRDefault="0020594C" w:rsidP="00CE0BB2">
            <w:pPr>
              <w:spacing w:line="220" w:lineRule="atLeast"/>
              <w:ind w:firstLine="0"/>
              <w:rPr>
                <w:sz w:val="20"/>
                <w:szCs w:val="20"/>
              </w:rPr>
            </w:pPr>
            <w:r>
              <w:rPr>
                <w:sz w:val="18"/>
                <w:szCs w:val="18"/>
              </w:rPr>
              <w:t>13</w:t>
            </w:r>
          </w:p>
        </w:tc>
      </w:tr>
      <w:tr w:rsidR="00C20C9D" w:rsidRPr="00115980" w14:paraId="48FCF444" w14:textId="77777777" w:rsidTr="00C20C9D">
        <w:trPr>
          <w:trHeight w:val="60"/>
        </w:trPr>
        <w:tc>
          <w:tcPr>
            <w:tcW w:w="1465"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04125BA" w14:textId="77777777" w:rsidR="00C20C9D" w:rsidRPr="00115980" w:rsidRDefault="00C20C9D" w:rsidP="00CE0BB2">
            <w:pPr>
              <w:spacing w:line="220" w:lineRule="atLeast"/>
              <w:ind w:firstLine="0"/>
              <w:rPr>
                <w:sz w:val="20"/>
                <w:szCs w:val="20"/>
              </w:rPr>
            </w:pPr>
            <w:r w:rsidRPr="00115980">
              <w:rPr>
                <w:rFonts w:cs="NewBaskerville-Bold"/>
                <w:b/>
                <w:bCs/>
                <w:sz w:val="18"/>
                <w:szCs w:val="18"/>
              </w:rPr>
              <w:t>Total number of cases</w:t>
            </w:r>
          </w:p>
        </w:tc>
        <w:tc>
          <w:tcPr>
            <w:tcW w:w="683" w:type="dxa"/>
            <w:tcBorders>
              <w:top w:val="single" w:sz="4" w:space="0" w:color="000000"/>
              <w:left w:val="single" w:sz="4" w:space="0" w:color="000000"/>
              <w:bottom w:val="single" w:sz="4" w:space="0" w:color="000000"/>
              <w:right w:val="single" w:sz="4" w:space="0" w:color="000000"/>
            </w:tcBorders>
            <w:vAlign w:val="center"/>
          </w:tcPr>
          <w:p w14:paraId="4E511521" w14:textId="799A27EA" w:rsidR="00C20C9D" w:rsidRPr="00115980" w:rsidRDefault="00C20C9D" w:rsidP="00CE0BB2">
            <w:pPr>
              <w:spacing w:line="220" w:lineRule="atLeast"/>
              <w:ind w:firstLine="0"/>
              <w:rPr>
                <w:sz w:val="18"/>
                <w:szCs w:val="18"/>
              </w:rPr>
            </w:pPr>
            <w:r>
              <w:rPr>
                <w:sz w:val="18"/>
                <w:szCs w:val="18"/>
              </w:rPr>
              <w:t>20</w:t>
            </w:r>
            <w:r w:rsidR="0048319D">
              <w:rPr>
                <w:sz w:val="18"/>
                <w:szCs w:val="18"/>
              </w:rPr>
              <w:t>7</w:t>
            </w:r>
          </w:p>
        </w:tc>
        <w:tc>
          <w:tcPr>
            <w:tcW w:w="684" w:type="dxa"/>
            <w:tcBorders>
              <w:top w:val="single" w:sz="4" w:space="0" w:color="000000"/>
              <w:left w:val="single" w:sz="4" w:space="0" w:color="000000"/>
              <w:bottom w:val="single" w:sz="4" w:space="0" w:color="000000"/>
              <w:right w:val="single" w:sz="4" w:space="0" w:color="000000"/>
            </w:tcBorders>
            <w:vAlign w:val="center"/>
          </w:tcPr>
          <w:p w14:paraId="17A4748C" w14:textId="1914080F" w:rsidR="00C20C9D" w:rsidRPr="00115980" w:rsidRDefault="00086790" w:rsidP="00CE0BB2">
            <w:pPr>
              <w:spacing w:line="220" w:lineRule="atLeast"/>
              <w:ind w:firstLine="0"/>
              <w:rPr>
                <w:sz w:val="18"/>
                <w:szCs w:val="18"/>
              </w:rPr>
            </w:pPr>
            <w:r>
              <w:rPr>
                <w:sz w:val="18"/>
                <w:szCs w:val="18"/>
              </w:rPr>
              <w:t>218</w:t>
            </w:r>
          </w:p>
        </w:tc>
        <w:tc>
          <w:tcPr>
            <w:tcW w:w="683" w:type="dxa"/>
            <w:tcBorders>
              <w:top w:val="single" w:sz="4" w:space="0" w:color="000000"/>
              <w:left w:val="single" w:sz="4" w:space="0" w:color="000000"/>
              <w:bottom w:val="single" w:sz="4" w:space="0" w:color="000000"/>
              <w:right w:val="single" w:sz="4" w:space="0" w:color="000000"/>
            </w:tcBorders>
            <w:vAlign w:val="center"/>
          </w:tcPr>
          <w:p w14:paraId="1B17E55F" w14:textId="0132069D" w:rsidR="00C20C9D" w:rsidRPr="00115980" w:rsidRDefault="00086790" w:rsidP="00CE0BB2">
            <w:pPr>
              <w:spacing w:line="220" w:lineRule="atLeast"/>
              <w:ind w:firstLine="0"/>
              <w:rPr>
                <w:sz w:val="18"/>
                <w:szCs w:val="18"/>
              </w:rPr>
            </w:pPr>
            <w:r>
              <w:rPr>
                <w:sz w:val="18"/>
                <w:szCs w:val="18"/>
              </w:rPr>
              <w:t>185</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EC71E10" w14:textId="7DC21324" w:rsidR="00C20C9D" w:rsidRPr="00115980" w:rsidRDefault="00086790" w:rsidP="00CE0BB2">
            <w:pPr>
              <w:spacing w:line="220" w:lineRule="atLeast"/>
              <w:ind w:firstLine="0"/>
              <w:rPr>
                <w:sz w:val="20"/>
                <w:szCs w:val="20"/>
              </w:rPr>
            </w:pPr>
            <w:r>
              <w:rPr>
                <w:sz w:val="18"/>
                <w:szCs w:val="18"/>
              </w:rPr>
              <w:t>177</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37D940A0" w14:textId="6DD9A5F9" w:rsidR="00C20C9D" w:rsidRPr="00115980" w:rsidRDefault="00086790" w:rsidP="00CE0BB2">
            <w:pPr>
              <w:spacing w:line="220" w:lineRule="atLeast"/>
              <w:ind w:firstLine="0"/>
              <w:rPr>
                <w:sz w:val="20"/>
                <w:szCs w:val="20"/>
              </w:rPr>
            </w:pPr>
            <w:r>
              <w:rPr>
                <w:sz w:val="18"/>
                <w:szCs w:val="18"/>
              </w:rPr>
              <w:t>143</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4911ADC" w14:textId="1DBB14BC" w:rsidR="00C20C9D" w:rsidRPr="00115980" w:rsidRDefault="0020594C" w:rsidP="00CE0BB2">
            <w:pPr>
              <w:spacing w:line="220" w:lineRule="atLeast"/>
              <w:ind w:firstLine="0"/>
              <w:rPr>
                <w:sz w:val="20"/>
                <w:szCs w:val="20"/>
              </w:rPr>
            </w:pPr>
            <w:r>
              <w:rPr>
                <w:sz w:val="18"/>
                <w:szCs w:val="18"/>
              </w:rPr>
              <w:t>388</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DC03080" w14:textId="472D1AD4" w:rsidR="00C20C9D" w:rsidRPr="00115980" w:rsidRDefault="0020594C" w:rsidP="00CE0BB2">
            <w:pPr>
              <w:spacing w:line="220" w:lineRule="atLeast"/>
              <w:ind w:firstLine="0"/>
              <w:rPr>
                <w:sz w:val="20"/>
                <w:szCs w:val="20"/>
              </w:rPr>
            </w:pPr>
            <w:r>
              <w:rPr>
                <w:sz w:val="18"/>
                <w:szCs w:val="18"/>
              </w:rPr>
              <w:t>247</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111A2C1" w14:textId="633B4111" w:rsidR="00C20C9D" w:rsidRPr="00115980" w:rsidRDefault="0020594C" w:rsidP="00CE0BB2">
            <w:pPr>
              <w:spacing w:line="220" w:lineRule="atLeast"/>
              <w:ind w:firstLine="0"/>
              <w:rPr>
                <w:sz w:val="20"/>
                <w:szCs w:val="20"/>
              </w:rPr>
            </w:pPr>
            <w:r>
              <w:rPr>
                <w:sz w:val="18"/>
                <w:szCs w:val="18"/>
              </w:rPr>
              <w:t>308</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C9D6A28" w14:textId="3DC02CC1" w:rsidR="00C20C9D" w:rsidRPr="00115980" w:rsidRDefault="0020594C" w:rsidP="00CE0BB2">
            <w:pPr>
              <w:spacing w:line="220" w:lineRule="atLeast"/>
              <w:ind w:firstLine="0"/>
              <w:rPr>
                <w:sz w:val="20"/>
                <w:szCs w:val="20"/>
              </w:rPr>
            </w:pPr>
            <w:r>
              <w:rPr>
                <w:sz w:val="18"/>
                <w:szCs w:val="18"/>
              </w:rPr>
              <w:t>294</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DFE422B" w14:textId="51B7A4F9" w:rsidR="00C20C9D" w:rsidRPr="00115980" w:rsidRDefault="0020594C" w:rsidP="00CE0BB2">
            <w:pPr>
              <w:spacing w:line="220" w:lineRule="atLeast"/>
              <w:ind w:firstLine="0"/>
              <w:rPr>
                <w:sz w:val="20"/>
                <w:szCs w:val="20"/>
              </w:rPr>
            </w:pPr>
            <w:r>
              <w:rPr>
                <w:sz w:val="18"/>
                <w:szCs w:val="18"/>
              </w:rPr>
              <w:t>330</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E3D5574" w14:textId="33A41DA5" w:rsidR="00C20C9D" w:rsidRPr="00115980" w:rsidRDefault="0020594C" w:rsidP="00CE0BB2">
            <w:pPr>
              <w:spacing w:line="220" w:lineRule="atLeast"/>
              <w:ind w:firstLine="0"/>
              <w:rPr>
                <w:sz w:val="20"/>
                <w:szCs w:val="20"/>
              </w:rPr>
            </w:pPr>
            <w:r>
              <w:rPr>
                <w:sz w:val="18"/>
                <w:szCs w:val="18"/>
              </w:rPr>
              <w:t>266</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20445F8" w14:textId="5CEA4ECE" w:rsidR="00C20C9D" w:rsidRPr="00115980" w:rsidRDefault="0020594C" w:rsidP="00CE0BB2">
            <w:pPr>
              <w:spacing w:line="220" w:lineRule="atLeast"/>
              <w:ind w:firstLine="0"/>
              <w:rPr>
                <w:sz w:val="20"/>
                <w:szCs w:val="20"/>
              </w:rPr>
            </w:pPr>
            <w:r>
              <w:rPr>
                <w:sz w:val="18"/>
                <w:szCs w:val="18"/>
              </w:rPr>
              <w:t>167</w:t>
            </w:r>
          </w:p>
        </w:tc>
      </w:tr>
      <w:tr w:rsidR="00C20C9D" w:rsidRPr="00115980" w14:paraId="602D6DE1" w14:textId="77777777" w:rsidTr="00C20C9D">
        <w:trPr>
          <w:trHeight w:val="60"/>
        </w:trPr>
        <w:tc>
          <w:tcPr>
            <w:tcW w:w="1465"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B339EE2" w14:textId="77777777" w:rsidR="00C20C9D" w:rsidRPr="00115980" w:rsidRDefault="00C20C9D" w:rsidP="00CE0BB2">
            <w:pPr>
              <w:spacing w:line="220" w:lineRule="atLeast"/>
              <w:ind w:firstLine="0"/>
              <w:rPr>
                <w:sz w:val="20"/>
                <w:szCs w:val="20"/>
              </w:rPr>
            </w:pPr>
            <w:r w:rsidRPr="00115980">
              <w:rPr>
                <w:rFonts w:cs="NewBaskerville-Bold"/>
                <w:b/>
                <w:bCs/>
                <w:sz w:val="18"/>
                <w:szCs w:val="18"/>
              </w:rPr>
              <w:t>Win rate</w:t>
            </w:r>
          </w:p>
        </w:tc>
        <w:tc>
          <w:tcPr>
            <w:tcW w:w="683" w:type="dxa"/>
            <w:tcBorders>
              <w:top w:val="single" w:sz="4" w:space="0" w:color="000000"/>
              <w:left w:val="single" w:sz="4" w:space="0" w:color="000000"/>
              <w:bottom w:val="single" w:sz="4" w:space="0" w:color="000000"/>
              <w:right w:val="single" w:sz="4" w:space="0" w:color="000000"/>
            </w:tcBorders>
            <w:vAlign w:val="center"/>
          </w:tcPr>
          <w:p w14:paraId="76631732" w14:textId="1706FA31" w:rsidR="00C20C9D" w:rsidRPr="00115980" w:rsidRDefault="0048319D" w:rsidP="00CE0BB2">
            <w:pPr>
              <w:spacing w:line="220" w:lineRule="atLeast"/>
              <w:ind w:firstLine="0"/>
              <w:rPr>
                <w:sz w:val="18"/>
                <w:szCs w:val="18"/>
              </w:rPr>
            </w:pPr>
            <w:r>
              <w:rPr>
                <w:sz w:val="18"/>
                <w:szCs w:val="18"/>
              </w:rPr>
              <w:t>74.9</w:t>
            </w:r>
            <w:r w:rsidR="00C20C9D">
              <w:rPr>
                <w:sz w:val="18"/>
                <w:szCs w:val="18"/>
              </w:rPr>
              <w:t>%</w:t>
            </w:r>
          </w:p>
        </w:tc>
        <w:tc>
          <w:tcPr>
            <w:tcW w:w="684" w:type="dxa"/>
            <w:tcBorders>
              <w:top w:val="single" w:sz="4" w:space="0" w:color="000000"/>
              <w:left w:val="single" w:sz="4" w:space="0" w:color="000000"/>
              <w:bottom w:val="single" w:sz="4" w:space="0" w:color="000000"/>
              <w:right w:val="single" w:sz="4" w:space="0" w:color="000000"/>
            </w:tcBorders>
            <w:vAlign w:val="center"/>
          </w:tcPr>
          <w:p w14:paraId="527DC3DC" w14:textId="4EB3270A" w:rsidR="00C20C9D" w:rsidRPr="00115980" w:rsidRDefault="00086790" w:rsidP="00CE0BB2">
            <w:pPr>
              <w:spacing w:line="220" w:lineRule="atLeast"/>
              <w:ind w:firstLine="0"/>
              <w:rPr>
                <w:sz w:val="18"/>
                <w:szCs w:val="18"/>
              </w:rPr>
            </w:pPr>
            <w:r>
              <w:rPr>
                <w:sz w:val="18"/>
                <w:szCs w:val="18"/>
              </w:rPr>
              <w:t>74.8%</w:t>
            </w:r>
          </w:p>
        </w:tc>
        <w:tc>
          <w:tcPr>
            <w:tcW w:w="683" w:type="dxa"/>
            <w:tcBorders>
              <w:top w:val="single" w:sz="4" w:space="0" w:color="000000"/>
              <w:left w:val="single" w:sz="4" w:space="0" w:color="000000"/>
              <w:bottom w:val="single" w:sz="4" w:space="0" w:color="000000"/>
              <w:right w:val="single" w:sz="4" w:space="0" w:color="000000"/>
            </w:tcBorders>
            <w:vAlign w:val="center"/>
          </w:tcPr>
          <w:p w14:paraId="3DCFC1F0" w14:textId="77CC93C7" w:rsidR="00C20C9D" w:rsidRPr="00115980" w:rsidRDefault="00086790" w:rsidP="00CE0BB2">
            <w:pPr>
              <w:spacing w:line="220" w:lineRule="atLeast"/>
              <w:ind w:firstLine="0"/>
              <w:rPr>
                <w:sz w:val="18"/>
                <w:szCs w:val="18"/>
              </w:rPr>
            </w:pPr>
            <w:r>
              <w:rPr>
                <w:sz w:val="18"/>
                <w:szCs w:val="18"/>
              </w:rPr>
              <w:t>75.1</w:t>
            </w:r>
            <w:r w:rsidR="00C20C9D">
              <w:rPr>
                <w:sz w:val="18"/>
                <w:szCs w:val="18"/>
              </w:rPr>
              <w:t>%</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664FE70E" w14:textId="18105F5B" w:rsidR="00C20C9D" w:rsidRPr="00115980" w:rsidRDefault="00086790" w:rsidP="00CE0BB2">
            <w:pPr>
              <w:spacing w:line="220" w:lineRule="atLeast"/>
              <w:ind w:firstLine="0"/>
              <w:rPr>
                <w:sz w:val="20"/>
                <w:szCs w:val="20"/>
              </w:rPr>
            </w:pPr>
            <w:r>
              <w:rPr>
                <w:sz w:val="18"/>
                <w:szCs w:val="18"/>
              </w:rPr>
              <w:t>68.4</w:t>
            </w:r>
            <w:r w:rsidR="00C20C9D">
              <w:rPr>
                <w:sz w:val="18"/>
                <w:szCs w:val="18"/>
              </w:rPr>
              <w:t>%</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260003F" w14:textId="30BAEA28" w:rsidR="00C20C9D" w:rsidRPr="00115980" w:rsidRDefault="00086790" w:rsidP="00CE0BB2">
            <w:pPr>
              <w:spacing w:line="220" w:lineRule="atLeast"/>
              <w:ind w:firstLine="0"/>
              <w:rPr>
                <w:sz w:val="20"/>
                <w:szCs w:val="20"/>
              </w:rPr>
            </w:pPr>
            <w:r>
              <w:rPr>
                <w:sz w:val="18"/>
                <w:szCs w:val="18"/>
              </w:rPr>
              <w:t>76.2</w:t>
            </w:r>
            <w:r w:rsidR="00C20C9D">
              <w:rPr>
                <w:sz w:val="18"/>
                <w:szCs w:val="18"/>
              </w:rPr>
              <w:t>%</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7F6238A" w14:textId="3426A6C6" w:rsidR="00C20C9D" w:rsidRPr="00115980" w:rsidRDefault="0020594C" w:rsidP="00CE0BB2">
            <w:pPr>
              <w:spacing w:line="220" w:lineRule="atLeast"/>
              <w:ind w:firstLine="0"/>
              <w:rPr>
                <w:sz w:val="20"/>
                <w:szCs w:val="20"/>
              </w:rPr>
            </w:pPr>
            <w:r>
              <w:rPr>
                <w:sz w:val="18"/>
                <w:szCs w:val="18"/>
              </w:rPr>
              <w:t>81.2</w:t>
            </w:r>
            <w:r w:rsidR="00C20C9D">
              <w:rPr>
                <w:sz w:val="18"/>
                <w:szCs w:val="18"/>
              </w:rPr>
              <w:t>%</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18BE36E2" w14:textId="63E96C42" w:rsidR="00C20C9D" w:rsidRPr="00115980" w:rsidRDefault="0020594C" w:rsidP="00CE0BB2">
            <w:pPr>
              <w:spacing w:line="220" w:lineRule="atLeast"/>
              <w:ind w:firstLine="0"/>
              <w:rPr>
                <w:sz w:val="20"/>
                <w:szCs w:val="20"/>
              </w:rPr>
            </w:pPr>
            <w:r>
              <w:rPr>
                <w:sz w:val="18"/>
                <w:szCs w:val="18"/>
              </w:rPr>
              <w:t>80.2</w:t>
            </w:r>
            <w:r w:rsidR="00C20C9D">
              <w:rPr>
                <w:sz w:val="18"/>
                <w:szCs w:val="18"/>
              </w:rPr>
              <w:t>%</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544C3618" w14:textId="484C0ECA" w:rsidR="00C20C9D" w:rsidRPr="00115980" w:rsidRDefault="0020594C" w:rsidP="00CE0BB2">
            <w:pPr>
              <w:spacing w:line="220" w:lineRule="atLeast"/>
              <w:ind w:firstLine="0"/>
              <w:rPr>
                <w:sz w:val="20"/>
                <w:szCs w:val="20"/>
              </w:rPr>
            </w:pPr>
            <w:r>
              <w:rPr>
                <w:sz w:val="18"/>
                <w:szCs w:val="18"/>
              </w:rPr>
              <w:t>78.9</w:t>
            </w:r>
            <w:r w:rsidR="00C20C9D">
              <w:rPr>
                <w:sz w:val="18"/>
                <w:szCs w:val="18"/>
              </w:rPr>
              <w:t>%</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0AC42731" w14:textId="0A0B219C" w:rsidR="00C20C9D" w:rsidRPr="00115980" w:rsidRDefault="0020594C" w:rsidP="00CE0BB2">
            <w:pPr>
              <w:spacing w:line="220" w:lineRule="atLeast"/>
              <w:ind w:firstLine="0"/>
              <w:rPr>
                <w:sz w:val="20"/>
                <w:szCs w:val="20"/>
              </w:rPr>
            </w:pPr>
            <w:r>
              <w:rPr>
                <w:sz w:val="18"/>
                <w:szCs w:val="18"/>
              </w:rPr>
              <w:t>80.6%</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22202891" w14:textId="7C34DEDA" w:rsidR="00C20C9D" w:rsidRPr="00115980" w:rsidRDefault="0020594C" w:rsidP="00CE0BB2">
            <w:pPr>
              <w:spacing w:line="220" w:lineRule="atLeast"/>
              <w:ind w:firstLine="0"/>
              <w:rPr>
                <w:sz w:val="20"/>
                <w:szCs w:val="20"/>
              </w:rPr>
            </w:pPr>
            <w:r>
              <w:rPr>
                <w:sz w:val="18"/>
                <w:szCs w:val="18"/>
              </w:rPr>
              <w:t>78.2</w:t>
            </w:r>
            <w:r w:rsidR="00C20C9D">
              <w:rPr>
                <w:sz w:val="18"/>
                <w:szCs w:val="18"/>
              </w:rPr>
              <w:t>%</w:t>
            </w:r>
          </w:p>
        </w:tc>
        <w:tc>
          <w:tcPr>
            <w:tcW w:w="683"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46C10B22" w14:textId="749B1A98" w:rsidR="00C20C9D" w:rsidRPr="00115980" w:rsidRDefault="0020594C" w:rsidP="00CE0BB2">
            <w:pPr>
              <w:spacing w:line="220" w:lineRule="atLeast"/>
              <w:ind w:firstLine="0"/>
              <w:rPr>
                <w:sz w:val="20"/>
                <w:szCs w:val="20"/>
              </w:rPr>
            </w:pPr>
            <w:r>
              <w:rPr>
                <w:sz w:val="18"/>
                <w:szCs w:val="18"/>
              </w:rPr>
              <w:t>63.2</w:t>
            </w:r>
            <w:r w:rsidR="00C20C9D">
              <w:rPr>
                <w:sz w:val="18"/>
                <w:szCs w:val="18"/>
              </w:rPr>
              <w:t>%</w:t>
            </w:r>
          </w:p>
        </w:tc>
        <w:tc>
          <w:tcPr>
            <w:tcW w:w="684" w:type="dxa"/>
            <w:tcBorders>
              <w:top w:val="single" w:sz="4" w:space="0" w:color="000000"/>
              <w:left w:val="single" w:sz="4" w:space="0" w:color="000000"/>
              <w:bottom w:val="single" w:sz="4" w:space="0" w:color="000000"/>
              <w:right w:val="single" w:sz="4" w:space="0" w:color="000000"/>
            </w:tcBorders>
            <w:shd w:val="clear" w:color="auto" w:fill="auto"/>
            <w:tcMar>
              <w:top w:w="80" w:type="dxa"/>
              <w:left w:w="60" w:type="dxa"/>
              <w:bottom w:w="100" w:type="dxa"/>
              <w:right w:w="60" w:type="dxa"/>
            </w:tcMar>
            <w:vAlign w:val="center"/>
          </w:tcPr>
          <w:p w14:paraId="76D4E3A0" w14:textId="187E90C0" w:rsidR="00C20C9D" w:rsidRPr="00115980" w:rsidRDefault="0020594C" w:rsidP="00CE0BB2">
            <w:pPr>
              <w:spacing w:line="220" w:lineRule="atLeast"/>
              <w:ind w:firstLine="0"/>
              <w:rPr>
                <w:sz w:val="20"/>
                <w:szCs w:val="20"/>
              </w:rPr>
            </w:pPr>
            <w:r>
              <w:rPr>
                <w:sz w:val="18"/>
                <w:szCs w:val="18"/>
              </w:rPr>
              <w:t>82.6</w:t>
            </w:r>
            <w:r w:rsidR="00C20C9D">
              <w:rPr>
                <w:sz w:val="18"/>
                <w:szCs w:val="18"/>
              </w:rPr>
              <w:t>%</w:t>
            </w:r>
          </w:p>
        </w:tc>
      </w:tr>
    </w:tbl>
    <w:p w14:paraId="72A31544" w14:textId="77777777" w:rsidR="00752E25" w:rsidRPr="00115980" w:rsidRDefault="00752E25" w:rsidP="00752E25">
      <w:pPr>
        <w:pStyle w:val="TableTitle"/>
      </w:pPr>
    </w:p>
    <w:p w14:paraId="2DB5FCA6" w14:textId="77777777" w:rsidR="00752E25" w:rsidRPr="00115980" w:rsidRDefault="00752E25" w:rsidP="00752E25">
      <w:pPr>
        <w:pStyle w:val="Heading2"/>
      </w:pPr>
      <w:r w:rsidRPr="00115980">
        <w:t>E.</w:t>
      </w:r>
      <w:r w:rsidRPr="00115980">
        <w:tab/>
        <w:t>How and When Damages Accrue</w:t>
      </w:r>
    </w:p>
    <w:p w14:paraId="39AA410D" w14:textId="593E534A" w:rsidR="00752E25" w:rsidRPr="00115980" w:rsidRDefault="00752E25" w:rsidP="00752E25">
      <w:r w:rsidRPr="00115980">
        <w:t xml:space="preserve">The purpose of Figure </w:t>
      </w:r>
      <w:r w:rsidR="0018402A">
        <w:t>37</w:t>
      </w:r>
      <w:r w:rsidRPr="00115980">
        <w:t>-14</w:t>
      </w:r>
      <w:r w:rsidRPr="00115980">
        <w:rPr>
          <w:rFonts w:cs="NewBaskerville-Bold"/>
          <w:b/>
          <w:bCs/>
        </w:rPr>
        <w:t xml:space="preserve"> </w:t>
      </w:r>
      <w:r w:rsidRPr="00115980">
        <w:t>is to show on a timeline how and when each of the EV Formula elements would accrue in South Korea for the Chapter 4 Case Study in which the patent litigation is initiated on January 1, 2017. Although the chart and the EV Formula are substantively the same for each country, the timeline shows when the issue of damages would be tried, if at all, and whether the appeal of the liability issues would be completed before the patent expires.</w:t>
      </w:r>
    </w:p>
    <w:p w14:paraId="538E53E8" w14:textId="470E3013" w:rsidR="00752E25" w:rsidRDefault="00752E25" w:rsidP="00752E25">
      <w:pPr>
        <w:pStyle w:val="TableTitle"/>
      </w:pPr>
      <w:r w:rsidRPr="00115980">
        <w:t xml:space="preserve">Figure </w:t>
      </w:r>
      <w:r w:rsidR="0018402A">
        <w:t>37</w:t>
      </w:r>
      <w:r w:rsidRPr="00115980">
        <w:t>-</w:t>
      </w:r>
      <w:r w:rsidRPr="00B228F7">
        <w:t>14</w:t>
      </w:r>
      <w:r w:rsidRPr="00115980">
        <w:t>. How and When Damages Accrue</w:t>
      </w:r>
      <w:r w:rsidRPr="00115980">
        <w:rPr>
          <w:rStyle w:val="FootnoteReference"/>
          <w:b w:val="0"/>
          <w:bCs w:val="0"/>
        </w:rPr>
        <w:footnoteReference w:id="72"/>
      </w:r>
    </w:p>
    <w:p w14:paraId="1635D05D" w14:textId="06571BDA" w:rsidR="00752E25" w:rsidRDefault="00752E25" w:rsidP="00752E25">
      <w:pPr>
        <w:pStyle w:val="TableTitle"/>
      </w:pPr>
    </w:p>
    <w:p w14:paraId="00199E28" w14:textId="63098D87" w:rsidR="00137830" w:rsidRPr="00115980" w:rsidRDefault="00137830" w:rsidP="00752E25">
      <w:pPr>
        <w:pStyle w:val="TableTitle"/>
      </w:pPr>
      <w:r>
        <w:rPr>
          <w:noProof/>
          <w:lang w:eastAsia="ko-KR"/>
        </w:rPr>
        <w:drawing>
          <wp:inline distT="0" distB="0" distL="0" distR="0" wp14:anchorId="008761E4" wp14:editId="64C3263E">
            <wp:extent cx="5715000" cy="4286250"/>
            <wp:effectExtent l="0" t="0" r="0" b="0"/>
            <wp:docPr id="24"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715000" cy="4286250"/>
                    </a:xfrm>
                    <a:prstGeom prst="rect">
                      <a:avLst/>
                    </a:prstGeom>
                  </pic:spPr>
                </pic:pic>
              </a:graphicData>
            </a:graphic>
          </wp:inline>
        </w:drawing>
      </w:r>
    </w:p>
    <w:p w14:paraId="29873489" w14:textId="77777777" w:rsidR="00752E25" w:rsidRPr="00115980" w:rsidRDefault="00752E25" w:rsidP="00752E25">
      <w:pPr>
        <w:pStyle w:val="Heading2"/>
      </w:pPr>
      <w:r w:rsidRPr="00115980">
        <w:t>F.</w:t>
      </w:r>
      <w:r w:rsidRPr="00115980">
        <w:tab/>
        <w:t>Early Case Assessment</w:t>
      </w:r>
    </w:p>
    <w:p w14:paraId="42F740D0" w14:textId="1CBDD257" w:rsidR="00752E25" w:rsidRDefault="00752E25" w:rsidP="00752E25">
      <w:pPr>
        <w:pStyle w:val="TableTitle"/>
        <w:spacing w:before="120"/>
      </w:pPr>
      <w:r w:rsidRPr="00115980">
        <w:lastRenderedPageBreak/>
        <w:t xml:space="preserve">Figure </w:t>
      </w:r>
      <w:r w:rsidR="0018402A">
        <w:t>37</w:t>
      </w:r>
      <w:r w:rsidRPr="00115980">
        <w:t>-</w:t>
      </w:r>
      <w:r w:rsidRPr="00B228F7">
        <w:t>15</w:t>
      </w:r>
      <w:r w:rsidRPr="00115980">
        <w:t>. Early Case Assessment</w:t>
      </w:r>
    </w:p>
    <w:p w14:paraId="227E4B9F" w14:textId="393B0549" w:rsidR="00752E25" w:rsidRDefault="00752E25" w:rsidP="00752E25">
      <w:pPr>
        <w:pStyle w:val="TableTitle"/>
        <w:spacing w:before="120"/>
      </w:pPr>
    </w:p>
    <w:p w14:paraId="5843E86D" w14:textId="70EDDD20" w:rsidR="00137830" w:rsidRDefault="00137830" w:rsidP="00752E25">
      <w:pPr>
        <w:pStyle w:val="TableTitle"/>
        <w:spacing w:before="120"/>
      </w:pPr>
      <w:r>
        <w:rPr>
          <w:noProof/>
          <w:lang w:eastAsia="ko-KR"/>
        </w:rPr>
        <w:drawing>
          <wp:inline distT="0" distB="0" distL="0" distR="0" wp14:anchorId="70490D7B" wp14:editId="3D972770">
            <wp:extent cx="5715000" cy="4286250"/>
            <wp:effectExtent l="0" t="0" r="0" b="0"/>
            <wp:docPr id="26"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715000" cy="4286250"/>
                    </a:xfrm>
                    <a:prstGeom prst="rect">
                      <a:avLst/>
                    </a:prstGeom>
                  </pic:spPr>
                </pic:pic>
              </a:graphicData>
            </a:graphic>
          </wp:inline>
        </w:drawing>
      </w:r>
    </w:p>
    <w:p w14:paraId="088C60F3" w14:textId="77777777" w:rsidR="00137830" w:rsidRPr="00115980" w:rsidRDefault="00137830" w:rsidP="00752E25">
      <w:pPr>
        <w:pStyle w:val="TableTitle"/>
        <w:spacing w:before="120"/>
      </w:pPr>
    </w:p>
    <w:p w14:paraId="6227E75B" w14:textId="77777777" w:rsidR="00752E25" w:rsidRPr="00115980" w:rsidRDefault="00752E25" w:rsidP="00752E25">
      <w:pPr>
        <w:pStyle w:val="Heading1"/>
      </w:pPr>
      <w:r w:rsidRPr="00115980">
        <w:t>X. Strategic Considerations</w:t>
      </w:r>
    </w:p>
    <w:p w14:paraId="2FE36AAC" w14:textId="77777777" w:rsidR="00752E25" w:rsidRPr="00115980" w:rsidRDefault="00752E25" w:rsidP="00752E25">
      <w:pPr>
        <w:pStyle w:val="Heading2"/>
        <w:spacing w:before="0"/>
      </w:pPr>
      <w:r w:rsidRPr="00115980">
        <w:t>A.</w:t>
      </w:r>
      <w:r w:rsidRPr="00115980">
        <w:tab/>
        <w:t>Double-Tracking</w:t>
      </w:r>
    </w:p>
    <w:p w14:paraId="42800F71" w14:textId="0D37767E" w:rsidR="00752E25" w:rsidRPr="00115980" w:rsidRDefault="00752E25" w:rsidP="00752E25">
      <w:r w:rsidRPr="00115980">
        <w:t>In principle, South Korea has a bifurcated system wherein patent validity is judged by the IPTAB, whereas patent infringement is adjudicated by the district courts</w:t>
      </w:r>
      <w:r w:rsidR="005A175C" w:rsidRPr="00ED6D84">
        <w:t>, although appeals from both proceedings are now heard by the Patent Court</w:t>
      </w:r>
      <w:r w:rsidRPr="00115980">
        <w:t xml:space="preserve">. However, in practice, this delineation is not </w:t>
      </w:r>
      <w:r w:rsidRPr="00115980">
        <w:lastRenderedPageBreak/>
        <w:t>perfectly clear. As mentioned above, recent Supreme Court decisions have held that an infringement court could refuse to enforce a patent if it independently finds that the patent is invalid for clearly lacking novelty or an inventive step.</w:t>
      </w:r>
    </w:p>
    <w:p w14:paraId="45DD3C6A" w14:textId="04203B5D" w:rsidR="00752E25" w:rsidRPr="00115980" w:rsidRDefault="00752E25" w:rsidP="00752E25">
      <w:pPr>
        <w:rPr>
          <w:spacing w:val="2"/>
        </w:rPr>
      </w:pPr>
      <w:r w:rsidRPr="00115980">
        <w:rPr>
          <w:spacing w:val="2"/>
        </w:rPr>
        <w:t xml:space="preserve">More specifically, the Korean Supreme Court in a unanimous </w:t>
      </w:r>
      <w:r w:rsidRPr="00115980">
        <w:rPr>
          <w:rFonts w:cs="NewBaskerville-Italic"/>
          <w:i/>
          <w:iCs/>
          <w:spacing w:val="2"/>
        </w:rPr>
        <w:t>en banc</w:t>
      </w:r>
      <w:r w:rsidRPr="00115980">
        <w:rPr>
          <w:spacing w:val="2"/>
        </w:rPr>
        <w:t xml:space="preserve"> decision held that South Korean civil courts (i.e., the District and High Courts) could dismiss a patent injunction or damages claim for lack of inventive step even before a patent is formally invalidated by the IPTAB.</w:t>
      </w:r>
      <w:r w:rsidRPr="00115980">
        <w:rPr>
          <w:rStyle w:val="FootnoteReference"/>
          <w:spacing w:val="2"/>
        </w:rPr>
        <w:footnoteReference w:id="73"/>
      </w:r>
      <w:r w:rsidRPr="00115980">
        <w:rPr>
          <w:spacing w:val="2"/>
        </w:rPr>
        <w:t xml:space="preserve"> The courts’ </w:t>
      </w:r>
      <w:r w:rsidRPr="00115980">
        <w:rPr>
          <w:rFonts w:cs="NewBaskerville-Italic"/>
          <w:i/>
          <w:iCs/>
          <w:spacing w:val="2"/>
        </w:rPr>
        <w:t>en banc</w:t>
      </w:r>
      <w:r w:rsidRPr="00115980">
        <w:rPr>
          <w:spacing w:val="2"/>
        </w:rPr>
        <w:t xml:space="preserve"> decision opens the door for civil courts to consider questions of validity when dismissing a patent infringement action, thereby also opening the door for more fierce battles in civil court actions. Although the two sides tend to be deferential to each other, the only circumstance in which one is bound by the other is when the invalidity of a patent becomes final and conclusive in an invalidation action, in which case there is no longer a patent to litigate in an infringement court. However, the infringement court is not bound by a final and conclusive ruling of a valid patent in an invalidation action, </w:t>
      </w:r>
      <w:r w:rsidR="003F2002">
        <w:rPr>
          <w:spacing w:val="2"/>
        </w:rPr>
        <w:t>so in theory,</w:t>
      </w:r>
      <w:r w:rsidRPr="00ED6D84">
        <w:rPr>
          <w:spacing w:val="2"/>
        </w:rPr>
        <w:t xml:space="preserve"> it may </w:t>
      </w:r>
      <w:r w:rsidR="005A175C">
        <w:rPr>
          <w:spacing w:val="2"/>
        </w:rPr>
        <w:t xml:space="preserve">still </w:t>
      </w:r>
      <w:r w:rsidRPr="00115980">
        <w:rPr>
          <w:spacing w:val="2"/>
        </w:rPr>
        <w:t>dismiss the infringement action if it finds the patent to be clearly invalid</w:t>
      </w:r>
      <w:r w:rsidR="003F2002">
        <w:rPr>
          <w:spacing w:val="2"/>
        </w:rPr>
        <w:t>,</w:t>
      </w:r>
      <w:r w:rsidR="005A175C">
        <w:rPr>
          <w:spacing w:val="2"/>
        </w:rPr>
        <w:t xml:space="preserve"> </w:t>
      </w:r>
      <w:r w:rsidR="005A175C" w:rsidRPr="00ED6D84">
        <w:rPr>
          <w:spacing w:val="2"/>
        </w:rPr>
        <w:t>particularly based on new evidence or arguments that were not considered in the final and conclusive ruling of the invalidation action</w:t>
      </w:r>
      <w:r w:rsidRPr="00115980">
        <w:rPr>
          <w:spacing w:val="2"/>
        </w:rPr>
        <w:t>.</w:t>
      </w:r>
    </w:p>
    <w:p w14:paraId="53638A98" w14:textId="0B0FE99F" w:rsidR="00752E25" w:rsidRPr="00115980" w:rsidRDefault="00752E25" w:rsidP="00752E25">
      <w:r w:rsidRPr="00115980">
        <w:t>If a defendant loses in an infringement court and becomes subject to a provisional</w:t>
      </w:r>
      <w:r w:rsidR="005A175C">
        <w:t xml:space="preserve"> </w:t>
      </w:r>
      <w:r w:rsidR="005A175C" w:rsidRPr="00ED6D84">
        <w:t>enforcement of</w:t>
      </w:r>
      <w:r w:rsidRPr="00115980">
        <w:t xml:space="preserve"> injunction (before the decision becomes conclusive and final), </w:t>
      </w:r>
      <w:r w:rsidR="005A175C" w:rsidRPr="00ED6D84">
        <w:t>it may request the court to stay the provisional enforcement while appealing the decision</w:t>
      </w:r>
      <w:r w:rsidR="00D82A17">
        <w:t xml:space="preserve"> to issue</w:t>
      </w:r>
      <w:r w:rsidR="005A175C">
        <w:t xml:space="preserve"> the injunction.</w:t>
      </w:r>
      <w:r w:rsidR="003B47BA">
        <w:t xml:space="preserve"> Such requests are routinely approved, with the condition that the defendant post a security deposit for the plaintiff</w:t>
      </w:r>
      <w:r w:rsidR="00D82A17">
        <w:t>’s losses</w:t>
      </w:r>
      <w:r w:rsidR="003B47BA">
        <w:t xml:space="preserve"> resulting from the stay</w:t>
      </w:r>
      <w:r w:rsidRPr="00115980">
        <w:t>.</w:t>
      </w:r>
    </w:p>
    <w:p w14:paraId="2CC8CC20" w14:textId="77777777" w:rsidR="00752E25" w:rsidRPr="00115980" w:rsidRDefault="00752E25" w:rsidP="00752E25">
      <w:pPr>
        <w:pStyle w:val="Heading2"/>
      </w:pPr>
      <w:r w:rsidRPr="00115980">
        <w:t>B.</w:t>
      </w:r>
      <w:r w:rsidRPr="00115980">
        <w:tab/>
        <w:t>Case Study Answers</w:t>
      </w:r>
    </w:p>
    <w:p w14:paraId="2E4BB879" w14:textId="628B59AD" w:rsidR="00752E25" w:rsidRPr="00115980" w:rsidRDefault="00752E25" w:rsidP="009553D8">
      <w:r w:rsidRPr="00115980">
        <w:t xml:space="preserve">Each country chapter is intended to inform the reader about the data metrics and substantive considerations considered most important to each country. To assist the reader in obtaining a more practical understanding of how these data metrics and substantive considerations can be used in each country, the South Korea answers to the Chapter 4 Case Study, the high-level EV2 Element values, and “dashboard” charts are included in Appendix B. In addition, the South Korea Expected Value Elements for the Case Study using the EV2 formula are included and compared with each other book country in Appendix C. </w:t>
      </w:r>
    </w:p>
    <w:sectPr w:rsidR="00752E25" w:rsidRPr="00115980" w:rsidSect="00752E25">
      <w:headerReference w:type="default" r:id="rId25"/>
      <w:footerReference w:type="default" r:id="rId26"/>
      <w:pgSz w:w="12240" w:h="15840"/>
      <w:pgMar w:top="960" w:right="1440" w:bottom="1200" w:left="1440" w:header="48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6BC19" w14:textId="77777777" w:rsidR="00B04E1B" w:rsidRDefault="00B04E1B">
      <w:pPr>
        <w:spacing w:after="0"/>
      </w:pPr>
      <w:r>
        <w:separator/>
      </w:r>
    </w:p>
  </w:endnote>
  <w:endnote w:type="continuationSeparator" w:id="0">
    <w:p w14:paraId="2EBF5C7F" w14:textId="77777777" w:rsidR="00B04E1B" w:rsidRDefault="00B04E1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NewBaskerville-Bold">
    <w:altName w:val="Calibri"/>
    <w:panose1 w:val="00000000000000000000"/>
    <w:charset w:val="4D"/>
    <w:family w:val="auto"/>
    <w:notTrueType/>
    <w:pitch w:val="default"/>
    <w:sig w:usb0="00000003" w:usb1="00000000" w:usb2="00000000" w:usb3="00000000" w:csb0="00000001" w:csb1="00000000"/>
  </w:font>
  <w:font w:name="NewBaskerville-BoldItalic">
    <w:altName w:val="Calibri"/>
    <w:panose1 w:val="00000000000000000000"/>
    <w:charset w:val="4D"/>
    <w:family w:val="auto"/>
    <w:notTrueType/>
    <w:pitch w:val="default"/>
    <w:sig w:usb0="00000003" w:usb1="00000000" w:usb2="00000000" w:usb3="00000000" w:csb0="00000001" w:csb1="00000000"/>
  </w:font>
  <w:font w:name="NewBaskerville-Italic">
    <w:altName w:val="Calibri"/>
    <w:panose1 w:val="00000000000000000000"/>
    <w:charset w:val="4D"/>
    <w:family w:val="roman"/>
    <w:notTrueType/>
    <w:pitch w:val="default"/>
    <w:sig w:usb0="00000003" w:usb1="00000000" w:usb2="00000000" w:usb3="00000000" w:csb0="00000001" w:csb1="00000000"/>
  </w:font>
  <w:font w:name="NewBaskerville-Roman">
    <w:altName w:val="Calibri"/>
    <w:panose1 w:val="00000000000000000000"/>
    <w:charset w:val="4D"/>
    <w:family w:val="auto"/>
    <w:notTrueType/>
    <w:pitch w:val="default"/>
    <w:sig w:usb0="00000003" w:usb1="00000000" w:usb2="00000000" w:usb3="00000000" w:csb0="00000001" w:csb1="00000000"/>
  </w:font>
  <w:font w:name="Times-Roman">
    <w:altName w:val="Times New Roman"/>
    <w:panose1 w:val="00000000000000000000"/>
    <w:charset w:val="4D"/>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ITC New Baskerville Std">
    <w:altName w:val="Cambria"/>
    <w:panose1 w:val="00000000000000000000"/>
    <w:charset w:val="00"/>
    <w:family w:val="roman"/>
    <w:notTrueType/>
    <w:pitch w:val="variable"/>
    <w:sig w:usb0="800000AF" w:usb1="5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18571" w14:textId="145CFF6A" w:rsidR="003B770B" w:rsidRDefault="003B770B" w:rsidP="00752E25">
    <w:pPr>
      <w:pStyle w:val="Footer"/>
      <w:spacing w:after="0"/>
      <w:jc w:val="center"/>
    </w:pPr>
    <w:r>
      <w:rPr>
        <w:rStyle w:val="PageNumber"/>
      </w:rPr>
      <w:fldChar w:fldCharType="begin"/>
    </w:r>
    <w:r>
      <w:rPr>
        <w:rStyle w:val="PageNumber"/>
      </w:rPr>
      <w:instrText xml:space="preserve"> PAGE </w:instrText>
    </w:r>
    <w:r>
      <w:rPr>
        <w:rStyle w:val="PageNumber"/>
      </w:rPr>
      <w:fldChar w:fldCharType="separate"/>
    </w:r>
    <w:r w:rsidR="003B47BA">
      <w:rPr>
        <w:rStyle w:val="PageNumber"/>
        <w:noProof/>
      </w:rPr>
      <w:t>21</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01A799" w14:textId="77777777" w:rsidR="00B04E1B" w:rsidRDefault="00B04E1B" w:rsidP="00752E25">
      <w:pPr>
        <w:spacing w:after="0"/>
        <w:ind w:firstLine="0"/>
      </w:pPr>
      <w:r>
        <w:separator/>
      </w:r>
    </w:p>
  </w:footnote>
  <w:footnote w:type="continuationSeparator" w:id="0">
    <w:p w14:paraId="33F050EE" w14:textId="77777777" w:rsidR="00B04E1B" w:rsidRDefault="00B04E1B" w:rsidP="00752E25">
      <w:pPr>
        <w:spacing w:after="0"/>
        <w:ind w:firstLine="0"/>
      </w:pPr>
      <w:r>
        <w:continuationSeparator/>
      </w:r>
    </w:p>
  </w:footnote>
  <w:footnote w:id="1">
    <w:p w14:paraId="252C131A" w14:textId="77777777" w:rsidR="003B770B" w:rsidRPr="00115980" w:rsidRDefault="003B770B" w:rsidP="00752E25">
      <w:pPr>
        <w:pStyle w:val="FootnoteText"/>
        <w:ind w:firstLine="360"/>
      </w:pPr>
      <w:r w:rsidRPr="00115980">
        <w:rPr>
          <w:vertAlign w:val="superscript"/>
        </w:rPr>
        <w:footnoteRef/>
      </w:r>
      <w:r w:rsidRPr="00115980">
        <w:t> </w:t>
      </w:r>
      <w:r w:rsidRPr="00115980">
        <w:rPr>
          <w:rFonts w:cs="NewBaskerville-Italic"/>
          <w:i/>
          <w:iCs/>
        </w:rPr>
        <w:t>Source</w:t>
      </w:r>
      <w:r w:rsidRPr="00115980">
        <w:t>: Global IP Project.</w:t>
      </w:r>
    </w:p>
    <w:p w14:paraId="26E591C1" w14:textId="77777777" w:rsidR="003B770B" w:rsidRPr="00115980" w:rsidRDefault="003B770B" w:rsidP="00752E25">
      <w:pPr>
        <w:pStyle w:val="FootnoteText"/>
        <w:ind w:firstLine="360"/>
      </w:pPr>
    </w:p>
  </w:footnote>
  <w:footnote w:id="2">
    <w:p w14:paraId="7EF8B861" w14:textId="77777777" w:rsidR="008F014F" w:rsidRPr="00115980" w:rsidRDefault="008F014F" w:rsidP="008F014F">
      <w:pPr>
        <w:pStyle w:val="FootnoteText"/>
        <w:ind w:firstLine="360"/>
      </w:pPr>
      <w:r w:rsidRPr="00115980">
        <w:rPr>
          <w:vertAlign w:val="superscript"/>
        </w:rPr>
        <w:footnoteRef/>
      </w:r>
      <w:r w:rsidRPr="00115980">
        <w:t> </w:t>
      </w:r>
      <w:r w:rsidRPr="00115980">
        <w:rPr>
          <w:rFonts w:cs="NewBaskerville-Italic"/>
          <w:i/>
          <w:iCs/>
        </w:rPr>
        <w:t>Source</w:t>
      </w:r>
      <w:r w:rsidRPr="00115980">
        <w:t>: Global IP Project.</w:t>
      </w:r>
    </w:p>
    <w:p w14:paraId="26C66809" w14:textId="77777777" w:rsidR="008F014F" w:rsidRPr="00115980" w:rsidRDefault="008F014F" w:rsidP="008F014F">
      <w:pPr>
        <w:pStyle w:val="FootnoteText"/>
        <w:ind w:firstLine="360"/>
      </w:pPr>
    </w:p>
  </w:footnote>
  <w:footnote w:id="3">
    <w:p w14:paraId="750FAB77" w14:textId="77777777" w:rsidR="003B770B" w:rsidRPr="00115980" w:rsidRDefault="003B770B" w:rsidP="00752E25">
      <w:pPr>
        <w:pStyle w:val="FootnoteText"/>
        <w:ind w:firstLine="360"/>
      </w:pPr>
      <w:r w:rsidRPr="00115980">
        <w:rPr>
          <w:vertAlign w:val="superscript"/>
        </w:rPr>
        <w:footnoteRef/>
      </w:r>
      <w:r w:rsidRPr="00115980">
        <w:t> </w:t>
      </w:r>
      <w:r w:rsidRPr="00115980">
        <w:rPr>
          <w:rFonts w:cs="NewBaskerville-Italic"/>
          <w:i/>
          <w:iCs/>
        </w:rPr>
        <w:t>Source</w:t>
      </w:r>
      <w:r w:rsidRPr="00115980">
        <w:t>: Global IP Project.</w:t>
      </w:r>
    </w:p>
    <w:p w14:paraId="7531EC30" w14:textId="77777777" w:rsidR="003B770B" w:rsidRPr="00115980" w:rsidRDefault="003B770B" w:rsidP="00752E25">
      <w:pPr>
        <w:pStyle w:val="FootnoteText"/>
        <w:ind w:firstLine="360"/>
      </w:pPr>
    </w:p>
  </w:footnote>
  <w:footnote w:id="4">
    <w:p w14:paraId="173EE64D" w14:textId="0C28E9B1" w:rsidR="003B770B" w:rsidRPr="00115980" w:rsidRDefault="003B770B" w:rsidP="00752E25">
      <w:pPr>
        <w:pStyle w:val="FootnoteText"/>
        <w:ind w:firstLine="360"/>
      </w:pPr>
      <w:r w:rsidRPr="00115980">
        <w:rPr>
          <w:vertAlign w:val="superscript"/>
        </w:rPr>
        <w:footnoteRef/>
      </w:r>
      <w:r w:rsidRPr="00115980">
        <w:t> </w:t>
      </w:r>
      <w:r w:rsidRPr="00115980">
        <w:rPr>
          <w:rFonts w:cs="NewBaskerville-Italic"/>
          <w:i/>
          <w:iCs/>
        </w:rPr>
        <w:t>Source</w:t>
      </w:r>
      <w:r w:rsidRPr="00115980">
        <w:t>: Global IP Project.</w:t>
      </w:r>
      <w:r>
        <w:t xml:space="preserve"> DARTS-IP/CLARIVATE data for 2012-2018 shows an average first-instance infringement procedure duration of 16.9 months. </w:t>
      </w:r>
    </w:p>
    <w:p w14:paraId="6315CAFF" w14:textId="77777777" w:rsidR="003B770B" w:rsidRPr="00115980" w:rsidRDefault="003B770B" w:rsidP="00752E25">
      <w:pPr>
        <w:pStyle w:val="FootnoteText"/>
        <w:ind w:firstLine="360"/>
      </w:pPr>
    </w:p>
  </w:footnote>
  <w:footnote w:id="5">
    <w:p w14:paraId="56198D39" w14:textId="664C2B92" w:rsidR="003B770B" w:rsidRPr="00115980" w:rsidRDefault="003B770B" w:rsidP="00752E25">
      <w:pPr>
        <w:pStyle w:val="FootnoteText"/>
        <w:ind w:firstLine="360"/>
      </w:pPr>
      <w:r w:rsidRPr="00115980">
        <w:rPr>
          <w:vertAlign w:val="superscript"/>
        </w:rPr>
        <w:footnoteRef/>
      </w:r>
      <w:r w:rsidRPr="00115980">
        <w:t> </w:t>
      </w:r>
      <w:r w:rsidRPr="00115980">
        <w:rPr>
          <w:rFonts w:cs="NewBaskerville-Italic"/>
          <w:i/>
          <w:iCs/>
        </w:rPr>
        <w:t>Source</w:t>
      </w:r>
      <w:r w:rsidRPr="00115980">
        <w:t>: DARTS-IP</w:t>
      </w:r>
      <w:r>
        <w:t>/CLARIVATE</w:t>
      </w:r>
      <w:r w:rsidRPr="00115980">
        <w:t>.</w:t>
      </w:r>
    </w:p>
    <w:p w14:paraId="2D4BB5D3" w14:textId="77777777" w:rsidR="003B770B" w:rsidRPr="00115980" w:rsidRDefault="003B770B" w:rsidP="00752E25">
      <w:pPr>
        <w:pStyle w:val="FootnoteText"/>
        <w:ind w:firstLine="360"/>
      </w:pPr>
    </w:p>
  </w:footnote>
  <w:footnote w:id="6">
    <w:p w14:paraId="4C8B2BA1" w14:textId="77777777" w:rsidR="003B770B" w:rsidRPr="00115980" w:rsidRDefault="003B770B" w:rsidP="00752E25">
      <w:pPr>
        <w:pStyle w:val="FootnoteText"/>
        <w:ind w:firstLine="360"/>
      </w:pPr>
      <w:r w:rsidRPr="00115980">
        <w:rPr>
          <w:vertAlign w:val="superscript"/>
        </w:rPr>
        <w:footnoteRef/>
      </w:r>
      <w:r w:rsidRPr="00115980">
        <w:t> Seoul Southern District Court Case No. 96 Gahap 6616, Yuhan-Kimberly, Ltd. and Kimberly-Clark Corp. v. SsangYong Paper Co. (Feb. 13, 2003); Seoul Southern District Court Case Nos. 2001 Gahap 8692 &amp; 2001 Gahap 11162 (consolidated), Yuhan-Kimberly, Ltd. and Kimberly-Clark Corp. v. LG Chems. Ltd., LG Household &amp; Health Care Ltd. and LG C.I. Ltd. (Feb. 7, 2003). Award was eventually overturned on appeal.</w:t>
      </w:r>
    </w:p>
    <w:p w14:paraId="1215A060" w14:textId="77777777" w:rsidR="003B770B" w:rsidRPr="00115980" w:rsidRDefault="003B770B" w:rsidP="00752E25">
      <w:pPr>
        <w:pStyle w:val="FootnoteText"/>
        <w:ind w:firstLine="360"/>
      </w:pPr>
    </w:p>
  </w:footnote>
  <w:footnote w:id="7">
    <w:p w14:paraId="62B63107" w14:textId="77777777" w:rsidR="003B770B" w:rsidRPr="00115980" w:rsidRDefault="003B770B" w:rsidP="00752E25">
      <w:pPr>
        <w:pStyle w:val="FootnoteText"/>
        <w:ind w:firstLine="360"/>
      </w:pPr>
      <w:r w:rsidRPr="00115980">
        <w:rPr>
          <w:vertAlign w:val="superscript"/>
        </w:rPr>
        <w:footnoteRef/>
      </w:r>
      <w:r w:rsidRPr="00115980">
        <w:t> The Patent Court was established in South Korea on March 1, 1998.</w:t>
      </w:r>
    </w:p>
    <w:p w14:paraId="0283D58E" w14:textId="77777777" w:rsidR="003B770B" w:rsidRPr="00115980" w:rsidRDefault="003B770B" w:rsidP="00752E25">
      <w:pPr>
        <w:pStyle w:val="FootnoteText"/>
        <w:ind w:firstLine="360"/>
      </w:pPr>
    </w:p>
  </w:footnote>
  <w:footnote w:id="8">
    <w:p w14:paraId="16A44D4E" w14:textId="77777777" w:rsidR="003B770B" w:rsidRPr="00115980" w:rsidRDefault="003B770B" w:rsidP="00752E25">
      <w:pPr>
        <w:pStyle w:val="FootnoteText"/>
        <w:ind w:firstLine="360"/>
      </w:pPr>
      <w:r w:rsidRPr="00115980">
        <w:rPr>
          <w:vertAlign w:val="superscript"/>
        </w:rPr>
        <w:footnoteRef/>
      </w:r>
      <w:r w:rsidRPr="00115980">
        <w:t> Korean Patent Act chs. 1–11.</w:t>
      </w:r>
    </w:p>
    <w:p w14:paraId="38365CF7" w14:textId="77777777" w:rsidR="003B770B" w:rsidRPr="00115980" w:rsidRDefault="003B770B" w:rsidP="00752E25">
      <w:pPr>
        <w:pStyle w:val="FootnoteText"/>
        <w:ind w:firstLine="360"/>
      </w:pPr>
    </w:p>
  </w:footnote>
  <w:footnote w:id="9">
    <w:p w14:paraId="18993FFB" w14:textId="77777777" w:rsidR="003B770B" w:rsidRPr="00115980" w:rsidRDefault="003B770B" w:rsidP="00752E25">
      <w:pPr>
        <w:pStyle w:val="FootnoteText"/>
        <w:ind w:firstLine="360"/>
      </w:pPr>
      <w:r w:rsidRPr="00115980">
        <w:rPr>
          <w:vertAlign w:val="superscript"/>
        </w:rPr>
        <w:footnoteRef/>
      </w:r>
      <w:r w:rsidRPr="00115980">
        <w:t> KCPA Arts. 2, 24.</w:t>
      </w:r>
    </w:p>
    <w:p w14:paraId="4A384844" w14:textId="77777777" w:rsidR="003B770B" w:rsidRPr="00115980" w:rsidRDefault="003B770B" w:rsidP="00752E25">
      <w:pPr>
        <w:pStyle w:val="FootnoteText"/>
        <w:ind w:firstLine="360"/>
      </w:pPr>
    </w:p>
  </w:footnote>
  <w:footnote w:id="10">
    <w:p w14:paraId="6C392880" w14:textId="77777777" w:rsidR="003B770B" w:rsidRPr="00115980" w:rsidRDefault="003B770B" w:rsidP="00752E25">
      <w:pPr>
        <w:pStyle w:val="FootnoteText"/>
        <w:ind w:firstLine="360"/>
      </w:pPr>
      <w:r w:rsidRPr="00115980">
        <w:rPr>
          <w:vertAlign w:val="superscript"/>
        </w:rPr>
        <w:footnoteRef/>
      </w:r>
      <w:r w:rsidRPr="00115980">
        <w:t> The Korean Utility Model Act and Design Protection Act.</w:t>
      </w:r>
    </w:p>
    <w:p w14:paraId="67D3A17F" w14:textId="77777777" w:rsidR="003B770B" w:rsidRPr="00115980" w:rsidRDefault="003B770B" w:rsidP="00752E25">
      <w:pPr>
        <w:pStyle w:val="FootnoteText"/>
        <w:ind w:firstLine="360"/>
      </w:pPr>
    </w:p>
  </w:footnote>
  <w:footnote w:id="11">
    <w:p w14:paraId="3CE76DAA" w14:textId="77777777" w:rsidR="003B770B" w:rsidRPr="00115980" w:rsidRDefault="003B770B" w:rsidP="00752E25">
      <w:pPr>
        <w:pStyle w:val="FootnoteText"/>
        <w:ind w:firstLine="360"/>
      </w:pPr>
      <w:r w:rsidRPr="00115980">
        <w:rPr>
          <w:vertAlign w:val="superscript"/>
        </w:rPr>
        <w:footnoteRef/>
      </w:r>
      <w:r w:rsidRPr="00115980">
        <w:t> KPA Art. 32.</w:t>
      </w:r>
    </w:p>
    <w:p w14:paraId="1566D526" w14:textId="77777777" w:rsidR="003B770B" w:rsidRPr="00115980" w:rsidRDefault="003B770B" w:rsidP="00752E25">
      <w:pPr>
        <w:pStyle w:val="FootnoteText"/>
        <w:ind w:firstLine="360"/>
      </w:pPr>
    </w:p>
  </w:footnote>
  <w:footnote w:id="12">
    <w:p w14:paraId="250BC3BC" w14:textId="77777777" w:rsidR="003B770B" w:rsidRPr="00115980" w:rsidRDefault="003B770B" w:rsidP="00752E25">
      <w:pPr>
        <w:pStyle w:val="FootnoteText"/>
        <w:ind w:firstLine="360"/>
      </w:pPr>
      <w:r w:rsidRPr="00115980">
        <w:rPr>
          <w:vertAlign w:val="superscript"/>
        </w:rPr>
        <w:footnoteRef/>
      </w:r>
      <w:r w:rsidRPr="00115980">
        <w:t> KPA Art. 29(1).</w:t>
      </w:r>
    </w:p>
    <w:p w14:paraId="4F60CE39" w14:textId="77777777" w:rsidR="003B770B" w:rsidRPr="00115980" w:rsidRDefault="003B770B" w:rsidP="00752E25">
      <w:pPr>
        <w:pStyle w:val="FootnoteText"/>
        <w:ind w:firstLine="360"/>
      </w:pPr>
    </w:p>
  </w:footnote>
  <w:footnote w:id="13">
    <w:p w14:paraId="4FD4531F" w14:textId="77777777" w:rsidR="003B770B" w:rsidRPr="00115980" w:rsidRDefault="003B770B" w:rsidP="00752E25">
      <w:pPr>
        <w:pStyle w:val="FootnoteText"/>
        <w:ind w:firstLine="360"/>
      </w:pPr>
      <w:r w:rsidRPr="00115980">
        <w:rPr>
          <w:vertAlign w:val="superscript"/>
        </w:rPr>
        <w:footnoteRef/>
      </w:r>
      <w:r w:rsidRPr="00115980">
        <w:t> KIPO Examination Guidelines.</w:t>
      </w:r>
    </w:p>
    <w:p w14:paraId="1F85B41D" w14:textId="77777777" w:rsidR="003B770B" w:rsidRPr="00115980" w:rsidRDefault="003B770B" w:rsidP="00752E25">
      <w:pPr>
        <w:pStyle w:val="FootnoteText"/>
        <w:ind w:firstLine="360"/>
      </w:pPr>
    </w:p>
  </w:footnote>
  <w:footnote w:id="14">
    <w:p w14:paraId="675B8CEE" w14:textId="77777777" w:rsidR="003B770B" w:rsidRPr="003B770B" w:rsidRDefault="003B770B" w:rsidP="00752E25">
      <w:pPr>
        <w:pStyle w:val="FootnoteText"/>
        <w:ind w:firstLine="360"/>
      </w:pPr>
      <w:r w:rsidRPr="00115980">
        <w:rPr>
          <w:vertAlign w:val="superscript"/>
        </w:rPr>
        <w:footnoteRef/>
      </w:r>
      <w:r w:rsidRPr="003B770B">
        <w:t> </w:t>
      </w:r>
      <w:r w:rsidRPr="003B770B">
        <w:rPr>
          <w:rFonts w:cs="NewBaskerville-Italic"/>
          <w:i/>
          <w:iCs/>
        </w:rPr>
        <w:t>Id</w:t>
      </w:r>
      <w:r w:rsidRPr="003B770B">
        <w:t>.</w:t>
      </w:r>
    </w:p>
    <w:p w14:paraId="3E3A82D8" w14:textId="77777777" w:rsidR="003B770B" w:rsidRPr="003B770B" w:rsidRDefault="003B770B" w:rsidP="00752E25">
      <w:pPr>
        <w:pStyle w:val="FootnoteText"/>
        <w:ind w:firstLine="360"/>
      </w:pPr>
    </w:p>
  </w:footnote>
  <w:footnote w:id="15">
    <w:p w14:paraId="65BA6006" w14:textId="77777777" w:rsidR="003B770B" w:rsidRPr="003B770B" w:rsidRDefault="003B770B" w:rsidP="00752E25">
      <w:pPr>
        <w:pStyle w:val="FootnoteText"/>
        <w:ind w:firstLine="360"/>
      </w:pPr>
      <w:r w:rsidRPr="00115980">
        <w:rPr>
          <w:vertAlign w:val="superscript"/>
        </w:rPr>
        <w:footnoteRef/>
      </w:r>
      <w:r w:rsidRPr="003B770B">
        <w:t> KPA Art. 29(1).</w:t>
      </w:r>
    </w:p>
    <w:p w14:paraId="3A02B1ED" w14:textId="77777777" w:rsidR="003B770B" w:rsidRPr="003B770B" w:rsidRDefault="003B770B" w:rsidP="00752E25">
      <w:pPr>
        <w:pStyle w:val="FootnoteText"/>
        <w:ind w:firstLine="360"/>
      </w:pPr>
    </w:p>
  </w:footnote>
  <w:footnote w:id="16">
    <w:p w14:paraId="1470B295" w14:textId="77777777" w:rsidR="003B770B" w:rsidRPr="003B770B" w:rsidRDefault="003B770B" w:rsidP="00752E25">
      <w:pPr>
        <w:pStyle w:val="FootnoteText"/>
        <w:ind w:firstLine="360"/>
      </w:pPr>
      <w:r w:rsidRPr="00115980">
        <w:rPr>
          <w:vertAlign w:val="superscript"/>
        </w:rPr>
        <w:footnoteRef/>
      </w:r>
      <w:r w:rsidRPr="003B770B">
        <w:t> KPA Art. 30(1).</w:t>
      </w:r>
    </w:p>
    <w:p w14:paraId="427FBDAB" w14:textId="77777777" w:rsidR="003B770B" w:rsidRPr="003B770B" w:rsidRDefault="003B770B" w:rsidP="00752E25">
      <w:pPr>
        <w:pStyle w:val="FootnoteText"/>
        <w:ind w:firstLine="360"/>
      </w:pPr>
    </w:p>
  </w:footnote>
  <w:footnote w:id="17">
    <w:p w14:paraId="399C2429" w14:textId="77777777" w:rsidR="003B770B" w:rsidRPr="003B770B" w:rsidRDefault="003B770B" w:rsidP="00752E25">
      <w:pPr>
        <w:pStyle w:val="FootnoteText"/>
        <w:ind w:firstLine="360"/>
      </w:pPr>
      <w:r w:rsidRPr="00115980">
        <w:rPr>
          <w:vertAlign w:val="superscript"/>
        </w:rPr>
        <w:footnoteRef/>
      </w:r>
      <w:r w:rsidRPr="003B770B">
        <w:t> KPA Art. 29(2).</w:t>
      </w:r>
    </w:p>
    <w:p w14:paraId="362406F9" w14:textId="77777777" w:rsidR="003B770B" w:rsidRPr="003B770B" w:rsidRDefault="003B770B" w:rsidP="00752E25">
      <w:pPr>
        <w:pStyle w:val="FootnoteText"/>
        <w:ind w:firstLine="360"/>
      </w:pPr>
    </w:p>
  </w:footnote>
  <w:footnote w:id="18">
    <w:p w14:paraId="1F2C3C46" w14:textId="77777777" w:rsidR="003B770B" w:rsidRPr="003B770B" w:rsidRDefault="003B770B" w:rsidP="00752E25">
      <w:pPr>
        <w:pStyle w:val="FootnoteText"/>
        <w:ind w:firstLine="360"/>
      </w:pPr>
      <w:r w:rsidRPr="00115980">
        <w:rPr>
          <w:vertAlign w:val="superscript"/>
        </w:rPr>
        <w:footnoteRef/>
      </w:r>
      <w:r w:rsidRPr="003B770B">
        <w:t> KPA Art. 42(3).</w:t>
      </w:r>
    </w:p>
    <w:p w14:paraId="7F111DA5" w14:textId="77777777" w:rsidR="003B770B" w:rsidRPr="003B770B" w:rsidRDefault="003B770B" w:rsidP="00752E25">
      <w:pPr>
        <w:pStyle w:val="FootnoteText"/>
        <w:ind w:firstLine="360"/>
      </w:pPr>
    </w:p>
  </w:footnote>
  <w:footnote w:id="19">
    <w:p w14:paraId="4EAB4970" w14:textId="77777777" w:rsidR="003B770B" w:rsidRPr="003B770B" w:rsidRDefault="003B770B" w:rsidP="00752E25">
      <w:pPr>
        <w:pStyle w:val="FootnoteText"/>
        <w:ind w:firstLine="360"/>
      </w:pPr>
      <w:r w:rsidRPr="00115980">
        <w:rPr>
          <w:vertAlign w:val="superscript"/>
        </w:rPr>
        <w:footnoteRef/>
      </w:r>
      <w:r w:rsidRPr="003B770B">
        <w:t> KPA Art. 42(4).</w:t>
      </w:r>
    </w:p>
    <w:p w14:paraId="1C2D2954" w14:textId="77777777" w:rsidR="003B770B" w:rsidRPr="003B770B" w:rsidRDefault="003B770B" w:rsidP="00752E25">
      <w:pPr>
        <w:pStyle w:val="FootnoteText"/>
        <w:ind w:firstLine="360"/>
      </w:pPr>
    </w:p>
  </w:footnote>
  <w:footnote w:id="20">
    <w:p w14:paraId="0B97349D" w14:textId="77777777" w:rsidR="003B770B" w:rsidRPr="00115980" w:rsidRDefault="003B770B" w:rsidP="00752E25">
      <w:pPr>
        <w:pStyle w:val="FootnoteText"/>
        <w:ind w:firstLine="360"/>
      </w:pPr>
      <w:r w:rsidRPr="00115980">
        <w:rPr>
          <w:vertAlign w:val="superscript"/>
        </w:rPr>
        <w:footnoteRef/>
      </w:r>
      <w:r w:rsidRPr="00115980">
        <w:t xml:space="preserve"> KPA Chs. 1–11; </w:t>
      </w:r>
      <w:r w:rsidRPr="00115980">
        <w:rPr>
          <w:rFonts w:cs="NewBaskerville-Italic"/>
          <w:i/>
          <w:iCs/>
        </w:rPr>
        <w:t>see also</w:t>
      </w:r>
      <w:r w:rsidRPr="00115980">
        <w:t xml:space="preserve"> the Korean Utility Model Act and Design Protection Act.</w:t>
      </w:r>
    </w:p>
    <w:p w14:paraId="42CA2E3F" w14:textId="77777777" w:rsidR="003B770B" w:rsidRPr="00115980" w:rsidRDefault="003B770B" w:rsidP="00752E25">
      <w:pPr>
        <w:pStyle w:val="FootnoteText"/>
        <w:ind w:firstLine="360"/>
      </w:pPr>
    </w:p>
  </w:footnote>
  <w:footnote w:id="21">
    <w:p w14:paraId="615CFE1A" w14:textId="77777777" w:rsidR="003B770B" w:rsidRPr="00115980" w:rsidRDefault="003B770B" w:rsidP="00752E25">
      <w:pPr>
        <w:pStyle w:val="FootnoteText"/>
        <w:ind w:firstLine="360"/>
      </w:pPr>
      <w:r w:rsidRPr="00115980">
        <w:rPr>
          <w:vertAlign w:val="superscript"/>
        </w:rPr>
        <w:footnoteRef/>
      </w:r>
      <w:r w:rsidRPr="00115980">
        <w:t> KPA Art. 96(1).</w:t>
      </w:r>
    </w:p>
    <w:p w14:paraId="478D15C5" w14:textId="77777777" w:rsidR="003B770B" w:rsidRPr="00115980" w:rsidRDefault="003B770B" w:rsidP="00752E25">
      <w:pPr>
        <w:pStyle w:val="FootnoteText"/>
        <w:ind w:firstLine="360"/>
      </w:pPr>
    </w:p>
  </w:footnote>
  <w:footnote w:id="22">
    <w:p w14:paraId="0A88F6BE" w14:textId="77777777" w:rsidR="003B770B" w:rsidRPr="00115980" w:rsidRDefault="003B770B" w:rsidP="00752E25">
      <w:pPr>
        <w:pStyle w:val="FootnoteText"/>
        <w:ind w:firstLine="360"/>
      </w:pPr>
      <w:r w:rsidRPr="00115980">
        <w:rPr>
          <w:vertAlign w:val="superscript"/>
        </w:rPr>
        <w:footnoteRef/>
      </w:r>
      <w:r w:rsidRPr="00115980">
        <w:t> Markman v. Westview Instruments, Inc., 517 U.S. 370 (1996).</w:t>
      </w:r>
    </w:p>
    <w:p w14:paraId="436E9823" w14:textId="77777777" w:rsidR="003B770B" w:rsidRPr="00115980" w:rsidRDefault="003B770B" w:rsidP="00752E25">
      <w:pPr>
        <w:pStyle w:val="FootnoteText"/>
        <w:ind w:firstLine="360"/>
      </w:pPr>
    </w:p>
  </w:footnote>
  <w:footnote w:id="23">
    <w:p w14:paraId="04CF4AA3" w14:textId="77777777" w:rsidR="003B770B" w:rsidRPr="00115980" w:rsidRDefault="003B770B" w:rsidP="00752E25">
      <w:pPr>
        <w:pStyle w:val="FootnoteText"/>
        <w:ind w:firstLine="360"/>
      </w:pPr>
      <w:r w:rsidRPr="00115980">
        <w:rPr>
          <w:vertAlign w:val="superscript"/>
        </w:rPr>
        <w:footnoteRef/>
      </w:r>
      <w:r w:rsidRPr="00115980">
        <w:t> KPA Art. 97.</w:t>
      </w:r>
    </w:p>
    <w:p w14:paraId="1F6F137A" w14:textId="77777777" w:rsidR="003B770B" w:rsidRPr="00115980" w:rsidRDefault="003B770B" w:rsidP="00752E25">
      <w:pPr>
        <w:pStyle w:val="FootnoteText"/>
        <w:ind w:firstLine="360"/>
      </w:pPr>
    </w:p>
  </w:footnote>
  <w:footnote w:id="24">
    <w:p w14:paraId="034AF502" w14:textId="77777777" w:rsidR="003B770B" w:rsidRPr="00115980" w:rsidRDefault="003B770B" w:rsidP="00752E25">
      <w:pPr>
        <w:pStyle w:val="FootnoteText"/>
        <w:ind w:firstLine="360"/>
      </w:pPr>
      <w:r w:rsidRPr="00115980">
        <w:rPr>
          <w:vertAlign w:val="superscript"/>
        </w:rPr>
        <w:footnoteRef/>
      </w:r>
      <w:r w:rsidRPr="00115980">
        <w:t> 96 Hu 1118, May 28, 1997.</w:t>
      </w:r>
    </w:p>
    <w:p w14:paraId="6DA5FE5A" w14:textId="77777777" w:rsidR="003B770B" w:rsidRPr="00115980" w:rsidRDefault="003B770B" w:rsidP="00752E25">
      <w:pPr>
        <w:pStyle w:val="FootnoteText"/>
        <w:ind w:firstLine="360"/>
      </w:pPr>
    </w:p>
  </w:footnote>
  <w:footnote w:id="25">
    <w:p w14:paraId="141BBE7B" w14:textId="77777777" w:rsidR="003B770B" w:rsidRPr="00115980" w:rsidRDefault="003B770B" w:rsidP="00752E25">
      <w:pPr>
        <w:pStyle w:val="FootnoteText"/>
        <w:ind w:firstLine="360"/>
      </w:pPr>
      <w:r w:rsidRPr="00115980">
        <w:rPr>
          <w:vertAlign w:val="superscript"/>
        </w:rPr>
        <w:footnoteRef/>
      </w:r>
      <w:r w:rsidRPr="00115980">
        <w:t> KPA Art. 135(1).</w:t>
      </w:r>
    </w:p>
    <w:p w14:paraId="076741F0" w14:textId="77777777" w:rsidR="003B770B" w:rsidRPr="00115980" w:rsidRDefault="003B770B" w:rsidP="00752E25">
      <w:pPr>
        <w:pStyle w:val="FootnoteText"/>
        <w:ind w:firstLine="360"/>
      </w:pPr>
    </w:p>
  </w:footnote>
  <w:footnote w:id="26">
    <w:p w14:paraId="1F595215" w14:textId="77777777" w:rsidR="003B770B" w:rsidRPr="00115980" w:rsidRDefault="003B770B" w:rsidP="00752E25">
      <w:pPr>
        <w:pStyle w:val="FootnoteText"/>
        <w:ind w:firstLine="360"/>
      </w:pPr>
      <w:r w:rsidRPr="00115980">
        <w:rPr>
          <w:vertAlign w:val="superscript"/>
        </w:rPr>
        <w:footnoteRef/>
      </w:r>
      <w:r w:rsidRPr="00115980">
        <w:t> 97 Hu 2200, July 28, 2000.</w:t>
      </w:r>
    </w:p>
    <w:p w14:paraId="40AEA474" w14:textId="77777777" w:rsidR="003B770B" w:rsidRPr="00115980" w:rsidRDefault="003B770B" w:rsidP="00752E25">
      <w:pPr>
        <w:pStyle w:val="FootnoteText"/>
        <w:ind w:firstLine="360"/>
      </w:pPr>
    </w:p>
  </w:footnote>
  <w:footnote w:id="27">
    <w:p w14:paraId="06E7D228" w14:textId="77777777" w:rsidR="003B770B" w:rsidRPr="00115980" w:rsidRDefault="003B770B" w:rsidP="00752E25">
      <w:pPr>
        <w:pStyle w:val="FootnoteText"/>
        <w:ind w:firstLine="360"/>
      </w:pPr>
      <w:r w:rsidRPr="00115980">
        <w:rPr>
          <w:vertAlign w:val="superscript"/>
        </w:rPr>
        <w:footnoteRef/>
      </w:r>
      <w:r w:rsidRPr="00115980">
        <w:t> KPA Art. 2.</w:t>
      </w:r>
    </w:p>
    <w:p w14:paraId="0675FE1C" w14:textId="77777777" w:rsidR="003B770B" w:rsidRPr="00115980" w:rsidRDefault="003B770B" w:rsidP="00752E25">
      <w:pPr>
        <w:pStyle w:val="FootnoteText"/>
        <w:ind w:firstLine="360"/>
      </w:pPr>
    </w:p>
  </w:footnote>
  <w:footnote w:id="28">
    <w:p w14:paraId="77A226C6" w14:textId="77777777" w:rsidR="003B770B" w:rsidRPr="00115980" w:rsidRDefault="003B770B" w:rsidP="00752E25">
      <w:pPr>
        <w:pStyle w:val="FootnoteText"/>
        <w:ind w:firstLine="360"/>
      </w:pPr>
      <w:r w:rsidRPr="00115980">
        <w:rPr>
          <w:vertAlign w:val="superscript"/>
        </w:rPr>
        <w:footnoteRef/>
      </w:r>
      <w:r w:rsidRPr="00115980">
        <w:t> KPA Art. 127.</w:t>
      </w:r>
    </w:p>
    <w:p w14:paraId="22B67963" w14:textId="77777777" w:rsidR="003B770B" w:rsidRPr="00115980" w:rsidRDefault="003B770B" w:rsidP="00752E25">
      <w:pPr>
        <w:pStyle w:val="FootnoteText"/>
        <w:ind w:firstLine="360"/>
      </w:pPr>
    </w:p>
  </w:footnote>
  <w:footnote w:id="29">
    <w:p w14:paraId="4D5B7D64" w14:textId="77777777" w:rsidR="003B770B" w:rsidRPr="00115980" w:rsidRDefault="003B770B" w:rsidP="00752E25">
      <w:pPr>
        <w:pStyle w:val="FootnoteText"/>
        <w:ind w:firstLine="360"/>
      </w:pPr>
      <w:r w:rsidRPr="00115980">
        <w:rPr>
          <w:vertAlign w:val="superscript"/>
        </w:rPr>
        <w:footnoteRef/>
      </w:r>
      <w:r w:rsidRPr="00115980">
        <w:t> 97 Hu 2200, July 28, 2000.</w:t>
      </w:r>
    </w:p>
    <w:p w14:paraId="49E64888" w14:textId="77777777" w:rsidR="003B770B" w:rsidRPr="00115980" w:rsidRDefault="003B770B" w:rsidP="00752E25">
      <w:pPr>
        <w:pStyle w:val="FootnoteText"/>
        <w:ind w:firstLine="360"/>
      </w:pPr>
    </w:p>
  </w:footnote>
  <w:footnote w:id="30">
    <w:p w14:paraId="22797621" w14:textId="77777777" w:rsidR="003B770B" w:rsidRPr="00115980" w:rsidRDefault="003B770B" w:rsidP="00752E25">
      <w:pPr>
        <w:pStyle w:val="FootnoteText"/>
        <w:ind w:firstLine="360"/>
      </w:pPr>
      <w:r w:rsidRPr="00115980">
        <w:rPr>
          <w:vertAlign w:val="superscript"/>
        </w:rPr>
        <w:footnoteRef/>
      </w:r>
      <w:r w:rsidRPr="00115980">
        <w:t> KPA Art. 129.</w:t>
      </w:r>
    </w:p>
    <w:p w14:paraId="28B598F8" w14:textId="77777777" w:rsidR="003B770B" w:rsidRPr="00115980" w:rsidRDefault="003B770B" w:rsidP="00752E25">
      <w:pPr>
        <w:pStyle w:val="FootnoteText"/>
        <w:ind w:firstLine="360"/>
      </w:pPr>
    </w:p>
  </w:footnote>
  <w:footnote w:id="31">
    <w:p w14:paraId="59BA38C9" w14:textId="77777777" w:rsidR="003B770B" w:rsidRPr="00115980" w:rsidRDefault="003B770B" w:rsidP="00752E25">
      <w:pPr>
        <w:pStyle w:val="FootnoteText"/>
        <w:ind w:firstLine="360"/>
      </w:pPr>
      <w:r w:rsidRPr="00115980">
        <w:rPr>
          <w:vertAlign w:val="superscript"/>
        </w:rPr>
        <w:footnoteRef/>
      </w:r>
      <w:r w:rsidRPr="00115980">
        <w:t> Civil courts do not have the right to invalidate a patent. Thus, if the court believes that a patent is invalid, they deem the enforcement of such a patent as an abuse-of-right and deny the infringement claim.</w:t>
      </w:r>
    </w:p>
    <w:p w14:paraId="582156ED" w14:textId="77777777" w:rsidR="003B770B" w:rsidRPr="00115980" w:rsidRDefault="003B770B" w:rsidP="00752E25">
      <w:pPr>
        <w:pStyle w:val="FootnoteText"/>
        <w:ind w:firstLine="360"/>
      </w:pPr>
    </w:p>
  </w:footnote>
  <w:footnote w:id="32">
    <w:p w14:paraId="1210AF1F" w14:textId="77777777" w:rsidR="003B770B" w:rsidRPr="0018402A" w:rsidRDefault="003B770B" w:rsidP="00752E25">
      <w:pPr>
        <w:pStyle w:val="FootnoteText"/>
        <w:ind w:firstLine="360"/>
        <w:rPr>
          <w:lang w:val="de-DE"/>
        </w:rPr>
      </w:pPr>
      <w:r w:rsidRPr="00115980">
        <w:rPr>
          <w:vertAlign w:val="superscript"/>
        </w:rPr>
        <w:footnoteRef/>
      </w:r>
      <w:r w:rsidRPr="0018402A">
        <w:rPr>
          <w:lang w:val="de-DE"/>
        </w:rPr>
        <w:t> KPA Art. 96(1).</w:t>
      </w:r>
    </w:p>
    <w:p w14:paraId="251AF6C1" w14:textId="77777777" w:rsidR="003B770B" w:rsidRPr="0018402A" w:rsidRDefault="003B770B" w:rsidP="00752E25">
      <w:pPr>
        <w:pStyle w:val="FootnoteText"/>
        <w:ind w:firstLine="360"/>
        <w:rPr>
          <w:lang w:val="de-DE"/>
        </w:rPr>
      </w:pPr>
    </w:p>
  </w:footnote>
  <w:footnote w:id="33">
    <w:p w14:paraId="16791053" w14:textId="77777777" w:rsidR="003B770B" w:rsidRPr="00742AD0" w:rsidRDefault="003B770B" w:rsidP="00752E25">
      <w:pPr>
        <w:pStyle w:val="FootnoteText"/>
        <w:ind w:firstLine="360"/>
      </w:pPr>
      <w:r w:rsidRPr="00115980">
        <w:rPr>
          <w:vertAlign w:val="superscript"/>
        </w:rPr>
        <w:footnoteRef/>
      </w:r>
      <w:r w:rsidRPr="00742AD0">
        <w:t> KPA Art. 107(1).</w:t>
      </w:r>
    </w:p>
    <w:p w14:paraId="3D73FB32" w14:textId="77777777" w:rsidR="003B770B" w:rsidRPr="00742AD0" w:rsidRDefault="003B770B" w:rsidP="00752E25">
      <w:pPr>
        <w:pStyle w:val="FootnoteText"/>
        <w:ind w:firstLine="360"/>
      </w:pPr>
    </w:p>
  </w:footnote>
  <w:footnote w:id="34">
    <w:p w14:paraId="25788C1A" w14:textId="77777777" w:rsidR="003B770B" w:rsidRPr="00742AD0" w:rsidRDefault="003B770B" w:rsidP="00752E25">
      <w:pPr>
        <w:pStyle w:val="FootnoteText"/>
        <w:ind w:firstLine="360"/>
      </w:pPr>
      <w:r w:rsidRPr="00115980">
        <w:rPr>
          <w:vertAlign w:val="superscript"/>
        </w:rPr>
        <w:footnoteRef/>
      </w:r>
      <w:r w:rsidRPr="00742AD0">
        <w:t> KPA Art. 107(1)1.</w:t>
      </w:r>
    </w:p>
    <w:p w14:paraId="1CA37A3E" w14:textId="77777777" w:rsidR="003B770B" w:rsidRPr="00742AD0" w:rsidRDefault="003B770B" w:rsidP="00752E25">
      <w:pPr>
        <w:pStyle w:val="FootnoteText"/>
        <w:ind w:firstLine="360"/>
      </w:pPr>
    </w:p>
  </w:footnote>
  <w:footnote w:id="35">
    <w:p w14:paraId="46956A39" w14:textId="77777777" w:rsidR="003B770B" w:rsidRPr="00742AD0" w:rsidRDefault="003B770B" w:rsidP="00752E25">
      <w:pPr>
        <w:pStyle w:val="FootnoteText"/>
        <w:ind w:firstLine="360"/>
      </w:pPr>
      <w:r w:rsidRPr="00115980">
        <w:rPr>
          <w:vertAlign w:val="superscript"/>
        </w:rPr>
        <w:footnoteRef/>
      </w:r>
      <w:r w:rsidRPr="00742AD0">
        <w:t> KPA Art. 107(1)4.</w:t>
      </w:r>
    </w:p>
    <w:p w14:paraId="6D18F468" w14:textId="77777777" w:rsidR="003B770B" w:rsidRPr="00742AD0" w:rsidRDefault="003B770B" w:rsidP="00752E25">
      <w:pPr>
        <w:pStyle w:val="FootnoteText"/>
        <w:ind w:firstLine="360"/>
      </w:pPr>
    </w:p>
  </w:footnote>
  <w:footnote w:id="36">
    <w:p w14:paraId="7165229A" w14:textId="77777777" w:rsidR="003B770B" w:rsidRPr="00742AD0" w:rsidRDefault="003B770B" w:rsidP="00752E25">
      <w:pPr>
        <w:pStyle w:val="FootnoteText"/>
        <w:ind w:firstLine="360"/>
      </w:pPr>
      <w:r w:rsidRPr="00115980">
        <w:rPr>
          <w:vertAlign w:val="superscript"/>
        </w:rPr>
        <w:footnoteRef/>
      </w:r>
      <w:r w:rsidRPr="00742AD0">
        <w:t> KPA Art. 107(1)5.</w:t>
      </w:r>
    </w:p>
    <w:p w14:paraId="4FED72A5" w14:textId="77777777" w:rsidR="003B770B" w:rsidRPr="00742AD0" w:rsidRDefault="003B770B" w:rsidP="00752E25">
      <w:pPr>
        <w:pStyle w:val="FootnoteText"/>
        <w:ind w:firstLine="360"/>
      </w:pPr>
    </w:p>
  </w:footnote>
  <w:footnote w:id="37">
    <w:p w14:paraId="6353F1CA" w14:textId="77777777" w:rsidR="003B770B" w:rsidRPr="00742AD0" w:rsidRDefault="003B770B" w:rsidP="00752E25">
      <w:pPr>
        <w:pStyle w:val="FootnoteText"/>
        <w:ind w:firstLine="360"/>
      </w:pPr>
      <w:r w:rsidRPr="00115980">
        <w:rPr>
          <w:vertAlign w:val="superscript"/>
        </w:rPr>
        <w:footnoteRef/>
      </w:r>
      <w:r w:rsidRPr="00742AD0">
        <w:t> KPA Art. 107(1)3.</w:t>
      </w:r>
    </w:p>
    <w:p w14:paraId="266FC806" w14:textId="77777777" w:rsidR="003B770B" w:rsidRPr="00742AD0" w:rsidRDefault="003B770B" w:rsidP="00752E25">
      <w:pPr>
        <w:pStyle w:val="FootnoteText"/>
        <w:ind w:firstLine="360"/>
      </w:pPr>
    </w:p>
  </w:footnote>
  <w:footnote w:id="38">
    <w:p w14:paraId="29594867" w14:textId="77777777" w:rsidR="003B770B" w:rsidRPr="00115980" w:rsidRDefault="003B770B" w:rsidP="00752E25">
      <w:pPr>
        <w:pStyle w:val="FootnoteText"/>
        <w:ind w:firstLine="360"/>
      </w:pPr>
      <w:r w:rsidRPr="00115980">
        <w:rPr>
          <w:vertAlign w:val="superscript"/>
        </w:rPr>
        <w:footnoteRef/>
      </w:r>
      <w:r w:rsidRPr="00115980">
        <w:t> KPA Art. 103.</w:t>
      </w:r>
    </w:p>
    <w:p w14:paraId="613B5010" w14:textId="77777777" w:rsidR="003B770B" w:rsidRPr="00115980" w:rsidRDefault="003B770B" w:rsidP="00752E25">
      <w:pPr>
        <w:pStyle w:val="FootnoteText"/>
        <w:ind w:firstLine="360"/>
      </w:pPr>
    </w:p>
  </w:footnote>
  <w:footnote w:id="39">
    <w:p w14:paraId="3B7B5BF1" w14:textId="77777777" w:rsidR="003B770B" w:rsidRPr="00115980" w:rsidRDefault="003B770B" w:rsidP="00752E25">
      <w:pPr>
        <w:pStyle w:val="FootnoteText"/>
        <w:ind w:firstLine="360"/>
      </w:pPr>
      <w:r w:rsidRPr="00115980">
        <w:rPr>
          <w:vertAlign w:val="superscript"/>
        </w:rPr>
        <w:footnoteRef/>
      </w:r>
      <w:r w:rsidRPr="00115980">
        <w:t> Seoul District Court 81 Gahap 466, July 30, 1981.</w:t>
      </w:r>
    </w:p>
    <w:p w14:paraId="0682F622" w14:textId="77777777" w:rsidR="003B770B" w:rsidRPr="00115980" w:rsidRDefault="003B770B" w:rsidP="00752E25">
      <w:pPr>
        <w:pStyle w:val="FootnoteText"/>
        <w:ind w:firstLine="360"/>
      </w:pPr>
    </w:p>
  </w:footnote>
  <w:footnote w:id="40">
    <w:p w14:paraId="69293810" w14:textId="77777777" w:rsidR="003B770B" w:rsidRPr="00742AD0" w:rsidRDefault="003B770B" w:rsidP="00752E25">
      <w:pPr>
        <w:pStyle w:val="FootnoteText"/>
        <w:ind w:firstLine="360"/>
      </w:pPr>
      <w:r w:rsidRPr="00115980">
        <w:rPr>
          <w:vertAlign w:val="superscript"/>
        </w:rPr>
        <w:footnoteRef/>
      </w:r>
      <w:r w:rsidRPr="00742AD0">
        <w:t> KPA Art. 126(1).</w:t>
      </w:r>
    </w:p>
    <w:p w14:paraId="6D58A31D" w14:textId="77777777" w:rsidR="003B770B" w:rsidRPr="00742AD0" w:rsidRDefault="003B770B" w:rsidP="00752E25">
      <w:pPr>
        <w:pStyle w:val="FootnoteText"/>
        <w:ind w:firstLine="360"/>
      </w:pPr>
    </w:p>
  </w:footnote>
  <w:footnote w:id="41">
    <w:p w14:paraId="7C767F8D" w14:textId="77777777" w:rsidR="003B770B" w:rsidRPr="00742AD0" w:rsidRDefault="003B770B" w:rsidP="00752E25">
      <w:pPr>
        <w:pStyle w:val="FootnoteText"/>
        <w:ind w:firstLine="360"/>
      </w:pPr>
      <w:r w:rsidRPr="00115980">
        <w:rPr>
          <w:vertAlign w:val="superscript"/>
        </w:rPr>
        <w:footnoteRef/>
      </w:r>
      <w:r w:rsidRPr="00742AD0">
        <w:t> KPA Art. 128.</w:t>
      </w:r>
    </w:p>
    <w:p w14:paraId="69083357" w14:textId="77777777" w:rsidR="003B770B" w:rsidRPr="00742AD0" w:rsidRDefault="003B770B" w:rsidP="00752E25">
      <w:pPr>
        <w:pStyle w:val="FootnoteText"/>
        <w:ind w:firstLine="360"/>
      </w:pPr>
    </w:p>
  </w:footnote>
  <w:footnote w:id="42">
    <w:p w14:paraId="7AA678D4" w14:textId="77777777" w:rsidR="003B770B" w:rsidRPr="00742AD0" w:rsidRDefault="003B770B" w:rsidP="00752E25">
      <w:pPr>
        <w:pStyle w:val="FootnoteText"/>
        <w:ind w:firstLine="360"/>
      </w:pPr>
      <w:r w:rsidRPr="00115980">
        <w:rPr>
          <w:vertAlign w:val="superscript"/>
        </w:rPr>
        <w:footnoteRef/>
      </w:r>
      <w:r w:rsidRPr="00742AD0">
        <w:t> KPA Art. 131.</w:t>
      </w:r>
    </w:p>
    <w:p w14:paraId="5F765041" w14:textId="77777777" w:rsidR="003B770B" w:rsidRPr="00742AD0" w:rsidRDefault="003B770B" w:rsidP="00752E25">
      <w:pPr>
        <w:pStyle w:val="FootnoteText"/>
        <w:ind w:firstLine="360"/>
      </w:pPr>
    </w:p>
  </w:footnote>
  <w:footnote w:id="43">
    <w:p w14:paraId="58F1B58A" w14:textId="77777777" w:rsidR="003B770B" w:rsidRPr="00115980" w:rsidRDefault="003B770B" w:rsidP="00752E25">
      <w:pPr>
        <w:pStyle w:val="FootnoteText"/>
        <w:ind w:firstLine="360"/>
      </w:pPr>
      <w:r w:rsidRPr="00115980">
        <w:rPr>
          <w:vertAlign w:val="superscript"/>
        </w:rPr>
        <w:footnoteRef/>
      </w:r>
      <w:r w:rsidRPr="00115980">
        <w:t xml:space="preserve"> KPA Art. 225(1). </w:t>
      </w:r>
      <w:r w:rsidRPr="00C14B57">
        <w:t xml:space="preserve">According to the </w:t>
      </w:r>
      <w:r w:rsidRPr="00C14B57">
        <w:rPr>
          <w:rFonts w:cs="NewBaskerville-Italic"/>
          <w:i/>
          <w:iCs/>
        </w:rPr>
        <w:t>Korean Prosecutors’ Yearbook 2012</w:t>
      </w:r>
      <w:r w:rsidRPr="00115980">
        <w:rPr>
          <w:rFonts w:cs="NewBaskerville-Italic"/>
          <w:i/>
          <w:iCs/>
        </w:rPr>
        <w:t>,</w:t>
      </w:r>
      <w:r w:rsidRPr="00115980">
        <w:t xml:space="preserve"> the rate of indictment for complaints filed with the prosecutors’ office on grounds of patent infringement was less than 5 percent between 2009 and 2011. For 2009–2011, of 2462 filings, there were 110 indictments.</w:t>
      </w:r>
    </w:p>
    <w:p w14:paraId="4BCE4680" w14:textId="77777777" w:rsidR="003B770B" w:rsidRPr="00115980" w:rsidRDefault="003B770B" w:rsidP="00752E25">
      <w:pPr>
        <w:pStyle w:val="FootnoteText"/>
        <w:ind w:firstLine="360"/>
      </w:pPr>
    </w:p>
  </w:footnote>
  <w:footnote w:id="44">
    <w:p w14:paraId="43736E66" w14:textId="77777777" w:rsidR="003B770B" w:rsidRPr="00115980" w:rsidRDefault="003B770B" w:rsidP="00752E25">
      <w:pPr>
        <w:pStyle w:val="FootnoteText"/>
      </w:pPr>
      <w:r w:rsidRPr="00115980">
        <w:rPr>
          <w:vertAlign w:val="superscript"/>
        </w:rPr>
        <w:footnoteRef/>
      </w:r>
      <w:r w:rsidRPr="00115980">
        <w:t> KPA Art. 128(2) and (3).</w:t>
      </w:r>
    </w:p>
    <w:p w14:paraId="3E5F06FC" w14:textId="77777777" w:rsidR="003B770B" w:rsidRPr="00115980" w:rsidRDefault="003B770B" w:rsidP="00752E25">
      <w:pPr>
        <w:pStyle w:val="FootnoteText"/>
      </w:pPr>
    </w:p>
  </w:footnote>
  <w:footnote w:id="45">
    <w:p w14:paraId="5E9BD9C5" w14:textId="77777777" w:rsidR="003B770B" w:rsidRPr="00115980" w:rsidRDefault="003B770B" w:rsidP="00752E25">
      <w:pPr>
        <w:pStyle w:val="FootnoteText"/>
      </w:pPr>
      <w:r w:rsidRPr="00115980">
        <w:rPr>
          <w:vertAlign w:val="superscript"/>
        </w:rPr>
        <w:footnoteRef/>
      </w:r>
      <w:r w:rsidRPr="00115980">
        <w:t> KPA Art. 128(4).</w:t>
      </w:r>
    </w:p>
    <w:p w14:paraId="1BFE4DCF" w14:textId="77777777" w:rsidR="003B770B" w:rsidRPr="00115980" w:rsidRDefault="003B770B" w:rsidP="00752E25">
      <w:pPr>
        <w:pStyle w:val="FootnoteText"/>
      </w:pPr>
    </w:p>
  </w:footnote>
  <w:footnote w:id="46">
    <w:p w14:paraId="05FBBF9E" w14:textId="77777777" w:rsidR="003B770B" w:rsidRPr="00115980" w:rsidRDefault="003B770B" w:rsidP="00752E25">
      <w:pPr>
        <w:pStyle w:val="FootnoteText"/>
      </w:pPr>
      <w:r w:rsidRPr="00115980">
        <w:rPr>
          <w:vertAlign w:val="superscript"/>
        </w:rPr>
        <w:footnoteRef/>
      </w:r>
      <w:r w:rsidRPr="00115980">
        <w:t> KPA Art. 128(5).</w:t>
      </w:r>
    </w:p>
    <w:p w14:paraId="25F2B378" w14:textId="77777777" w:rsidR="003B770B" w:rsidRPr="00115980" w:rsidRDefault="003B770B" w:rsidP="00752E25">
      <w:pPr>
        <w:pStyle w:val="FootnoteText"/>
      </w:pPr>
    </w:p>
  </w:footnote>
  <w:footnote w:id="47">
    <w:p w14:paraId="6ADBB65E" w14:textId="77777777" w:rsidR="003B770B" w:rsidRPr="00115980" w:rsidRDefault="003B770B" w:rsidP="00752E25">
      <w:pPr>
        <w:pStyle w:val="FootnoteText"/>
      </w:pPr>
      <w:r w:rsidRPr="00115980">
        <w:rPr>
          <w:vertAlign w:val="superscript"/>
        </w:rPr>
        <w:footnoteRef/>
      </w:r>
      <w:r w:rsidRPr="00115980">
        <w:t> KPA Art. 128(7).</w:t>
      </w:r>
    </w:p>
    <w:p w14:paraId="09F021B2" w14:textId="77777777" w:rsidR="003B770B" w:rsidRPr="00115980" w:rsidRDefault="003B770B" w:rsidP="00752E25">
      <w:pPr>
        <w:pStyle w:val="FootnoteText"/>
      </w:pPr>
    </w:p>
  </w:footnote>
  <w:footnote w:id="48">
    <w:p w14:paraId="5C4972B8" w14:textId="77777777" w:rsidR="003B770B" w:rsidRPr="00115980" w:rsidRDefault="003B770B" w:rsidP="00752E25">
      <w:pPr>
        <w:pStyle w:val="FootnoteText"/>
      </w:pPr>
      <w:r w:rsidRPr="00115980">
        <w:rPr>
          <w:vertAlign w:val="superscript"/>
        </w:rPr>
        <w:footnoteRef/>
      </w:r>
      <w:r w:rsidRPr="00115980">
        <w:t> Seoul Southern District Court Case No. 96 Gahap 6616 Yuhan-Kimberly, Ltd. and Kimberly-Clark Corp. v. SsangYong Paper Co. (Feb. 13, 2003); Seoul Southern District Court Case Nos. 2001 Gahap 8692 &amp; 2001 Gahap 11162 (consolidated) Yuhan-Kimberly, Ltd. and Kimberly-Clark Corp. v. LG Chemicals Ltd., LG Household &amp; Health Care Ltd. and LG C.I. Ltd. (Feb. 7, 2003). Award was eventually overturned on appeal.</w:t>
      </w:r>
    </w:p>
    <w:p w14:paraId="08C2DA82" w14:textId="77777777" w:rsidR="003B770B" w:rsidRPr="00115980" w:rsidRDefault="003B770B" w:rsidP="00752E25">
      <w:pPr>
        <w:pStyle w:val="FootnoteText"/>
      </w:pPr>
    </w:p>
  </w:footnote>
  <w:footnote w:id="49">
    <w:p w14:paraId="364562A7" w14:textId="77777777" w:rsidR="003B770B" w:rsidRPr="00115980" w:rsidRDefault="003B770B" w:rsidP="00752E25">
      <w:pPr>
        <w:pStyle w:val="FootnoteText"/>
      </w:pPr>
      <w:r w:rsidRPr="00115980">
        <w:rPr>
          <w:vertAlign w:val="superscript"/>
        </w:rPr>
        <w:footnoteRef/>
      </w:r>
      <w:r w:rsidRPr="00115980">
        <w:t xml:space="preserve"> 293,423,840 KRW; </w:t>
      </w:r>
      <w:r w:rsidRPr="00115980">
        <w:rPr>
          <w:rFonts w:cs="NewBaskerville-Italic"/>
          <w:i/>
          <w:iCs/>
        </w:rPr>
        <w:t>Hamamatsu v. Sunje Hi-Tek</w:t>
      </w:r>
      <w:r w:rsidRPr="00115980">
        <w:t>, 2008KAHAP19114, Seoul Central District Court (Aug. 2, 2011).</w:t>
      </w:r>
    </w:p>
    <w:p w14:paraId="1EE667B4" w14:textId="77777777" w:rsidR="003B770B" w:rsidRPr="00115980" w:rsidRDefault="003B770B" w:rsidP="00752E25">
      <w:pPr>
        <w:pStyle w:val="FootnoteText"/>
      </w:pPr>
    </w:p>
  </w:footnote>
  <w:footnote w:id="50">
    <w:p w14:paraId="08251F5D" w14:textId="77777777" w:rsidR="003B770B" w:rsidRPr="00742AD0" w:rsidRDefault="003B770B" w:rsidP="00752E25">
      <w:pPr>
        <w:pStyle w:val="FootnoteText"/>
      </w:pPr>
      <w:r w:rsidRPr="00115980">
        <w:rPr>
          <w:vertAlign w:val="superscript"/>
        </w:rPr>
        <w:footnoteRef/>
      </w:r>
      <w:r w:rsidRPr="00742AD0">
        <w:t> KCL Art. 766(1), (2).</w:t>
      </w:r>
    </w:p>
    <w:p w14:paraId="1330E464" w14:textId="77777777" w:rsidR="003B770B" w:rsidRPr="00742AD0" w:rsidRDefault="003B770B" w:rsidP="00752E25">
      <w:pPr>
        <w:pStyle w:val="FootnoteText"/>
      </w:pPr>
    </w:p>
  </w:footnote>
  <w:footnote w:id="51">
    <w:p w14:paraId="55B68D3E" w14:textId="77777777" w:rsidR="003B770B" w:rsidRPr="0018402A" w:rsidRDefault="003B770B" w:rsidP="00752E25">
      <w:pPr>
        <w:pStyle w:val="FootnoteText"/>
        <w:rPr>
          <w:lang w:val="de-DE"/>
        </w:rPr>
      </w:pPr>
      <w:r w:rsidRPr="00115980">
        <w:rPr>
          <w:vertAlign w:val="superscript"/>
        </w:rPr>
        <w:footnoteRef/>
      </w:r>
      <w:r w:rsidRPr="0018402A">
        <w:rPr>
          <w:lang w:val="de-DE"/>
        </w:rPr>
        <w:t> KPA Art. 165 (7).</w:t>
      </w:r>
    </w:p>
    <w:p w14:paraId="57557736" w14:textId="77777777" w:rsidR="003B770B" w:rsidRPr="0018402A" w:rsidRDefault="003B770B" w:rsidP="00752E25">
      <w:pPr>
        <w:pStyle w:val="FootnoteText"/>
        <w:rPr>
          <w:lang w:val="de-DE"/>
        </w:rPr>
      </w:pPr>
    </w:p>
  </w:footnote>
  <w:footnote w:id="52">
    <w:p w14:paraId="04CB3DD8" w14:textId="7D2F26C3" w:rsidR="003B770B" w:rsidRPr="0018402A" w:rsidRDefault="003B770B" w:rsidP="00752E25">
      <w:pPr>
        <w:pStyle w:val="FootnoteText"/>
        <w:rPr>
          <w:lang w:val="de-DE"/>
        </w:rPr>
      </w:pPr>
      <w:r w:rsidRPr="00115980">
        <w:rPr>
          <w:vertAlign w:val="superscript"/>
        </w:rPr>
        <w:footnoteRef/>
      </w:r>
      <w:r w:rsidRPr="0018402A">
        <w:rPr>
          <w:lang w:val="de-DE"/>
        </w:rPr>
        <w:t> KPA Art. 165 (1) – (7).</w:t>
      </w:r>
    </w:p>
    <w:p w14:paraId="0410382D" w14:textId="77777777" w:rsidR="003B770B" w:rsidRPr="0018402A" w:rsidRDefault="003B770B" w:rsidP="00752E25">
      <w:pPr>
        <w:pStyle w:val="FootnoteText"/>
        <w:rPr>
          <w:lang w:val="de-DE"/>
        </w:rPr>
      </w:pPr>
    </w:p>
  </w:footnote>
  <w:footnote w:id="53">
    <w:p w14:paraId="7D47CC5E" w14:textId="77777777" w:rsidR="003B770B" w:rsidRPr="00115980" w:rsidRDefault="003B770B" w:rsidP="00752E25">
      <w:pPr>
        <w:pStyle w:val="FootnoteText"/>
      </w:pPr>
      <w:r w:rsidRPr="00115980">
        <w:rPr>
          <w:vertAlign w:val="superscript"/>
        </w:rPr>
        <w:footnoteRef/>
      </w:r>
      <w:r w:rsidRPr="00115980">
        <w:t> Act on the Investigation of Unfair International Trade Practices and Remedy Against Injury to Industry.</w:t>
      </w:r>
    </w:p>
    <w:p w14:paraId="467830ED" w14:textId="77777777" w:rsidR="003B770B" w:rsidRPr="00115980" w:rsidRDefault="003B770B" w:rsidP="00752E25">
      <w:pPr>
        <w:pStyle w:val="FootnoteText"/>
      </w:pPr>
    </w:p>
  </w:footnote>
  <w:footnote w:id="54">
    <w:p w14:paraId="460B100B" w14:textId="71DE8F12" w:rsidR="003B770B" w:rsidRDefault="003B770B">
      <w:pPr>
        <w:pStyle w:val="FootnoteText"/>
      </w:pPr>
      <w:r>
        <w:rPr>
          <w:rStyle w:val="FootnoteReference"/>
        </w:rPr>
        <w:footnoteRef/>
      </w:r>
      <w:r>
        <w:t xml:space="preserve"> Based on DARTS-IP/CLARIVATE data for 2012-2018, 73% of the patent infringement litigation decisions were from the Seoul Central District Court (227/313). </w:t>
      </w:r>
    </w:p>
  </w:footnote>
  <w:footnote w:id="55">
    <w:p w14:paraId="0BF9DAD4" w14:textId="77777777" w:rsidR="003B770B" w:rsidRPr="00115980" w:rsidRDefault="003B770B" w:rsidP="00752E25">
      <w:pPr>
        <w:pStyle w:val="FootnoteText"/>
      </w:pPr>
      <w:r w:rsidRPr="00115980">
        <w:rPr>
          <w:vertAlign w:val="superscript"/>
        </w:rPr>
        <w:footnoteRef/>
      </w:r>
      <w:r w:rsidRPr="00115980">
        <w:t> 446,272,000 KRW.</w:t>
      </w:r>
    </w:p>
    <w:p w14:paraId="0B4CAB9E" w14:textId="77777777" w:rsidR="003B770B" w:rsidRPr="00115980" w:rsidRDefault="003B770B" w:rsidP="00752E25">
      <w:pPr>
        <w:pStyle w:val="FootnoteText"/>
      </w:pPr>
    </w:p>
  </w:footnote>
  <w:footnote w:id="56">
    <w:p w14:paraId="17609382" w14:textId="77777777" w:rsidR="003B770B" w:rsidRPr="00115980" w:rsidRDefault="003B770B" w:rsidP="00752E25">
      <w:pPr>
        <w:pStyle w:val="FootnoteText"/>
      </w:pPr>
      <w:r w:rsidRPr="00115980">
        <w:rPr>
          <w:vertAlign w:val="superscript"/>
        </w:rPr>
        <w:footnoteRef/>
      </w:r>
      <w:r w:rsidRPr="00115980">
        <w:t> 111,568,000 KRW.</w:t>
      </w:r>
    </w:p>
    <w:p w14:paraId="6F07A429" w14:textId="77777777" w:rsidR="003B770B" w:rsidRPr="00115980" w:rsidRDefault="003B770B" w:rsidP="00752E25">
      <w:pPr>
        <w:pStyle w:val="FootnoteText"/>
      </w:pPr>
    </w:p>
  </w:footnote>
  <w:footnote w:id="57">
    <w:p w14:paraId="111DBBE5" w14:textId="62D8BDE5" w:rsidR="003B770B" w:rsidRDefault="003B770B">
      <w:pPr>
        <w:pStyle w:val="FootnoteText"/>
      </w:pPr>
      <w:r>
        <w:rPr>
          <w:rStyle w:val="FootnoteReference"/>
        </w:rPr>
        <w:footnoteRef/>
      </w:r>
      <w:r>
        <w:t xml:space="preserve"> </w:t>
      </w:r>
      <w:r w:rsidRPr="0018402A">
        <w:rPr>
          <w:i/>
          <w:iCs/>
        </w:rPr>
        <w:t>Source</w:t>
      </w:r>
      <w:r>
        <w:t>: DARTS-IP/CLARIVATE.</w:t>
      </w:r>
    </w:p>
  </w:footnote>
  <w:footnote w:id="58">
    <w:p w14:paraId="1331B31B" w14:textId="77777777" w:rsidR="003B770B" w:rsidRPr="00115980" w:rsidRDefault="003B770B" w:rsidP="00752E25">
      <w:pPr>
        <w:pStyle w:val="FootnoteText"/>
      </w:pPr>
      <w:r w:rsidRPr="00115980">
        <w:rPr>
          <w:vertAlign w:val="superscript"/>
        </w:rPr>
        <w:footnoteRef/>
      </w:r>
      <w:r w:rsidRPr="00115980">
        <w:t> Intellectual Property Tribunal Statistics (March 2011).</w:t>
      </w:r>
    </w:p>
    <w:p w14:paraId="74B0D02C" w14:textId="77777777" w:rsidR="003B770B" w:rsidRPr="00115980" w:rsidRDefault="003B770B" w:rsidP="00752E25">
      <w:pPr>
        <w:pStyle w:val="FootnoteText"/>
      </w:pPr>
    </w:p>
  </w:footnote>
  <w:footnote w:id="59">
    <w:p w14:paraId="3E2F1F1F" w14:textId="77777777" w:rsidR="003B770B" w:rsidRPr="00115980" w:rsidRDefault="003B770B" w:rsidP="00752E25">
      <w:pPr>
        <w:pStyle w:val="FootnoteText"/>
      </w:pPr>
      <w:r w:rsidRPr="00115980">
        <w:rPr>
          <w:vertAlign w:val="superscript"/>
        </w:rPr>
        <w:footnoteRef/>
      </w:r>
      <w:r w:rsidRPr="00115980">
        <w:t> </w:t>
      </w:r>
      <w:r w:rsidRPr="00115980">
        <w:rPr>
          <w:rFonts w:cs="NewBaskerville-Italic"/>
          <w:i/>
          <w:iCs/>
        </w:rPr>
        <w:t>Source</w:t>
      </w:r>
      <w:r w:rsidRPr="00115980">
        <w:t>: Global IP Project estimate.</w:t>
      </w:r>
    </w:p>
    <w:p w14:paraId="30C9BAE9" w14:textId="77777777" w:rsidR="003B770B" w:rsidRPr="00115980" w:rsidRDefault="003B770B" w:rsidP="00752E25">
      <w:pPr>
        <w:pStyle w:val="FootnoteText"/>
      </w:pPr>
    </w:p>
  </w:footnote>
  <w:footnote w:id="60">
    <w:p w14:paraId="46143D88" w14:textId="53BAAAEE" w:rsidR="003B770B" w:rsidRPr="00115980" w:rsidRDefault="003B770B" w:rsidP="00752E25">
      <w:pPr>
        <w:pStyle w:val="FootnoteText"/>
      </w:pPr>
      <w:r w:rsidRPr="00115980">
        <w:rPr>
          <w:vertAlign w:val="superscript"/>
        </w:rPr>
        <w:footnoteRef/>
      </w:r>
      <w:r w:rsidRPr="00115980">
        <w:t> </w:t>
      </w:r>
      <w:r w:rsidRPr="00115980">
        <w:rPr>
          <w:rFonts w:cs="NewBaskerville-Italic"/>
          <w:i/>
          <w:iCs/>
        </w:rPr>
        <w:t>Source</w:t>
      </w:r>
      <w:r w:rsidRPr="00115980">
        <w:t>: DARTS-IP</w:t>
      </w:r>
      <w:r>
        <w:t>/CLARIVATE</w:t>
      </w:r>
      <w:r w:rsidRPr="00115980">
        <w:t>.</w:t>
      </w:r>
    </w:p>
    <w:p w14:paraId="11896FCA" w14:textId="77777777" w:rsidR="003B770B" w:rsidRPr="00115980" w:rsidRDefault="003B770B" w:rsidP="00752E25">
      <w:pPr>
        <w:pStyle w:val="FootnoteText"/>
      </w:pPr>
    </w:p>
  </w:footnote>
  <w:footnote w:id="61">
    <w:p w14:paraId="609242A4" w14:textId="25E5B601" w:rsidR="003B770B" w:rsidRPr="00115980" w:rsidRDefault="003B770B" w:rsidP="00752E25">
      <w:pPr>
        <w:pStyle w:val="FootnoteText"/>
      </w:pPr>
      <w:r w:rsidRPr="00115980">
        <w:rPr>
          <w:vertAlign w:val="superscript"/>
        </w:rPr>
        <w:footnoteRef/>
      </w:r>
      <w:r w:rsidRPr="00115980">
        <w:t> </w:t>
      </w:r>
      <w:r w:rsidRPr="00115980">
        <w:rPr>
          <w:rFonts w:cs="NewBaskerville-Italic"/>
          <w:i/>
          <w:iCs/>
        </w:rPr>
        <w:t>Source</w:t>
      </w:r>
      <w:r w:rsidRPr="00115980">
        <w:t>: DARTS-IP</w:t>
      </w:r>
      <w:r>
        <w:t>/CLARIVATE</w:t>
      </w:r>
      <w:r w:rsidRPr="00115980">
        <w:t>.</w:t>
      </w:r>
    </w:p>
    <w:p w14:paraId="66137880" w14:textId="77777777" w:rsidR="003B770B" w:rsidRPr="00115980" w:rsidRDefault="003B770B" w:rsidP="00752E25">
      <w:pPr>
        <w:pStyle w:val="FootnoteText"/>
      </w:pPr>
    </w:p>
  </w:footnote>
  <w:footnote w:id="62">
    <w:p w14:paraId="1402A80F" w14:textId="23B1F815" w:rsidR="003B770B" w:rsidRPr="00115980" w:rsidRDefault="003B770B" w:rsidP="00752E25">
      <w:pPr>
        <w:pStyle w:val="FootnoteText"/>
      </w:pPr>
      <w:r w:rsidRPr="00115980">
        <w:rPr>
          <w:vertAlign w:val="superscript"/>
        </w:rPr>
        <w:footnoteRef/>
      </w:r>
      <w:r w:rsidRPr="00115980">
        <w:t> </w:t>
      </w:r>
      <w:r w:rsidRPr="00115980">
        <w:rPr>
          <w:rFonts w:cs="NewBaskerville-Italic"/>
          <w:i/>
          <w:iCs/>
        </w:rPr>
        <w:t>Source</w:t>
      </w:r>
      <w:r w:rsidRPr="00115980">
        <w:t>: DARTS-IP</w:t>
      </w:r>
      <w:r>
        <w:t>/CLARIVATE</w:t>
      </w:r>
      <w:r w:rsidRPr="00115980">
        <w:t>.</w:t>
      </w:r>
    </w:p>
    <w:p w14:paraId="44F60DF5" w14:textId="77777777" w:rsidR="003B770B" w:rsidRPr="00115980" w:rsidRDefault="003B770B" w:rsidP="00752E25">
      <w:pPr>
        <w:pStyle w:val="FootnoteText"/>
      </w:pPr>
    </w:p>
  </w:footnote>
  <w:footnote w:id="63">
    <w:p w14:paraId="2E8246EC" w14:textId="54513952" w:rsidR="003B770B" w:rsidRPr="0018402A" w:rsidRDefault="003B770B" w:rsidP="0018402A">
      <w:pPr>
        <w:pStyle w:val="NoSpacing"/>
        <w:rPr>
          <w:sz w:val="22"/>
          <w:szCs w:val="22"/>
          <w:lang w:val="fr-FR"/>
        </w:rPr>
      </w:pPr>
      <w:r w:rsidRPr="00115980">
        <w:rPr>
          <w:vertAlign w:val="superscript"/>
        </w:rPr>
        <w:footnoteRef/>
      </w:r>
      <w:r w:rsidRPr="00115980">
        <w:t> </w:t>
      </w:r>
      <w:r w:rsidRPr="00115980">
        <w:rPr>
          <w:rFonts w:cs="NewBaskerville-Italic"/>
          <w:i/>
          <w:iCs/>
        </w:rPr>
        <w:t>Source</w:t>
      </w:r>
      <w:r w:rsidRPr="00115980">
        <w:t>: DARTS-IP</w:t>
      </w:r>
      <w:r>
        <w:t xml:space="preserve">/CLARIVATE; </w:t>
      </w:r>
      <w:r>
        <w:rPr>
          <w:sz w:val="22"/>
          <w:szCs w:val="22"/>
          <w:lang w:val="fr-FR"/>
        </w:rPr>
        <w:t>chart only shows courts having more than 5 invention patent infringement decisions</w:t>
      </w:r>
      <w:r w:rsidRPr="00115980">
        <w:t>.</w:t>
      </w:r>
    </w:p>
    <w:p w14:paraId="56E79A2F" w14:textId="77777777" w:rsidR="003B770B" w:rsidRPr="00115980" w:rsidRDefault="003B770B" w:rsidP="00752E25">
      <w:pPr>
        <w:pStyle w:val="FootnoteText"/>
      </w:pPr>
    </w:p>
  </w:footnote>
  <w:footnote w:id="64">
    <w:p w14:paraId="0E12DDBC" w14:textId="1FB11250" w:rsidR="003B770B" w:rsidRPr="00115980" w:rsidRDefault="003B770B" w:rsidP="0018402A">
      <w:pPr>
        <w:pStyle w:val="NoSpacing"/>
      </w:pPr>
      <w:r w:rsidRPr="00115980">
        <w:rPr>
          <w:vertAlign w:val="superscript"/>
        </w:rPr>
        <w:footnoteRef/>
      </w:r>
      <w:r w:rsidRPr="00115980">
        <w:t> </w:t>
      </w:r>
      <w:r w:rsidRPr="00115980">
        <w:rPr>
          <w:rFonts w:cs="NewBaskerville-Italic"/>
          <w:i/>
          <w:iCs/>
        </w:rPr>
        <w:t>Source</w:t>
      </w:r>
      <w:r w:rsidRPr="00115980">
        <w:t>: DARTS-IP. The total number of cases represented may be higher than the number of decisions because DARTS counts a case for each technology to which it is considered relevant, which leads to some double-counting.</w:t>
      </w:r>
      <w:r>
        <w:t xml:space="preserve"> </w:t>
      </w:r>
      <w:r w:rsidRPr="00CD7827">
        <w:rPr>
          <w:sz w:val="22"/>
          <w:szCs w:val="22"/>
        </w:rPr>
        <w:t>The total number of cases represented may be more than the number of decisions because DARTS counts a case for each technology to which it is considered relevant, which leads to some double-counting.</w:t>
      </w:r>
      <w:r>
        <w:rPr>
          <w:sz w:val="22"/>
          <w:szCs w:val="22"/>
        </w:rPr>
        <w:t xml:space="preserve"> The category “other” relates to a category not included in the Global IP Project methodology. The category “u</w:t>
      </w:r>
      <w:r w:rsidRPr="007300C7">
        <w:rPr>
          <w:sz w:val="22"/>
          <w:szCs w:val="22"/>
        </w:rPr>
        <w:t>nknown</w:t>
      </w:r>
      <w:r>
        <w:rPr>
          <w:sz w:val="22"/>
          <w:szCs w:val="22"/>
        </w:rPr>
        <w:t xml:space="preserve">” is </w:t>
      </w:r>
      <w:r w:rsidRPr="007300C7">
        <w:rPr>
          <w:sz w:val="22"/>
          <w:szCs w:val="22"/>
        </w:rPr>
        <w:t xml:space="preserve">either </w:t>
      </w:r>
      <w:r>
        <w:rPr>
          <w:sz w:val="22"/>
          <w:szCs w:val="22"/>
        </w:rPr>
        <w:t xml:space="preserve">a situation where the </w:t>
      </w:r>
      <w:r w:rsidRPr="007300C7">
        <w:rPr>
          <w:sz w:val="22"/>
          <w:szCs w:val="22"/>
        </w:rPr>
        <w:t>patent</w:t>
      </w:r>
      <w:r>
        <w:rPr>
          <w:sz w:val="22"/>
          <w:szCs w:val="22"/>
        </w:rPr>
        <w:t xml:space="preserve"> subject matter at issue cannot be deciphered</w:t>
      </w:r>
      <w:r w:rsidRPr="007300C7">
        <w:rPr>
          <w:sz w:val="22"/>
          <w:szCs w:val="22"/>
        </w:rPr>
        <w:t xml:space="preserve"> or there is a main IPC class</w:t>
      </w:r>
      <w:r>
        <w:rPr>
          <w:sz w:val="22"/>
          <w:szCs w:val="22"/>
        </w:rPr>
        <w:t xml:space="preserve"> </w:t>
      </w:r>
      <w:r w:rsidRPr="007300C7">
        <w:rPr>
          <w:sz w:val="22"/>
          <w:szCs w:val="22"/>
        </w:rPr>
        <w:t>which is not linked to a specific technical domain</w:t>
      </w:r>
      <w:r>
        <w:rPr>
          <w:sz w:val="22"/>
          <w:szCs w:val="22"/>
        </w:rPr>
        <w:t>,</w:t>
      </w:r>
      <w:r w:rsidRPr="007300C7">
        <w:rPr>
          <w:sz w:val="22"/>
          <w:szCs w:val="22"/>
        </w:rPr>
        <w:t xml:space="preserve"> so we are not able to map them directly to a single industry.</w:t>
      </w:r>
    </w:p>
    <w:p w14:paraId="04D134EA" w14:textId="77777777" w:rsidR="003B770B" w:rsidRPr="00115980" w:rsidRDefault="003B770B" w:rsidP="00752E25">
      <w:pPr>
        <w:pStyle w:val="FootnoteText"/>
      </w:pPr>
    </w:p>
  </w:footnote>
  <w:footnote w:id="65">
    <w:p w14:paraId="68E7B0A6" w14:textId="6857D468" w:rsidR="003B770B" w:rsidRPr="0018402A" w:rsidRDefault="003B770B" w:rsidP="0018402A">
      <w:pPr>
        <w:pStyle w:val="NoSpacing"/>
        <w:rPr>
          <w:sz w:val="22"/>
          <w:szCs w:val="22"/>
        </w:rPr>
      </w:pPr>
      <w:r w:rsidRPr="00115980">
        <w:rPr>
          <w:vertAlign w:val="superscript"/>
        </w:rPr>
        <w:footnoteRef/>
      </w:r>
      <w:r w:rsidRPr="00115980">
        <w:t> </w:t>
      </w:r>
      <w:r w:rsidRPr="00115980">
        <w:rPr>
          <w:rFonts w:cs="NewBaskerville-Italic"/>
          <w:i/>
          <w:iCs/>
        </w:rPr>
        <w:t>Source</w:t>
      </w:r>
      <w:r w:rsidRPr="00115980">
        <w:t>: DARTS-IP. The total number of cases represented may be higher than the number of decisions because DARTS counts a case for each technology to which it is considered relevant, which leads to some double-counting.</w:t>
      </w:r>
      <w:r>
        <w:t xml:space="preserve"> </w:t>
      </w:r>
      <w:r w:rsidRPr="00CD7827">
        <w:rPr>
          <w:sz w:val="22"/>
          <w:szCs w:val="22"/>
        </w:rPr>
        <w:t>The total number of cases represented may be more than the number of decisions because DARTS counts a case for each technology to which it is considered relevant, which leads to some double-counting.</w:t>
      </w:r>
      <w:r>
        <w:rPr>
          <w:sz w:val="22"/>
          <w:szCs w:val="22"/>
        </w:rPr>
        <w:t xml:space="preserve"> The category “other” relates to a category not included in the Global IP Project methodology. The category “u</w:t>
      </w:r>
      <w:r w:rsidRPr="007300C7">
        <w:rPr>
          <w:sz w:val="22"/>
          <w:szCs w:val="22"/>
        </w:rPr>
        <w:t>nknown</w:t>
      </w:r>
      <w:r>
        <w:rPr>
          <w:sz w:val="22"/>
          <w:szCs w:val="22"/>
        </w:rPr>
        <w:t xml:space="preserve">” is </w:t>
      </w:r>
      <w:r w:rsidRPr="007300C7">
        <w:rPr>
          <w:sz w:val="22"/>
          <w:szCs w:val="22"/>
        </w:rPr>
        <w:t xml:space="preserve">either </w:t>
      </w:r>
      <w:r>
        <w:rPr>
          <w:sz w:val="22"/>
          <w:szCs w:val="22"/>
        </w:rPr>
        <w:t xml:space="preserve">a situation where the </w:t>
      </w:r>
      <w:r w:rsidRPr="007300C7">
        <w:rPr>
          <w:sz w:val="22"/>
          <w:szCs w:val="22"/>
        </w:rPr>
        <w:t>patent</w:t>
      </w:r>
      <w:r>
        <w:rPr>
          <w:sz w:val="22"/>
          <w:szCs w:val="22"/>
        </w:rPr>
        <w:t xml:space="preserve"> subject matter at issue cannot be deciphered</w:t>
      </w:r>
      <w:r w:rsidRPr="007300C7">
        <w:rPr>
          <w:sz w:val="22"/>
          <w:szCs w:val="22"/>
        </w:rPr>
        <w:t xml:space="preserve"> or there is a main IPC class</w:t>
      </w:r>
      <w:r>
        <w:rPr>
          <w:sz w:val="22"/>
          <w:szCs w:val="22"/>
        </w:rPr>
        <w:t xml:space="preserve"> </w:t>
      </w:r>
      <w:r w:rsidRPr="007300C7">
        <w:rPr>
          <w:sz w:val="22"/>
          <w:szCs w:val="22"/>
        </w:rPr>
        <w:t>which is not linked to a specific technical domain</w:t>
      </w:r>
      <w:r>
        <w:rPr>
          <w:sz w:val="22"/>
          <w:szCs w:val="22"/>
        </w:rPr>
        <w:t>,</w:t>
      </w:r>
      <w:r w:rsidRPr="007300C7">
        <w:rPr>
          <w:sz w:val="22"/>
          <w:szCs w:val="22"/>
        </w:rPr>
        <w:t xml:space="preserve"> so we are not able to map them directly to a single industry.</w:t>
      </w:r>
    </w:p>
    <w:p w14:paraId="1B70C0A0" w14:textId="77777777" w:rsidR="003B770B" w:rsidRPr="00115980" w:rsidRDefault="003B770B" w:rsidP="00752E25">
      <w:pPr>
        <w:pStyle w:val="FootnoteText"/>
      </w:pPr>
    </w:p>
  </w:footnote>
  <w:footnote w:id="66">
    <w:p w14:paraId="4F9A7851" w14:textId="6E75876C" w:rsidR="003B770B" w:rsidRPr="001E3BB8" w:rsidRDefault="003B770B" w:rsidP="00752E25">
      <w:pPr>
        <w:pStyle w:val="FootnoteText"/>
      </w:pPr>
      <w:r w:rsidRPr="00115980">
        <w:rPr>
          <w:vertAlign w:val="superscript"/>
        </w:rPr>
        <w:footnoteRef/>
      </w:r>
      <w:r w:rsidRPr="001E3BB8">
        <w:t> </w:t>
      </w:r>
      <w:r w:rsidRPr="001E3BB8">
        <w:rPr>
          <w:rFonts w:cs="NewBaskerville-Italic"/>
          <w:i/>
          <w:iCs/>
        </w:rPr>
        <w:t>Source</w:t>
      </w:r>
      <w:r w:rsidRPr="001E3BB8">
        <w:t>: DARTS-IP</w:t>
      </w:r>
      <w:r>
        <w:t>/CLARIVATE</w:t>
      </w:r>
      <w:r w:rsidRPr="001E3BB8">
        <w:t>.</w:t>
      </w:r>
    </w:p>
    <w:p w14:paraId="74068C1F" w14:textId="77777777" w:rsidR="003B770B" w:rsidRPr="001E3BB8" w:rsidRDefault="003B770B" w:rsidP="00752E25">
      <w:pPr>
        <w:pStyle w:val="FootnoteText"/>
      </w:pPr>
    </w:p>
  </w:footnote>
  <w:footnote w:id="67">
    <w:p w14:paraId="3A3A7327" w14:textId="1A6EDDE5" w:rsidR="003B770B" w:rsidRPr="001E3BB8" w:rsidRDefault="003B770B" w:rsidP="00752E25">
      <w:pPr>
        <w:pStyle w:val="FootnoteText"/>
      </w:pPr>
      <w:r w:rsidRPr="00115980">
        <w:rPr>
          <w:vertAlign w:val="superscript"/>
        </w:rPr>
        <w:footnoteRef/>
      </w:r>
      <w:r w:rsidRPr="001E3BB8">
        <w:t> </w:t>
      </w:r>
      <w:r w:rsidRPr="001E3BB8">
        <w:rPr>
          <w:rFonts w:cs="NewBaskerville-Italic"/>
          <w:i/>
          <w:iCs/>
        </w:rPr>
        <w:t>Source</w:t>
      </w:r>
      <w:r w:rsidRPr="001E3BB8">
        <w:t>: DARTS-IP</w:t>
      </w:r>
      <w:r>
        <w:t>/CLARIVATE</w:t>
      </w:r>
      <w:r w:rsidRPr="001E3BB8">
        <w:t>.</w:t>
      </w:r>
    </w:p>
    <w:p w14:paraId="6F607C9A" w14:textId="77777777" w:rsidR="003B770B" w:rsidRPr="001E3BB8" w:rsidRDefault="003B770B" w:rsidP="00752E25">
      <w:pPr>
        <w:pStyle w:val="FootnoteText"/>
      </w:pPr>
    </w:p>
  </w:footnote>
  <w:footnote w:id="68">
    <w:p w14:paraId="63990D30" w14:textId="6D533CD7" w:rsidR="003B770B" w:rsidRPr="001E3BB8" w:rsidRDefault="003B770B" w:rsidP="00752E25">
      <w:pPr>
        <w:pStyle w:val="FootnoteText"/>
      </w:pPr>
      <w:r w:rsidRPr="00115980">
        <w:rPr>
          <w:vertAlign w:val="superscript"/>
        </w:rPr>
        <w:footnoteRef/>
      </w:r>
      <w:r w:rsidRPr="001E3BB8">
        <w:t> </w:t>
      </w:r>
      <w:r w:rsidRPr="001E3BB8">
        <w:rPr>
          <w:rFonts w:cs="NewBaskerville-Italic"/>
          <w:i/>
          <w:iCs/>
        </w:rPr>
        <w:t>Source</w:t>
      </w:r>
      <w:r w:rsidRPr="001E3BB8">
        <w:t>: DARTS-IP</w:t>
      </w:r>
      <w:r>
        <w:t>/CLARIVATE</w:t>
      </w:r>
      <w:r w:rsidRPr="001E3BB8">
        <w:t>.</w:t>
      </w:r>
      <w:r>
        <w:t xml:space="preserve"> </w:t>
      </w:r>
      <w:r w:rsidR="00310A4B">
        <w:t>Note, t</w:t>
      </w:r>
      <w:r>
        <w:t>his chart is not restricted to first-instance proceedings.</w:t>
      </w:r>
    </w:p>
    <w:p w14:paraId="019BE45A" w14:textId="77777777" w:rsidR="003B770B" w:rsidRPr="001E3BB8" w:rsidRDefault="003B770B" w:rsidP="00752E25">
      <w:pPr>
        <w:pStyle w:val="FootnoteText"/>
      </w:pPr>
    </w:p>
  </w:footnote>
  <w:footnote w:id="69">
    <w:p w14:paraId="5493F21D" w14:textId="5843EB75" w:rsidR="003B770B" w:rsidRPr="00115980" w:rsidRDefault="003B770B" w:rsidP="00752E25">
      <w:pPr>
        <w:pStyle w:val="FootnoteText"/>
      </w:pPr>
      <w:r w:rsidRPr="00115980">
        <w:rPr>
          <w:vertAlign w:val="superscript"/>
        </w:rPr>
        <w:footnoteRef/>
      </w:r>
      <w:r w:rsidRPr="001E3BB8">
        <w:t> </w:t>
      </w:r>
      <w:r w:rsidRPr="001E3BB8">
        <w:rPr>
          <w:rFonts w:cs="NewBaskerville-Italic"/>
          <w:i/>
          <w:iCs/>
        </w:rPr>
        <w:t>Source</w:t>
      </w:r>
      <w:r w:rsidRPr="001E3BB8">
        <w:t>: DARTS-IP</w:t>
      </w:r>
      <w:r>
        <w:t>/CLARIVATE</w:t>
      </w:r>
      <w:r w:rsidRPr="001E3BB8">
        <w:t xml:space="preserve">. </w:t>
      </w:r>
      <w:r w:rsidRPr="00115980">
        <w:t xml:space="preserve">According to the Global IP Project methodology, the validity win rate is calculated as total validity + ½ partial validity. So the calculation is </w:t>
      </w:r>
      <w:r>
        <w:t>29</w:t>
      </w:r>
      <w:r w:rsidRPr="00115980">
        <w:t>% (</w:t>
      </w:r>
      <w:r>
        <w:t>1137/3900</w:t>
      </w:r>
      <w:r w:rsidRPr="00115980">
        <w:t>) + ½(</w:t>
      </w:r>
      <w:r>
        <w:t>17</w:t>
      </w:r>
      <w:r w:rsidRPr="00115980">
        <w:t xml:space="preserve">%, </w:t>
      </w:r>
      <w:r>
        <w:t>646/3900</w:t>
      </w:r>
      <w:r w:rsidRPr="00115980">
        <w:t>) = 41%.</w:t>
      </w:r>
    </w:p>
    <w:p w14:paraId="4ABC1CD3" w14:textId="77777777" w:rsidR="003B770B" w:rsidRPr="00115980" w:rsidRDefault="003B770B" w:rsidP="00752E25">
      <w:pPr>
        <w:pStyle w:val="FootnoteText"/>
      </w:pPr>
    </w:p>
  </w:footnote>
  <w:footnote w:id="70">
    <w:p w14:paraId="2DAAAB3D" w14:textId="084F5E6E" w:rsidR="003B770B" w:rsidRPr="00115980" w:rsidRDefault="003B770B" w:rsidP="00752E25">
      <w:pPr>
        <w:pStyle w:val="FootnoteText"/>
      </w:pPr>
      <w:r w:rsidRPr="00115980">
        <w:rPr>
          <w:vertAlign w:val="superscript"/>
        </w:rPr>
        <w:footnoteRef/>
      </w:r>
      <w:r w:rsidRPr="00115980">
        <w:t> </w:t>
      </w:r>
      <w:r w:rsidRPr="00115980">
        <w:rPr>
          <w:rFonts w:cs="NewBaskerville-Italic"/>
          <w:i/>
          <w:iCs/>
        </w:rPr>
        <w:t>Source</w:t>
      </w:r>
      <w:r w:rsidRPr="00115980">
        <w:t>: </w:t>
      </w:r>
      <w:r>
        <w:t>KIPRIS (</w:t>
      </w:r>
      <w:r>
        <w:rPr>
          <w:rFonts w:hint="eastAsia"/>
        </w:rPr>
        <w:t>kipris.or.kr</w:t>
      </w:r>
      <w:r>
        <w:t xml:space="preserve">, KIPO’s online database), </w:t>
      </w:r>
      <w:r w:rsidRPr="005A175C">
        <w:t>as of Jan 24, 2022</w:t>
      </w:r>
      <w:r>
        <w:t>.</w:t>
      </w:r>
    </w:p>
    <w:p w14:paraId="0777FBCF" w14:textId="77777777" w:rsidR="003B770B" w:rsidRPr="00115980" w:rsidRDefault="003B770B" w:rsidP="00752E25">
      <w:pPr>
        <w:pStyle w:val="FootnoteText"/>
      </w:pPr>
    </w:p>
  </w:footnote>
  <w:footnote w:id="71">
    <w:p w14:paraId="041F02C7" w14:textId="7AF461E0" w:rsidR="003B770B" w:rsidRPr="00115980" w:rsidRDefault="003B770B" w:rsidP="00752E25">
      <w:pPr>
        <w:pStyle w:val="FootnoteText"/>
      </w:pPr>
      <w:r w:rsidRPr="00115980">
        <w:rPr>
          <w:vertAlign w:val="superscript"/>
        </w:rPr>
        <w:footnoteRef/>
      </w:r>
      <w:r w:rsidRPr="00115980">
        <w:t> </w:t>
      </w:r>
      <w:r w:rsidRPr="00115980">
        <w:rPr>
          <w:rFonts w:cs="NewBaskerville-Italic"/>
          <w:i/>
          <w:iCs/>
        </w:rPr>
        <w:t>Source</w:t>
      </w:r>
      <w:r w:rsidRPr="00115980">
        <w:t>: </w:t>
      </w:r>
      <w:r>
        <w:t>KIPRIS (</w:t>
      </w:r>
      <w:r>
        <w:rPr>
          <w:rFonts w:hint="eastAsia"/>
        </w:rPr>
        <w:t>kipris.or.kr</w:t>
      </w:r>
      <w:r>
        <w:t>, KIPO’s online database)</w:t>
      </w:r>
      <w:r w:rsidRPr="005A175C">
        <w:t>, as of January 24, 2022.</w:t>
      </w:r>
    </w:p>
    <w:p w14:paraId="34BA4B3C" w14:textId="77777777" w:rsidR="003B770B" w:rsidRPr="00115980" w:rsidRDefault="003B770B" w:rsidP="00752E25">
      <w:pPr>
        <w:pStyle w:val="FootnoteText"/>
      </w:pPr>
    </w:p>
  </w:footnote>
  <w:footnote w:id="72">
    <w:p w14:paraId="239D5179" w14:textId="77777777" w:rsidR="003B770B" w:rsidRPr="00115980" w:rsidRDefault="003B770B" w:rsidP="00752E25">
      <w:pPr>
        <w:pStyle w:val="FootnoteText"/>
      </w:pPr>
      <w:r w:rsidRPr="00115980">
        <w:rPr>
          <w:vertAlign w:val="superscript"/>
        </w:rPr>
        <w:footnoteRef/>
      </w:r>
      <w:r w:rsidRPr="00115980">
        <w:t> </w:t>
      </w:r>
      <w:r w:rsidRPr="00115980">
        <w:rPr>
          <w:rFonts w:cs="NewBaskerville-Italic"/>
          <w:i/>
          <w:iCs/>
        </w:rPr>
        <w:t>Source</w:t>
      </w:r>
      <w:r w:rsidRPr="00115980">
        <w:t>: Global IP Project.</w:t>
      </w:r>
    </w:p>
    <w:p w14:paraId="654B58FC" w14:textId="77777777" w:rsidR="003B770B" w:rsidRPr="00115980" w:rsidRDefault="003B770B" w:rsidP="00752E25">
      <w:pPr>
        <w:pStyle w:val="FootnoteText"/>
      </w:pPr>
      <w:r w:rsidRPr="00115980">
        <w:t>Expected Value (EV2) = Win Rate × (A+B+C) – Lose Rate × (D+E) – F</w:t>
      </w:r>
    </w:p>
    <w:p w14:paraId="16A1A712" w14:textId="77777777" w:rsidR="003B770B" w:rsidRPr="00115980" w:rsidRDefault="003B770B" w:rsidP="00752E25">
      <w:pPr>
        <w:pStyle w:val="FootnoteText"/>
        <w:spacing w:after="0"/>
      </w:pPr>
      <w:r w:rsidRPr="00115980">
        <w:t>Win Rate = Probability Patentee Will Win</w:t>
      </w:r>
    </w:p>
    <w:p w14:paraId="52932A1D" w14:textId="77777777" w:rsidR="003B770B" w:rsidRPr="00115980" w:rsidRDefault="003B770B" w:rsidP="00752E25">
      <w:pPr>
        <w:pStyle w:val="FootnoteText"/>
        <w:spacing w:after="0"/>
      </w:pPr>
      <w:r w:rsidRPr="00115980">
        <w:t>A = Expected Value of Past Damages Award</w:t>
      </w:r>
    </w:p>
    <w:p w14:paraId="72C38CCC" w14:textId="77777777" w:rsidR="003B770B" w:rsidRPr="00115980" w:rsidRDefault="003B770B" w:rsidP="00752E25">
      <w:pPr>
        <w:pStyle w:val="FootnoteText"/>
        <w:spacing w:after="0"/>
      </w:pPr>
      <w:r w:rsidRPr="00115980">
        <w:t>B = Expected Value of Future Remedy</w:t>
      </w:r>
    </w:p>
    <w:p w14:paraId="52FD6E63" w14:textId="77777777" w:rsidR="003B770B" w:rsidRPr="00115980" w:rsidRDefault="003B770B" w:rsidP="00752E25">
      <w:pPr>
        <w:pStyle w:val="FootnoteText"/>
        <w:spacing w:after="0"/>
      </w:pPr>
      <w:r w:rsidRPr="00115980">
        <w:t>C = Expected Value of Reimbursed Litigation Costs</w:t>
      </w:r>
    </w:p>
    <w:p w14:paraId="5F80A49A" w14:textId="77777777" w:rsidR="003B770B" w:rsidRPr="00115980" w:rsidRDefault="003B770B" w:rsidP="00752E25">
      <w:pPr>
        <w:pStyle w:val="FootnoteText"/>
        <w:spacing w:after="0"/>
      </w:pPr>
      <w:r w:rsidRPr="00115980">
        <w:t>Lose Rate =Probability patentee will lose</w:t>
      </w:r>
    </w:p>
    <w:p w14:paraId="6537A393" w14:textId="77777777" w:rsidR="003B770B" w:rsidRPr="00115980" w:rsidRDefault="003B770B" w:rsidP="00752E25">
      <w:pPr>
        <w:pStyle w:val="FootnoteText"/>
        <w:spacing w:after="0"/>
      </w:pPr>
      <w:r w:rsidRPr="00115980">
        <w:t>D = Expected Value of Lost Licensing Revenues</w:t>
      </w:r>
    </w:p>
    <w:p w14:paraId="228B335E" w14:textId="77777777" w:rsidR="003B770B" w:rsidRPr="00115980" w:rsidRDefault="003B770B" w:rsidP="00752E25">
      <w:pPr>
        <w:pStyle w:val="FootnoteText"/>
        <w:spacing w:after="0"/>
      </w:pPr>
      <w:r w:rsidRPr="00115980">
        <w:t>E = Expected Value of Reimbursing Opposing Party Costs</w:t>
      </w:r>
    </w:p>
    <w:p w14:paraId="513E6561" w14:textId="77777777" w:rsidR="003B770B" w:rsidRPr="00115980" w:rsidRDefault="003B770B" w:rsidP="00752E25">
      <w:pPr>
        <w:pStyle w:val="FootnoteText"/>
      </w:pPr>
      <w:r w:rsidRPr="00115980">
        <w:t>F = Costs of Going to Trial.</w:t>
      </w:r>
    </w:p>
    <w:p w14:paraId="61C417F9" w14:textId="77777777" w:rsidR="003B770B" w:rsidRPr="00115980" w:rsidRDefault="003B770B" w:rsidP="00752E25">
      <w:pPr>
        <w:pStyle w:val="FootnoteText"/>
      </w:pPr>
    </w:p>
  </w:footnote>
  <w:footnote w:id="73">
    <w:p w14:paraId="3AD88E37" w14:textId="77777777" w:rsidR="003B770B" w:rsidRPr="00115980" w:rsidRDefault="003B770B" w:rsidP="00752E25">
      <w:pPr>
        <w:pStyle w:val="FootnoteText"/>
      </w:pPr>
      <w:r w:rsidRPr="00115980">
        <w:rPr>
          <w:vertAlign w:val="superscript"/>
        </w:rPr>
        <w:footnoteRef/>
      </w:r>
      <w:r w:rsidRPr="00115980">
        <w:t> 2010 Da 95390, Jan. 19, 2012.</w:t>
      </w:r>
    </w:p>
    <w:p w14:paraId="20D496E5" w14:textId="77777777" w:rsidR="003B770B" w:rsidRPr="00115980" w:rsidRDefault="003B770B" w:rsidP="00752E25">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AD3B8" w14:textId="5B7AAC18" w:rsidR="003B770B" w:rsidRDefault="003B770B" w:rsidP="00752E25">
    <w:pPr>
      <w:pStyle w:val="Header"/>
      <w:spacing w:after="0"/>
      <w:jc w:val="right"/>
    </w:pPr>
    <w:r>
      <w:t xml:space="preserve">GP4 Chapter </w:t>
    </w:r>
    <w:r w:rsidR="0018402A">
      <w:t>37</w:t>
    </w:r>
    <w:r>
      <w:t>: SOUTH KOREA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BB0438C6"/>
    <w:lvl w:ilvl="0">
      <w:start w:val="1"/>
      <w:numFmt w:val="decimal"/>
      <w:lvlText w:val="%1."/>
      <w:lvlJc w:val="left"/>
      <w:pPr>
        <w:tabs>
          <w:tab w:val="num" w:pos="360"/>
        </w:tabs>
        <w:ind w:left="360" w:hanging="360"/>
      </w:pPr>
    </w:lvl>
  </w:abstractNum>
  <w:abstractNum w:abstractNumId="1" w15:restartNumberingAfterBreak="0">
    <w:nsid w:val="FFFFFF89"/>
    <w:multiLevelType w:val="singleLevel"/>
    <w:tmpl w:val="29D08032"/>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30ED3C2C"/>
    <w:multiLevelType w:val="hybridMultilevel"/>
    <w:tmpl w:val="18E4638E"/>
    <w:lvl w:ilvl="0" w:tplc="CAAC9F82">
      <w:start w:val="1"/>
      <w:numFmt w:val="bullet"/>
      <w:pStyle w:val="ListBullet"/>
      <w:lvlText w:val=""/>
      <w:lvlJc w:val="left"/>
      <w:pPr>
        <w:tabs>
          <w:tab w:val="num" w:pos="1880"/>
        </w:tabs>
        <w:ind w:left="1880" w:hanging="720"/>
      </w:pPr>
      <w:rPr>
        <w:rFonts w:ascii="Symbol" w:hAnsi="Symbol" w:hint="default"/>
      </w:rPr>
    </w:lvl>
    <w:lvl w:ilvl="1" w:tplc="04090003" w:tentative="1">
      <w:start w:val="1"/>
      <w:numFmt w:val="bullet"/>
      <w:lvlText w:val="o"/>
      <w:lvlJc w:val="left"/>
      <w:pPr>
        <w:ind w:left="1880" w:hanging="360"/>
      </w:pPr>
      <w:rPr>
        <w:rFonts w:ascii="Courier New" w:hAnsi="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 w15:restartNumberingAfterBreak="0">
    <w:nsid w:val="5E4A1A4F"/>
    <w:multiLevelType w:val="hybridMultilevel"/>
    <w:tmpl w:val="B56093C6"/>
    <w:lvl w:ilvl="0" w:tplc="B664CC46">
      <w:start w:val="5"/>
      <w:numFmt w:val="bullet"/>
      <w:pStyle w:val="ListBullet-l2"/>
      <w:lvlText w:val="–"/>
      <w:lvlJc w:val="left"/>
      <w:pPr>
        <w:ind w:left="2520" w:hanging="360"/>
      </w:pPr>
      <w:rPr>
        <w:rFonts w:ascii="Times New Roman" w:eastAsia="Cambria" w:hAnsi="Times New Roman"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6D9C4040"/>
    <w:multiLevelType w:val="hybridMultilevel"/>
    <w:tmpl w:val="34C6DCCE"/>
    <w:lvl w:ilvl="0" w:tplc="49F82A54">
      <w:numFmt w:val="bullet"/>
      <w:lvlText w:val=""/>
      <w:lvlJc w:val="left"/>
      <w:pPr>
        <w:ind w:left="1080" w:hanging="360"/>
      </w:pPr>
      <w:rPr>
        <w:rFonts w:ascii="Wingdings" w:eastAsiaTheme="minorEastAsia" w:hAnsi="Wingdings" w:cs="Times New Roman" w:hint="default"/>
      </w:rPr>
    </w:lvl>
    <w:lvl w:ilvl="1" w:tplc="04090003" w:tentative="1">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num w:numId="1" w16cid:durableId="1111126893">
    <w:abstractNumId w:val="0"/>
  </w:num>
  <w:num w:numId="2" w16cid:durableId="1355809637">
    <w:abstractNumId w:val="1"/>
  </w:num>
  <w:num w:numId="3" w16cid:durableId="1886020474">
    <w:abstractNumId w:val="2"/>
  </w:num>
  <w:num w:numId="4" w16cid:durableId="592016111">
    <w:abstractNumId w:val="3"/>
  </w:num>
  <w:num w:numId="5" w16cid:durableId="7973391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8"/>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de-DE" w:vendorID="64" w:dllVersion="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0499"/>
    <w:rsid w:val="00013378"/>
    <w:rsid w:val="0001460B"/>
    <w:rsid w:val="000211C7"/>
    <w:rsid w:val="00034696"/>
    <w:rsid w:val="00062B0A"/>
    <w:rsid w:val="00064C21"/>
    <w:rsid w:val="00080759"/>
    <w:rsid w:val="00086790"/>
    <w:rsid w:val="000925E8"/>
    <w:rsid w:val="00093D0D"/>
    <w:rsid w:val="000B6B47"/>
    <w:rsid w:val="000C55EC"/>
    <w:rsid w:val="000C6CA1"/>
    <w:rsid w:val="00104663"/>
    <w:rsid w:val="00106615"/>
    <w:rsid w:val="00114721"/>
    <w:rsid w:val="00123E0A"/>
    <w:rsid w:val="00124978"/>
    <w:rsid w:val="0012589A"/>
    <w:rsid w:val="00125D17"/>
    <w:rsid w:val="00127684"/>
    <w:rsid w:val="0013522B"/>
    <w:rsid w:val="00137830"/>
    <w:rsid w:val="00151613"/>
    <w:rsid w:val="00176FCD"/>
    <w:rsid w:val="0018402A"/>
    <w:rsid w:val="00187634"/>
    <w:rsid w:val="001A02B5"/>
    <w:rsid w:val="001A2075"/>
    <w:rsid w:val="001C18BC"/>
    <w:rsid w:val="001C5F24"/>
    <w:rsid w:val="001D04D6"/>
    <w:rsid w:val="001E3BB8"/>
    <w:rsid w:val="001F062B"/>
    <w:rsid w:val="001F265A"/>
    <w:rsid w:val="00202858"/>
    <w:rsid w:val="0020594C"/>
    <w:rsid w:val="002126EA"/>
    <w:rsid w:val="00237DA8"/>
    <w:rsid w:val="00245475"/>
    <w:rsid w:val="00247C87"/>
    <w:rsid w:val="00252062"/>
    <w:rsid w:val="00256606"/>
    <w:rsid w:val="00257D30"/>
    <w:rsid w:val="00294365"/>
    <w:rsid w:val="0029726F"/>
    <w:rsid w:val="002A1D74"/>
    <w:rsid w:val="002E0E3A"/>
    <w:rsid w:val="002E1BD4"/>
    <w:rsid w:val="002E7B75"/>
    <w:rsid w:val="002F3CE4"/>
    <w:rsid w:val="00303611"/>
    <w:rsid w:val="00310A4B"/>
    <w:rsid w:val="00315F24"/>
    <w:rsid w:val="00322231"/>
    <w:rsid w:val="0032657C"/>
    <w:rsid w:val="0037081E"/>
    <w:rsid w:val="003A3521"/>
    <w:rsid w:val="003A7197"/>
    <w:rsid w:val="003B006C"/>
    <w:rsid w:val="003B47BA"/>
    <w:rsid w:val="003B770B"/>
    <w:rsid w:val="003F2002"/>
    <w:rsid w:val="00413BAC"/>
    <w:rsid w:val="00414A07"/>
    <w:rsid w:val="00440CB1"/>
    <w:rsid w:val="004419C2"/>
    <w:rsid w:val="00442CBD"/>
    <w:rsid w:val="004572D0"/>
    <w:rsid w:val="00462382"/>
    <w:rsid w:val="0048319D"/>
    <w:rsid w:val="00487797"/>
    <w:rsid w:val="004A4E72"/>
    <w:rsid w:val="004E208D"/>
    <w:rsid w:val="004E5C2A"/>
    <w:rsid w:val="004E7FB4"/>
    <w:rsid w:val="005078B2"/>
    <w:rsid w:val="005166FA"/>
    <w:rsid w:val="00526BD6"/>
    <w:rsid w:val="00532F39"/>
    <w:rsid w:val="0053435A"/>
    <w:rsid w:val="00537966"/>
    <w:rsid w:val="00546BD8"/>
    <w:rsid w:val="00547749"/>
    <w:rsid w:val="0057042F"/>
    <w:rsid w:val="005721A0"/>
    <w:rsid w:val="005732E7"/>
    <w:rsid w:val="005A175C"/>
    <w:rsid w:val="005E3772"/>
    <w:rsid w:val="005E6701"/>
    <w:rsid w:val="005E7AC1"/>
    <w:rsid w:val="006242A0"/>
    <w:rsid w:val="006275BC"/>
    <w:rsid w:val="00637741"/>
    <w:rsid w:val="00652FF7"/>
    <w:rsid w:val="0069435C"/>
    <w:rsid w:val="006A26E6"/>
    <w:rsid w:val="006B345D"/>
    <w:rsid w:val="006C08AE"/>
    <w:rsid w:val="006C122D"/>
    <w:rsid w:val="006C23AD"/>
    <w:rsid w:val="006C75AB"/>
    <w:rsid w:val="006D3AD0"/>
    <w:rsid w:val="006F42D3"/>
    <w:rsid w:val="006F4874"/>
    <w:rsid w:val="007010CD"/>
    <w:rsid w:val="007037E0"/>
    <w:rsid w:val="00707F1F"/>
    <w:rsid w:val="00713A76"/>
    <w:rsid w:val="007255C0"/>
    <w:rsid w:val="00726661"/>
    <w:rsid w:val="00742AD0"/>
    <w:rsid w:val="0075106B"/>
    <w:rsid w:val="00752E25"/>
    <w:rsid w:val="0076525D"/>
    <w:rsid w:val="007A2A0D"/>
    <w:rsid w:val="007A79CD"/>
    <w:rsid w:val="007B3F7E"/>
    <w:rsid w:val="008020F0"/>
    <w:rsid w:val="00803A9A"/>
    <w:rsid w:val="00827D22"/>
    <w:rsid w:val="008310AF"/>
    <w:rsid w:val="00841F6A"/>
    <w:rsid w:val="00842EF8"/>
    <w:rsid w:val="00852DD3"/>
    <w:rsid w:val="00857354"/>
    <w:rsid w:val="00857477"/>
    <w:rsid w:val="008663C3"/>
    <w:rsid w:val="00867888"/>
    <w:rsid w:val="00877930"/>
    <w:rsid w:val="008B08DD"/>
    <w:rsid w:val="008B1BFE"/>
    <w:rsid w:val="008B60C6"/>
    <w:rsid w:val="008B66CA"/>
    <w:rsid w:val="008D5A6A"/>
    <w:rsid w:val="008E2DA0"/>
    <w:rsid w:val="008E336F"/>
    <w:rsid w:val="008E5FEC"/>
    <w:rsid w:val="008F014F"/>
    <w:rsid w:val="009001A5"/>
    <w:rsid w:val="00905BF0"/>
    <w:rsid w:val="00922FE9"/>
    <w:rsid w:val="0092403E"/>
    <w:rsid w:val="009500EF"/>
    <w:rsid w:val="009553D8"/>
    <w:rsid w:val="00960B72"/>
    <w:rsid w:val="0096566E"/>
    <w:rsid w:val="009815F8"/>
    <w:rsid w:val="009C790B"/>
    <w:rsid w:val="009D2EFF"/>
    <w:rsid w:val="009D69A6"/>
    <w:rsid w:val="009F088D"/>
    <w:rsid w:val="00A479AA"/>
    <w:rsid w:val="00A54B39"/>
    <w:rsid w:val="00A56BFC"/>
    <w:rsid w:val="00A63BA9"/>
    <w:rsid w:val="00A7127E"/>
    <w:rsid w:val="00A97589"/>
    <w:rsid w:val="00AA2CDD"/>
    <w:rsid w:val="00AB2916"/>
    <w:rsid w:val="00AE2FD1"/>
    <w:rsid w:val="00B04960"/>
    <w:rsid w:val="00B04E1B"/>
    <w:rsid w:val="00B074F5"/>
    <w:rsid w:val="00B160CB"/>
    <w:rsid w:val="00B228F7"/>
    <w:rsid w:val="00B37938"/>
    <w:rsid w:val="00B46404"/>
    <w:rsid w:val="00B958F4"/>
    <w:rsid w:val="00BB2DEE"/>
    <w:rsid w:val="00BC3470"/>
    <w:rsid w:val="00BD0395"/>
    <w:rsid w:val="00BD7103"/>
    <w:rsid w:val="00BF7B07"/>
    <w:rsid w:val="00C02BF1"/>
    <w:rsid w:val="00C10C00"/>
    <w:rsid w:val="00C14B57"/>
    <w:rsid w:val="00C20C9D"/>
    <w:rsid w:val="00C23E81"/>
    <w:rsid w:val="00C3185F"/>
    <w:rsid w:val="00C31F4D"/>
    <w:rsid w:val="00C34C57"/>
    <w:rsid w:val="00C62712"/>
    <w:rsid w:val="00C87568"/>
    <w:rsid w:val="00CB5CD7"/>
    <w:rsid w:val="00CB6EE8"/>
    <w:rsid w:val="00CE0499"/>
    <w:rsid w:val="00CE0BB2"/>
    <w:rsid w:val="00CE3B1F"/>
    <w:rsid w:val="00CE6EE4"/>
    <w:rsid w:val="00D21D0B"/>
    <w:rsid w:val="00D40146"/>
    <w:rsid w:val="00D5287D"/>
    <w:rsid w:val="00D61AD6"/>
    <w:rsid w:val="00D6664E"/>
    <w:rsid w:val="00D77E97"/>
    <w:rsid w:val="00D82A17"/>
    <w:rsid w:val="00D8551C"/>
    <w:rsid w:val="00D87B12"/>
    <w:rsid w:val="00DA3402"/>
    <w:rsid w:val="00DB3ADE"/>
    <w:rsid w:val="00DD2D69"/>
    <w:rsid w:val="00DD6306"/>
    <w:rsid w:val="00DE22EE"/>
    <w:rsid w:val="00E10B24"/>
    <w:rsid w:val="00E17351"/>
    <w:rsid w:val="00E32046"/>
    <w:rsid w:val="00E737F2"/>
    <w:rsid w:val="00E8231C"/>
    <w:rsid w:val="00E854C7"/>
    <w:rsid w:val="00E868DF"/>
    <w:rsid w:val="00E96007"/>
    <w:rsid w:val="00E9684D"/>
    <w:rsid w:val="00E973C2"/>
    <w:rsid w:val="00EC1D55"/>
    <w:rsid w:val="00EC70FC"/>
    <w:rsid w:val="00ED2342"/>
    <w:rsid w:val="00ED6D84"/>
    <w:rsid w:val="00F036A7"/>
    <w:rsid w:val="00F3411D"/>
    <w:rsid w:val="00F40840"/>
    <w:rsid w:val="00F42CA3"/>
    <w:rsid w:val="00F53429"/>
    <w:rsid w:val="00F62BFB"/>
    <w:rsid w:val="00F67CB5"/>
    <w:rsid w:val="00F727E1"/>
    <w:rsid w:val="00FB047C"/>
    <w:rsid w:val="00FD0219"/>
  </w:rsids>
  <m:mathPr>
    <m:mathFont m:val="Cambria Math"/>
    <m:brkBin m:val="before"/>
    <m:brkBinSub m:val="--"/>
    <m:smallFrac m:val="0"/>
    <m:dispDef m:val="0"/>
    <m:lMargin m:val="0"/>
    <m:rMargin m:val="0"/>
    <m:defJc m:val="centerGroup"/>
    <m:wrapRight/>
    <m:intLim m:val="subSup"/>
    <m:naryLim m:val="subSup"/>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CFED2A8"/>
  <w15:chartTrackingRefBased/>
  <w15:docId w15:val="{63D47DF4-7D01-4D30-BB4B-1E13BC8A5C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caption" w:semiHidden="1" w:unhideWhenUsed="1" w:qFormat="1"/>
    <w:lsdException w:name="footnote reference" w:uiPriority="99"/>
    <w:lsdException w:name="List Bullet" w:uiPriority="99"/>
    <w:lsdException w:name="List Number" w:uiPriority="99"/>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0C3"/>
    <w:pPr>
      <w:widowControl w:val="0"/>
      <w:suppressAutoHyphens/>
      <w:spacing w:after="240"/>
      <w:ind w:firstLine="720"/>
    </w:pPr>
    <w:rPr>
      <w:rFonts w:eastAsia="Cambria"/>
      <w:sz w:val="24"/>
      <w:szCs w:val="24"/>
      <w:lang w:eastAsia="en-US"/>
    </w:rPr>
  </w:style>
  <w:style w:type="paragraph" w:styleId="Heading1">
    <w:name w:val="heading 1"/>
    <w:basedOn w:val="Normal"/>
    <w:link w:val="Heading1Char"/>
    <w:uiPriority w:val="99"/>
    <w:qFormat/>
    <w:rsid w:val="005920C3"/>
    <w:pPr>
      <w:spacing w:before="240"/>
      <w:ind w:firstLine="0"/>
      <w:jc w:val="center"/>
      <w:outlineLvl w:val="0"/>
    </w:pPr>
    <w:rPr>
      <w:bCs/>
      <w:smallCaps/>
      <w:szCs w:val="28"/>
    </w:rPr>
  </w:style>
  <w:style w:type="paragraph" w:styleId="Heading2">
    <w:name w:val="heading 2"/>
    <w:basedOn w:val="Heading1"/>
    <w:link w:val="Heading2Char"/>
    <w:uiPriority w:val="99"/>
    <w:qFormat/>
    <w:rsid w:val="005920C3"/>
    <w:pPr>
      <w:tabs>
        <w:tab w:val="left" w:pos="720"/>
      </w:tabs>
      <w:spacing w:after="120"/>
      <w:ind w:left="720" w:hanging="720"/>
      <w:jc w:val="left"/>
      <w:outlineLvl w:val="1"/>
    </w:pPr>
    <w:rPr>
      <w:rFonts w:cs="NewBaskerville-Bold"/>
      <w:b/>
      <w:bCs w:val="0"/>
      <w:smallCaps w:val="0"/>
    </w:rPr>
  </w:style>
  <w:style w:type="paragraph" w:styleId="Heading3">
    <w:name w:val="heading 3"/>
    <w:basedOn w:val="Heading2"/>
    <w:link w:val="Heading3Char"/>
    <w:uiPriority w:val="99"/>
    <w:qFormat/>
    <w:rsid w:val="00D42FAF"/>
    <w:pPr>
      <w:spacing w:line="240" w:lineRule="atLeast"/>
      <w:outlineLvl w:val="2"/>
    </w:pPr>
    <w:rPr>
      <w:rFonts w:cs="NewBaskerville-BoldItalic"/>
      <w:i/>
      <w:iCs/>
      <w:szCs w:val="22"/>
    </w:rPr>
  </w:style>
  <w:style w:type="paragraph" w:styleId="Heading4">
    <w:name w:val="heading 4"/>
    <w:basedOn w:val="Heading3"/>
    <w:link w:val="Heading4Char"/>
    <w:uiPriority w:val="99"/>
    <w:qFormat/>
    <w:rsid w:val="00CE0499"/>
    <w:pPr>
      <w:outlineLvl w:val="3"/>
    </w:pPr>
    <w:rPr>
      <w:rFonts w:cs="NewBaskerville-Italic"/>
      <w:b w:val="0"/>
      <w:bCs/>
    </w:rPr>
  </w:style>
  <w:style w:type="paragraph" w:styleId="Heading5">
    <w:name w:val="heading 5"/>
    <w:basedOn w:val="Heading4"/>
    <w:link w:val="Heading5Char"/>
    <w:uiPriority w:val="99"/>
    <w:qFormat/>
    <w:rsid w:val="005920C3"/>
    <w:pPr>
      <w:tabs>
        <w:tab w:val="clear" w:pos="720"/>
        <w:tab w:val="left" w:pos="1440"/>
      </w:tabs>
      <w:spacing w:before="180"/>
      <w:ind w:left="1440"/>
      <w:outlineLvl w:val="4"/>
    </w:pPr>
    <w:rPr>
      <w:rFonts w:cs="NewBaskerville-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pPr>
      <w:widowControl w:val="0"/>
      <w:autoSpaceDE w:val="0"/>
      <w:autoSpaceDN w:val="0"/>
      <w:adjustRightInd w:val="0"/>
      <w:spacing w:line="288" w:lineRule="auto"/>
      <w:textAlignment w:val="center"/>
    </w:pPr>
    <w:rPr>
      <w:rFonts w:ascii="Times-Roman" w:hAnsi="Times-Roman" w:cs="Times-Roman"/>
      <w:color w:val="000000"/>
      <w:sz w:val="24"/>
      <w:szCs w:val="24"/>
      <w:lang w:eastAsia="en-US"/>
    </w:rPr>
  </w:style>
  <w:style w:type="paragraph" w:customStyle="1" w:styleId="ChapterNumber">
    <w:name w:val="Chapter Number"/>
    <w:basedOn w:val="NoParagraphStyle"/>
    <w:uiPriority w:val="99"/>
    <w:rsid w:val="00CE0499"/>
    <w:pPr>
      <w:suppressAutoHyphens/>
      <w:spacing w:after="240" w:line="560" w:lineRule="atLeast"/>
    </w:pPr>
    <w:rPr>
      <w:rFonts w:ascii="Times New Roman" w:hAnsi="Times New Roman" w:cs="NewBaskerville-Roman"/>
      <w:sz w:val="56"/>
      <w:szCs w:val="56"/>
    </w:rPr>
  </w:style>
  <w:style w:type="paragraph" w:customStyle="1" w:styleId="ChapterTitle">
    <w:name w:val="Chapter Title"/>
    <w:basedOn w:val="NoParagraphStyle"/>
    <w:uiPriority w:val="99"/>
    <w:rsid w:val="00CE0499"/>
    <w:pPr>
      <w:suppressAutoHyphens/>
      <w:spacing w:after="720" w:line="440" w:lineRule="atLeast"/>
    </w:pPr>
    <w:rPr>
      <w:rFonts w:ascii="Times New Roman" w:hAnsi="Times New Roman" w:cs="NewBaskerville-Roman"/>
      <w:sz w:val="40"/>
      <w:szCs w:val="40"/>
    </w:rPr>
  </w:style>
  <w:style w:type="paragraph" w:customStyle="1" w:styleId="z1">
    <w:name w:val="z1"/>
    <w:basedOn w:val="NoParagraphStyle"/>
    <w:uiPriority w:val="99"/>
    <w:rsid w:val="00CE0499"/>
    <w:pPr>
      <w:keepNext/>
      <w:keepLines/>
      <w:suppressAutoHyphens/>
      <w:spacing w:after="40" w:line="260" w:lineRule="atLeast"/>
    </w:pPr>
    <w:rPr>
      <w:rFonts w:ascii="Times New Roman" w:hAnsi="Times New Roman" w:cs="NewBaskerville-Italic"/>
      <w:i/>
      <w:iCs/>
      <w:sz w:val="26"/>
      <w:szCs w:val="26"/>
    </w:rPr>
  </w:style>
  <w:style w:type="paragraph" w:customStyle="1" w:styleId="z2">
    <w:name w:val="z2"/>
    <w:basedOn w:val="NoParagraphStyle"/>
    <w:uiPriority w:val="99"/>
    <w:rsid w:val="00CE0499"/>
    <w:pPr>
      <w:keepNext/>
      <w:keepLines/>
      <w:suppressAutoHyphens/>
      <w:spacing w:line="220" w:lineRule="atLeast"/>
      <w:ind w:left="200"/>
    </w:pPr>
    <w:rPr>
      <w:rFonts w:ascii="Times New Roman" w:hAnsi="Times New Roman" w:cs="NewBaskerville-Italic"/>
      <w:i/>
      <w:iCs/>
      <w:sz w:val="20"/>
      <w:szCs w:val="20"/>
    </w:rPr>
  </w:style>
  <w:style w:type="paragraph" w:customStyle="1" w:styleId="z2a">
    <w:name w:val="z2a"/>
    <w:basedOn w:val="z2"/>
    <w:uiPriority w:val="99"/>
    <w:pPr>
      <w:spacing w:after="720"/>
    </w:pPr>
  </w:style>
  <w:style w:type="paragraph" w:customStyle="1" w:styleId="TOCHeading1">
    <w:name w:val="TOC Heading 1"/>
    <w:basedOn w:val="NoParagraphStyle"/>
    <w:uiPriority w:val="99"/>
    <w:rsid w:val="005920C3"/>
    <w:pPr>
      <w:tabs>
        <w:tab w:val="right" w:pos="480"/>
        <w:tab w:val="left" w:pos="600"/>
        <w:tab w:val="right" w:leader="dot" w:pos="8640"/>
        <w:tab w:val="right" w:pos="9360"/>
      </w:tabs>
      <w:suppressAutoHyphens/>
      <w:spacing w:line="240" w:lineRule="atLeast"/>
      <w:ind w:left="600" w:right="1440" w:hanging="600"/>
    </w:pPr>
    <w:rPr>
      <w:rFonts w:ascii="Times New Roman" w:hAnsi="Times New Roman" w:cs="NewBaskerville-Roman"/>
      <w:sz w:val="22"/>
      <w:szCs w:val="22"/>
    </w:rPr>
  </w:style>
  <w:style w:type="paragraph" w:customStyle="1" w:styleId="TOCHeading2">
    <w:name w:val="TOC Heading 2"/>
    <w:basedOn w:val="TOCHeading1"/>
    <w:uiPriority w:val="99"/>
    <w:pPr>
      <w:tabs>
        <w:tab w:val="clear" w:pos="480"/>
        <w:tab w:val="clear" w:pos="600"/>
        <w:tab w:val="left" w:pos="960"/>
      </w:tabs>
      <w:ind w:left="960" w:hanging="360"/>
    </w:pPr>
  </w:style>
  <w:style w:type="paragraph" w:customStyle="1" w:styleId="TOCHeading3">
    <w:name w:val="TOC Heading 3"/>
    <w:basedOn w:val="TOCHeading1"/>
    <w:uiPriority w:val="99"/>
    <w:pPr>
      <w:tabs>
        <w:tab w:val="clear" w:pos="480"/>
        <w:tab w:val="clear" w:pos="600"/>
        <w:tab w:val="left" w:pos="1320"/>
      </w:tabs>
      <w:ind w:left="1320" w:hanging="360"/>
    </w:pPr>
  </w:style>
  <w:style w:type="paragraph" w:customStyle="1" w:styleId="TOCHeading4">
    <w:name w:val="TOC Heading 4"/>
    <w:basedOn w:val="TOCHeading1"/>
    <w:uiPriority w:val="99"/>
    <w:pPr>
      <w:tabs>
        <w:tab w:val="clear" w:pos="480"/>
        <w:tab w:val="clear" w:pos="600"/>
        <w:tab w:val="left" w:pos="1680"/>
      </w:tabs>
      <w:ind w:left="1680" w:hanging="360"/>
    </w:pPr>
  </w:style>
  <w:style w:type="paragraph" w:customStyle="1" w:styleId="TOCHeading5">
    <w:name w:val="TOC Heading 5"/>
    <w:basedOn w:val="TOCHeading1"/>
    <w:uiPriority w:val="99"/>
    <w:pPr>
      <w:tabs>
        <w:tab w:val="clear" w:pos="480"/>
        <w:tab w:val="clear" w:pos="600"/>
        <w:tab w:val="left" w:pos="2040"/>
      </w:tabs>
      <w:ind w:left="2040" w:hanging="360"/>
    </w:pPr>
  </w:style>
  <w:style w:type="character" w:customStyle="1" w:styleId="Heading1Char">
    <w:name w:val="Heading 1 Char"/>
    <w:link w:val="Heading1"/>
    <w:uiPriority w:val="9"/>
    <w:rsid w:val="005920C3"/>
    <w:rPr>
      <w:rFonts w:eastAsia="Cambria"/>
      <w:bCs/>
      <w:smallCaps/>
      <w:sz w:val="24"/>
      <w:szCs w:val="28"/>
    </w:rPr>
  </w:style>
  <w:style w:type="character" w:customStyle="1" w:styleId="Heading2Char">
    <w:name w:val="Heading 2 Char"/>
    <w:link w:val="Heading2"/>
    <w:uiPriority w:val="9"/>
    <w:rsid w:val="005920C3"/>
    <w:rPr>
      <w:rFonts w:eastAsia="Cambria" w:cs="NewBaskerville-Bold"/>
      <w:b/>
      <w:sz w:val="24"/>
      <w:szCs w:val="28"/>
    </w:rPr>
  </w:style>
  <w:style w:type="paragraph" w:customStyle="1" w:styleId="TOCSection">
    <w:name w:val="TOC Section"/>
    <w:basedOn w:val="Heading2"/>
    <w:uiPriority w:val="99"/>
    <w:rsid w:val="00CE0499"/>
    <w:pPr>
      <w:spacing w:line="240" w:lineRule="atLeast"/>
      <w:ind w:right="1200"/>
      <w:outlineLvl w:val="9"/>
    </w:pPr>
    <w:rPr>
      <w:rFonts w:cs="NewBaskerville-Italic"/>
      <w:b w:val="0"/>
      <w:bCs/>
      <w:i/>
      <w:iCs/>
      <w:sz w:val="22"/>
      <w:szCs w:val="22"/>
    </w:rPr>
  </w:style>
  <w:style w:type="paragraph" w:customStyle="1" w:styleId="TOCFigures-Tables">
    <w:name w:val="TOC Figures-Tables"/>
    <w:basedOn w:val="NoParagraphStyle"/>
    <w:uiPriority w:val="99"/>
    <w:rsid w:val="005920C3"/>
    <w:pPr>
      <w:tabs>
        <w:tab w:val="right" w:pos="1320"/>
        <w:tab w:val="left" w:pos="1440"/>
        <w:tab w:val="right" w:leader="dot" w:pos="8640"/>
        <w:tab w:val="right" w:pos="9360"/>
      </w:tabs>
      <w:suppressAutoHyphens/>
      <w:spacing w:line="240" w:lineRule="atLeast"/>
      <w:ind w:left="1440" w:right="1440" w:hanging="1440"/>
    </w:pPr>
    <w:rPr>
      <w:rFonts w:ascii="Times New Roman" w:hAnsi="Times New Roman" w:cs="NewBaskerville-Roman"/>
      <w:sz w:val="22"/>
      <w:szCs w:val="22"/>
    </w:rPr>
  </w:style>
  <w:style w:type="paragraph" w:customStyle="1" w:styleId="Normal-NoIndent">
    <w:name w:val="Normal-NoIndent"/>
    <w:basedOn w:val="Normal"/>
    <w:uiPriority w:val="99"/>
    <w:qFormat/>
    <w:rsid w:val="005920C3"/>
    <w:pPr>
      <w:ind w:firstLine="0"/>
    </w:pPr>
  </w:style>
  <w:style w:type="paragraph" w:customStyle="1" w:styleId="TableTitle">
    <w:name w:val="Table Title"/>
    <w:uiPriority w:val="99"/>
    <w:rsid w:val="00BC113A"/>
    <w:pPr>
      <w:keepNext/>
      <w:widowControl w:val="0"/>
      <w:suppressAutoHyphens/>
      <w:autoSpaceDE w:val="0"/>
      <w:autoSpaceDN w:val="0"/>
      <w:adjustRightInd w:val="0"/>
      <w:spacing w:before="240" w:after="240" w:line="240" w:lineRule="atLeast"/>
      <w:jc w:val="center"/>
      <w:textAlignment w:val="center"/>
    </w:pPr>
    <w:rPr>
      <w:rFonts w:cs="NewBaskerville-Bold"/>
      <w:b/>
      <w:bCs/>
      <w:color w:val="000000"/>
      <w:sz w:val="22"/>
      <w:szCs w:val="22"/>
      <w:lang w:eastAsia="en-US"/>
    </w:rPr>
  </w:style>
  <w:style w:type="paragraph" w:styleId="ListNumber">
    <w:name w:val="List Number"/>
    <w:basedOn w:val="Normal"/>
    <w:uiPriority w:val="99"/>
    <w:rsid w:val="00D42FAF"/>
    <w:pPr>
      <w:tabs>
        <w:tab w:val="left" w:pos="1440"/>
      </w:tabs>
      <w:ind w:left="1440" w:hanging="679"/>
      <w:contextualSpacing/>
    </w:pPr>
  </w:style>
  <w:style w:type="paragraph" w:styleId="Header">
    <w:name w:val="header"/>
    <w:basedOn w:val="Normal"/>
    <w:link w:val="HeaderChar"/>
    <w:rsid w:val="00C804CE"/>
    <w:pPr>
      <w:tabs>
        <w:tab w:val="center" w:pos="4320"/>
        <w:tab w:val="right" w:pos="8640"/>
      </w:tabs>
    </w:pPr>
  </w:style>
  <w:style w:type="paragraph" w:styleId="ListBullet">
    <w:name w:val="List Bullet"/>
    <w:basedOn w:val="ListNumber"/>
    <w:uiPriority w:val="99"/>
    <w:rsid w:val="005920C3"/>
    <w:pPr>
      <w:numPr>
        <w:numId w:val="3"/>
      </w:numPr>
      <w:tabs>
        <w:tab w:val="clear" w:pos="1880"/>
      </w:tabs>
      <w:ind w:left="1440"/>
    </w:pPr>
  </w:style>
  <w:style w:type="character" w:customStyle="1" w:styleId="HeaderChar">
    <w:name w:val="Header Char"/>
    <w:link w:val="Header"/>
    <w:rsid w:val="00C804CE"/>
    <w:rPr>
      <w:rFonts w:eastAsia="Cambria"/>
      <w:sz w:val="24"/>
      <w:szCs w:val="24"/>
    </w:rPr>
  </w:style>
  <w:style w:type="character" w:customStyle="1" w:styleId="Heading3Char">
    <w:name w:val="Heading 3 Char"/>
    <w:link w:val="Heading3"/>
    <w:uiPriority w:val="9"/>
    <w:rsid w:val="00D42FAF"/>
    <w:rPr>
      <w:rFonts w:eastAsia="Cambria" w:cs="NewBaskerville-BoldItalic"/>
      <w:b/>
      <w:i/>
      <w:iCs/>
      <w:sz w:val="24"/>
      <w:szCs w:val="22"/>
    </w:rPr>
  </w:style>
  <w:style w:type="character" w:customStyle="1" w:styleId="Heading4Char">
    <w:name w:val="Heading 4 Char"/>
    <w:link w:val="Heading4"/>
    <w:uiPriority w:val="9"/>
    <w:rsid w:val="00CE0499"/>
    <w:rPr>
      <w:rFonts w:cs="NewBaskerville-Italic"/>
      <w:i/>
      <w:iCs/>
      <w:color w:val="000000"/>
      <w:sz w:val="22"/>
      <w:szCs w:val="22"/>
    </w:rPr>
  </w:style>
  <w:style w:type="paragraph" w:styleId="Footer">
    <w:name w:val="footer"/>
    <w:basedOn w:val="Normal"/>
    <w:link w:val="FooterChar"/>
    <w:rsid w:val="00C804CE"/>
    <w:pPr>
      <w:tabs>
        <w:tab w:val="center" w:pos="4320"/>
        <w:tab w:val="right" w:pos="8640"/>
      </w:tabs>
    </w:pPr>
  </w:style>
  <w:style w:type="character" w:customStyle="1" w:styleId="FooterChar">
    <w:name w:val="Footer Char"/>
    <w:link w:val="Footer"/>
    <w:rsid w:val="00C804CE"/>
    <w:rPr>
      <w:rFonts w:eastAsia="Cambria"/>
      <w:sz w:val="24"/>
      <w:szCs w:val="24"/>
    </w:rPr>
  </w:style>
  <w:style w:type="character" w:customStyle="1" w:styleId="Heading5Char">
    <w:name w:val="Heading 5 Char"/>
    <w:link w:val="Heading5"/>
    <w:uiPriority w:val="99"/>
    <w:rsid w:val="005920C3"/>
    <w:rPr>
      <w:rFonts w:eastAsia="Cambria" w:cs="NewBaskerville-Roman"/>
      <w:bCs/>
      <w:i/>
      <w:iCs/>
      <w:sz w:val="22"/>
      <w:szCs w:val="22"/>
    </w:rPr>
  </w:style>
  <w:style w:type="paragraph" w:customStyle="1" w:styleId="BlockQuote">
    <w:name w:val="BlockQuote"/>
    <w:basedOn w:val="NoParagraphStyle"/>
    <w:uiPriority w:val="99"/>
    <w:rsid w:val="00147FF2"/>
    <w:pPr>
      <w:tabs>
        <w:tab w:val="left" w:pos="1440"/>
      </w:tabs>
      <w:spacing w:before="120" w:after="120" w:line="200" w:lineRule="atLeast"/>
      <w:ind w:left="720"/>
    </w:pPr>
    <w:rPr>
      <w:rFonts w:ascii="Times New Roman" w:hAnsi="Times New Roman" w:cs="NewBaskerville-Roman"/>
      <w:sz w:val="20"/>
      <w:szCs w:val="20"/>
    </w:rPr>
  </w:style>
  <w:style w:type="paragraph" w:customStyle="1" w:styleId="ListNumber-l2">
    <w:name w:val="List Number-l2"/>
    <w:basedOn w:val="ListNumber"/>
    <w:uiPriority w:val="99"/>
    <w:rsid w:val="005920C3"/>
    <w:pPr>
      <w:tabs>
        <w:tab w:val="clear" w:pos="1440"/>
        <w:tab w:val="left" w:pos="2160"/>
      </w:tabs>
      <w:ind w:left="2160" w:hanging="720"/>
    </w:pPr>
    <w:rPr>
      <w:lang w:val="zh-CN"/>
    </w:rPr>
  </w:style>
  <w:style w:type="paragraph" w:customStyle="1" w:styleId="ListBullet-l2">
    <w:name w:val="List Bullet-l2"/>
    <w:basedOn w:val="ListNumber"/>
    <w:uiPriority w:val="99"/>
    <w:rsid w:val="005920C3"/>
    <w:pPr>
      <w:numPr>
        <w:numId w:val="4"/>
      </w:numPr>
      <w:tabs>
        <w:tab w:val="left" w:pos="2160"/>
      </w:tabs>
      <w:ind w:left="2160" w:hanging="720"/>
    </w:pPr>
  </w:style>
  <w:style w:type="paragraph" w:customStyle="1" w:styleId="TableNotes">
    <w:name w:val="Table Notes"/>
    <w:uiPriority w:val="99"/>
    <w:rsid w:val="00FF7C2B"/>
    <w:pPr>
      <w:widowControl w:val="0"/>
      <w:tabs>
        <w:tab w:val="left" w:pos="440"/>
      </w:tabs>
      <w:suppressAutoHyphens/>
      <w:autoSpaceDE w:val="0"/>
      <w:autoSpaceDN w:val="0"/>
      <w:adjustRightInd w:val="0"/>
      <w:spacing w:before="120" w:after="360" w:line="200" w:lineRule="atLeast"/>
      <w:textAlignment w:val="center"/>
    </w:pPr>
    <w:rPr>
      <w:rFonts w:cs="NewBaskerville-Roman"/>
      <w:color w:val="000000"/>
      <w:sz w:val="24"/>
      <w:szCs w:val="18"/>
      <w:lang w:eastAsia="en-US"/>
    </w:rPr>
  </w:style>
  <w:style w:type="paragraph" w:styleId="FootnoteText">
    <w:name w:val="footnote text"/>
    <w:basedOn w:val="Normal"/>
    <w:link w:val="FootnoteTextChar"/>
    <w:uiPriority w:val="99"/>
    <w:unhideWhenUsed/>
    <w:rsid w:val="00FF7C2B"/>
    <w:pPr>
      <w:spacing w:after="100" w:afterAutospacing="1"/>
    </w:pPr>
    <w:rPr>
      <w:szCs w:val="20"/>
    </w:rPr>
  </w:style>
  <w:style w:type="character" w:customStyle="1" w:styleId="FootnoteTextChar">
    <w:name w:val="Footnote Text Char"/>
    <w:link w:val="FootnoteText"/>
    <w:uiPriority w:val="99"/>
    <w:rsid w:val="00286A0F"/>
    <w:rPr>
      <w:rFonts w:eastAsia="Cambria"/>
      <w:sz w:val="24"/>
    </w:rPr>
  </w:style>
  <w:style w:type="paragraph" w:customStyle="1" w:styleId="Footnotes-ListBullet">
    <w:name w:val="Footnotes-List Bullet"/>
    <w:basedOn w:val="FootnoteText"/>
    <w:uiPriority w:val="99"/>
    <w:pPr>
      <w:tabs>
        <w:tab w:val="left" w:pos="660"/>
      </w:tabs>
      <w:ind w:left="600" w:hanging="240"/>
    </w:pPr>
  </w:style>
  <w:style w:type="paragraph" w:customStyle="1" w:styleId="TableHead">
    <w:name w:val="Table Head"/>
    <w:uiPriority w:val="99"/>
    <w:rsid w:val="00D42FAF"/>
    <w:pPr>
      <w:widowControl w:val="0"/>
      <w:suppressAutoHyphens/>
      <w:autoSpaceDE w:val="0"/>
      <w:autoSpaceDN w:val="0"/>
      <w:adjustRightInd w:val="0"/>
      <w:spacing w:after="120" w:line="220" w:lineRule="atLeast"/>
      <w:jc w:val="center"/>
      <w:textAlignment w:val="center"/>
    </w:pPr>
    <w:rPr>
      <w:rFonts w:cs="NewBaskerville-Bold"/>
      <w:b/>
      <w:bCs/>
      <w:lang w:eastAsia="en-US"/>
    </w:rPr>
  </w:style>
  <w:style w:type="character" w:styleId="FootnoteReference">
    <w:name w:val="footnote reference"/>
    <w:uiPriority w:val="99"/>
    <w:rsid w:val="00CE0499"/>
    <w:rPr>
      <w:rFonts w:ascii="Times New Roman" w:hAnsi="Times New Roman" w:cs="NewBaskerville-Roman"/>
      <w:vertAlign w:val="superscript"/>
    </w:rPr>
  </w:style>
  <w:style w:type="paragraph" w:customStyle="1" w:styleId="AuthorAffiliation">
    <w:name w:val="Author Affiliation"/>
    <w:basedOn w:val="NoParagraphStyle"/>
    <w:uiPriority w:val="99"/>
    <w:rsid w:val="00BC113A"/>
    <w:pPr>
      <w:keepNext/>
      <w:keepLines/>
      <w:suppressAutoHyphens/>
      <w:spacing w:line="220" w:lineRule="atLeast"/>
      <w:ind w:left="200"/>
    </w:pPr>
    <w:rPr>
      <w:rFonts w:ascii="Times New Roman" w:hAnsi="Times New Roman" w:cs="NewBaskerville-Italic"/>
      <w:i/>
      <w:iCs/>
      <w:sz w:val="20"/>
      <w:szCs w:val="20"/>
    </w:rPr>
  </w:style>
  <w:style w:type="character" w:styleId="PageNumber">
    <w:name w:val="page number"/>
    <w:basedOn w:val="DefaultParagraphFont"/>
    <w:rsid w:val="00C804CE"/>
  </w:style>
  <w:style w:type="paragraph" w:customStyle="1" w:styleId="AuthorCity">
    <w:name w:val="Author City"/>
    <w:basedOn w:val="AuthorAffiliation"/>
    <w:uiPriority w:val="99"/>
    <w:rsid w:val="00BC113A"/>
    <w:pPr>
      <w:spacing w:after="720"/>
    </w:pPr>
  </w:style>
  <w:style w:type="paragraph" w:customStyle="1" w:styleId="AuthorName">
    <w:name w:val="Author Name"/>
    <w:basedOn w:val="NoParagraphStyle"/>
    <w:uiPriority w:val="99"/>
    <w:rsid w:val="00BC113A"/>
    <w:pPr>
      <w:keepNext/>
      <w:keepLines/>
      <w:suppressAutoHyphens/>
      <w:spacing w:after="40" w:line="260" w:lineRule="atLeast"/>
    </w:pPr>
    <w:rPr>
      <w:rFonts w:ascii="Times New Roman" w:hAnsi="Times New Roman" w:cs="NewBaskerville-Italic"/>
      <w:i/>
      <w:iCs/>
      <w:sz w:val="26"/>
      <w:szCs w:val="26"/>
    </w:rPr>
  </w:style>
  <w:style w:type="paragraph" w:customStyle="1" w:styleId="BlockQuote-l2">
    <w:name w:val="BlockQuote-l2"/>
    <w:basedOn w:val="BlockQuote"/>
    <w:uiPriority w:val="99"/>
    <w:rsid w:val="00FF1111"/>
    <w:pPr>
      <w:tabs>
        <w:tab w:val="clear" w:pos="1440"/>
        <w:tab w:val="left" w:pos="2160"/>
      </w:tabs>
      <w:ind w:left="1440"/>
      <w:contextualSpacing/>
    </w:pPr>
  </w:style>
  <w:style w:type="character" w:customStyle="1" w:styleId="FootnoteReferenceTables-NoPrint">
    <w:name w:val="Footnote Reference Tables-NoPrint"/>
    <w:uiPriority w:val="99"/>
    <w:rsid w:val="0044753C"/>
    <w:rPr>
      <w:rFonts w:ascii="NewBaskerville-Roman" w:hAnsi="NewBaskerville-Roman" w:cs="NewBaskerville-Roman"/>
      <w:outline/>
      <w:color w:val="000000"/>
      <w:vertAlign w:val="superscript"/>
      <w14:textOutline w14:w="9525" w14:cap="flat" w14:cmpd="sng" w14:algn="ctr">
        <w14:solidFill>
          <w14:srgbClr w14:val="000000"/>
        </w14:solidFill>
        <w14:prstDash w14:val="solid"/>
        <w14:round/>
      </w14:textOutline>
      <w14:textFill>
        <w14:noFill/>
      </w14:textFill>
    </w:rPr>
  </w:style>
  <w:style w:type="paragraph" w:customStyle="1" w:styleId="FootnoteText-RuleAbove">
    <w:name w:val="Footnote Text-RuleAbove"/>
    <w:basedOn w:val="FootnoteText"/>
    <w:uiPriority w:val="99"/>
    <w:rsid w:val="00704715"/>
    <w:pPr>
      <w:keepNext/>
      <w:pBdr>
        <w:top w:val="single" w:sz="4" w:space="10" w:color="000000"/>
      </w:pBdr>
      <w:suppressAutoHyphens w:val="0"/>
      <w:autoSpaceDE w:val="0"/>
      <w:autoSpaceDN w:val="0"/>
      <w:adjustRightInd w:val="0"/>
      <w:spacing w:before="240" w:after="40" w:afterAutospacing="0" w:line="180" w:lineRule="atLeast"/>
      <w:ind w:firstLine="440"/>
      <w:jc w:val="both"/>
      <w:textAlignment w:val="center"/>
    </w:pPr>
    <w:rPr>
      <w:rFonts w:ascii="NewBaskerville-Roman" w:eastAsia="Times New Roman" w:hAnsi="NewBaskerville-Roman" w:cs="NewBaskerville-Roman"/>
      <w:color w:val="000000"/>
      <w:sz w:val="16"/>
      <w:szCs w:val="16"/>
    </w:rPr>
  </w:style>
  <w:style w:type="character" w:styleId="CommentReference">
    <w:name w:val="annotation reference"/>
    <w:rsid w:val="00440CB1"/>
    <w:rPr>
      <w:sz w:val="16"/>
      <w:szCs w:val="16"/>
    </w:rPr>
  </w:style>
  <w:style w:type="paragraph" w:styleId="CommentText">
    <w:name w:val="annotation text"/>
    <w:basedOn w:val="Normal"/>
    <w:link w:val="CommentTextChar"/>
    <w:rsid w:val="00440CB1"/>
    <w:rPr>
      <w:sz w:val="20"/>
      <w:szCs w:val="20"/>
    </w:rPr>
  </w:style>
  <w:style w:type="character" w:customStyle="1" w:styleId="CommentTextChar">
    <w:name w:val="Comment Text Char"/>
    <w:link w:val="CommentText"/>
    <w:rsid w:val="00440CB1"/>
    <w:rPr>
      <w:rFonts w:eastAsia="Cambria"/>
      <w:lang w:eastAsia="en-US"/>
    </w:rPr>
  </w:style>
  <w:style w:type="paragraph" w:styleId="CommentSubject">
    <w:name w:val="annotation subject"/>
    <w:basedOn w:val="CommentText"/>
    <w:next w:val="CommentText"/>
    <w:link w:val="CommentSubjectChar"/>
    <w:rsid w:val="00440CB1"/>
    <w:rPr>
      <w:b/>
      <w:bCs/>
    </w:rPr>
  </w:style>
  <w:style w:type="character" w:customStyle="1" w:styleId="CommentSubjectChar">
    <w:name w:val="Comment Subject Char"/>
    <w:link w:val="CommentSubject"/>
    <w:rsid w:val="00440CB1"/>
    <w:rPr>
      <w:rFonts w:eastAsia="Cambria"/>
      <w:b/>
      <w:bCs/>
      <w:lang w:eastAsia="en-US"/>
    </w:rPr>
  </w:style>
  <w:style w:type="paragraph" w:styleId="BalloonText">
    <w:name w:val="Balloon Text"/>
    <w:basedOn w:val="Normal"/>
    <w:link w:val="BalloonTextChar"/>
    <w:rsid w:val="00440CB1"/>
    <w:pPr>
      <w:spacing w:after="0"/>
    </w:pPr>
    <w:rPr>
      <w:rFonts w:ascii="Segoe UI" w:hAnsi="Segoe UI" w:cs="Segoe UI"/>
      <w:sz w:val="18"/>
      <w:szCs w:val="18"/>
    </w:rPr>
  </w:style>
  <w:style w:type="character" w:customStyle="1" w:styleId="BalloonTextChar">
    <w:name w:val="Balloon Text Char"/>
    <w:link w:val="BalloonText"/>
    <w:rsid w:val="00440CB1"/>
    <w:rPr>
      <w:rFonts w:ascii="Segoe UI" w:eastAsia="Cambria" w:hAnsi="Segoe UI" w:cs="Segoe UI"/>
      <w:sz w:val="18"/>
      <w:szCs w:val="18"/>
      <w:lang w:eastAsia="en-US"/>
    </w:rPr>
  </w:style>
  <w:style w:type="paragraph" w:styleId="Revision">
    <w:name w:val="Revision"/>
    <w:hidden/>
    <w:rsid w:val="004572D0"/>
    <w:rPr>
      <w:rFonts w:eastAsia="Cambria"/>
      <w:sz w:val="24"/>
      <w:szCs w:val="24"/>
      <w:lang w:eastAsia="en-US"/>
    </w:rPr>
  </w:style>
  <w:style w:type="paragraph" w:styleId="NoSpacing">
    <w:name w:val="No Spacing"/>
    <w:qFormat/>
    <w:rsid w:val="006F42D3"/>
    <w:pPr>
      <w:widowControl w:val="0"/>
      <w:suppressAutoHyphens/>
      <w:ind w:firstLine="720"/>
    </w:pPr>
    <w:rPr>
      <w:rFonts w:eastAsia="Cambria"/>
      <w:sz w:val="24"/>
      <w:szCs w:val="24"/>
      <w:lang w:eastAsia="en-US"/>
    </w:rPr>
  </w:style>
  <w:style w:type="character" w:styleId="Hyperlink">
    <w:name w:val="Hyperlink"/>
    <w:basedOn w:val="DefaultParagraphFont"/>
    <w:rsid w:val="00A97589"/>
    <w:rPr>
      <w:color w:val="0563C1" w:themeColor="hyperlink"/>
      <w:u w:val="single"/>
    </w:rPr>
  </w:style>
  <w:style w:type="character" w:customStyle="1" w:styleId="UnresolvedMention1">
    <w:name w:val="Unresolved Mention1"/>
    <w:basedOn w:val="DefaultParagraphFont"/>
    <w:uiPriority w:val="99"/>
    <w:semiHidden/>
    <w:unhideWhenUsed/>
    <w:rsid w:val="00A97589"/>
    <w:rPr>
      <w:color w:val="605E5C"/>
      <w:shd w:val="clear" w:color="auto" w:fill="E1DFDD"/>
    </w:rPr>
  </w:style>
  <w:style w:type="paragraph" w:customStyle="1" w:styleId="textflush">
    <w:name w:val="text flush +/+"/>
    <w:basedOn w:val="Normal"/>
    <w:autoRedefine/>
    <w:uiPriority w:val="99"/>
    <w:rsid w:val="00CE3B1F"/>
    <w:pPr>
      <w:suppressAutoHyphens w:val="0"/>
      <w:autoSpaceDE w:val="0"/>
      <w:autoSpaceDN w:val="0"/>
      <w:adjustRightInd w:val="0"/>
      <w:spacing w:before="240"/>
      <w:ind w:firstLine="0"/>
      <w:jc w:val="center"/>
    </w:pPr>
    <w:rPr>
      <w:rFonts w:eastAsiaTheme="minorEastAsia" w:cs="ITC New Baskerville Std"/>
      <w:b/>
      <w:i/>
      <w:iCs/>
      <w:color w:val="000000"/>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1377117">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5.xm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svg"/><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image" Target="media/image7.svg"/><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Patent Owner</c:v>
                </c:pt>
              </c:strCache>
            </c:strRef>
          </c:tx>
          <c:spPr>
            <a:solidFill>
              <a:schemeClr val="accent1"/>
            </a:solidFill>
            <a:ln>
              <a:noFill/>
            </a:ln>
            <a:effectLst/>
          </c:spPr>
          <c:invertIfNegative val="0"/>
          <c:dLbls>
            <c:dLbl>
              <c:idx val="0"/>
              <c:tx>
                <c:rich>
                  <a:bodyPr/>
                  <a:lstStyle/>
                  <a:p>
                    <a:fld id="{B058B9D3-14F3-4F4E-8188-23ADF6DD78E0}" type="VALUE">
                      <a:rPr lang="en-US" altLang="ko-KR"/>
                      <a:pPr/>
                      <a:t>[VALUE]</a:t>
                    </a:fld>
                    <a:endParaRPr lang="en-US"/>
                  </a:p>
                  <a:p>
                    <a:r>
                      <a:rPr lang="en-US"/>
                      <a:t>(19)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CFE4-49BA-BFEB-9EAB6F3BD2E0}"/>
                </c:ext>
              </c:extLst>
            </c:dLbl>
            <c:dLbl>
              <c:idx val="1"/>
              <c:tx>
                <c:rich>
                  <a:bodyPr/>
                  <a:lstStyle/>
                  <a:p>
                    <a:fld id="{038A6D8B-66BA-460C-808C-090FBC23F45E}" type="VALUE">
                      <a:rPr lang="en-US" altLang="ko-KR"/>
                      <a:pPr/>
                      <a:t>[VALUE]</a:t>
                    </a:fld>
                    <a:endParaRPr lang="en-US"/>
                  </a:p>
                  <a:p>
                    <a:r>
                      <a:rPr lang="en-US"/>
                      <a:t>(18)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CFE4-49BA-BFEB-9EAB6F3BD2E0}"/>
                </c:ext>
              </c:extLst>
            </c:dLbl>
            <c:dLbl>
              <c:idx val="2"/>
              <c:tx>
                <c:rich>
                  <a:bodyPr/>
                  <a:lstStyle/>
                  <a:p>
                    <a:fld id="{20B621E7-7945-4612-8DE7-CD4A860851F6}" type="VALUE">
                      <a:rPr lang="en-US" altLang="ko-KR"/>
                      <a:pPr/>
                      <a:t>[VALUE]</a:t>
                    </a:fld>
                    <a:endParaRPr lang="en-US"/>
                  </a:p>
                  <a:p>
                    <a:r>
                      <a:rPr lang="en-US"/>
                      <a:t>(8)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CFE4-49BA-BFEB-9EAB6F3BD2E0}"/>
                </c:ext>
              </c:extLst>
            </c:dLbl>
            <c:dLbl>
              <c:idx val="3"/>
              <c:tx>
                <c:rich>
                  <a:bodyPr/>
                  <a:lstStyle/>
                  <a:p>
                    <a:fld id="{C9C3EE59-F645-4A01-A986-8B1AC9834FD9}" type="VALUE">
                      <a:rPr lang="en-US" altLang="ko-KR"/>
                      <a:pPr/>
                      <a:t>[VALUE]</a:t>
                    </a:fld>
                    <a:endParaRPr lang="en-US"/>
                  </a:p>
                  <a:p>
                    <a:r>
                      <a:rPr lang="en-US"/>
                      <a:t>(9)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C-CFE4-49BA-BFEB-9EAB6F3BD2E0}"/>
                </c:ext>
              </c:extLst>
            </c:dLbl>
            <c:dLbl>
              <c:idx val="4"/>
              <c:tx>
                <c:rich>
                  <a:bodyPr/>
                  <a:lstStyle/>
                  <a:p>
                    <a:fld id="{A48158A0-9304-4071-BC95-23388855B047}" type="VALUE">
                      <a:rPr lang="en-US" altLang="ko-KR"/>
                      <a:pPr/>
                      <a:t>[VALUE]</a:t>
                    </a:fld>
                    <a:endParaRPr lang="en-US"/>
                  </a:p>
                  <a:p>
                    <a:r>
                      <a:rPr lang="en-US"/>
                      <a:t>(22)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CFE4-49BA-BFEB-9EAB6F3BD2E0}"/>
                </c:ext>
              </c:extLst>
            </c:dLbl>
            <c:dLbl>
              <c:idx val="5"/>
              <c:tx>
                <c:rich>
                  <a:bodyPr/>
                  <a:lstStyle/>
                  <a:p>
                    <a:fld id="{C5E031C1-EF71-4DAB-AEA8-835391A1F644}" type="VALUE">
                      <a:rPr lang="en-US" altLang="ko-KR"/>
                      <a:pPr/>
                      <a:t>[VALUE]</a:t>
                    </a:fld>
                    <a:endParaRPr lang="en-US"/>
                  </a:p>
                  <a:p>
                    <a:r>
                      <a:rPr lang="en-US"/>
                      <a:t>(19)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E-CFE4-49BA-BFEB-9EAB6F3BD2E0}"/>
                </c:ext>
              </c:extLst>
            </c:dLbl>
            <c:dLbl>
              <c:idx val="6"/>
              <c:tx>
                <c:rich>
                  <a:bodyPr/>
                  <a:lstStyle/>
                  <a:p>
                    <a:fld id="{F8EE60A2-2F73-46D7-A58E-A6C038B83BD8}" type="VALUE">
                      <a:rPr lang="en-US" altLang="ko-KR"/>
                      <a:pPr/>
                      <a:t>[VALUE]</a:t>
                    </a:fld>
                    <a:endParaRPr lang="en-US"/>
                  </a:p>
                  <a:p>
                    <a:r>
                      <a:rPr lang="en-US"/>
                      <a:t>(6)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CFE4-49BA-BFEB-9EAB6F3BD2E0}"/>
                </c:ext>
              </c:extLst>
            </c:dLbl>
            <c:spPr>
              <a:noFill/>
              <a:ln>
                <a:noFill/>
              </a:ln>
              <a:effectLst/>
            </c:spPr>
            <c:txPr>
              <a:bodyPr rot="0" spcFirstLastPara="1" vertOverflow="ellipsis" vert="horz" wrap="square" anchor="ctr" anchorCtr="1"/>
              <a:lstStyle/>
              <a:p>
                <a:pPr>
                  <a:defRPr sz="1197"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Sheet1!$B$2:$B$8</c:f>
              <c:numCache>
                <c:formatCode>0%</c:formatCode>
                <c:ptCount val="7"/>
                <c:pt idx="0">
                  <c:v>0.37</c:v>
                </c:pt>
                <c:pt idx="1">
                  <c:v>0.34</c:v>
                </c:pt>
                <c:pt idx="2">
                  <c:v>0.17</c:v>
                </c:pt>
                <c:pt idx="3">
                  <c:v>0.35</c:v>
                </c:pt>
                <c:pt idx="4">
                  <c:v>0.42</c:v>
                </c:pt>
                <c:pt idx="5">
                  <c:v>0.31</c:v>
                </c:pt>
                <c:pt idx="6">
                  <c:v>0.21</c:v>
                </c:pt>
              </c:numCache>
            </c:numRef>
          </c:val>
          <c:extLst>
            <c:ext xmlns:c16="http://schemas.microsoft.com/office/drawing/2014/chart" uri="{C3380CC4-5D6E-409C-BE32-E72D297353CC}">
              <c16:uniqueId val="{00000000-CFE4-49BA-BFEB-9EAB6F3BD2E0}"/>
            </c:ext>
          </c:extLst>
        </c:ser>
        <c:ser>
          <c:idx val="1"/>
          <c:order val="1"/>
          <c:tx>
            <c:strRef>
              <c:f>Sheet1!$C$1</c:f>
              <c:strCache>
                <c:ptCount val="1"/>
                <c:pt idx="0">
                  <c:v>Alleged Infringer</c:v>
                </c:pt>
              </c:strCache>
            </c:strRef>
          </c:tx>
          <c:spPr>
            <a:solidFill>
              <a:schemeClr val="accent2"/>
            </a:solidFill>
            <a:ln>
              <a:noFill/>
            </a:ln>
            <a:effectLst/>
          </c:spPr>
          <c:invertIfNegative val="0"/>
          <c:dLbls>
            <c:dLbl>
              <c:idx val="0"/>
              <c:tx>
                <c:rich>
                  <a:bodyPr/>
                  <a:lstStyle/>
                  <a:p>
                    <a:fld id="{061F6F76-28F4-4F35-AAFB-C0F110AB0379}" type="VALUE">
                      <a:rPr lang="en-US" altLang="ko-KR"/>
                      <a:pPr/>
                      <a:t>[VALUE]</a:t>
                    </a:fld>
                    <a:endParaRPr lang="en-US"/>
                  </a:p>
                  <a:p>
                    <a:r>
                      <a:rPr lang="en-US"/>
                      <a:t>(32)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CFE4-49BA-BFEB-9EAB6F3BD2E0}"/>
                </c:ext>
              </c:extLst>
            </c:dLbl>
            <c:dLbl>
              <c:idx val="1"/>
              <c:tx>
                <c:rich>
                  <a:bodyPr/>
                  <a:lstStyle/>
                  <a:p>
                    <a:fld id="{A177DEB6-0B68-4D66-9221-E5188C33DA02}" type="VALUE">
                      <a:rPr lang="en-US" altLang="ko-KR"/>
                      <a:pPr/>
                      <a:t>[VALUE]</a:t>
                    </a:fld>
                    <a:endParaRPr lang="en-US"/>
                  </a:p>
                  <a:p>
                    <a:r>
                      <a:rPr lang="en-US"/>
                      <a:t>(35)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CFE4-49BA-BFEB-9EAB6F3BD2E0}"/>
                </c:ext>
              </c:extLst>
            </c:dLbl>
            <c:dLbl>
              <c:idx val="2"/>
              <c:tx>
                <c:rich>
                  <a:bodyPr/>
                  <a:lstStyle/>
                  <a:p>
                    <a:fld id="{5B7E3740-87D4-414C-8BBB-433421BB9FA1}" type="VALUE">
                      <a:rPr lang="en-US" altLang="ko-KR"/>
                      <a:pPr/>
                      <a:t>[VALUE]</a:t>
                    </a:fld>
                    <a:endParaRPr lang="en-US"/>
                  </a:p>
                  <a:p>
                    <a:r>
                      <a:rPr lang="en-US"/>
                      <a:t>(38)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CFE4-49BA-BFEB-9EAB6F3BD2E0}"/>
                </c:ext>
              </c:extLst>
            </c:dLbl>
            <c:dLbl>
              <c:idx val="3"/>
              <c:tx>
                <c:rich>
                  <a:bodyPr/>
                  <a:lstStyle/>
                  <a:p>
                    <a:fld id="{C40B2426-5994-4772-8461-DF4C8F368501}" type="VALUE">
                      <a:rPr lang="en-US" altLang="ko-KR"/>
                      <a:pPr/>
                      <a:t>[VALUE]</a:t>
                    </a:fld>
                    <a:endParaRPr lang="en-US"/>
                  </a:p>
                  <a:p>
                    <a:r>
                      <a:rPr lang="en-US"/>
                      <a:t>(17)</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CFE4-49BA-BFEB-9EAB6F3BD2E0}"/>
                </c:ext>
              </c:extLst>
            </c:dLbl>
            <c:dLbl>
              <c:idx val="4"/>
              <c:tx>
                <c:rich>
                  <a:bodyPr/>
                  <a:lstStyle/>
                  <a:p>
                    <a:fld id="{43F14467-912E-4FF1-A0D9-B875FACEAC3B}" type="VALUE">
                      <a:rPr lang="en-US" altLang="ko-KR"/>
                      <a:pPr/>
                      <a:t>[VALUE]</a:t>
                    </a:fld>
                    <a:endParaRPr lang="en-US"/>
                  </a:p>
                  <a:p>
                    <a:r>
                      <a:rPr lang="en-US"/>
                      <a:t>(31)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CFE4-49BA-BFEB-9EAB6F3BD2E0}"/>
                </c:ext>
              </c:extLst>
            </c:dLbl>
            <c:dLbl>
              <c:idx val="5"/>
              <c:tx>
                <c:rich>
                  <a:bodyPr/>
                  <a:lstStyle/>
                  <a:p>
                    <a:fld id="{A4D14778-E1FE-4818-85EC-95AB7DB892F2}" type="VALUE">
                      <a:rPr lang="en-US" altLang="ko-KR"/>
                      <a:pPr/>
                      <a:t>[VALUE]</a:t>
                    </a:fld>
                    <a:endParaRPr lang="en-US"/>
                  </a:p>
                  <a:p>
                    <a:r>
                      <a:rPr lang="en-US"/>
                      <a:t>(42)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CFE4-49BA-BFEB-9EAB6F3BD2E0}"/>
                </c:ext>
              </c:extLst>
            </c:dLbl>
            <c:dLbl>
              <c:idx val="6"/>
              <c:tx>
                <c:rich>
                  <a:bodyPr/>
                  <a:lstStyle/>
                  <a:p>
                    <a:fld id="{195B85F8-A860-4A9F-9FB6-EF140C358C3B}" type="VALUE">
                      <a:rPr lang="en-US" altLang="ko-KR"/>
                      <a:pPr/>
                      <a:t>[VALUE]</a:t>
                    </a:fld>
                    <a:endParaRPr lang="en-US"/>
                  </a:p>
                  <a:p>
                    <a:r>
                      <a:rPr lang="en-US"/>
                      <a:t>(23)</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CFE4-49BA-BFEB-9EAB6F3BD2E0}"/>
                </c:ext>
              </c:extLst>
            </c:dLbl>
            <c:spPr>
              <a:noFill/>
              <a:ln>
                <a:noFill/>
              </a:ln>
              <a:effectLst/>
            </c:spPr>
            <c:txPr>
              <a:bodyPr rot="0" spcFirstLastPara="1" vertOverflow="ellipsis" vert="horz" wrap="square" anchor="ctr" anchorCtr="1"/>
              <a:lstStyle/>
              <a:p>
                <a:pPr>
                  <a:defRPr sz="1197"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Sheet1!$C$2:$C$8</c:f>
              <c:numCache>
                <c:formatCode>0%</c:formatCode>
                <c:ptCount val="7"/>
                <c:pt idx="0">
                  <c:v>0.63</c:v>
                </c:pt>
                <c:pt idx="1">
                  <c:v>0.66</c:v>
                </c:pt>
                <c:pt idx="2">
                  <c:v>0.83</c:v>
                </c:pt>
                <c:pt idx="3">
                  <c:v>0.65</c:v>
                </c:pt>
                <c:pt idx="4">
                  <c:v>0.57999999999999996</c:v>
                </c:pt>
                <c:pt idx="5">
                  <c:v>0.69</c:v>
                </c:pt>
                <c:pt idx="6">
                  <c:v>0.79</c:v>
                </c:pt>
              </c:numCache>
            </c:numRef>
          </c:val>
          <c:extLst>
            <c:ext xmlns:c16="http://schemas.microsoft.com/office/drawing/2014/chart" uri="{C3380CC4-5D6E-409C-BE32-E72D297353CC}">
              <c16:uniqueId val="{00000001-CFE4-49BA-BFEB-9EAB6F3BD2E0}"/>
            </c:ext>
          </c:extLst>
        </c:ser>
        <c:dLbls>
          <c:dLblPos val="ctr"/>
          <c:showLegendKey val="0"/>
          <c:showVal val="1"/>
          <c:showCatName val="0"/>
          <c:showSerName val="0"/>
          <c:showPercent val="0"/>
          <c:showBubbleSize val="0"/>
        </c:dLbls>
        <c:gapWidth val="150"/>
        <c:overlap val="100"/>
        <c:axId val="936208784"/>
        <c:axId val="936214360"/>
      </c:barChart>
      <c:catAx>
        <c:axId val="936208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97"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14360"/>
        <c:crosses val="autoZero"/>
        <c:auto val="1"/>
        <c:lblAlgn val="ctr"/>
        <c:lblOffset val="100"/>
        <c:noMultiLvlLbl val="0"/>
      </c:catAx>
      <c:valAx>
        <c:axId val="93621436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08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97"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Sheet1!$B$1</c:f>
              <c:strCache>
                <c:ptCount val="1"/>
                <c:pt idx="0">
                  <c:v>Patent Owner</c:v>
                </c:pt>
              </c:strCache>
            </c:strRef>
          </c:tx>
          <c:spPr>
            <a:solidFill>
              <a:schemeClr val="accent1"/>
            </a:solidFill>
            <a:ln>
              <a:noFill/>
            </a:ln>
            <a:effectLst/>
          </c:spPr>
          <c:invertIfNegative val="0"/>
          <c:dLbls>
            <c:dLbl>
              <c:idx val="0"/>
              <c:tx>
                <c:rich>
                  <a:bodyPr/>
                  <a:lstStyle/>
                  <a:p>
                    <a:fld id="{21B4A7BC-5E1C-44A4-8603-78F8C89BA2E5}" type="VALUE">
                      <a:rPr lang="en-US" altLang="ko-KR"/>
                      <a:pPr/>
                      <a:t>[VALUE]</a:t>
                    </a:fld>
                    <a:r>
                      <a:rPr lang="en-US"/>
                      <a:t> (8)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D278-4AC8-8598-AE2C92A1CE7A}"/>
                </c:ext>
              </c:extLst>
            </c:dLbl>
            <c:dLbl>
              <c:idx val="1"/>
              <c:tx>
                <c:rich>
                  <a:bodyPr/>
                  <a:lstStyle/>
                  <a:p>
                    <a:fld id="{43D772AD-D53B-43E0-8863-8D2AAE1A5C81}" type="VALUE">
                      <a:rPr lang="en-US" altLang="ko-KR"/>
                      <a:pPr/>
                      <a:t>[VALUE]</a:t>
                    </a:fld>
                    <a:r>
                      <a:rPr lang="en-US"/>
                      <a:t> (2)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D278-4AC8-8598-AE2C92A1CE7A}"/>
                </c:ext>
              </c:extLst>
            </c:dLbl>
            <c:dLbl>
              <c:idx val="2"/>
              <c:tx>
                <c:rich>
                  <a:bodyPr/>
                  <a:lstStyle/>
                  <a:p>
                    <a:fld id="{987B3711-D46F-4084-9C9F-CCB7B5B2DCFB}" type="VALUE">
                      <a:rPr lang="en-US" altLang="ko-KR"/>
                      <a:pPr/>
                      <a:t>[VALUE]</a:t>
                    </a:fld>
                    <a:r>
                      <a:rPr lang="en-US"/>
                      <a:t> (66)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D278-4AC8-8598-AE2C92A1CE7A}"/>
                </c:ext>
              </c:extLst>
            </c:dLbl>
            <c:dLbl>
              <c:idx val="3"/>
              <c:tx>
                <c:rich>
                  <a:bodyPr/>
                  <a:lstStyle/>
                  <a:p>
                    <a:fld id="{F4787D1A-BD84-4A21-90E8-FAE6BA205BB3}" type="VALUE">
                      <a:rPr lang="en-US" altLang="ko-KR"/>
                      <a:pPr/>
                      <a:t>[VALUE]</a:t>
                    </a:fld>
                    <a:r>
                      <a:rPr lang="en-US"/>
                      <a:t> (5)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D278-4AC8-8598-AE2C92A1CE7A}"/>
                </c:ext>
              </c:extLst>
            </c:dLbl>
            <c:dLbl>
              <c:idx val="4"/>
              <c:tx>
                <c:rich>
                  <a:bodyPr/>
                  <a:lstStyle/>
                  <a:p>
                    <a:fld id="{EB13704A-A7EC-4914-8133-71BE8BE1C05A}" type="VALUE">
                      <a:rPr lang="en-US" altLang="ko-KR"/>
                      <a:pPr/>
                      <a:t>[VALUE]</a:t>
                    </a:fld>
                    <a:r>
                      <a:rPr lang="en-US"/>
                      <a:t> (5)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D278-4AC8-8598-AE2C92A1CE7A}"/>
                </c:ext>
              </c:extLst>
            </c:dLbl>
            <c:dLbl>
              <c:idx val="5"/>
              <c:tx>
                <c:rich>
                  <a:bodyPr/>
                  <a:lstStyle/>
                  <a:p>
                    <a:fld id="{7AFBE212-6122-4761-B168-2DBDA96B8CB6}" type="VALUE">
                      <a:rPr lang="en-US" altLang="ko-KR"/>
                      <a:pPr/>
                      <a:t>[VALUE]</a:t>
                    </a:fld>
                    <a:r>
                      <a:rPr lang="en-US"/>
                      <a:t> (4)</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D278-4AC8-8598-AE2C92A1CE7A}"/>
                </c:ext>
              </c:extLst>
            </c:dLbl>
            <c:dLbl>
              <c:idx val="6"/>
              <c:tx>
                <c:rich>
                  <a:bodyPr/>
                  <a:lstStyle/>
                  <a:p>
                    <a:fld id="{E7423AC8-2BCD-4B82-B242-67D0E8F37529}" type="VALUE">
                      <a:rPr lang="en-US" altLang="ko-KR"/>
                      <a:pPr/>
                      <a:t>[VALUE]</a:t>
                    </a:fld>
                    <a:r>
                      <a:rPr lang="en-US"/>
                      <a:t> (2)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278-4AC8-8598-AE2C92A1CE7A}"/>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Suwon</c:v>
                </c:pt>
                <c:pt idx="1">
                  <c:v>Seoul Southern District Court</c:v>
                </c:pt>
                <c:pt idx="2">
                  <c:v>Seoul Central District Court</c:v>
                </c:pt>
                <c:pt idx="3">
                  <c:v>Incheon</c:v>
                </c:pt>
                <c:pt idx="4">
                  <c:v>Daejeon District Court</c:v>
                </c:pt>
                <c:pt idx="5">
                  <c:v>Daegu District Court</c:v>
                </c:pt>
                <c:pt idx="6">
                  <c:v>Busan District Court</c:v>
                </c:pt>
              </c:strCache>
            </c:strRef>
          </c:cat>
          <c:val>
            <c:numRef>
              <c:f>Sheet1!$B$2:$B$8</c:f>
              <c:numCache>
                <c:formatCode>0%</c:formatCode>
                <c:ptCount val="7"/>
                <c:pt idx="0">
                  <c:v>0.4</c:v>
                </c:pt>
                <c:pt idx="1">
                  <c:v>0.4</c:v>
                </c:pt>
                <c:pt idx="2">
                  <c:v>0.28999999999999998</c:v>
                </c:pt>
                <c:pt idx="3">
                  <c:v>0.45</c:v>
                </c:pt>
                <c:pt idx="4">
                  <c:v>0.45</c:v>
                </c:pt>
                <c:pt idx="5">
                  <c:v>0.33</c:v>
                </c:pt>
                <c:pt idx="6">
                  <c:v>0.4</c:v>
                </c:pt>
              </c:numCache>
            </c:numRef>
          </c:val>
          <c:extLst>
            <c:ext xmlns:c16="http://schemas.microsoft.com/office/drawing/2014/chart" uri="{C3380CC4-5D6E-409C-BE32-E72D297353CC}">
              <c16:uniqueId val="{00000000-D278-4AC8-8598-AE2C92A1CE7A}"/>
            </c:ext>
          </c:extLst>
        </c:ser>
        <c:ser>
          <c:idx val="1"/>
          <c:order val="1"/>
          <c:tx>
            <c:strRef>
              <c:f>Sheet1!$C$1</c:f>
              <c:strCache>
                <c:ptCount val="1"/>
                <c:pt idx="0">
                  <c:v>Alleged Infringer</c:v>
                </c:pt>
              </c:strCache>
            </c:strRef>
          </c:tx>
          <c:spPr>
            <a:solidFill>
              <a:schemeClr val="accent2"/>
            </a:solidFill>
            <a:ln>
              <a:noFill/>
            </a:ln>
            <a:effectLst/>
          </c:spPr>
          <c:invertIfNegative val="0"/>
          <c:dLbls>
            <c:dLbl>
              <c:idx val="0"/>
              <c:tx>
                <c:rich>
                  <a:bodyPr/>
                  <a:lstStyle/>
                  <a:p>
                    <a:fld id="{ABDD21D7-5697-49E2-B6EC-941DF141D20A}" type="VALUE">
                      <a:rPr lang="en-US" altLang="ko-KR"/>
                      <a:pPr/>
                      <a:t>[VALUE]</a:t>
                    </a:fld>
                    <a:r>
                      <a:rPr lang="en-US"/>
                      <a:t> (12)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0-D278-4AC8-8598-AE2C92A1CE7A}"/>
                </c:ext>
              </c:extLst>
            </c:dLbl>
            <c:dLbl>
              <c:idx val="1"/>
              <c:tx>
                <c:rich>
                  <a:bodyPr/>
                  <a:lstStyle/>
                  <a:p>
                    <a:fld id="{848CE9BB-B29B-46DA-83D3-4B82E8292CF9}" type="VALUE">
                      <a:rPr lang="en-US" altLang="ko-KR"/>
                      <a:pPr/>
                      <a:t>[VALUE]</a:t>
                    </a:fld>
                    <a:r>
                      <a:rPr lang="en-US"/>
                      <a:t> (3)</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E-D278-4AC8-8598-AE2C92A1CE7A}"/>
                </c:ext>
              </c:extLst>
            </c:dLbl>
            <c:dLbl>
              <c:idx val="2"/>
              <c:tx>
                <c:rich>
                  <a:bodyPr/>
                  <a:lstStyle/>
                  <a:p>
                    <a:fld id="{3D8F1AA3-75A3-4D36-A69C-3723E8DACCEC}" type="VALUE">
                      <a:rPr lang="en-US" altLang="ko-KR"/>
                      <a:pPr/>
                      <a:t>[VALUE]</a:t>
                    </a:fld>
                    <a:r>
                      <a:rPr lang="en-US"/>
                      <a:t> (161)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C-D278-4AC8-8598-AE2C92A1CE7A}"/>
                </c:ext>
              </c:extLst>
            </c:dLbl>
            <c:dLbl>
              <c:idx val="3"/>
              <c:tx>
                <c:rich>
                  <a:bodyPr/>
                  <a:lstStyle/>
                  <a:p>
                    <a:fld id="{9966C5F1-76FE-4188-8B08-78296464EAA2}" type="VALUE">
                      <a:rPr lang="en-US" altLang="ko-KR"/>
                      <a:pPr/>
                      <a:t>[VALUE]</a:t>
                    </a:fld>
                    <a:r>
                      <a:rPr lang="en-US"/>
                      <a:t> (6)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D278-4AC8-8598-AE2C92A1CE7A}"/>
                </c:ext>
              </c:extLst>
            </c:dLbl>
            <c:dLbl>
              <c:idx val="4"/>
              <c:tx>
                <c:rich>
                  <a:bodyPr/>
                  <a:lstStyle/>
                  <a:p>
                    <a:fld id="{57C218DB-7393-4705-99CB-FF1B170D022E}" type="VALUE">
                      <a:rPr lang="en-US" altLang="ko-KR"/>
                      <a:pPr/>
                      <a:t>[VALUE]</a:t>
                    </a:fld>
                    <a:r>
                      <a:rPr lang="en-US"/>
                      <a:t> (6)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D278-4AC8-8598-AE2C92A1CE7A}"/>
                </c:ext>
              </c:extLst>
            </c:dLbl>
            <c:dLbl>
              <c:idx val="5"/>
              <c:tx>
                <c:rich>
                  <a:bodyPr/>
                  <a:lstStyle/>
                  <a:p>
                    <a:fld id="{24C0A37B-6D50-4099-A94E-67AA6F224240}" type="VALUE">
                      <a:rPr lang="en-US" altLang="ko-KR"/>
                      <a:pPr/>
                      <a:t>[VALUE]</a:t>
                    </a:fld>
                    <a:r>
                      <a:rPr lang="en-US"/>
                      <a:t> (8)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D278-4AC8-8598-AE2C92A1CE7A}"/>
                </c:ext>
              </c:extLst>
            </c:dLbl>
            <c:dLbl>
              <c:idx val="6"/>
              <c:tx>
                <c:rich>
                  <a:bodyPr/>
                  <a:lstStyle/>
                  <a:p>
                    <a:fld id="{824D11A2-F43B-436C-878E-BC8F0E32F67B}" type="VALUE">
                      <a:rPr lang="en-US" altLang="ko-KR"/>
                      <a:pPr/>
                      <a:t>[VALUE]</a:t>
                    </a:fld>
                    <a:r>
                      <a:rPr lang="en-US"/>
                      <a:t> (3)</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D278-4AC8-8598-AE2C92A1CE7A}"/>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Suwon</c:v>
                </c:pt>
                <c:pt idx="1">
                  <c:v>Seoul Southern District Court</c:v>
                </c:pt>
                <c:pt idx="2">
                  <c:v>Seoul Central District Court</c:v>
                </c:pt>
                <c:pt idx="3">
                  <c:v>Incheon</c:v>
                </c:pt>
                <c:pt idx="4">
                  <c:v>Daejeon District Court</c:v>
                </c:pt>
                <c:pt idx="5">
                  <c:v>Daegu District Court</c:v>
                </c:pt>
                <c:pt idx="6">
                  <c:v>Busan District Court</c:v>
                </c:pt>
              </c:strCache>
            </c:strRef>
          </c:cat>
          <c:val>
            <c:numRef>
              <c:f>Sheet1!$C$2:$C$8</c:f>
              <c:numCache>
                <c:formatCode>0%</c:formatCode>
                <c:ptCount val="7"/>
                <c:pt idx="0">
                  <c:v>0.6</c:v>
                </c:pt>
                <c:pt idx="1">
                  <c:v>0.6</c:v>
                </c:pt>
                <c:pt idx="2">
                  <c:v>0.71</c:v>
                </c:pt>
                <c:pt idx="3">
                  <c:v>0.55000000000000004</c:v>
                </c:pt>
                <c:pt idx="4">
                  <c:v>0.55000000000000004</c:v>
                </c:pt>
                <c:pt idx="5">
                  <c:v>0.67</c:v>
                </c:pt>
                <c:pt idx="6">
                  <c:v>0.6</c:v>
                </c:pt>
              </c:numCache>
            </c:numRef>
          </c:val>
          <c:extLst>
            <c:ext xmlns:c16="http://schemas.microsoft.com/office/drawing/2014/chart" uri="{C3380CC4-5D6E-409C-BE32-E72D297353CC}">
              <c16:uniqueId val="{00000001-D278-4AC8-8598-AE2C92A1CE7A}"/>
            </c:ext>
          </c:extLst>
        </c:ser>
        <c:dLbls>
          <c:dLblPos val="ctr"/>
          <c:showLegendKey val="0"/>
          <c:showVal val="1"/>
          <c:showCatName val="0"/>
          <c:showSerName val="0"/>
          <c:showPercent val="0"/>
          <c:showBubbleSize val="0"/>
        </c:dLbls>
        <c:gapWidth val="150"/>
        <c:overlap val="100"/>
        <c:axId val="786470288"/>
        <c:axId val="786467008"/>
      </c:barChart>
      <c:catAx>
        <c:axId val="7864702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86467008"/>
        <c:crosses val="autoZero"/>
        <c:auto val="1"/>
        <c:lblAlgn val="ctr"/>
        <c:lblOffset val="100"/>
        <c:noMultiLvlLbl val="0"/>
      </c:catAx>
      <c:valAx>
        <c:axId val="786467008"/>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86470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EFF-4516-9CA0-A882E9ACEB2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EFF-4516-9CA0-A882E9ACEB2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EFF-4516-9CA0-A882E9ACEB2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6EFF-4516-9CA0-A882E9ACEB2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6EFF-4516-9CA0-A882E9ACEB2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6EFF-4516-9CA0-A882E9ACEB23}"/>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6EFF-4516-9CA0-A882E9ACEB23}"/>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6EFF-4516-9CA0-A882E9ACEB23}"/>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6EFF-4516-9CA0-A882E9ACEB23}"/>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13-6EFF-4516-9CA0-A882E9ACEB23}"/>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15-6EFF-4516-9CA0-A882E9ACEB23}"/>
              </c:ext>
            </c:extLst>
          </c:dPt>
          <c:dLbls>
            <c:dLbl>
              <c:idx val="7"/>
              <c:layout>
                <c:manualLayout>
                  <c:x val="-9.0894566521957473E-2"/>
                  <c:y val="1.941361518021209E-2"/>
                </c:manualLayout>
              </c:layout>
              <c:dLblPos val="bestFit"/>
              <c:showLegendKey val="0"/>
              <c:showVal val="1"/>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F-6EFF-4516-9CA0-A882E9ACEB23}"/>
                </c:ext>
              </c:extLst>
            </c:dLbl>
            <c:spPr>
              <a:noFill/>
              <a:ln>
                <a:noFill/>
              </a:ln>
              <a:effectLst/>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Sheet1!$A$2:$A$12</c:f>
              <c:strCache>
                <c:ptCount val="11"/>
                <c:pt idx="0">
                  <c:v>Unknown</c:v>
                </c:pt>
                <c:pt idx="1">
                  <c:v>Other</c:v>
                </c:pt>
                <c:pt idx="2">
                  <c:v>Elec. Eng'g</c:v>
                </c:pt>
                <c:pt idx="3">
                  <c:v>Mech. Eng'g</c:v>
                </c:pt>
                <c:pt idx="4">
                  <c:v>Chem/Matls Eng'g</c:v>
                </c:pt>
                <c:pt idx="5">
                  <c:v>Civil Eng'g</c:v>
                </c:pt>
                <c:pt idx="6">
                  <c:v>Comp. Tech &amp; Software</c:v>
                </c:pt>
                <c:pt idx="7">
                  <c:v>Business Methods</c:v>
                </c:pt>
                <c:pt idx="8">
                  <c:v>Med Device</c:v>
                </c:pt>
                <c:pt idx="9">
                  <c:v>Pharm</c:v>
                </c:pt>
                <c:pt idx="10">
                  <c:v>Biotech</c:v>
                </c:pt>
              </c:strCache>
            </c:strRef>
          </c:cat>
          <c:val>
            <c:numRef>
              <c:f>Sheet1!$B$2:$B$12</c:f>
              <c:numCache>
                <c:formatCode>General</c:formatCode>
                <c:ptCount val="11"/>
                <c:pt idx="0">
                  <c:v>52</c:v>
                </c:pt>
                <c:pt idx="1">
                  <c:v>79</c:v>
                </c:pt>
                <c:pt idx="2">
                  <c:v>50</c:v>
                </c:pt>
                <c:pt idx="3">
                  <c:v>58</c:v>
                </c:pt>
                <c:pt idx="4">
                  <c:v>43</c:v>
                </c:pt>
                <c:pt idx="5">
                  <c:v>25</c:v>
                </c:pt>
                <c:pt idx="6">
                  <c:v>24</c:v>
                </c:pt>
                <c:pt idx="7">
                  <c:v>20</c:v>
                </c:pt>
                <c:pt idx="8">
                  <c:v>15</c:v>
                </c:pt>
                <c:pt idx="9">
                  <c:v>20</c:v>
                </c:pt>
                <c:pt idx="10">
                  <c:v>3</c:v>
                </c:pt>
              </c:numCache>
            </c:numRef>
          </c:val>
          <c:extLst>
            <c:ext xmlns:c16="http://schemas.microsoft.com/office/drawing/2014/chart" uri="{C3380CC4-5D6E-409C-BE32-E72D297353CC}">
              <c16:uniqueId val="{00000016-6EFF-4516-9CA0-A882E9ACEB23}"/>
            </c:ext>
          </c:extLst>
        </c:ser>
        <c:dLbls>
          <c:dLblPos val="bestFit"/>
          <c:showLegendKey val="0"/>
          <c:showVal val="1"/>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Sheet1!$B$1</c:f>
              <c:strCache>
                <c:ptCount val="1"/>
                <c:pt idx="0">
                  <c:v>Patent Owner</c:v>
                </c:pt>
              </c:strCache>
            </c:strRef>
          </c:tx>
          <c:spPr>
            <a:solidFill>
              <a:schemeClr val="accent1"/>
            </a:solidFill>
            <a:ln>
              <a:noFill/>
            </a:ln>
            <a:effectLst/>
          </c:spPr>
          <c:invertIfNegative val="0"/>
          <c:dLbls>
            <c:dLbl>
              <c:idx val="0"/>
              <c:tx>
                <c:rich>
                  <a:bodyPr/>
                  <a:lstStyle/>
                  <a:p>
                    <a:fld id="{D5E43E5B-9C65-4537-B8B3-2C82F79385EF}" type="VALUE">
                      <a:rPr lang="en-US" altLang="ko-KR"/>
                      <a:pPr/>
                      <a:t>[VALUE]</a:t>
                    </a:fld>
                    <a:r>
                      <a:rPr lang="en-US"/>
                      <a:t> (17)</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6-12EB-4D0A-9D0B-3594FA14E3BA}"/>
                </c:ext>
              </c:extLst>
            </c:dLbl>
            <c:dLbl>
              <c:idx val="1"/>
              <c:tx>
                <c:rich>
                  <a:bodyPr/>
                  <a:lstStyle/>
                  <a:p>
                    <a:fld id="{6DC8710B-1258-4CE4-853D-6598BAF47337}" type="VALUE">
                      <a:rPr lang="en-US" altLang="ko-KR"/>
                      <a:pPr/>
                      <a:t>[VALUE]</a:t>
                    </a:fld>
                    <a:r>
                      <a:rPr lang="en-US"/>
                      <a:t> (9)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4-12EB-4D0A-9D0B-3594FA14E3BA}"/>
                </c:ext>
              </c:extLst>
            </c:dLbl>
            <c:dLbl>
              <c:idx val="2"/>
              <c:tx>
                <c:rich>
                  <a:bodyPr/>
                  <a:lstStyle/>
                  <a:p>
                    <a:fld id="{8013BC22-ED0D-4763-8B4B-FFE3BB9224F3}" type="VALUE">
                      <a:rPr lang="en-US" altLang="ko-KR"/>
                      <a:pPr/>
                      <a:t>[VALUE]</a:t>
                    </a:fld>
                    <a:r>
                      <a:rPr lang="en-US"/>
                      <a:t> (36)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2-12EB-4D0A-9D0B-3594FA14E3BA}"/>
                </c:ext>
              </c:extLst>
            </c:dLbl>
            <c:dLbl>
              <c:idx val="3"/>
              <c:tx>
                <c:rich>
                  <a:bodyPr/>
                  <a:lstStyle/>
                  <a:p>
                    <a:fld id="{25439349-6248-4580-8182-525343EAB629}" type="VALUE">
                      <a:rPr lang="en-US" altLang="ko-KR"/>
                      <a:pPr/>
                      <a:t>[VALUE]</a:t>
                    </a:fld>
                    <a:r>
                      <a:rPr lang="en-US"/>
                      <a:t> (1)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0-12EB-4D0A-9D0B-3594FA14E3BA}"/>
                </c:ext>
              </c:extLst>
            </c:dLbl>
            <c:dLbl>
              <c:idx val="4"/>
              <c:tx>
                <c:rich>
                  <a:bodyPr/>
                  <a:lstStyle/>
                  <a:p>
                    <a:fld id="{195B9175-9D91-463F-AB99-9D6AE7283A8A}" type="VALUE">
                      <a:rPr lang="en-US" altLang="ko-KR"/>
                      <a:pPr/>
                      <a:t>[VALUE]</a:t>
                    </a:fld>
                    <a:r>
                      <a:rPr lang="en-US"/>
                      <a:t> (16)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E-12EB-4D0A-9D0B-3594FA14E3BA}"/>
                </c:ext>
              </c:extLst>
            </c:dLbl>
            <c:dLbl>
              <c:idx val="5"/>
              <c:tx>
                <c:rich>
                  <a:bodyPr/>
                  <a:lstStyle/>
                  <a:p>
                    <a:fld id="{568FFE3E-AB99-4543-89BE-0BBF4337E33E}" type="VALUE">
                      <a:rPr lang="en-US" altLang="ko-KR"/>
                      <a:pPr/>
                      <a:t>[VALUE]</a:t>
                    </a:fld>
                    <a:r>
                      <a:rPr lang="en-US"/>
                      <a:t> (12)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C-12EB-4D0A-9D0B-3594FA14E3BA}"/>
                </c:ext>
              </c:extLst>
            </c:dLbl>
            <c:dLbl>
              <c:idx val="6"/>
              <c:tx>
                <c:rich>
                  <a:bodyPr/>
                  <a:lstStyle/>
                  <a:p>
                    <a:fld id="{12680AF2-00F1-4E88-9C6F-9392F70F1AE5}" type="VALUE">
                      <a:rPr lang="en-US" altLang="ko-KR"/>
                      <a:pPr/>
                      <a:t>[VALUE]</a:t>
                    </a:fld>
                    <a:r>
                      <a:rPr lang="en-US"/>
                      <a:t> (4)</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12EB-4D0A-9D0B-3594FA14E3BA}"/>
                </c:ext>
              </c:extLst>
            </c:dLbl>
            <c:dLbl>
              <c:idx val="7"/>
              <c:tx>
                <c:rich>
                  <a:bodyPr/>
                  <a:lstStyle/>
                  <a:p>
                    <a:fld id="{876CECE8-DF99-45B3-AC79-695B853022A5}" type="VALUE">
                      <a:rPr lang="en-US" altLang="ko-KR"/>
                      <a:pPr/>
                      <a:t>[VALUE]</a:t>
                    </a:fld>
                    <a:r>
                      <a:rPr lang="en-US"/>
                      <a:t> (8)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12EB-4D0A-9D0B-3594FA14E3BA}"/>
                </c:ext>
              </c:extLst>
            </c:dLbl>
            <c:dLbl>
              <c:idx val="8"/>
              <c:tx>
                <c:rich>
                  <a:bodyPr/>
                  <a:lstStyle/>
                  <a:p>
                    <a:fld id="{F0A17FF1-BC48-45FF-8546-D3E3C08DCE64}" type="VALUE">
                      <a:rPr lang="en-US" altLang="ko-KR"/>
                      <a:pPr/>
                      <a:t>[VALUE]</a:t>
                    </a:fld>
                    <a:r>
                      <a:rPr lang="en-US"/>
                      <a:t> (12)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12EB-4D0A-9D0B-3594FA14E3BA}"/>
                </c:ext>
              </c:extLst>
            </c:dLbl>
            <c:dLbl>
              <c:idx val="9"/>
              <c:tx>
                <c:rich>
                  <a:bodyPr/>
                  <a:lstStyle/>
                  <a:p>
                    <a:fld id="{14232DEA-319C-45E2-939D-E223B43EBCA8}" type="VALUE">
                      <a:rPr lang="en-US" altLang="ko-KR"/>
                      <a:pPr/>
                      <a:t>[VALUE]</a:t>
                    </a:fld>
                    <a:r>
                      <a:rPr lang="en-US"/>
                      <a:t> (4)</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12EB-4D0A-9D0B-3594FA14E3BA}"/>
                </c:ext>
              </c:extLst>
            </c:dLbl>
            <c:dLbl>
              <c:idx val="10"/>
              <c:tx>
                <c:rich>
                  <a:bodyPr/>
                  <a:lstStyle/>
                  <a:p>
                    <a:fld id="{C2BCC815-7933-468D-8851-680EBFD96261}" type="VALUE">
                      <a:rPr lang="en-US" altLang="ko-KR"/>
                      <a:pPr/>
                      <a:t>[VALUE]</a:t>
                    </a:fld>
                    <a:r>
                      <a:rPr lang="en-US"/>
                      <a:t> (2)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12EB-4D0A-9D0B-3594FA14E3BA}"/>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Unknown</c:v>
                </c:pt>
                <c:pt idx="1">
                  <c:v>Pharm</c:v>
                </c:pt>
                <c:pt idx="2">
                  <c:v>Other</c:v>
                </c:pt>
                <c:pt idx="3">
                  <c:v>Med Device</c:v>
                </c:pt>
                <c:pt idx="4">
                  <c:v>Mech. Eng'g</c:v>
                </c:pt>
                <c:pt idx="5">
                  <c:v>Elec. Eng'g</c:v>
                </c:pt>
                <c:pt idx="6">
                  <c:v>Comp. Tech &amp; Software</c:v>
                </c:pt>
                <c:pt idx="7">
                  <c:v>Civil Eng'g</c:v>
                </c:pt>
                <c:pt idx="8">
                  <c:v>Chem/Matls Eng'g</c:v>
                </c:pt>
                <c:pt idx="9">
                  <c:v>Business Methods</c:v>
                </c:pt>
                <c:pt idx="10">
                  <c:v>Biotech</c:v>
                </c:pt>
              </c:strCache>
            </c:strRef>
          </c:cat>
          <c:val>
            <c:numRef>
              <c:f>Sheet1!$B$2:$B$12</c:f>
              <c:numCache>
                <c:formatCode>0%</c:formatCode>
                <c:ptCount val="11"/>
                <c:pt idx="0">
                  <c:v>0.33</c:v>
                </c:pt>
                <c:pt idx="1">
                  <c:v>0.45</c:v>
                </c:pt>
                <c:pt idx="2">
                  <c:v>0.46</c:v>
                </c:pt>
                <c:pt idx="3">
                  <c:v>7.0000000000000007E-2</c:v>
                </c:pt>
                <c:pt idx="4">
                  <c:v>0.28000000000000003</c:v>
                </c:pt>
                <c:pt idx="5">
                  <c:v>0.24</c:v>
                </c:pt>
                <c:pt idx="6">
                  <c:v>0.17</c:v>
                </c:pt>
                <c:pt idx="7">
                  <c:v>0.33</c:v>
                </c:pt>
                <c:pt idx="8">
                  <c:v>0.28000000000000003</c:v>
                </c:pt>
                <c:pt idx="9">
                  <c:v>0.2</c:v>
                </c:pt>
                <c:pt idx="10">
                  <c:v>0.67</c:v>
                </c:pt>
              </c:numCache>
            </c:numRef>
          </c:val>
          <c:extLst>
            <c:ext xmlns:c16="http://schemas.microsoft.com/office/drawing/2014/chart" uri="{C3380CC4-5D6E-409C-BE32-E72D297353CC}">
              <c16:uniqueId val="{00000000-12EB-4D0A-9D0B-3594FA14E3BA}"/>
            </c:ext>
          </c:extLst>
        </c:ser>
        <c:ser>
          <c:idx val="1"/>
          <c:order val="1"/>
          <c:tx>
            <c:strRef>
              <c:f>Sheet1!$C$1</c:f>
              <c:strCache>
                <c:ptCount val="1"/>
                <c:pt idx="0">
                  <c:v>Alleged Infringer</c:v>
                </c:pt>
              </c:strCache>
            </c:strRef>
          </c:tx>
          <c:spPr>
            <a:solidFill>
              <a:schemeClr val="accent2"/>
            </a:solidFill>
            <a:ln>
              <a:noFill/>
            </a:ln>
            <a:effectLst/>
          </c:spPr>
          <c:invertIfNegative val="0"/>
          <c:dLbls>
            <c:dLbl>
              <c:idx val="0"/>
              <c:tx>
                <c:rich>
                  <a:bodyPr/>
                  <a:lstStyle/>
                  <a:p>
                    <a:fld id="{CFC21838-2C39-4CFC-96CC-AB9827DE9C2B}" type="VALUE">
                      <a:rPr lang="en-US" altLang="ko-KR"/>
                      <a:pPr/>
                      <a:t>[VALUE]</a:t>
                    </a:fld>
                    <a:r>
                      <a:rPr lang="en-US"/>
                      <a:t> (35)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7-12EB-4D0A-9D0B-3594FA14E3BA}"/>
                </c:ext>
              </c:extLst>
            </c:dLbl>
            <c:dLbl>
              <c:idx val="1"/>
              <c:tx>
                <c:rich>
                  <a:bodyPr/>
                  <a:lstStyle/>
                  <a:p>
                    <a:fld id="{7CA57103-AAAE-44B4-BABF-846C6E903565}" type="VALUE">
                      <a:rPr lang="en-US" altLang="ko-KR"/>
                      <a:pPr/>
                      <a:t>[VALUE]</a:t>
                    </a:fld>
                    <a:r>
                      <a:rPr lang="en-US"/>
                      <a:t> (11)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12EB-4D0A-9D0B-3594FA14E3BA}"/>
                </c:ext>
              </c:extLst>
            </c:dLbl>
            <c:dLbl>
              <c:idx val="2"/>
              <c:tx>
                <c:rich>
                  <a:bodyPr/>
                  <a:lstStyle/>
                  <a:p>
                    <a:fld id="{F79E233E-7D1C-44FF-B9FC-1388758C7BC5}" type="VALUE">
                      <a:rPr lang="en-US" altLang="ko-KR"/>
                      <a:pPr/>
                      <a:t>[VALUE]</a:t>
                    </a:fld>
                    <a:r>
                      <a:rPr lang="en-US"/>
                      <a:t> (43)</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12EB-4D0A-9D0B-3594FA14E3BA}"/>
                </c:ext>
              </c:extLst>
            </c:dLbl>
            <c:dLbl>
              <c:idx val="3"/>
              <c:tx>
                <c:rich>
                  <a:bodyPr/>
                  <a:lstStyle/>
                  <a:p>
                    <a:fld id="{65AC0D59-64BA-4893-9574-E6301302F98F}" type="VALUE">
                      <a:rPr lang="en-US" altLang="ko-KR"/>
                      <a:pPr/>
                      <a:t>[VALUE]</a:t>
                    </a:fld>
                    <a:r>
                      <a:rPr lang="en-US"/>
                      <a:t> (13)</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12EB-4D0A-9D0B-3594FA14E3BA}"/>
                </c:ext>
              </c:extLst>
            </c:dLbl>
            <c:dLbl>
              <c:idx val="4"/>
              <c:tx>
                <c:rich>
                  <a:bodyPr/>
                  <a:lstStyle/>
                  <a:p>
                    <a:fld id="{1E3B4521-19D9-4AAF-AAC1-FEC769788611}" type="VALUE">
                      <a:rPr lang="en-US" altLang="ko-KR"/>
                      <a:pPr/>
                      <a:t>[VALUE]</a:t>
                    </a:fld>
                    <a:r>
                      <a:rPr lang="en-US"/>
                      <a:t> (42)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12EB-4D0A-9D0B-3594FA14E3BA}"/>
                </c:ext>
              </c:extLst>
            </c:dLbl>
            <c:dLbl>
              <c:idx val="5"/>
              <c:tx>
                <c:rich>
                  <a:bodyPr/>
                  <a:lstStyle/>
                  <a:p>
                    <a:fld id="{515D3732-BCE4-4519-8B37-200880BE3738}" type="VALUE">
                      <a:rPr lang="en-US" altLang="ko-KR"/>
                      <a:pPr/>
                      <a:t>[VALUE]</a:t>
                    </a:fld>
                    <a:r>
                      <a:rPr lang="en-US"/>
                      <a:t> (38)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12EB-4D0A-9D0B-3594FA14E3BA}"/>
                </c:ext>
              </c:extLst>
            </c:dLbl>
            <c:dLbl>
              <c:idx val="6"/>
              <c:tx>
                <c:rich>
                  <a:bodyPr/>
                  <a:lstStyle/>
                  <a:p>
                    <a:fld id="{9AABC367-DA96-4B44-88AB-8B387D123A35}" type="VALUE">
                      <a:rPr lang="en-US" altLang="ko-KR"/>
                      <a:pPr/>
                      <a:t>[VALUE]</a:t>
                    </a:fld>
                    <a:r>
                      <a:rPr lang="en-US"/>
                      <a:t> (20)</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12EB-4D0A-9D0B-3594FA14E3BA}"/>
                </c:ext>
              </c:extLst>
            </c:dLbl>
            <c:dLbl>
              <c:idx val="7"/>
              <c:tx>
                <c:rich>
                  <a:bodyPr/>
                  <a:lstStyle/>
                  <a:p>
                    <a:fld id="{EE8A359E-C17C-4522-A3AA-7B7D57459CFF}" type="VALUE">
                      <a:rPr lang="en-US" altLang="ko-KR"/>
                      <a:pPr/>
                      <a:t>[VALUE]</a:t>
                    </a:fld>
                    <a:r>
                      <a:rPr lang="en-US"/>
                      <a:t> (16)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12EB-4D0A-9D0B-3594FA14E3BA}"/>
                </c:ext>
              </c:extLst>
            </c:dLbl>
            <c:dLbl>
              <c:idx val="8"/>
              <c:tx>
                <c:rich>
                  <a:bodyPr/>
                  <a:lstStyle/>
                  <a:p>
                    <a:fld id="{44606947-28F5-49E4-9AFF-CFB25EB41CD5}" type="VALUE">
                      <a:rPr lang="en-US" altLang="ko-KR"/>
                      <a:pPr/>
                      <a:t>[VALUE]</a:t>
                    </a:fld>
                    <a:r>
                      <a:rPr lang="en-US"/>
                      <a:t> (31)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12EB-4D0A-9D0B-3594FA14E3BA}"/>
                </c:ext>
              </c:extLst>
            </c:dLbl>
            <c:dLbl>
              <c:idx val="9"/>
              <c:tx>
                <c:rich>
                  <a:bodyPr/>
                  <a:lstStyle/>
                  <a:p>
                    <a:fld id="{20336D82-BEC0-4F46-9F39-FB235140C2DF}" type="VALUE">
                      <a:rPr lang="en-US" altLang="ko-KR"/>
                      <a:pPr/>
                      <a:t>[VALUE]</a:t>
                    </a:fld>
                    <a:r>
                      <a:rPr lang="en-US"/>
                      <a:t> (16)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12EB-4D0A-9D0B-3594FA14E3BA}"/>
                </c:ext>
              </c:extLst>
            </c:dLbl>
            <c:dLbl>
              <c:idx val="10"/>
              <c:tx>
                <c:rich>
                  <a:bodyPr/>
                  <a:lstStyle/>
                  <a:p>
                    <a:fld id="{899BE959-C9EF-4B14-8FC8-DB09334ED0CC}" type="VALUE">
                      <a:rPr lang="en-US" altLang="ko-KR"/>
                      <a:pPr/>
                      <a:t>[VALUE]</a:t>
                    </a:fld>
                    <a:r>
                      <a:rPr lang="en-US"/>
                      <a:t> (1)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12EB-4D0A-9D0B-3594FA14E3BA}"/>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Unknown</c:v>
                </c:pt>
                <c:pt idx="1">
                  <c:v>Pharm</c:v>
                </c:pt>
                <c:pt idx="2">
                  <c:v>Other</c:v>
                </c:pt>
                <c:pt idx="3">
                  <c:v>Med Device</c:v>
                </c:pt>
                <c:pt idx="4">
                  <c:v>Mech. Eng'g</c:v>
                </c:pt>
                <c:pt idx="5">
                  <c:v>Elec. Eng'g</c:v>
                </c:pt>
                <c:pt idx="6">
                  <c:v>Comp. Tech &amp; Software</c:v>
                </c:pt>
                <c:pt idx="7">
                  <c:v>Civil Eng'g</c:v>
                </c:pt>
                <c:pt idx="8">
                  <c:v>Chem/Matls Eng'g</c:v>
                </c:pt>
                <c:pt idx="9">
                  <c:v>Business Methods</c:v>
                </c:pt>
                <c:pt idx="10">
                  <c:v>Biotech</c:v>
                </c:pt>
              </c:strCache>
            </c:strRef>
          </c:cat>
          <c:val>
            <c:numRef>
              <c:f>Sheet1!$C$2:$C$12</c:f>
              <c:numCache>
                <c:formatCode>0%</c:formatCode>
                <c:ptCount val="11"/>
                <c:pt idx="0">
                  <c:v>0.67</c:v>
                </c:pt>
                <c:pt idx="1">
                  <c:v>0.55000000000000004</c:v>
                </c:pt>
                <c:pt idx="2">
                  <c:v>0.54</c:v>
                </c:pt>
                <c:pt idx="3">
                  <c:v>0.94</c:v>
                </c:pt>
                <c:pt idx="4">
                  <c:v>0.72</c:v>
                </c:pt>
                <c:pt idx="5">
                  <c:v>0.76</c:v>
                </c:pt>
                <c:pt idx="6">
                  <c:v>0.83</c:v>
                </c:pt>
                <c:pt idx="7">
                  <c:v>0.67</c:v>
                </c:pt>
                <c:pt idx="8">
                  <c:v>0.72</c:v>
                </c:pt>
                <c:pt idx="9">
                  <c:v>0.8</c:v>
                </c:pt>
                <c:pt idx="10">
                  <c:v>0.33</c:v>
                </c:pt>
              </c:numCache>
            </c:numRef>
          </c:val>
          <c:extLst>
            <c:ext xmlns:c16="http://schemas.microsoft.com/office/drawing/2014/chart" uri="{C3380CC4-5D6E-409C-BE32-E72D297353CC}">
              <c16:uniqueId val="{00000001-12EB-4D0A-9D0B-3594FA14E3BA}"/>
            </c:ext>
          </c:extLst>
        </c:ser>
        <c:dLbls>
          <c:dLblPos val="ctr"/>
          <c:showLegendKey val="0"/>
          <c:showVal val="1"/>
          <c:showCatName val="0"/>
          <c:showSerName val="0"/>
          <c:showPercent val="0"/>
          <c:showBubbleSize val="0"/>
        </c:dLbls>
        <c:gapWidth val="150"/>
        <c:overlap val="100"/>
        <c:axId val="786470288"/>
        <c:axId val="786467008"/>
      </c:barChart>
      <c:catAx>
        <c:axId val="7864702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86467008"/>
        <c:crosses val="autoZero"/>
        <c:auto val="1"/>
        <c:lblAlgn val="ctr"/>
        <c:lblOffset val="100"/>
        <c:noMultiLvlLbl val="0"/>
      </c:catAx>
      <c:valAx>
        <c:axId val="786467008"/>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786470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Patent Owner</c:v>
                </c:pt>
              </c:strCache>
            </c:strRef>
          </c:tx>
          <c:spPr>
            <a:solidFill>
              <a:schemeClr val="accent1"/>
            </a:solidFill>
            <a:ln>
              <a:noFill/>
            </a:ln>
            <a:effectLst/>
          </c:spPr>
          <c:invertIfNegative val="0"/>
          <c:dLbls>
            <c:dLbl>
              <c:idx val="0"/>
              <c:tx>
                <c:rich>
                  <a:bodyPr/>
                  <a:lstStyle/>
                  <a:p>
                    <a:fld id="{4F78412D-959A-4115-8E91-2F0AFFD960FC}" type="VALUE">
                      <a:rPr lang="en-US" altLang="ko-KR"/>
                      <a:pPr/>
                      <a:t>[VALUE]</a:t>
                    </a:fld>
                    <a:endParaRPr lang="en-US"/>
                  </a:p>
                  <a:p>
                    <a:r>
                      <a:rPr lang="en-US"/>
                      <a:t>(17)</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C6B5-493D-AB96-36D48E56C70E}"/>
                </c:ext>
              </c:extLst>
            </c:dLbl>
            <c:dLbl>
              <c:idx val="1"/>
              <c:tx>
                <c:rich>
                  <a:bodyPr/>
                  <a:lstStyle/>
                  <a:p>
                    <a:fld id="{CB447A21-289D-4B6E-9A24-5963B18E839B}" type="VALUE">
                      <a:rPr lang="en-US" altLang="ko-KR"/>
                      <a:pPr/>
                      <a:t>[VALUE]</a:t>
                    </a:fld>
                    <a:endParaRPr lang="en-US"/>
                  </a:p>
                  <a:p>
                    <a:r>
                      <a:rPr lang="en-US"/>
                      <a:t>(16)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C6B5-493D-AB96-36D48E56C70E}"/>
                </c:ext>
              </c:extLst>
            </c:dLbl>
            <c:dLbl>
              <c:idx val="2"/>
              <c:tx>
                <c:rich>
                  <a:bodyPr/>
                  <a:lstStyle/>
                  <a:p>
                    <a:fld id="{EDADD5D8-917C-45C1-932C-A5E7979958A2}" type="VALUE">
                      <a:rPr lang="en-US" altLang="ko-KR"/>
                      <a:pPr/>
                      <a:t>[VALUE]</a:t>
                    </a:fld>
                    <a:endParaRPr lang="en-US"/>
                  </a:p>
                  <a:p>
                    <a:r>
                      <a:rPr lang="en-US"/>
                      <a:t>(1)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C6B5-493D-AB96-36D48E56C70E}"/>
                </c:ext>
              </c:extLst>
            </c:dLbl>
            <c:dLbl>
              <c:idx val="3"/>
              <c:delete val="1"/>
              <c:extLst>
                <c:ext xmlns:c15="http://schemas.microsoft.com/office/drawing/2012/chart" uri="{CE6537A1-D6FC-4f65-9D91-7224C49458BB}"/>
                <c:ext xmlns:c16="http://schemas.microsoft.com/office/drawing/2014/chart" uri="{C3380CC4-5D6E-409C-BE32-E72D297353CC}">
                  <c16:uniqueId val="{00000003-C6B5-493D-AB96-36D48E56C70E}"/>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2012</c:v>
                </c:pt>
                <c:pt idx="1">
                  <c:v>2013</c:v>
                </c:pt>
                <c:pt idx="2">
                  <c:v>2014</c:v>
                </c:pt>
                <c:pt idx="3">
                  <c:v>2017</c:v>
                </c:pt>
              </c:numCache>
            </c:numRef>
          </c:cat>
          <c:val>
            <c:numRef>
              <c:f>Sheet1!$B$2:$B$5</c:f>
              <c:numCache>
                <c:formatCode>0%</c:formatCode>
                <c:ptCount val="4"/>
                <c:pt idx="0">
                  <c:v>0.27</c:v>
                </c:pt>
                <c:pt idx="1">
                  <c:v>0.32</c:v>
                </c:pt>
                <c:pt idx="2">
                  <c:v>1</c:v>
                </c:pt>
                <c:pt idx="3">
                  <c:v>0</c:v>
                </c:pt>
              </c:numCache>
            </c:numRef>
          </c:val>
          <c:extLst>
            <c:ext xmlns:c16="http://schemas.microsoft.com/office/drawing/2014/chart" uri="{C3380CC4-5D6E-409C-BE32-E72D297353CC}">
              <c16:uniqueId val="{00000000-C6B5-493D-AB96-36D48E56C70E}"/>
            </c:ext>
          </c:extLst>
        </c:ser>
        <c:ser>
          <c:idx val="1"/>
          <c:order val="1"/>
          <c:tx>
            <c:strRef>
              <c:f>Sheet1!$C$1</c:f>
              <c:strCache>
                <c:ptCount val="1"/>
                <c:pt idx="0">
                  <c:v>Alleged Infringer</c:v>
                </c:pt>
              </c:strCache>
            </c:strRef>
          </c:tx>
          <c:spPr>
            <a:solidFill>
              <a:schemeClr val="accent2"/>
            </a:solidFill>
            <a:ln>
              <a:noFill/>
            </a:ln>
            <a:effectLst/>
          </c:spPr>
          <c:invertIfNegative val="0"/>
          <c:dLbls>
            <c:dLbl>
              <c:idx val="0"/>
              <c:tx>
                <c:rich>
                  <a:bodyPr/>
                  <a:lstStyle/>
                  <a:p>
                    <a:fld id="{27086807-6618-4FD7-A30F-0F3C8C37CE85}" type="VALUE">
                      <a:rPr lang="en-US" altLang="ko-KR"/>
                      <a:pPr/>
                      <a:t>[VALUE]</a:t>
                    </a:fld>
                    <a:r>
                      <a:rPr lang="en-US"/>
                      <a:t> </a:t>
                    </a:r>
                  </a:p>
                  <a:p>
                    <a:r>
                      <a:rPr lang="en-US"/>
                      <a:t>(46)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C6B5-493D-AB96-36D48E56C70E}"/>
                </c:ext>
              </c:extLst>
            </c:dLbl>
            <c:dLbl>
              <c:idx val="1"/>
              <c:tx>
                <c:rich>
                  <a:bodyPr/>
                  <a:lstStyle/>
                  <a:p>
                    <a:fld id="{243E3553-3D14-4D10-9EB6-3200BD3AEC45}" type="VALUE">
                      <a:rPr lang="en-US" altLang="ko-KR"/>
                      <a:pPr/>
                      <a:t>[VALUE]</a:t>
                    </a:fld>
                    <a:endParaRPr lang="en-US"/>
                  </a:p>
                  <a:p>
                    <a:r>
                      <a:rPr lang="en-US"/>
                      <a:t>(34)</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C6B5-493D-AB96-36D48E56C70E}"/>
                </c:ext>
              </c:extLst>
            </c:dLbl>
            <c:dLbl>
              <c:idx val="2"/>
              <c:delete val="1"/>
              <c:extLst>
                <c:ext xmlns:c15="http://schemas.microsoft.com/office/drawing/2012/chart" uri="{CE6537A1-D6FC-4f65-9D91-7224C49458BB}"/>
                <c:ext xmlns:c16="http://schemas.microsoft.com/office/drawing/2014/chart" uri="{C3380CC4-5D6E-409C-BE32-E72D297353CC}">
                  <c16:uniqueId val="{00000002-C6B5-493D-AB96-36D48E56C70E}"/>
                </c:ext>
              </c:extLst>
            </c:dLbl>
            <c:dLbl>
              <c:idx val="3"/>
              <c:tx>
                <c:rich>
                  <a:bodyPr/>
                  <a:lstStyle/>
                  <a:p>
                    <a:fld id="{32346334-ED02-40C1-B67C-5DC2D39614F7}" type="VALUE">
                      <a:rPr lang="en-US" altLang="ko-KR"/>
                      <a:pPr/>
                      <a:t>[VALUE]</a:t>
                    </a:fld>
                    <a:endParaRPr lang="en-US"/>
                  </a:p>
                  <a:p>
                    <a:r>
                      <a:rPr lang="en-US"/>
                      <a:t>(1)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C6B5-493D-AB96-36D48E56C70E}"/>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2012</c:v>
                </c:pt>
                <c:pt idx="1">
                  <c:v>2013</c:v>
                </c:pt>
                <c:pt idx="2">
                  <c:v>2014</c:v>
                </c:pt>
                <c:pt idx="3">
                  <c:v>2017</c:v>
                </c:pt>
              </c:numCache>
            </c:numRef>
          </c:cat>
          <c:val>
            <c:numRef>
              <c:f>Sheet1!$C$2:$C$5</c:f>
              <c:numCache>
                <c:formatCode>0%</c:formatCode>
                <c:ptCount val="4"/>
                <c:pt idx="0">
                  <c:v>0.73</c:v>
                </c:pt>
                <c:pt idx="1">
                  <c:v>0.68</c:v>
                </c:pt>
                <c:pt idx="2">
                  <c:v>0</c:v>
                </c:pt>
                <c:pt idx="3">
                  <c:v>1</c:v>
                </c:pt>
              </c:numCache>
            </c:numRef>
          </c:val>
          <c:extLst>
            <c:ext xmlns:c16="http://schemas.microsoft.com/office/drawing/2014/chart" uri="{C3380CC4-5D6E-409C-BE32-E72D297353CC}">
              <c16:uniqueId val="{00000001-C6B5-493D-AB96-36D48E56C70E}"/>
            </c:ext>
          </c:extLst>
        </c:ser>
        <c:dLbls>
          <c:dLblPos val="ctr"/>
          <c:showLegendKey val="0"/>
          <c:showVal val="1"/>
          <c:showCatName val="0"/>
          <c:showSerName val="0"/>
          <c:showPercent val="0"/>
          <c:showBubbleSize val="0"/>
        </c:dLbls>
        <c:gapWidth val="150"/>
        <c:overlap val="100"/>
        <c:axId val="936208784"/>
        <c:axId val="936214360"/>
      </c:barChart>
      <c:catAx>
        <c:axId val="936208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14360"/>
        <c:crosses val="autoZero"/>
        <c:auto val="1"/>
        <c:lblAlgn val="ctr"/>
        <c:lblOffset val="100"/>
        <c:noMultiLvlLbl val="0"/>
      </c:catAx>
      <c:valAx>
        <c:axId val="93621436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08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Patent Owner</c:v>
                </c:pt>
              </c:strCache>
            </c:strRef>
          </c:tx>
          <c:spPr>
            <a:solidFill>
              <a:schemeClr val="accent1"/>
            </a:solidFill>
            <a:ln>
              <a:noFill/>
            </a:ln>
            <a:effectLst/>
          </c:spPr>
          <c:invertIfNegative val="0"/>
          <c:dLbls>
            <c:dLbl>
              <c:idx val="0"/>
              <c:tx>
                <c:rich>
                  <a:bodyPr/>
                  <a:lstStyle/>
                  <a:p>
                    <a:fld id="{3077A108-3251-4C5D-8104-E38F7D8C72FB}" type="VALUE">
                      <a:rPr lang="en-US" altLang="ko-KR"/>
                      <a:pPr/>
                      <a:t>[VALUE]</a:t>
                    </a:fld>
                    <a:endParaRPr lang="en-US"/>
                  </a:p>
                  <a:p>
                    <a:r>
                      <a:rPr lang="en-US"/>
                      <a:t>(7)</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5BA0-4F36-9EAD-A176C606EBDD}"/>
                </c:ext>
              </c:extLst>
            </c:dLbl>
            <c:dLbl>
              <c:idx val="1"/>
              <c:tx>
                <c:rich>
                  <a:bodyPr/>
                  <a:lstStyle/>
                  <a:p>
                    <a:fld id="{FCEF3FC5-9C33-4269-BD40-EBCA61A9264B}" type="VALUE">
                      <a:rPr lang="en-US" altLang="ko-KR"/>
                      <a:pPr/>
                      <a:t>[VALUE]</a:t>
                    </a:fld>
                    <a:endParaRPr lang="en-US"/>
                  </a:p>
                  <a:p>
                    <a:r>
                      <a:rPr lang="en-US"/>
                      <a:t>(5)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5BA0-4F36-9EAD-A176C606EBDD}"/>
                </c:ext>
              </c:extLst>
            </c:dLbl>
            <c:dLbl>
              <c:idx val="2"/>
              <c:tx>
                <c:rich>
                  <a:bodyPr/>
                  <a:lstStyle/>
                  <a:p>
                    <a:fld id="{5D62607D-A77E-472B-8D8E-983399635054}" type="VALUE">
                      <a:rPr lang="en-US" altLang="ko-KR"/>
                      <a:pPr/>
                      <a:t>[VALUE]</a:t>
                    </a:fld>
                    <a:endParaRPr lang="en-US"/>
                  </a:p>
                  <a:p>
                    <a:r>
                      <a:rPr lang="en-US"/>
                      <a:t>(5)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5BA0-4F36-9EAD-A176C606EBDD}"/>
                </c:ext>
              </c:extLst>
            </c:dLbl>
            <c:dLbl>
              <c:idx val="3"/>
              <c:tx>
                <c:rich>
                  <a:bodyPr/>
                  <a:lstStyle/>
                  <a:p>
                    <a:fld id="{B483000C-42A5-46F9-80B6-6DE7B0D77E57}" type="VALUE">
                      <a:rPr lang="en-US" altLang="ko-KR"/>
                      <a:pPr/>
                      <a:t>[VALUE]</a:t>
                    </a:fld>
                    <a:endParaRPr lang="en-US"/>
                  </a:p>
                  <a:p>
                    <a:r>
                      <a:rPr lang="en-US"/>
                      <a:t>(5)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C-5BA0-4F36-9EAD-A176C606EBDD}"/>
                </c:ext>
              </c:extLst>
            </c:dLbl>
            <c:dLbl>
              <c:idx val="4"/>
              <c:tx>
                <c:rich>
                  <a:bodyPr/>
                  <a:lstStyle/>
                  <a:p>
                    <a:fld id="{21EA4F98-B3BC-489D-BC6C-049C12B4A938}" type="VALUE">
                      <a:rPr lang="en-US" altLang="ko-KR"/>
                      <a:pPr/>
                      <a:t>[VALUE]</a:t>
                    </a:fld>
                    <a:endParaRPr lang="en-US"/>
                  </a:p>
                  <a:p>
                    <a:r>
                      <a:rPr lang="en-US"/>
                      <a:t>(1)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5BA0-4F36-9EAD-A176C606EBDD}"/>
                </c:ext>
              </c:extLst>
            </c:dLbl>
            <c:dLbl>
              <c:idx val="5"/>
              <c:tx>
                <c:rich>
                  <a:bodyPr/>
                  <a:lstStyle/>
                  <a:p>
                    <a:fld id="{74745493-7561-46FE-AB34-BC5BDE73FA8A}" type="VALUE">
                      <a:rPr lang="en-US" altLang="ko-KR"/>
                      <a:pPr/>
                      <a:t>[VALUE]</a:t>
                    </a:fld>
                    <a:endParaRPr lang="en-US"/>
                  </a:p>
                  <a:p>
                    <a:r>
                      <a:rPr lang="en-US"/>
                      <a:t>(6)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E-5BA0-4F36-9EAD-A176C606EBDD}"/>
                </c:ext>
              </c:extLst>
            </c:dLbl>
            <c:dLbl>
              <c:idx val="6"/>
              <c:tx>
                <c:rich>
                  <a:bodyPr/>
                  <a:lstStyle/>
                  <a:p>
                    <a:fld id="{DBC17830-BC94-41B4-80AB-CB2B379D6C04}" type="VALUE">
                      <a:rPr lang="en-US" altLang="ko-KR"/>
                      <a:pPr/>
                      <a:t>[VALUE]</a:t>
                    </a:fld>
                    <a:endParaRPr lang="en-US"/>
                  </a:p>
                  <a:p>
                    <a:r>
                      <a:rPr lang="en-US"/>
                      <a:t>(9)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5BA0-4F36-9EAD-A176C606EBDD}"/>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Sheet1!$B$2:$B$8</c:f>
              <c:numCache>
                <c:formatCode>0%</c:formatCode>
                <c:ptCount val="7"/>
                <c:pt idx="0">
                  <c:v>0.57999999999999996</c:v>
                </c:pt>
                <c:pt idx="1">
                  <c:v>0.28000000000000003</c:v>
                </c:pt>
                <c:pt idx="2">
                  <c:v>0.31</c:v>
                </c:pt>
                <c:pt idx="3">
                  <c:v>0.25</c:v>
                </c:pt>
                <c:pt idx="4">
                  <c:v>0.08</c:v>
                </c:pt>
                <c:pt idx="5">
                  <c:v>0.17</c:v>
                </c:pt>
                <c:pt idx="6">
                  <c:v>0.32</c:v>
                </c:pt>
              </c:numCache>
            </c:numRef>
          </c:val>
          <c:extLst>
            <c:ext xmlns:c16="http://schemas.microsoft.com/office/drawing/2014/chart" uri="{C3380CC4-5D6E-409C-BE32-E72D297353CC}">
              <c16:uniqueId val="{00000000-5BA0-4F36-9EAD-A176C606EBDD}"/>
            </c:ext>
          </c:extLst>
        </c:ser>
        <c:ser>
          <c:idx val="1"/>
          <c:order val="1"/>
          <c:tx>
            <c:strRef>
              <c:f>Sheet1!$C$1</c:f>
              <c:strCache>
                <c:ptCount val="1"/>
                <c:pt idx="0">
                  <c:v>Alleged Infringer</c:v>
                </c:pt>
              </c:strCache>
            </c:strRef>
          </c:tx>
          <c:spPr>
            <a:solidFill>
              <a:schemeClr val="accent2"/>
            </a:solidFill>
            <a:ln>
              <a:noFill/>
            </a:ln>
            <a:effectLst/>
          </c:spPr>
          <c:invertIfNegative val="0"/>
          <c:dLbls>
            <c:dLbl>
              <c:idx val="0"/>
              <c:tx>
                <c:rich>
                  <a:bodyPr/>
                  <a:lstStyle/>
                  <a:p>
                    <a:fld id="{E9E08254-609F-47BF-8752-D63C792090AB}" type="VALUE">
                      <a:rPr lang="en-US" altLang="ko-KR"/>
                      <a:pPr/>
                      <a:t>[VALUE]</a:t>
                    </a:fld>
                    <a:endParaRPr lang="en-US"/>
                  </a:p>
                  <a:p>
                    <a:r>
                      <a:rPr lang="en-US"/>
                      <a:t>(5)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5BA0-4F36-9EAD-A176C606EBDD}"/>
                </c:ext>
              </c:extLst>
            </c:dLbl>
            <c:dLbl>
              <c:idx val="1"/>
              <c:tx>
                <c:rich>
                  <a:bodyPr/>
                  <a:lstStyle/>
                  <a:p>
                    <a:fld id="{4E2D947D-0E30-4B9D-BF0F-387A855A6593}" type="VALUE">
                      <a:rPr lang="en-US" altLang="ko-KR"/>
                      <a:pPr/>
                      <a:t>[VALUE]</a:t>
                    </a:fld>
                    <a:endParaRPr lang="en-US"/>
                  </a:p>
                  <a:p>
                    <a:r>
                      <a:rPr lang="en-US"/>
                      <a:t>(13)</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5BA0-4F36-9EAD-A176C606EBDD}"/>
                </c:ext>
              </c:extLst>
            </c:dLbl>
            <c:dLbl>
              <c:idx val="2"/>
              <c:tx>
                <c:rich>
                  <a:bodyPr/>
                  <a:lstStyle/>
                  <a:p>
                    <a:fld id="{87392EC2-63CB-4EAD-BEC3-E953215807CB}" type="VALUE">
                      <a:rPr lang="en-US" altLang="ko-KR"/>
                      <a:pPr/>
                      <a:t>[VALUE]</a:t>
                    </a:fld>
                    <a:endParaRPr lang="en-US"/>
                  </a:p>
                  <a:p>
                    <a:r>
                      <a:rPr lang="en-US"/>
                      <a:t>(11)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5BA0-4F36-9EAD-A176C606EBDD}"/>
                </c:ext>
              </c:extLst>
            </c:dLbl>
            <c:dLbl>
              <c:idx val="3"/>
              <c:tx>
                <c:rich>
                  <a:bodyPr/>
                  <a:lstStyle/>
                  <a:p>
                    <a:fld id="{025765C1-C6EB-4650-A093-79E5B9241C62}" type="VALUE">
                      <a:rPr lang="en-US" altLang="ko-KR"/>
                      <a:pPr/>
                      <a:t>[VALUE]</a:t>
                    </a:fld>
                    <a:endParaRPr lang="en-US"/>
                  </a:p>
                  <a:p>
                    <a:r>
                      <a:rPr lang="en-US"/>
                      <a:t>(15)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5BA0-4F36-9EAD-A176C606EBDD}"/>
                </c:ext>
              </c:extLst>
            </c:dLbl>
            <c:dLbl>
              <c:idx val="4"/>
              <c:tx>
                <c:rich>
                  <a:bodyPr/>
                  <a:lstStyle/>
                  <a:p>
                    <a:fld id="{E034E95B-5355-4556-8C4D-379E85D5D8F1}" type="VALUE">
                      <a:rPr lang="en-US" altLang="ko-KR"/>
                      <a:pPr/>
                      <a:t>[VALUE]</a:t>
                    </a:fld>
                    <a:endParaRPr lang="en-US"/>
                  </a:p>
                  <a:p>
                    <a:r>
                      <a:rPr lang="en-US"/>
                      <a:t>(12)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5BA0-4F36-9EAD-A176C606EBDD}"/>
                </c:ext>
              </c:extLst>
            </c:dLbl>
            <c:dLbl>
              <c:idx val="5"/>
              <c:tx>
                <c:rich>
                  <a:bodyPr/>
                  <a:lstStyle/>
                  <a:p>
                    <a:fld id="{4D78FDCC-E939-47EB-8017-3BC63DB9219C}" type="VALUE">
                      <a:rPr lang="en-US" altLang="ko-KR"/>
                      <a:pPr/>
                      <a:t>[VALUE]</a:t>
                    </a:fld>
                    <a:endParaRPr lang="en-US"/>
                  </a:p>
                  <a:p>
                    <a:r>
                      <a:rPr lang="en-US"/>
                      <a:t>(29)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5BA0-4F36-9EAD-A176C606EBDD}"/>
                </c:ext>
              </c:extLst>
            </c:dLbl>
            <c:dLbl>
              <c:idx val="6"/>
              <c:tx>
                <c:rich>
                  <a:bodyPr/>
                  <a:lstStyle/>
                  <a:p>
                    <a:fld id="{C92159DF-9EBB-4DAC-90EE-776ED822E827}" type="VALUE">
                      <a:rPr lang="en-US" altLang="ko-KR"/>
                      <a:pPr/>
                      <a:t>[VALUE]</a:t>
                    </a:fld>
                    <a:endParaRPr lang="en-US"/>
                  </a:p>
                  <a:p>
                    <a:r>
                      <a:rPr lang="en-US"/>
                      <a:t>(19)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5BA0-4F36-9EAD-A176C606EBDD}"/>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Sheet1!$C$2:$C$8</c:f>
              <c:numCache>
                <c:formatCode>0%</c:formatCode>
                <c:ptCount val="7"/>
                <c:pt idx="0">
                  <c:v>0.42</c:v>
                </c:pt>
                <c:pt idx="1">
                  <c:v>0.72</c:v>
                </c:pt>
                <c:pt idx="2">
                  <c:v>0.69</c:v>
                </c:pt>
                <c:pt idx="3">
                  <c:v>0.75</c:v>
                </c:pt>
                <c:pt idx="4">
                  <c:v>0.92</c:v>
                </c:pt>
                <c:pt idx="5">
                  <c:v>0.83</c:v>
                </c:pt>
                <c:pt idx="6">
                  <c:v>0.68</c:v>
                </c:pt>
              </c:numCache>
            </c:numRef>
          </c:val>
          <c:extLst>
            <c:ext xmlns:c16="http://schemas.microsoft.com/office/drawing/2014/chart" uri="{C3380CC4-5D6E-409C-BE32-E72D297353CC}">
              <c16:uniqueId val="{00000001-5BA0-4F36-9EAD-A176C606EBDD}"/>
            </c:ext>
          </c:extLst>
        </c:ser>
        <c:dLbls>
          <c:dLblPos val="ctr"/>
          <c:showLegendKey val="0"/>
          <c:showVal val="1"/>
          <c:showCatName val="0"/>
          <c:showSerName val="0"/>
          <c:showPercent val="0"/>
          <c:showBubbleSize val="0"/>
        </c:dLbls>
        <c:gapWidth val="150"/>
        <c:overlap val="100"/>
        <c:axId val="936208784"/>
        <c:axId val="936214360"/>
      </c:barChart>
      <c:catAx>
        <c:axId val="936208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14360"/>
        <c:crosses val="autoZero"/>
        <c:auto val="1"/>
        <c:lblAlgn val="ctr"/>
        <c:lblOffset val="100"/>
        <c:noMultiLvlLbl val="0"/>
      </c:catAx>
      <c:valAx>
        <c:axId val="93621436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08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Sheet1!$B$1</c:f>
              <c:strCache>
                <c:ptCount val="1"/>
                <c:pt idx="0">
                  <c:v>Patent Owner</c:v>
                </c:pt>
              </c:strCache>
            </c:strRef>
          </c:tx>
          <c:spPr>
            <a:solidFill>
              <a:schemeClr val="accent1"/>
            </a:solidFill>
            <a:ln>
              <a:noFill/>
            </a:ln>
            <a:effectLst/>
          </c:spPr>
          <c:invertIfNegative val="0"/>
          <c:dLbls>
            <c:dLbl>
              <c:idx val="0"/>
              <c:tx>
                <c:rich>
                  <a:bodyPr/>
                  <a:lstStyle/>
                  <a:p>
                    <a:fld id="{33600083-073A-4853-A70E-E3327FB5F204}" type="VALUE">
                      <a:rPr lang="en-US" altLang="ko-KR" smtClean="0"/>
                      <a:pPr/>
                      <a:t>[VALUE]</a:t>
                    </a:fld>
                    <a:endParaRPr lang="en-US"/>
                  </a:p>
                  <a:p>
                    <a:r>
                      <a:rPr lang="en-US"/>
                      <a:t>(24)</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4958-4836-8240-0BE386A3B9EB}"/>
                </c:ext>
              </c:extLst>
            </c:dLbl>
            <c:dLbl>
              <c:idx val="1"/>
              <c:tx>
                <c:rich>
                  <a:bodyPr/>
                  <a:lstStyle/>
                  <a:p>
                    <a:fld id="{F048A93C-93F1-4ED0-81CD-0A07BBEF09B6}" type="VALUE">
                      <a:rPr lang="en-US" altLang="ko-KR" smtClean="0"/>
                      <a:pPr/>
                      <a:t>[VALUE]</a:t>
                    </a:fld>
                    <a:endParaRPr lang="en-US"/>
                  </a:p>
                  <a:p>
                    <a:r>
                      <a:rPr lang="en-US"/>
                      <a:t>(69)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958-4836-8240-0BE386A3B9EB}"/>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Foreign</c:v>
                </c:pt>
                <c:pt idx="1">
                  <c:v>Local</c:v>
                </c:pt>
              </c:strCache>
            </c:strRef>
          </c:cat>
          <c:val>
            <c:numRef>
              <c:f>Sheet1!$B$2:$B$3</c:f>
              <c:numCache>
                <c:formatCode>0%</c:formatCode>
                <c:ptCount val="2"/>
                <c:pt idx="0">
                  <c:v>0.42</c:v>
                </c:pt>
                <c:pt idx="1">
                  <c:v>0.26</c:v>
                </c:pt>
              </c:numCache>
            </c:numRef>
          </c:val>
          <c:extLst>
            <c:ext xmlns:c16="http://schemas.microsoft.com/office/drawing/2014/chart" uri="{C3380CC4-5D6E-409C-BE32-E72D297353CC}">
              <c16:uniqueId val="{00000002-4958-4836-8240-0BE386A3B9EB}"/>
            </c:ext>
          </c:extLst>
        </c:ser>
        <c:ser>
          <c:idx val="1"/>
          <c:order val="1"/>
          <c:tx>
            <c:strRef>
              <c:f>Sheet1!$C$1</c:f>
              <c:strCache>
                <c:ptCount val="1"/>
                <c:pt idx="0">
                  <c:v>Alleged Infringer</c:v>
                </c:pt>
              </c:strCache>
            </c:strRef>
          </c:tx>
          <c:spPr>
            <a:solidFill>
              <a:schemeClr val="accent2"/>
            </a:solidFill>
            <a:ln>
              <a:noFill/>
            </a:ln>
            <a:effectLst/>
          </c:spPr>
          <c:invertIfNegative val="0"/>
          <c:dLbls>
            <c:dLbl>
              <c:idx val="0"/>
              <c:tx>
                <c:rich>
                  <a:bodyPr/>
                  <a:lstStyle/>
                  <a:p>
                    <a:fld id="{1C856E73-E333-430C-87FC-952123382CD4}" type="VALUE">
                      <a:rPr lang="en-US" altLang="ko-KR" smtClean="0"/>
                      <a:pPr/>
                      <a:t>[VALUE]</a:t>
                    </a:fld>
                    <a:endParaRPr lang="en-US"/>
                  </a:p>
                  <a:p>
                    <a:r>
                      <a:rPr lang="en-US"/>
                      <a:t>(33)</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4958-4836-8240-0BE386A3B9EB}"/>
                </c:ext>
              </c:extLst>
            </c:dLbl>
            <c:dLbl>
              <c:idx val="1"/>
              <c:tx>
                <c:rich>
                  <a:bodyPr/>
                  <a:lstStyle/>
                  <a:p>
                    <a:fld id="{1FEA5338-5F1D-492A-A852-821D88CE59A5}" type="VALUE">
                      <a:rPr lang="en-US" altLang="ko-KR" smtClean="0"/>
                      <a:pPr/>
                      <a:t>[VALUE]</a:t>
                    </a:fld>
                    <a:endParaRPr lang="en-US"/>
                  </a:p>
                  <a:p>
                    <a:r>
                      <a:rPr lang="en-US"/>
                      <a:t>(198)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4958-4836-8240-0BE386A3B9EB}"/>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Foreign</c:v>
                </c:pt>
                <c:pt idx="1">
                  <c:v>Local</c:v>
                </c:pt>
              </c:strCache>
            </c:strRef>
          </c:cat>
          <c:val>
            <c:numRef>
              <c:f>Sheet1!$C$2:$C$3</c:f>
              <c:numCache>
                <c:formatCode>0%</c:formatCode>
                <c:ptCount val="2"/>
                <c:pt idx="0">
                  <c:v>0.57999999999999996</c:v>
                </c:pt>
                <c:pt idx="1">
                  <c:v>0.74</c:v>
                </c:pt>
              </c:numCache>
            </c:numRef>
          </c:val>
          <c:extLst>
            <c:ext xmlns:c16="http://schemas.microsoft.com/office/drawing/2014/chart" uri="{C3380CC4-5D6E-409C-BE32-E72D297353CC}">
              <c16:uniqueId val="{00000005-4958-4836-8240-0BE386A3B9EB}"/>
            </c:ext>
          </c:extLst>
        </c:ser>
        <c:dLbls>
          <c:dLblPos val="ctr"/>
          <c:showLegendKey val="0"/>
          <c:showVal val="1"/>
          <c:showCatName val="0"/>
          <c:showSerName val="0"/>
          <c:showPercent val="0"/>
          <c:showBubbleSize val="0"/>
        </c:dLbls>
        <c:gapWidth val="150"/>
        <c:overlap val="100"/>
        <c:axId val="936208784"/>
        <c:axId val="936214360"/>
      </c:barChart>
      <c:catAx>
        <c:axId val="936208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14360"/>
        <c:crosses val="autoZero"/>
        <c:auto val="1"/>
        <c:lblAlgn val="ctr"/>
        <c:lblOffset val="100"/>
        <c:noMultiLvlLbl val="0"/>
      </c:catAx>
      <c:valAx>
        <c:axId val="93621436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08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900085249739865E-2"/>
          <c:y val="6.9987200739947034E-2"/>
          <c:w val="0.86370317347342962"/>
          <c:h val="0.76742528608354588"/>
        </c:manualLayout>
      </c:layout>
      <c:barChart>
        <c:barDir val="col"/>
        <c:grouping val="stacked"/>
        <c:varyColors val="0"/>
        <c:ser>
          <c:idx val="0"/>
          <c:order val="0"/>
          <c:tx>
            <c:strRef>
              <c:f>Sheet1!$B$1</c:f>
              <c:strCache>
                <c:ptCount val="1"/>
                <c:pt idx="0">
                  <c:v>Totally valid</c:v>
                </c:pt>
              </c:strCache>
            </c:strRef>
          </c:tx>
          <c:spPr>
            <a:solidFill>
              <a:schemeClr val="accent1"/>
            </a:solidFill>
            <a:ln>
              <a:noFill/>
            </a:ln>
            <a:effectLst/>
          </c:spPr>
          <c:invertIfNegative val="0"/>
          <c:dLbls>
            <c:dLbl>
              <c:idx val="0"/>
              <c:tx>
                <c:rich>
                  <a:bodyPr/>
                  <a:lstStyle/>
                  <a:p>
                    <a:fld id="{EDA254BF-1EFB-4F8C-8E69-4EB4A36B8D53}" type="VALUE">
                      <a:rPr lang="en-US" altLang="ko-KR"/>
                      <a:pPr/>
                      <a:t>[VALUE]</a:t>
                    </a:fld>
                    <a:endParaRPr lang="en-US"/>
                  </a:p>
                  <a:p>
                    <a:r>
                      <a:rPr lang="en-US"/>
                      <a:t>(179)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8107-4DD6-95E5-7DB4B01F3E67}"/>
                </c:ext>
              </c:extLst>
            </c:dLbl>
            <c:dLbl>
              <c:idx val="1"/>
              <c:tx>
                <c:rich>
                  <a:bodyPr/>
                  <a:lstStyle/>
                  <a:p>
                    <a:fld id="{0D91CD86-A237-4BE5-BE2F-C339215E53F8}" type="VALUE">
                      <a:rPr lang="en-US" altLang="ko-KR"/>
                      <a:pPr/>
                      <a:t>[VALUE]</a:t>
                    </a:fld>
                    <a:endParaRPr lang="en-US"/>
                  </a:p>
                  <a:p>
                    <a:r>
                      <a:rPr lang="en-US"/>
                      <a:t>(155)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2-8107-4DD6-95E5-7DB4B01F3E67}"/>
                </c:ext>
              </c:extLst>
            </c:dLbl>
            <c:dLbl>
              <c:idx val="2"/>
              <c:tx>
                <c:rich>
                  <a:bodyPr/>
                  <a:lstStyle/>
                  <a:p>
                    <a:fld id="{F99ACEEF-45B6-4CB1-BB85-3BBBB8609651}" type="VALUE">
                      <a:rPr lang="en-US" altLang="ko-KR"/>
                      <a:pPr/>
                      <a:t>[VALUE]</a:t>
                    </a:fld>
                    <a:endParaRPr lang="en-US"/>
                  </a:p>
                  <a:p>
                    <a:r>
                      <a:rPr lang="en-US"/>
                      <a:t>(143)</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8107-4DD6-95E5-7DB4B01F3E67}"/>
                </c:ext>
              </c:extLst>
            </c:dLbl>
            <c:dLbl>
              <c:idx val="3"/>
              <c:tx>
                <c:rich>
                  <a:bodyPr/>
                  <a:lstStyle/>
                  <a:p>
                    <a:fld id="{BF7B2407-414D-43E3-8934-0B40644492B7}" type="VALUE">
                      <a:rPr lang="en-US" altLang="ko-KR"/>
                      <a:pPr/>
                      <a:t>[VALUE]</a:t>
                    </a:fld>
                    <a:endParaRPr lang="en-US"/>
                  </a:p>
                  <a:p>
                    <a:r>
                      <a:rPr lang="en-US"/>
                      <a:t>(124)</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4-8107-4DD6-95E5-7DB4B01F3E67}"/>
                </c:ext>
              </c:extLst>
            </c:dLbl>
            <c:dLbl>
              <c:idx val="4"/>
              <c:tx>
                <c:rich>
                  <a:bodyPr/>
                  <a:lstStyle/>
                  <a:p>
                    <a:fld id="{4CEB6CFF-A995-4AC1-BE23-FF8FA835B7C7}" type="VALUE">
                      <a:rPr lang="en-US" altLang="ko-KR"/>
                      <a:pPr/>
                      <a:t>[VALUE]</a:t>
                    </a:fld>
                    <a:endParaRPr lang="en-US"/>
                  </a:p>
                  <a:p>
                    <a:r>
                      <a:rPr lang="en-US"/>
                      <a:t>(210)</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8107-4DD6-95E5-7DB4B01F3E67}"/>
                </c:ext>
              </c:extLst>
            </c:dLbl>
            <c:dLbl>
              <c:idx val="5"/>
              <c:tx>
                <c:rich>
                  <a:bodyPr/>
                  <a:lstStyle/>
                  <a:p>
                    <a:fld id="{38930231-CAC1-4D6C-9CC6-2F8359CDBC0E}" type="VALUE">
                      <a:rPr lang="en-US" altLang="ko-KR"/>
                      <a:pPr/>
                      <a:t>[VALUE]</a:t>
                    </a:fld>
                    <a:endParaRPr lang="en-US"/>
                  </a:p>
                  <a:p>
                    <a:r>
                      <a:rPr lang="en-US"/>
                      <a:t>(165)</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6-8107-4DD6-95E5-7DB4B01F3E67}"/>
                </c:ext>
              </c:extLst>
            </c:dLbl>
            <c:dLbl>
              <c:idx val="6"/>
              <c:tx>
                <c:rich>
                  <a:bodyPr/>
                  <a:lstStyle/>
                  <a:p>
                    <a:fld id="{C432A7D5-6E74-4129-8F17-DAB79E88C2F1}" type="VALUE">
                      <a:rPr lang="en-US" altLang="ko-KR"/>
                      <a:pPr/>
                      <a:t>[VALUE]</a:t>
                    </a:fld>
                    <a:endParaRPr lang="en-US"/>
                  </a:p>
                  <a:p>
                    <a:r>
                      <a:rPr lang="en-US"/>
                      <a:t>(161)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7-8107-4DD6-95E5-7DB4B01F3E67}"/>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Sheet1!$B$2:$B$8</c:f>
              <c:numCache>
                <c:formatCode>0%</c:formatCode>
                <c:ptCount val="7"/>
                <c:pt idx="0">
                  <c:v>0.27</c:v>
                </c:pt>
                <c:pt idx="1">
                  <c:v>0.26</c:v>
                </c:pt>
                <c:pt idx="2">
                  <c:v>0.28000000000000003</c:v>
                </c:pt>
                <c:pt idx="3">
                  <c:v>0.25</c:v>
                </c:pt>
                <c:pt idx="4">
                  <c:v>0.37</c:v>
                </c:pt>
                <c:pt idx="5">
                  <c:v>0.28000000000000003</c:v>
                </c:pt>
                <c:pt idx="6">
                  <c:v>0.33</c:v>
                </c:pt>
              </c:numCache>
            </c:numRef>
          </c:val>
          <c:extLst>
            <c:ext xmlns:c16="http://schemas.microsoft.com/office/drawing/2014/chart" uri="{C3380CC4-5D6E-409C-BE32-E72D297353CC}">
              <c16:uniqueId val="{00000000-8107-4DD6-95E5-7DB4B01F3E67}"/>
            </c:ext>
          </c:extLst>
        </c:ser>
        <c:ser>
          <c:idx val="1"/>
          <c:order val="1"/>
          <c:tx>
            <c:strRef>
              <c:f>Sheet1!$C$1</c:f>
              <c:strCache>
                <c:ptCount val="1"/>
                <c:pt idx="0">
                  <c:v>Partially valid</c:v>
                </c:pt>
              </c:strCache>
            </c:strRef>
          </c:tx>
          <c:spPr>
            <a:solidFill>
              <a:schemeClr val="accent2"/>
            </a:solidFill>
            <a:ln>
              <a:noFill/>
            </a:ln>
            <a:effectLst/>
          </c:spPr>
          <c:invertIfNegative val="0"/>
          <c:dLbls>
            <c:dLbl>
              <c:idx val="0"/>
              <c:tx>
                <c:rich>
                  <a:bodyPr/>
                  <a:lstStyle/>
                  <a:p>
                    <a:fld id="{3AEE6348-C4CA-4376-B344-88A05B4D8366}" type="VALUE">
                      <a:rPr lang="en-US" altLang="ko-KR"/>
                      <a:pPr/>
                      <a:t>[VALUE]</a:t>
                    </a:fld>
                    <a:endParaRPr lang="en-US"/>
                  </a:p>
                  <a:p>
                    <a:r>
                      <a:rPr lang="en-US"/>
                      <a:t>(79)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A-8107-4DD6-95E5-7DB4B01F3E67}"/>
                </c:ext>
              </c:extLst>
            </c:dLbl>
            <c:dLbl>
              <c:idx val="1"/>
              <c:tx>
                <c:rich>
                  <a:bodyPr/>
                  <a:lstStyle/>
                  <a:p>
                    <a:fld id="{70C3777D-8630-4D57-9AC5-7D7A88783490}" type="VALUE">
                      <a:rPr lang="en-US" altLang="ko-KR"/>
                      <a:pPr/>
                      <a:t>[VALUE]</a:t>
                    </a:fld>
                    <a:endParaRPr lang="en-US"/>
                  </a:p>
                  <a:p>
                    <a:r>
                      <a:rPr lang="en-US"/>
                      <a:t>(108)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8107-4DD6-95E5-7DB4B01F3E67}"/>
                </c:ext>
              </c:extLst>
            </c:dLbl>
            <c:dLbl>
              <c:idx val="2"/>
              <c:tx>
                <c:rich>
                  <a:bodyPr/>
                  <a:lstStyle/>
                  <a:p>
                    <a:fld id="{56B907C5-57AE-41B4-BA69-E397BECE3E46}" type="VALUE">
                      <a:rPr lang="en-US" altLang="ko-KR"/>
                      <a:pPr/>
                      <a:t>[VALUE]</a:t>
                    </a:fld>
                    <a:endParaRPr lang="en-US"/>
                  </a:p>
                  <a:p>
                    <a:r>
                      <a:rPr lang="en-US"/>
                      <a:t>(89)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C-8107-4DD6-95E5-7DB4B01F3E67}"/>
                </c:ext>
              </c:extLst>
            </c:dLbl>
            <c:dLbl>
              <c:idx val="3"/>
              <c:tx>
                <c:rich>
                  <a:bodyPr/>
                  <a:lstStyle/>
                  <a:p>
                    <a:fld id="{FBE50A21-6A8E-4F0D-A499-AD8D384E13E4}" type="VALUE">
                      <a:rPr lang="en-US" altLang="ko-KR"/>
                      <a:pPr/>
                      <a:t>[VALUE]</a:t>
                    </a:fld>
                    <a:endParaRPr lang="en-US"/>
                  </a:p>
                  <a:p>
                    <a:r>
                      <a:rPr lang="en-US"/>
                      <a:t>(79)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8107-4DD6-95E5-7DB4B01F3E67}"/>
                </c:ext>
              </c:extLst>
            </c:dLbl>
            <c:dLbl>
              <c:idx val="4"/>
              <c:tx>
                <c:rich>
                  <a:bodyPr/>
                  <a:lstStyle/>
                  <a:p>
                    <a:fld id="{7E91893E-7B93-4B83-9038-F5ED7B45CC56}" type="VALUE">
                      <a:rPr lang="en-US" altLang="ko-KR"/>
                      <a:pPr/>
                      <a:t>[VALUE]</a:t>
                    </a:fld>
                    <a:endParaRPr lang="en-US"/>
                  </a:p>
                  <a:p>
                    <a:r>
                      <a:rPr lang="en-US"/>
                      <a:t>(81)</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E-8107-4DD6-95E5-7DB4B01F3E67}"/>
                </c:ext>
              </c:extLst>
            </c:dLbl>
            <c:dLbl>
              <c:idx val="5"/>
              <c:tx>
                <c:rich>
                  <a:bodyPr/>
                  <a:lstStyle/>
                  <a:p>
                    <a:fld id="{3F38F1AE-86BC-4C4C-A562-078BD90CA01A}" type="VALUE">
                      <a:rPr lang="en-US" altLang="ko-KR"/>
                      <a:pPr/>
                      <a:t>[VALUE]</a:t>
                    </a:fld>
                    <a:endParaRPr lang="en-US"/>
                  </a:p>
                  <a:p>
                    <a:r>
                      <a:rPr lang="en-US"/>
                      <a:t>(132)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8107-4DD6-95E5-7DB4B01F3E67}"/>
                </c:ext>
              </c:extLst>
            </c:dLbl>
            <c:dLbl>
              <c:idx val="6"/>
              <c:tx>
                <c:rich>
                  <a:bodyPr/>
                  <a:lstStyle/>
                  <a:p>
                    <a:fld id="{080DAF12-6436-45DE-AADB-99760E860114}" type="VALUE">
                      <a:rPr lang="en-US" altLang="ko-KR"/>
                      <a:pPr/>
                      <a:t>[VALUE]</a:t>
                    </a:fld>
                    <a:endParaRPr lang="en-US"/>
                  </a:p>
                  <a:p>
                    <a:r>
                      <a:rPr lang="en-US"/>
                      <a:t>(78)</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0-8107-4DD6-95E5-7DB4B01F3E67}"/>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Sheet1!$C$2:$C$8</c:f>
              <c:numCache>
                <c:formatCode>0%</c:formatCode>
                <c:ptCount val="7"/>
                <c:pt idx="0">
                  <c:v>0.12</c:v>
                </c:pt>
                <c:pt idx="1">
                  <c:v>0.18</c:v>
                </c:pt>
                <c:pt idx="2">
                  <c:v>0.17</c:v>
                </c:pt>
                <c:pt idx="3">
                  <c:v>0.16</c:v>
                </c:pt>
                <c:pt idx="4">
                  <c:v>0.14000000000000001</c:v>
                </c:pt>
                <c:pt idx="5">
                  <c:v>0.23</c:v>
                </c:pt>
                <c:pt idx="6">
                  <c:v>0.16</c:v>
                </c:pt>
              </c:numCache>
            </c:numRef>
          </c:val>
          <c:extLst>
            <c:ext xmlns:c16="http://schemas.microsoft.com/office/drawing/2014/chart" uri="{C3380CC4-5D6E-409C-BE32-E72D297353CC}">
              <c16:uniqueId val="{00000001-8107-4DD6-95E5-7DB4B01F3E67}"/>
            </c:ext>
          </c:extLst>
        </c:ser>
        <c:ser>
          <c:idx val="2"/>
          <c:order val="2"/>
          <c:tx>
            <c:strRef>
              <c:f>Sheet1!$D$1</c:f>
              <c:strCache>
                <c:ptCount val="1"/>
                <c:pt idx="0">
                  <c:v>Not valid</c:v>
                </c:pt>
              </c:strCache>
            </c:strRef>
          </c:tx>
          <c:spPr>
            <a:solidFill>
              <a:schemeClr val="accent3"/>
            </a:solidFill>
            <a:ln>
              <a:noFill/>
            </a:ln>
            <a:effectLst/>
          </c:spPr>
          <c:invertIfNegative val="0"/>
          <c:dLbls>
            <c:dLbl>
              <c:idx val="0"/>
              <c:tx>
                <c:rich>
                  <a:bodyPr/>
                  <a:lstStyle/>
                  <a:p>
                    <a:fld id="{89E42299-6585-4B06-AE11-F5BA1285E291}" type="VALUE">
                      <a:rPr lang="en-US" altLang="ko-KR"/>
                      <a:pPr/>
                      <a:t>[VALUE]</a:t>
                    </a:fld>
                    <a:endParaRPr lang="en-US"/>
                  </a:p>
                  <a:p>
                    <a:r>
                      <a:rPr lang="en-US"/>
                      <a:t>(404)</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107-4DD6-95E5-7DB4B01F3E67}"/>
                </c:ext>
              </c:extLst>
            </c:dLbl>
            <c:dLbl>
              <c:idx val="1"/>
              <c:tx>
                <c:rich>
                  <a:bodyPr/>
                  <a:lstStyle/>
                  <a:p>
                    <a:fld id="{3CFDAB99-9C25-4C86-9298-19BC9E4BC031}" type="VALUE">
                      <a:rPr lang="en-US" altLang="ko-KR"/>
                      <a:pPr/>
                      <a:t>[VALUE]</a:t>
                    </a:fld>
                    <a:endParaRPr lang="en-US"/>
                  </a:p>
                  <a:p>
                    <a:r>
                      <a:rPr lang="en-US"/>
                      <a:t>(322)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8107-4DD6-95E5-7DB4B01F3E67}"/>
                </c:ext>
              </c:extLst>
            </c:dLbl>
            <c:dLbl>
              <c:idx val="2"/>
              <c:tx>
                <c:rich>
                  <a:bodyPr/>
                  <a:lstStyle/>
                  <a:p>
                    <a:fld id="{43386D6E-4714-48B4-8A5B-1A53B61ABDC6}" type="VALUE">
                      <a:rPr lang="en-US" altLang="ko-KR"/>
                      <a:pPr/>
                      <a:t>[VALUE]</a:t>
                    </a:fld>
                    <a:endParaRPr lang="en-US"/>
                  </a:p>
                  <a:p>
                    <a:r>
                      <a:rPr lang="en-US"/>
                      <a:t>(286)</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107-4DD6-95E5-7DB4B01F3E67}"/>
                </c:ext>
              </c:extLst>
            </c:dLbl>
            <c:dLbl>
              <c:idx val="3"/>
              <c:tx>
                <c:rich>
                  <a:bodyPr/>
                  <a:lstStyle/>
                  <a:p>
                    <a:fld id="{8F07BA3E-EFFD-4518-AA9D-30353B3703BF}" type="VALUE">
                      <a:rPr lang="en-US" altLang="ko-KR"/>
                      <a:pPr/>
                      <a:t>[VALUE]</a:t>
                    </a:fld>
                    <a:endParaRPr lang="en-US"/>
                  </a:p>
                  <a:p>
                    <a:r>
                      <a:rPr lang="en-US"/>
                      <a:t>(287)</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8107-4DD6-95E5-7DB4B01F3E67}"/>
                </c:ext>
              </c:extLst>
            </c:dLbl>
            <c:dLbl>
              <c:idx val="4"/>
              <c:tx>
                <c:rich>
                  <a:bodyPr/>
                  <a:lstStyle/>
                  <a:p>
                    <a:fld id="{C0A9F168-0986-41E2-9B51-8AD9EE1E0F21}" type="VALUE">
                      <a:rPr lang="en-US" altLang="ko-KR"/>
                      <a:pPr/>
                      <a:t>[VALUE]</a:t>
                    </a:fld>
                    <a:endParaRPr lang="en-US"/>
                  </a:p>
                  <a:p>
                    <a:r>
                      <a:rPr lang="en-US"/>
                      <a:t>(282)</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107-4DD6-95E5-7DB4B01F3E67}"/>
                </c:ext>
              </c:extLst>
            </c:dLbl>
            <c:dLbl>
              <c:idx val="5"/>
              <c:tx>
                <c:rich>
                  <a:bodyPr/>
                  <a:lstStyle/>
                  <a:p>
                    <a:fld id="{40D1E93C-5278-4B9D-9217-2347B07805C3}" type="VALUE">
                      <a:rPr lang="en-US" altLang="ko-KR"/>
                      <a:pPr/>
                      <a:t>[VALUE]</a:t>
                    </a:fld>
                    <a:endParaRPr lang="en-US"/>
                  </a:p>
                  <a:p>
                    <a:r>
                      <a:rPr lang="en-US"/>
                      <a:t>(287)</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8-8107-4DD6-95E5-7DB4B01F3E67}"/>
                </c:ext>
              </c:extLst>
            </c:dLbl>
            <c:dLbl>
              <c:idx val="6"/>
              <c:tx>
                <c:rich>
                  <a:bodyPr/>
                  <a:lstStyle/>
                  <a:p>
                    <a:fld id="{32BC02FF-F5A4-4897-9387-2182343F97CF}" type="VALUE">
                      <a:rPr lang="en-US" altLang="ko-KR"/>
                      <a:pPr/>
                      <a:t>[VALUE]</a:t>
                    </a:fld>
                    <a:endParaRPr lang="en-US"/>
                  </a:p>
                  <a:p>
                    <a:r>
                      <a:rPr lang="en-US"/>
                      <a:t>(249)</a:t>
                    </a:r>
                  </a:p>
                </c:rich>
              </c:tx>
              <c:dLblPos val="ct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8107-4DD6-95E5-7DB4B01F3E67}"/>
                </c:ext>
              </c:extLst>
            </c:dLbl>
            <c:spPr>
              <a:noFill/>
              <a:ln>
                <a:noFill/>
              </a:ln>
              <a:effectLst/>
            </c:spPr>
            <c:txPr>
              <a:bodyPr rot="0" spcFirstLastPara="1" vertOverflow="ellipsis" vert="horz" wrap="square" anchor="ctr" anchorCtr="1"/>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Sheet1!$A$2:$A$8</c:f>
              <c:numCache>
                <c:formatCode>General</c:formatCode>
                <c:ptCount val="7"/>
                <c:pt idx="0">
                  <c:v>2012</c:v>
                </c:pt>
                <c:pt idx="1">
                  <c:v>2013</c:v>
                </c:pt>
                <c:pt idx="2">
                  <c:v>2014</c:v>
                </c:pt>
                <c:pt idx="3">
                  <c:v>2015</c:v>
                </c:pt>
                <c:pt idx="4">
                  <c:v>2016</c:v>
                </c:pt>
                <c:pt idx="5">
                  <c:v>2017</c:v>
                </c:pt>
                <c:pt idx="6">
                  <c:v>2018</c:v>
                </c:pt>
              </c:numCache>
            </c:numRef>
          </c:cat>
          <c:val>
            <c:numRef>
              <c:f>Sheet1!$D$2:$D$8</c:f>
              <c:numCache>
                <c:formatCode>0%</c:formatCode>
                <c:ptCount val="7"/>
                <c:pt idx="0">
                  <c:v>0.61</c:v>
                </c:pt>
                <c:pt idx="1">
                  <c:v>0.55000000000000004</c:v>
                </c:pt>
                <c:pt idx="2">
                  <c:v>0.55000000000000004</c:v>
                </c:pt>
                <c:pt idx="3">
                  <c:v>0.59</c:v>
                </c:pt>
                <c:pt idx="4">
                  <c:v>0.49</c:v>
                </c:pt>
                <c:pt idx="5">
                  <c:v>0.49</c:v>
                </c:pt>
                <c:pt idx="6">
                  <c:v>0.51</c:v>
                </c:pt>
              </c:numCache>
            </c:numRef>
          </c:val>
          <c:extLst>
            <c:ext xmlns:c16="http://schemas.microsoft.com/office/drawing/2014/chart" uri="{C3380CC4-5D6E-409C-BE32-E72D297353CC}">
              <c16:uniqueId val="{00000002-8107-4DD6-95E5-7DB4B01F3E67}"/>
            </c:ext>
          </c:extLst>
        </c:ser>
        <c:dLbls>
          <c:dLblPos val="ctr"/>
          <c:showLegendKey val="0"/>
          <c:showVal val="1"/>
          <c:showCatName val="0"/>
          <c:showSerName val="0"/>
          <c:showPercent val="0"/>
          <c:showBubbleSize val="0"/>
        </c:dLbls>
        <c:gapWidth val="150"/>
        <c:overlap val="100"/>
        <c:axId val="936208784"/>
        <c:axId val="936214360"/>
      </c:barChart>
      <c:catAx>
        <c:axId val="936208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14360"/>
        <c:crosses val="autoZero"/>
        <c:auto val="1"/>
        <c:lblAlgn val="ctr"/>
        <c:lblOffset val="100"/>
        <c:noMultiLvlLbl val="0"/>
      </c:catAx>
      <c:valAx>
        <c:axId val="936214360"/>
        <c:scaling>
          <c:orientation val="minMax"/>
          <c:max val="1"/>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9362087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9447F0-DB05-409A-830C-1AFF2D78E88C}">
  <ds:schemaRefs>
    <ds:schemaRef ds:uri="http://schemas.openxmlformats.org/officeDocument/2006/bibliography"/>
  </ds:schemaRefs>
</ds:datastoreItem>
</file>

<file path=docMetadata/LabelInfo.xml><?xml version="1.0" encoding="utf-8"?>
<clbl:labelList xmlns:clbl="http://schemas.microsoft.com/office/2020/mipLabelMetadata">
  <clbl:label id="{f786616f-5bb4-45d1-b9c4-7a19bded0f1d}" enabled="1" method="Standard" siteId="{97be21fd-c601-4b16-9920-f5accc69da65}" contentBits="0" removed="0"/>
</clbl:labelList>
</file>

<file path=docProps/app.xml><?xml version="1.0" encoding="utf-8"?>
<Properties xmlns="http://schemas.openxmlformats.org/officeDocument/2006/extended-properties" xmlns:vt="http://schemas.openxmlformats.org/officeDocument/2006/docPropsVTypes">
  <Template>Normal.dotm</Template>
  <TotalTime>21</TotalTime>
  <Pages>33</Pages>
  <Words>7212</Words>
  <Characters>38399</Characters>
  <Application>Microsoft Office Word</Application>
  <DocSecurity>0</DocSecurity>
  <Lines>319</Lines>
  <Paragraphs>91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45520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Gerry Cervenka</dc:creator>
  <cp:keywords/>
  <cp:lastModifiedBy>Ravulapalli, Vijay</cp:lastModifiedBy>
  <cp:revision>4</cp:revision>
  <dcterms:created xsi:type="dcterms:W3CDTF">2022-03-04T17:15:00Z</dcterms:created>
  <dcterms:modified xsi:type="dcterms:W3CDTF">2025-01-16T18:39:00Z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d">
    <vt:lpwstr>6FFE4E0AB91364D0C154AD5A69B332E1</vt:lpwstr>
  </property>
</Properties>
</file>