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98A82" w14:textId="1E6FB632" w:rsidR="00FE472E" w:rsidRPr="006A121F" w:rsidRDefault="00FE472E" w:rsidP="006A121F">
      <w:pPr>
        <w:pStyle w:val="BodyText"/>
        <w:spacing w:line="240" w:lineRule="auto"/>
      </w:pPr>
    </w:p>
    <w:p w14:paraId="238C494D" w14:textId="77777777" w:rsidR="000D7B9B" w:rsidRDefault="000D7B9B" w:rsidP="006A121F">
      <w:pPr>
        <w:pStyle w:val="ChapterTitle"/>
        <w:spacing w:line="240" w:lineRule="auto"/>
      </w:pPr>
    </w:p>
    <w:p w14:paraId="28DEB7CA" w14:textId="2E0DF6AE" w:rsidR="00E93484" w:rsidRPr="000D7B9B" w:rsidRDefault="00E2705B" w:rsidP="006A121F">
      <w:pPr>
        <w:pStyle w:val="ChapterTitle"/>
        <w:tabs>
          <w:tab w:val="left" w:pos="365"/>
          <w:tab w:val="center" w:pos="3240"/>
        </w:tabs>
        <w:spacing w:line="240" w:lineRule="auto"/>
        <w:jc w:val="left"/>
      </w:pPr>
      <w:r>
        <w:tab/>
      </w:r>
      <w:r>
        <w:tab/>
      </w:r>
      <w:r>
        <w:tab/>
      </w:r>
      <w:r>
        <w:tab/>
      </w:r>
      <w:r>
        <w:tab/>
      </w:r>
      <w:r>
        <w:tab/>
      </w:r>
      <w:r w:rsidR="00CF2F25" w:rsidRPr="00EE3A1E">
        <w:t>Illinois</w:t>
      </w:r>
    </w:p>
    <w:p w14:paraId="75AEFB7A" w14:textId="2445208F" w:rsidR="008A1975" w:rsidRPr="006A121F" w:rsidRDefault="008A1975" w:rsidP="006A121F">
      <w:pPr>
        <w:pStyle w:val="NoParagraphStyle"/>
        <w:tabs>
          <w:tab w:val="left" w:pos="3400"/>
          <w:tab w:val="center" w:pos="5680"/>
          <w:tab w:val="center" w:pos="6240"/>
        </w:tabs>
        <w:spacing w:line="240" w:lineRule="auto"/>
        <w:jc w:val="both"/>
        <w:rPr>
          <w:sz w:val="18"/>
        </w:rPr>
      </w:pPr>
    </w:p>
    <w:p w14:paraId="033D761C" w14:textId="77777777" w:rsidR="00E93484" w:rsidRPr="006205E8" w:rsidRDefault="00E93484" w:rsidP="00E93484">
      <w:pPr>
        <w:pStyle w:val="ChapterTitle"/>
        <w:spacing w:line="240" w:lineRule="auto"/>
        <w:rPr>
          <w:smallCaps/>
          <w:sz w:val="28"/>
          <w:szCs w:val="28"/>
        </w:rPr>
      </w:pPr>
      <w:r>
        <w:rPr>
          <w:sz w:val="28"/>
          <w:szCs w:val="28"/>
        </w:rPr>
        <w:t>by Br</w:t>
      </w:r>
      <w:r w:rsidRPr="006205E8">
        <w:rPr>
          <w:sz w:val="28"/>
          <w:szCs w:val="28"/>
        </w:rPr>
        <w:t>ian M. Malsberger</w:t>
      </w:r>
    </w:p>
    <w:p w14:paraId="06D29990" w14:textId="77777777" w:rsidR="000D7B9B" w:rsidRDefault="000D7B9B" w:rsidP="000D7B9B">
      <w:pPr>
        <w:pStyle w:val="NoParagraphStyle"/>
        <w:tabs>
          <w:tab w:val="left" w:pos="3400"/>
          <w:tab w:val="center" w:pos="5680"/>
          <w:tab w:val="center" w:pos="6240"/>
        </w:tabs>
        <w:spacing w:line="240" w:lineRule="auto"/>
        <w:jc w:val="both"/>
        <w:rPr>
          <w:rFonts w:ascii="Baskerville" w:hAnsi="Baskerville" w:cs="Baskerville"/>
          <w:bCs/>
          <w:sz w:val="20"/>
          <w:szCs w:val="20"/>
        </w:rPr>
      </w:pPr>
    </w:p>
    <w:p w14:paraId="2B55D688" w14:textId="52B1E7F9" w:rsidR="006A121F" w:rsidRPr="006A121F" w:rsidRDefault="006A121F" w:rsidP="006A121F">
      <w:pPr>
        <w:rPr>
          <w:sz w:val="22"/>
          <w:szCs w:val="22"/>
          <w:lang w:eastAsia="en-US"/>
        </w:rPr>
      </w:pPr>
      <w:r w:rsidRPr="006A121F">
        <w:rPr>
          <w:sz w:val="22"/>
          <w:szCs w:val="22"/>
        </w:rPr>
        <w:t xml:space="preserve">The Illinois chapter of </w:t>
      </w:r>
      <w:r w:rsidRPr="006A121F">
        <w:rPr>
          <w:i/>
          <w:iCs/>
          <w:sz w:val="22"/>
          <w:szCs w:val="22"/>
        </w:rPr>
        <w:t xml:space="preserve">Covenants Not to Compete: A State-by-State Survey </w:t>
      </w:r>
      <w:r w:rsidRPr="006A121F">
        <w:rPr>
          <w:sz w:val="22"/>
          <w:szCs w:val="22"/>
        </w:rPr>
        <w:t xml:space="preserve">is written by </w:t>
      </w:r>
      <w:hyperlink r:id="rId9" w:history="1">
        <w:r w:rsidRPr="006A121F">
          <w:rPr>
            <w:rStyle w:val="Hyperlink"/>
            <w:sz w:val="22"/>
            <w:szCs w:val="22"/>
          </w:rPr>
          <w:t>Brian M. Malsberger</w:t>
        </w:r>
      </w:hyperlink>
      <w:r w:rsidRPr="006A121F">
        <w:rPr>
          <w:sz w:val="22"/>
          <w:szCs w:val="22"/>
        </w:rPr>
        <w:t xml:space="preserve">. The associate editors of the board of review of this treatise are </w:t>
      </w:r>
      <w:hyperlink r:id="rId10" w:history="1">
        <w:r w:rsidRPr="006A121F">
          <w:rPr>
            <w:rStyle w:val="Hyperlink"/>
            <w:sz w:val="22"/>
            <w:szCs w:val="22"/>
          </w:rPr>
          <w:t>David J. Carr</w:t>
        </w:r>
      </w:hyperlink>
      <w:r w:rsidRPr="006A121F">
        <w:rPr>
          <w:sz w:val="22"/>
          <w:szCs w:val="22"/>
        </w:rPr>
        <w:t xml:space="preserve"> of Ice Miller LLP, </w:t>
      </w:r>
      <w:hyperlink r:id="rId11" w:history="1">
        <w:r w:rsidRPr="006A121F">
          <w:rPr>
            <w:rStyle w:val="Hyperlink"/>
            <w:sz w:val="22"/>
            <w:szCs w:val="22"/>
          </w:rPr>
          <w:t>Arnold H. Pedowitz</w:t>
        </w:r>
      </w:hyperlink>
      <w:r w:rsidRPr="006A121F">
        <w:rPr>
          <w:sz w:val="22"/>
          <w:szCs w:val="22"/>
        </w:rPr>
        <w:t xml:space="preserve"> of Pedowitz &amp; Meister LLP, and </w:t>
      </w:r>
      <w:hyperlink r:id="rId12" w:history="1">
        <w:r w:rsidRPr="006A121F">
          <w:rPr>
            <w:rStyle w:val="Hyperlink"/>
            <w:sz w:val="22"/>
            <w:szCs w:val="22"/>
          </w:rPr>
          <w:t>Eric Akira Tate</w:t>
        </w:r>
      </w:hyperlink>
      <w:r w:rsidRPr="006A121F">
        <w:rPr>
          <w:sz w:val="22"/>
          <w:szCs w:val="22"/>
        </w:rPr>
        <w:t xml:space="preserve"> of Morrison &amp; Foerster LLP. This chapter is current through December 31, 2021 as to caselaw and December 31, 2022 as to statutes. </w:t>
      </w:r>
    </w:p>
    <w:p w14:paraId="1713E17F" w14:textId="77777777" w:rsidR="006A121F" w:rsidRPr="006A121F" w:rsidRDefault="006A121F" w:rsidP="006A121F">
      <w:pPr>
        <w:rPr>
          <w:sz w:val="22"/>
          <w:szCs w:val="22"/>
        </w:rPr>
      </w:pPr>
      <w:r w:rsidRPr="006A121F">
        <w:rPr>
          <w:sz w:val="22"/>
          <w:szCs w:val="22"/>
        </w:rPr>
        <w:tab/>
        <w:t>The chapter covers covenants not to compete under Illinois law. Topics include:</w:t>
      </w:r>
    </w:p>
    <w:p w14:paraId="70BE8C0E"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Whether an Illinois statute governs the enforceability of covenants not to compete</w:t>
      </w:r>
    </w:p>
    <w:p w14:paraId="590FDF25"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Illinois statutes pertaining to the enforceability of covenants not to compete related to certain professions—attorneys, broadcasters, government contractors, medical professionals</w:t>
      </w:r>
    </w:p>
    <w:p w14:paraId="50F07FCF"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Employer’s protectable interest</w:t>
      </w:r>
    </w:p>
    <w:p w14:paraId="3563FB39"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Plaintiff’s requirements to prove the existence of an enforceable covenant not to compete—what constitutes sufficient consideration to support a covenant not to compete, time and geographic restrictions of covenants, reasonable and unreasonable covenants not to compete, customer restrictions in covenants</w:t>
      </w:r>
    </w:p>
    <w:p w14:paraId="57A97712"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Whether Illinois courts are permitted to narrow overbroad restrictions in an unenforceable covenant not to compete to make the covenant enforceable—scope of permitted modifications</w:t>
      </w:r>
    </w:p>
    <w:p w14:paraId="1B49E4AD"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Requirements employer must prove to receive a preliminary injunction enforcing the covenant not to compete</w:t>
      </w:r>
    </w:p>
    <w:p w14:paraId="7CD69357"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If necessary, what an employer must show to prove irreparable harm</w:t>
      </w:r>
    </w:p>
    <w:p w14:paraId="4EDF7048"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Appellate standard of review</w:t>
      </w:r>
    </w:p>
    <w:p w14:paraId="6CE367C6"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Enforceability of a covenant not to compete against a terminated employee</w:t>
      </w:r>
    </w:p>
    <w:p w14:paraId="6B110D2A"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Court’s measurement of the period of injunction</w:t>
      </w:r>
    </w:p>
    <w:p w14:paraId="0832F661"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Damages an employer may recover</w:t>
      </w:r>
    </w:p>
    <w:p w14:paraId="26228CEE"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Whether a liquidated damage clause bars injunctive relief</w:t>
      </w:r>
    </w:p>
    <w:p w14:paraId="168547F3"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lastRenderedPageBreak/>
        <w:t>Choice of law rules</w:t>
      </w:r>
    </w:p>
    <w:p w14:paraId="122605AE"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Adhesion, contracts of</w:t>
      </w:r>
    </w:p>
    <w:p w14:paraId="57B493DD"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Age discrimination</w:t>
      </w:r>
    </w:p>
    <w:p w14:paraId="45997334"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Agreed orders</w:t>
      </w:r>
    </w:p>
    <w:p w14:paraId="2AE57DA4"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Ambiguity</w:t>
      </w:r>
    </w:p>
    <w:p w14:paraId="4111B7B2"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Ancillarity</w:t>
      </w:r>
    </w:p>
    <w:p w14:paraId="5FC10D91"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Anti-advertising covenants</w:t>
      </w:r>
    </w:p>
    <w:p w14:paraId="0C324EB8"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Anti-employee raiding clauses</w:t>
      </w:r>
    </w:p>
    <w:p w14:paraId="0102908F"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Antitrust law</w:t>
      </w:r>
    </w:p>
    <w:p w14:paraId="5A707BC4"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Appeals</w:t>
      </w:r>
    </w:p>
    <w:p w14:paraId="2848E26D"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Application of covenant</w:t>
      </w:r>
    </w:p>
    <w:p w14:paraId="0F2334D6"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Arbitration</w:t>
      </w:r>
    </w:p>
    <w:p w14:paraId="54AEA2EC"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Assignment</w:t>
      </w:r>
    </w:p>
    <w:p w14:paraId="4AAD25E1"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Attorneys</w:t>
      </w:r>
    </w:p>
    <w:p w14:paraId="6F930306"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Attorney’s fees</w:t>
      </w:r>
    </w:p>
    <w:p w14:paraId="75E7F8A9"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Attorney’s fees (awarded as damages for wrongfully issued preliminary injunction)</w:t>
      </w:r>
    </w:p>
    <w:p w14:paraId="5F3B526B"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At-will employees</w:t>
      </w:r>
    </w:p>
    <w:p w14:paraId="01D5C9C9"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Bankruptcy (generally)</w:t>
      </w:r>
    </w:p>
    <w:p w14:paraId="01AAE19D"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Bona fide retirement plan</w:t>
      </w:r>
    </w:p>
    <w:p w14:paraId="139E035B"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Breach of contract as affirmative defense</w:t>
      </w:r>
    </w:p>
    <w:p w14:paraId="2FF370D4"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Case-by-case analysis</w:t>
      </w:r>
    </w:p>
    <w:p w14:paraId="293C3EC4"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Characterization as a covenant or not</w:t>
      </w:r>
    </w:p>
    <w:p w14:paraId="0740ACFD"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Conspiracy</w:t>
      </w:r>
    </w:p>
    <w:p w14:paraId="573919D6"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Construction (contractual)</w:t>
      </w:r>
    </w:p>
    <w:p w14:paraId="44A0FBDC"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Contempt</w:t>
      </w:r>
    </w:p>
    <w:p w14:paraId="6EEB0DF2"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Context characterization: franchise versus other contexts</w:t>
      </w:r>
    </w:p>
    <w:p w14:paraId="4A82F3C0"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Context characterization: gift versus franchise</w:t>
      </w:r>
    </w:p>
    <w:p w14:paraId="1CCDE9E3"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Context characterization: sale of business versus employment context</w:t>
      </w:r>
    </w:p>
    <w:p w14:paraId="22927AD7"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Corporate practice of medicine doctrine</w:t>
      </w:r>
    </w:p>
    <w:p w14:paraId="687F479F"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Declaratory judgment actions</w:t>
      </w:r>
    </w:p>
    <w:p w14:paraId="75EB7D78"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De minimis breaches</w:t>
      </w:r>
    </w:p>
    <w:p w14:paraId="66395535"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Disciplinary Rule 2-108(A) of the Code of Professional Responsibility</w:t>
      </w:r>
    </w:p>
    <w:p w14:paraId="4086D2C2"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Dismiss, motion to</w:t>
      </w:r>
    </w:p>
    <w:p w14:paraId="0F5023A9"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Dissolution (administrative) of employer, effect of</w:t>
      </w:r>
    </w:p>
    <w:p w14:paraId="1074D34E"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lastRenderedPageBreak/>
        <w:t>Election of remedies</w:t>
      </w:r>
    </w:p>
    <w:p w14:paraId="6CDB00B2"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Employee Retirement Income Security Act</w:t>
      </w:r>
    </w:p>
    <w:p w14:paraId="28B690B2"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Employer’s/partner’s breach, effect of</w:t>
      </w:r>
    </w:p>
    <w:p w14:paraId="7ED9C305"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Employer’s termination, effect of</w:t>
      </w:r>
    </w:p>
    <w:p w14:paraId="031B862A"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Employer’s termination or abandonment of business, effect of</w:t>
      </w:r>
    </w:p>
    <w:p w14:paraId="51F6A9BC"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Employment at will</w:t>
      </w:r>
    </w:p>
    <w:p w14:paraId="7EDA7F24"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Equitable restitution</w:t>
      </w:r>
    </w:p>
    <w:p w14:paraId="1F4C83DD"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Establishing breach</w:t>
      </w:r>
    </w:p>
    <w:p w14:paraId="556B6B75"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Estoppel</w:t>
      </w:r>
    </w:p>
    <w:p w14:paraId="15064DDC"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Evidence (sufficiency)</w:t>
      </w:r>
    </w:p>
    <w:p w14:paraId="2DE5A90B"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Expiration of contract, effect of</w:t>
      </w:r>
    </w:p>
    <w:p w14:paraId="5E92E6B5"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Expiration of covenant’s temporal term, effect of</w:t>
      </w:r>
    </w:p>
    <w:p w14:paraId="44A9942E"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Extension-of-time provisions</w:t>
      </w:r>
    </w:p>
    <w:p w14:paraId="38A68E2A"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Fair Labor Standards Act</w:t>
      </w:r>
    </w:p>
    <w:p w14:paraId="68A8B8D9"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Federal antitrust law, interplay with state law (lack of)</w:t>
      </w:r>
    </w:p>
    <w:p w14:paraId="2BC843A3"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Fiduciary duty</w:t>
      </w:r>
    </w:p>
    <w:p w14:paraId="3CD77FC9"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Forfeiture-for-competition clauses (deferred compensation/incentive plans)</w:t>
      </w:r>
    </w:p>
    <w:p w14:paraId="324E0502"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Franchise agreements</w:t>
      </w:r>
    </w:p>
    <w:p w14:paraId="7622E009"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Fraud</w:t>
      </w:r>
    </w:p>
    <w:p w14:paraId="32F9AFF5"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Fraudulent conveyances</w:t>
      </w:r>
    </w:p>
    <w:p w14:paraId="2FE0190E"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Freedom of contract</w:t>
      </w:r>
    </w:p>
    <w:p w14:paraId="432DF9C3"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Hospital staffing contracts</w:t>
      </w:r>
    </w:p>
    <w:p w14:paraId="55D39936"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Incorporation by reference</w:t>
      </w:r>
    </w:p>
    <w:p w14:paraId="31A9919F"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Irreparable harm and entitlement to injunctive relief (clauses acknowledging), effect of</w:t>
      </w:r>
    </w:p>
    <w:p w14:paraId="514454E8"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Judgment on the pleadings</w:t>
      </w:r>
    </w:p>
    <w:p w14:paraId="457A2172"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Jurisdiction (diversity)</w:t>
      </w:r>
    </w:p>
    <w:p w14:paraId="7961F218"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Liquidated damages</w:t>
      </w:r>
    </w:p>
    <w:p w14:paraId="3D918133"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 xml:space="preserve">Malpractice in drafting sales agreement </w:t>
      </w:r>
    </w:p>
    <w:p w14:paraId="12164C62"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Medical ethical principles</w:t>
      </w:r>
    </w:p>
    <w:p w14:paraId="7C7D10AF"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Mootness</w:t>
      </w:r>
    </w:p>
    <w:p w14:paraId="64F5F58B"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Nondisclosure covenants</w:t>
      </w:r>
    </w:p>
    <w:p w14:paraId="4AD9CBF5"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Nonparties to covenant (enforceability of covenant—or injunction enforcing covenant—against)</w:t>
      </w:r>
    </w:p>
    <w:p w14:paraId="20725684"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Nonsolicitation covenants</w:t>
      </w:r>
    </w:p>
    <w:p w14:paraId="5D6DB7A1"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Non-switch (“no hire”) covenants</w:t>
      </w:r>
    </w:p>
    <w:p w14:paraId="552A85BC"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lastRenderedPageBreak/>
        <w:t>Parol evidence</w:t>
      </w:r>
    </w:p>
    <w:p w14:paraId="5B596CDD"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Patient abandonment</w:t>
      </w:r>
    </w:p>
    <w:p w14:paraId="10B245E3"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Physicians</w:t>
      </w:r>
    </w:p>
    <w:p w14:paraId="222FC2A6"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Physicians and public policy</w:t>
      </w:r>
    </w:p>
    <w:p w14:paraId="1D4B2217"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Physicians, credentialing of</w:t>
      </w:r>
    </w:p>
    <w:p w14:paraId="66678047"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Pleading</w:t>
      </w:r>
    </w:p>
    <w:p w14:paraId="2BB11F47"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Pleading (judgment on the pleadings)</w:t>
      </w:r>
    </w:p>
    <w:p w14:paraId="4509A775"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Pleading (judicial admissions)</w:t>
      </w:r>
    </w:p>
    <w:p w14:paraId="1E6A03FB"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Prospective versus actual customers</w:t>
      </w:r>
    </w:p>
    <w:p w14:paraId="64276ACE"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Public policy</w:t>
      </w:r>
    </w:p>
    <w:p w14:paraId="57394AA2"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Questions of fact</w:t>
      </w:r>
    </w:p>
    <w:p w14:paraId="4BF114F9"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Questions of law</w:t>
      </w:r>
    </w:p>
    <w:p w14:paraId="7ABE726A"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Res judicata</w:t>
      </w:r>
    </w:p>
    <w:p w14:paraId="7738442A"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Royalties</w:t>
      </w:r>
    </w:p>
    <w:p w14:paraId="449C029B"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Securities Fraud</w:t>
      </w:r>
    </w:p>
    <w:p w14:paraId="301CDE2F"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Selective enforcement</w:t>
      </w:r>
    </w:p>
    <w:p w14:paraId="5E847DCD"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Settlements/settlement agreements</w:t>
      </w:r>
    </w:p>
    <w:p w14:paraId="1BDAFB50"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Severability</w:t>
      </w:r>
    </w:p>
    <w:p w14:paraId="3AE7FDBC"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Severance benefits</w:t>
      </w:r>
    </w:p>
    <w:p w14:paraId="70FDEEAF"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Signing in individual versus official capacity</w:t>
      </w:r>
    </w:p>
    <w:p w14:paraId="58BAA429"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Subject matter jurisdiction</w:t>
      </w:r>
    </w:p>
    <w:p w14:paraId="0B38AB04"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Successor employers</w:t>
      </w:r>
    </w:p>
    <w:p w14:paraId="18055E12"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Summary judgment</w:t>
      </w:r>
    </w:p>
    <w:p w14:paraId="20F6930F"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Superseding agreements/contracts</w:t>
      </w:r>
    </w:p>
    <w:p w14:paraId="2E747AF8" w14:textId="77777777" w:rsid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Termination for refusal to sign</w:t>
      </w:r>
    </w:p>
    <w:p w14:paraId="1B7375B9" w14:textId="2FBF4089"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Third-Party Beneficiaries</w:t>
      </w:r>
    </w:p>
    <w:p w14:paraId="459E51BD"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Tortious interference</w:t>
      </w:r>
    </w:p>
    <w:p w14:paraId="65B28ABD"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Trade secrets</w:t>
      </w:r>
    </w:p>
    <w:p w14:paraId="0D814EA7"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Trade secrets (clauses acknowledging), effect of</w:t>
      </w:r>
    </w:p>
    <w:p w14:paraId="34B315EA"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Unclean hands</w:t>
      </w:r>
    </w:p>
    <w:p w14:paraId="555C8327"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Vendor-vendee relationships</w:t>
      </w:r>
    </w:p>
    <w:p w14:paraId="59206481"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Venue</w:t>
      </w:r>
    </w:p>
    <w:p w14:paraId="4ABC93EF"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Waiver</w:t>
      </w:r>
    </w:p>
    <w:p w14:paraId="3F842751" w14:textId="77777777" w:rsidR="006A121F" w:rsidRPr="006A121F" w:rsidRDefault="006A121F" w:rsidP="006A121F">
      <w:pPr>
        <w:pStyle w:val="ListParagraph"/>
        <w:numPr>
          <w:ilvl w:val="0"/>
          <w:numId w:val="1"/>
        </w:numPr>
        <w:rPr>
          <w:rFonts w:ascii="Times New Roman" w:hAnsi="Times New Roman" w:cs="Times New Roman"/>
        </w:rPr>
      </w:pPr>
      <w:r w:rsidRPr="006A121F">
        <w:rPr>
          <w:rFonts w:ascii="Times New Roman" w:hAnsi="Times New Roman" w:cs="Times New Roman"/>
        </w:rPr>
        <w:t>Waiver of defenses</w:t>
      </w:r>
    </w:p>
    <w:p w14:paraId="1548B264" w14:textId="77777777" w:rsidR="006A121F" w:rsidRDefault="006A121F" w:rsidP="000D7B9B">
      <w:pPr>
        <w:pStyle w:val="NoParagraphStyle"/>
        <w:tabs>
          <w:tab w:val="left" w:pos="3400"/>
          <w:tab w:val="center" w:pos="5680"/>
          <w:tab w:val="center" w:pos="6240"/>
        </w:tabs>
        <w:spacing w:line="240" w:lineRule="auto"/>
        <w:jc w:val="both"/>
        <w:rPr>
          <w:rFonts w:ascii="Baskerville" w:hAnsi="Baskerville" w:cs="Baskerville"/>
          <w:bCs/>
          <w:sz w:val="20"/>
          <w:szCs w:val="20"/>
        </w:rPr>
      </w:pPr>
    </w:p>
    <w:p w14:paraId="4E7C8D28" w14:textId="44373713" w:rsidR="000D7B9B" w:rsidRPr="006A121F" w:rsidRDefault="000D7B9B" w:rsidP="000D7B9B">
      <w:pPr>
        <w:pStyle w:val="NoParagraphStyle"/>
        <w:tabs>
          <w:tab w:val="left" w:pos="3400"/>
          <w:tab w:val="center" w:pos="5680"/>
          <w:tab w:val="center" w:pos="6240"/>
        </w:tabs>
        <w:spacing w:line="240" w:lineRule="auto"/>
        <w:jc w:val="both"/>
        <w:rPr>
          <w:rFonts w:ascii="Baskerville" w:hAnsi="Baskerville" w:cs="Baskerville"/>
          <w:bCs/>
          <w:i/>
          <w:iCs/>
          <w:sz w:val="22"/>
          <w:szCs w:val="22"/>
        </w:rPr>
      </w:pPr>
      <w:r w:rsidRPr="006A121F">
        <w:rPr>
          <w:rFonts w:ascii="Baskerville" w:hAnsi="Baskerville" w:cs="Baskerville"/>
          <w:bCs/>
          <w:i/>
          <w:iCs/>
          <w:sz w:val="22"/>
          <w:szCs w:val="22"/>
        </w:rPr>
        <w:t xml:space="preserve">This chapter is current through </w:t>
      </w:r>
      <w:r w:rsidR="00153B59" w:rsidRPr="006A121F">
        <w:rPr>
          <w:rFonts w:ascii="Baskerville" w:hAnsi="Baskerville" w:cs="Baskerville"/>
          <w:bCs/>
          <w:i/>
          <w:iCs/>
          <w:sz w:val="22"/>
          <w:szCs w:val="22"/>
        </w:rPr>
        <w:t xml:space="preserve">October </w:t>
      </w:r>
      <w:r w:rsidRPr="006A121F">
        <w:rPr>
          <w:rFonts w:ascii="Baskerville" w:hAnsi="Baskerville" w:cs="Baskerville"/>
          <w:bCs/>
          <w:i/>
          <w:iCs/>
          <w:sz w:val="22"/>
          <w:szCs w:val="22"/>
        </w:rPr>
        <w:t>2023 as to statutory law and through December 2022 as to case law.</w:t>
      </w:r>
    </w:p>
    <w:p w14:paraId="67E8CCB6" w14:textId="77777777" w:rsidR="00CF2F25" w:rsidRPr="006A121F" w:rsidRDefault="00CF2F25" w:rsidP="008B512B">
      <w:pPr>
        <w:pStyle w:val="NoParagraphStyle"/>
        <w:tabs>
          <w:tab w:val="left" w:pos="3400"/>
          <w:tab w:val="center" w:pos="5680"/>
          <w:tab w:val="center" w:pos="6240"/>
        </w:tabs>
        <w:spacing w:line="240" w:lineRule="auto"/>
        <w:jc w:val="both"/>
        <w:rPr>
          <w:rFonts w:ascii="Baskerville" w:hAnsi="Baskerville"/>
          <w:i/>
          <w:sz w:val="18"/>
        </w:rPr>
      </w:pPr>
    </w:p>
    <w:p w14:paraId="69025954" w14:textId="7D3A0DF0" w:rsidR="00655396" w:rsidRPr="00CF2F25" w:rsidRDefault="00655396" w:rsidP="008B512B">
      <w:pPr>
        <w:pStyle w:val="NoParagraphStyle"/>
        <w:tabs>
          <w:tab w:val="left" w:pos="3400"/>
          <w:tab w:val="center" w:pos="5680"/>
          <w:tab w:val="center" w:pos="6240"/>
        </w:tabs>
        <w:spacing w:line="240" w:lineRule="auto"/>
        <w:jc w:val="both"/>
        <w:rPr>
          <w:rFonts w:ascii="Baskerville" w:hAnsi="Baskerville" w:cs="Baskerville"/>
          <w:i/>
          <w:iCs/>
          <w:sz w:val="18"/>
          <w:szCs w:val="18"/>
        </w:rPr>
      </w:pPr>
      <w:r w:rsidRPr="00CF2F25">
        <w:rPr>
          <w:rFonts w:ascii="Baskerville" w:hAnsi="Baskerville" w:cs="Baskerville"/>
          <w:bCs/>
          <w:i/>
          <w:iCs/>
          <w:sz w:val="18"/>
          <w:szCs w:val="18"/>
        </w:rPr>
        <w:tab/>
      </w:r>
      <w:r w:rsidRPr="00CF2F25">
        <w:rPr>
          <w:rFonts w:ascii="Baskerville" w:hAnsi="Baskerville" w:cs="Baskerville"/>
          <w:bCs/>
          <w:i/>
          <w:iCs/>
          <w:sz w:val="18"/>
          <w:szCs w:val="18"/>
        </w:rPr>
        <w:tab/>
      </w:r>
      <w:r w:rsidRPr="00CF2F25">
        <w:rPr>
          <w:rFonts w:ascii="Baskerville" w:hAnsi="Baskerville" w:cs="Baskerville"/>
          <w:i/>
          <w:iCs/>
          <w:sz w:val="18"/>
          <w:szCs w:val="18"/>
        </w:rPr>
        <w:tab/>
      </w:r>
      <w:r w:rsidR="004E4908">
        <w:rPr>
          <w:rFonts w:ascii="Baskerville" w:hAnsi="Baskerville" w:cs="Baskerville"/>
          <w:i/>
          <w:iCs/>
          <w:sz w:val="18"/>
          <w:szCs w:val="18"/>
        </w:rPr>
        <w:t xml:space="preserve"> </w:t>
      </w:r>
      <w:r w:rsidRPr="00CF2F25">
        <w:rPr>
          <w:rFonts w:ascii="Baskerville" w:hAnsi="Baskerville" w:cs="Baskerville"/>
          <w:i/>
          <w:iCs/>
          <w:sz w:val="18"/>
          <w:szCs w:val="18"/>
        </w:rPr>
        <w:t>Page</w:t>
      </w:r>
    </w:p>
    <w:p w14:paraId="1A29DBFC" w14:textId="77777777" w:rsidR="00655396" w:rsidRPr="00CF2F25" w:rsidRDefault="00655396" w:rsidP="008B512B">
      <w:pPr>
        <w:pStyle w:val="ContentQuestion"/>
        <w:tabs>
          <w:tab w:val="clear" w:pos="480"/>
          <w:tab w:val="clear" w:pos="960"/>
          <w:tab w:val="clear" w:pos="5760"/>
          <w:tab w:val="left" w:pos="360"/>
          <w:tab w:val="left" w:pos="720"/>
          <w:tab w:val="left" w:pos="1080"/>
          <w:tab w:val="right" w:leader="dot" w:pos="5400"/>
          <w:tab w:val="right" w:pos="5940"/>
        </w:tabs>
        <w:spacing w:line="240" w:lineRule="auto"/>
        <w:ind w:left="0" w:firstLine="0"/>
        <w:rPr>
          <w:b w:val="0"/>
          <w:sz w:val="22"/>
          <w:szCs w:val="22"/>
        </w:rPr>
      </w:pPr>
    </w:p>
    <w:p w14:paraId="52E91EAC" w14:textId="77777777" w:rsidR="00655396" w:rsidRPr="00CF2F25" w:rsidRDefault="00655396" w:rsidP="008B512B">
      <w:pPr>
        <w:pStyle w:val="ContentQuestion"/>
        <w:spacing w:line="240" w:lineRule="auto"/>
        <w:rPr>
          <w:b w:val="0"/>
        </w:rPr>
      </w:pPr>
      <w:r w:rsidRPr="00CF2F25">
        <w:rPr>
          <w:b w:val="0"/>
        </w:rPr>
        <w:t>1.</w:t>
      </w:r>
      <w:r w:rsidRPr="00CF2F25">
        <w:rPr>
          <w:b w:val="0"/>
        </w:rPr>
        <w:tab/>
        <w:t xml:space="preserve">Is there a state statute of general application </w:t>
      </w:r>
    </w:p>
    <w:p w14:paraId="544A9B4D" w14:textId="77777777" w:rsidR="00655396" w:rsidRPr="00CF2F25" w:rsidRDefault="00655396" w:rsidP="008B512B">
      <w:pPr>
        <w:pStyle w:val="ContentQuestionlastline"/>
        <w:spacing w:line="240" w:lineRule="auto"/>
        <w:rPr>
          <w:b w:val="0"/>
        </w:rPr>
      </w:pPr>
      <w:r w:rsidRPr="00CF2F25">
        <w:rPr>
          <w:b w:val="0"/>
        </w:rPr>
        <w:t xml:space="preserve">that governs the enforceability of covenants not </w:t>
      </w:r>
    </w:p>
    <w:p w14:paraId="4D34CB9D" w14:textId="77777777" w:rsidR="00655396" w:rsidRPr="00CF2F25" w:rsidRDefault="00655396" w:rsidP="008B512B">
      <w:pPr>
        <w:pStyle w:val="ContentQuestionlastline"/>
        <w:spacing w:line="240" w:lineRule="auto"/>
        <w:rPr>
          <w:b w:val="0"/>
        </w:rPr>
      </w:pPr>
      <w:r w:rsidRPr="00CF2F25">
        <w:rPr>
          <w:b w:val="0"/>
        </w:rPr>
        <w:t>to compete?</w:t>
      </w:r>
      <w:r w:rsidRPr="00CF2F25">
        <w:rPr>
          <w:b w:val="0"/>
        </w:rPr>
        <w:tab/>
      </w:r>
      <w:r w:rsidRPr="00CF2F25">
        <w:rPr>
          <w:b w:val="0"/>
        </w:rPr>
        <w:tab/>
        <w:t>2559</w:t>
      </w:r>
    </w:p>
    <w:p w14:paraId="7D741C6D" w14:textId="77777777" w:rsidR="00655396" w:rsidRPr="00CF2F25" w:rsidRDefault="00655396" w:rsidP="008B512B">
      <w:pPr>
        <w:pStyle w:val="ContentSubquestion"/>
        <w:tabs>
          <w:tab w:val="clear" w:pos="5040"/>
          <w:tab w:val="left" w:pos="480"/>
          <w:tab w:val="left" w:pos="1440"/>
          <w:tab w:val="right" w:leader="dot" w:pos="5760"/>
        </w:tabs>
        <w:spacing w:line="240" w:lineRule="auto"/>
        <w:rPr>
          <w:b w:val="0"/>
        </w:rPr>
      </w:pPr>
      <w:r w:rsidRPr="00CF2F25">
        <w:rPr>
          <w:b w:val="0"/>
        </w:rPr>
        <w:t>a.</w:t>
      </w:r>
      <w:r w:rsidRPr="00CF2F25">
        <w:rPr>
          <w:b w:val="0"/>
        </w:rPr>
        <w:tab/>
        <w:t xml:space="preserve">What state statutes govern the enforceability </w:t>
      </w:r>
    </w:p>
    <w:p w14:paraId="6A736BFE" w14:textId="77777777" w:rsidR="00655396" w:rsidRPr="00CF2F25" w:rsidRDefault="00655396" w:rsidP="008B512B">
      <w:pPr>
        <w:pStyle w:val="ContentSubquestionlastline"/>
        <w:spacing w:line="240" w:lineRule="auto"/>
        <w:rPr>
          <w:b w:val="0"/>
        </w:rPr>
      </w:pPr>
      <w:r w:rsidRPr="00CF2F25">
        <w:rPr>
          <w:b w:val="0"/>
        </w:rPr>
        <w:t xml:space="preserve">of covenants not to compete as regards specific </w:t>
      </w:r>
    </w:p>
    <w:p w14:paraId="6902ECC7" w14:textId="77777777" w:rsidR="00655396" w:rsidRPr="00CF2F25" w:rsidRDefault="00655396" w:rsidP="008B512B">
      <w:pPr>
        <w:pStyle w:val="ContentSubquestionlastline"/>
        <w:spacing w:line="240" w:lineRule="auto"/>
        <w:rPr>
          <w:b w:val="0"/>
        </w:rPr>
      </w:pPr>
      <w:r w:rsidRPr="00CF2F25">
        <w:rPr>
          <w:b w:val="0"/>
        </w:rPr>
        <w:t>professions?</w:t>
      </w:r>
      <w:r w:rsidRPr="00CF2F25">
        <w:rPr>
          <w:b w:val="0"/>
        </w:rPr>
        <w:tab/>
      </w:r>
      <w:r w:rsidRPr="00CF2F25">
        <w:rPr>
          <w:b w:val="0"/>
        </w:rPr>
        <w:tab/>
        <w:t>2559</w:t>
      </w:r>
    </w:p>
    <w:p w14:paraId="304271A6" w14:textId="77777777" w:rsidR="00655396" w:rsidRPr="00CF2F25" w:rsidRDefault="00655396" w:rsidP="008B512B">
      <w:pPr>
        <w:pStyle w:val="ContentQuestion"/>
        <w:spacing w:line="240" w:lineRule="auto"/>
        <w:rPr>
          <w:b w:val="0"/>
        </w:rPr>
      </w:pPr>
      <w:r w:rsidRPr="00CF2F25">
        <w:rPr>
          <w:b w:val="0"/>
        </w:rPr>
        <w:t>2.</w:t>
      </w:r>
      <w:r w:rsidRPr="00CF2F25">
        <w:rPr>
          <w:b w:val="0"/>
        </w:rPr>
        <w:tab/>
        <w:t xml:space="preserve">What is an employer’s protectable interest and how is </w:t>
      </w:r>
    </w:p>
    <w:p w14:paraId="000EC19A" w14:textId="77777777" w:rsidR="00655396" w:rsidRPr="00CF2F25" w:rsidRDefault="00655396" w:rsidP="008B512B">
      <w:pPr>
        <w:pStyle w:val="ContentQuestionlastline"/>
        <w:spacing w:line="240" w:lineRule="auto"/>
        <w:rPr>
          <w:b w:val="0"/>
        </w:rPr>
      </w:pPr>
      <w:r w:rsidRPr="00CF2F25">
        <w:rPr>
          <w:b w:val="0"/>
        </w:rPr>
        <w:t>that defined?</w:t>
      </w:r>
      <w:r w:rsidRPr="00CF2F25">
        <w:rPr>
          <w:b w:val="0"/>
        </w:rPr>
        <w:tab/>
      </w:r>
      <w:r w:rsidRPr="00CF2F25">
        <w:rPr>
          <w:b w:val="0"/>
        </w:rPr>
        <w:tab/>
        <w:t>2565</w:t>
      </w:r>
    </w:p>
    <w:p w14:paraId="5125F1AF" w14:textId="77777777" w:rsidR="00655396" w:rsidRPr="00CF2F25" w:rsidRDefault="00655396" w:rsidP="008B512B">
      <w:pPr>
        <w:pStyle w:val="ContentQuestion"/>
        <w:spacing w:line="240" w:lineRule="auto"/>
        <w:rPr>
          <w:b w:val="0"/>
        </w:rPr>
      </w:pPr>
      <w:r w:rsidRPr="00CF2F25">
        <w:rPr>
          <w:b w:val="0"/>
        </w:rPr>
        <w:t>3.</w:t>
      </w:r>
      <w:r w:rsidRPr="00CF2F25">
        <w:rPr>
          <w:b w:val="0"/>
        </w:rPr>
        <w:tab/>
        <w:t xml:space="preserve">What must the plaintiff be able to show to prove the </w:t>
      </w:r>
    </w:p>
    <w:p w14:paraId="37B59E05" w14:textId="77777777" w:rsidR="00655396" w:rsidRPr="00CF2F25" w:rsidRDefault="00655396" w:rsidP="008B512B">
      <w:pPr>
        <w:pStyle w:val="ContentQuestionlastline"/>
        <w:spacing w:line="240" w:lineRule="auto"/>
        <w:rPr>
          <w:b w:val="0"/>
        </w:rPr>
      </w:pPr>
      <w:r w:rsidRPr="00CF2F25">
        <w:rPr>
          <w:b w:val="0"/>
        </w:rPr>
        <w:t>existence of an enforceable covenant not to compete?</w:t>
      </w:r>
      <w:r w:rsidRPr="00CF2F25">
        <w:rPr>
          <w:b w:val="0"/>
        </w:rPr>
        <w:tab/>
      </w:r>
      <w:r w:rsidRPr="00CF2F25">
        <w:rPr>
          <w:b w:val="0"/>
        </w:rPr>
        <w:tab/>
        <w:t>2590</w:t>
      </w:r>
    </w:p>
    <w:p w14:paraId="4D7BE5F4" w14:textId="77777777" w:rsidR="00655396" w:rsidRPr="00CF2F25" w:rsidRDefault="00655396" w:rsidP="008B512B">
      <w:pPr>
        <w:pStyle w:val="ContentSubquestion"/>
        <w:spacing w:line="240" w:lineRule="auto"/>
        <w:rPr>
          <w:b w:val="0"/>
        </w:rPr>
      </w:pPr>
      <w:r w:rsidRPr="00CF2F25">
        <w:rPr>
          <w:b w:val="0"/>
        </w:rPr>
        <w:t>a.</w:t>
      </w:r>
      <w:r w:rsidRPr="00CF2F25">
        <w:rPr>
          <w:b w:val="0"/>
        </w:rPr>
        <w:tab/>
        <w:t xml:space="preserve">Does the signing of a covenant not to compete </w:t>
      </w:r>
    </w:p>
    <w:p w14:paraId="2531AE10" w14:textId="77777777" w:rsidR="00655396" w:rsidRPr="00CF2F25" w:rsidRDefault="00655396" w:rsidP="008B512B">
      <w:pPr>
        <w:pStyle w:val="ContentSubquestionlastline"/>
        <w:spacing w:line="240" w:lineRule="auto"/>
        <w:rPr>
          <w:b w:val="0"/>
        </w:rPr>
      </w:pPr>
      <w:r w:rsidRPr="00CF2F25">
        <w:rPr>
          <w:b w:val="0"/>
        </w:rPr>
        <w:t xml:space="preserve">at the inception of the employment relationship </w:t>
      </w:r>
    </w:p>
    <w:p w14:paraId="7DEF6F47" w14:textId="77777777" w:rsidR="00655396" w:rsidRPr="00CF2F25" w:rsidRDefault="00655396" w:rsidP="008B512B">
      <w:pPr>
        <w:pStyle w:val="ContentSubquestionlastline"/>
        <w:spacing w:line="240" w:lineRule="auto"/>
        <w:rPr>
          <w:b w:val="0"/>
        </w:rPr>
      </w:pPr>
      <w:r w:rsidRPr="00CF2F25">
        <w:rPr>
          <w:b w:val="0"/>
        </w:rPr>
        <w:t xml:space="preserve">provide sufficient consideration to support </w:t>
      </w:r>
    </w:p>
    <w:p w14:paraId="658D0455" w14:textId="77777777" w:rsidR="00655396" w:rsidRPr="00CF2F25" w:rsidRDefault="00655396" w:rsidP="008B512B">
      <w:pPr>
        <w:pStyle w:val="ContentSubquestionlastline"/>
        <w:spacing w:line="240" w:lineRule="auto"/>
        <w:rPr>
          <w:b w:val="0"/>
        </w:rPr>
      </w:pPr>
      <w:r w:rsidRPr="00CF2F25">
        <w:rPr>
          <w:b w:val="0"/>
        </w:rPr>
        <w:t>the covenant?</w:t>
      </w:r>
      <w:r w:rsidRPr="00CF2F25">
        <w:rPr>
          <w:b w:val="0"/>
        </w:rPr>
        <w:tab/>
      </w:r>
      <w:r w:rsidRPr="00CF2F25">
        <w:rPr>
          <w:b w:val="0"/>
        </w:rPr>
        <w:tab/>
        <w:t>2607</w:t>
      </w:r>
    </w:p>
    <w:p w14:paraId="6DEC0F5C" w14:textId="77777777" w:rsidR="00655396" w:rsidRPr="00CF2F25" w:rsidRDefault="00655396" w:rsidP="008B512B">
      <w:pPr>
        <w:pStyle w:val="ContentSubquestion"/>
        <w:spacing w:line="240" w:lineRule="auto"/>
        <w:rPr>
          <w:b w:val="0"/>
        </w:rPr>
      </w:pPr>
      <w:r w:rsidRPr="00CF2F25">
        <w:rPr>
          <w:b w:val="0"/>
        </w:rPr>
        <w:t>b.</w:t>
      </w:r>
      <w:r w:rsidRPr="00CF2F25">
        <w:rPr>
          <w:b w:val="0"/>
        </w:rPr>
        <w:tab/>
        <w:t xml:space="preserve">Will a change in the terms of employment </w:t>
      </w:r>
    </w:p>
    <w:p w14:paraId="14163E80" w14:textId="77777777" w:rsidR="00655396" w:rsidRPr="00CF2F25" w:rsidRDefault="00655396" w:rsidP="008B512B">
      <w:pPr>
        <w:pStyle w:val="ContentSubquestionlastline"/>
        <w:tabs>
          <w:tab w:val="left" w:pos="480"/>
        </w:tabs>
        <w:spacing w:line="240" w:lineRule="auto"/>
        <w:rPr>
          <w:b w:val="0"/>
        </w:rPr>
      </w:pPr>
      <w:r w:rsidRPr="00CF2F25">
        <w:rPr>
          <w:b w:val="0"/>
        </w:rPr>
        <w:t xml:space="preserve">provide sufficient consideration to support a </w:t>
      </w:r>
    </w:p>
    <w:p w14:paraId="34687491" w14:textId="77777777" w:rsidR="00655396" w:rsidRPr="00CF2F25" w:rsidRDefault="00655396" w:rsidP="008B512B">
      <w:pPr>
        <w:pStyle w:val="ContentSubquestionlastline"/>
        <w:tabs>
          <w:tab w:val="left" w:pos="480"/>
        </w:tabs>
        <w:spacing w:line="240" w:lineRule="auto"/>
        <w:rPr>
          <w:b w:val="0"/>
        </w:rPr>
      </w:pPr>
      <w:r w:rsidRPr="00CF2F25">
        <w:rPr>
          <w:b w:val="0"/>
        </w:rPr>
        <w:t xml:space="preserve">covenant not to compete entered into after the </w:t>
      </w:r>
    </w:p>
    <w:p w14:paraId="264C9DC4" w14:textId="77777777" w:rsidR="00655396" w:rsidRPr="00CF2F25" w:rsidRDefault="00655396" w:rsidP="008B512B">
      <w:pPr>
        <w:pStyle w:val="ContentSubquestionlastline"/>
        <w:spacing w:line="240" w:lineRule="auto"/>
        <w:rPr>
          <w:b w:val="0"/>
        </w:rPr>
      </w:pPr>
      <w:r w:rsidRPr="00CF2F25">
        <w:rPr>
          <w:b w:val="0"/>
        </w:rPr>
        <w:t>employment relationship has begun?</w:t>
      </w:r>
      <w:r w:rsidRPr="00CF2F25">
        <w:rPr>
          <w:b w:val="0"/>
        </w:rPr>
        <w:tab/>
      </w:r>
      <w:r w:rsidRPr="00CF2F25">
        <w:rPr>
          <w:b w:val="0"/>
        </w:rPr>
        <w:tab/>
        <w:t>2607</w:t>
      </w:r>
    </w:p>
    <w:p w14:paraId="644D3FCB" w14:textId="77777777" w:rsidR="00655396" w:rsidRPr="00CF2F25" w:rsidRDefault="00655396" w:rsidP="008B512B">
      <w:pPr>
        <w:pStyle w:val="ContentSubquestion"/>
        <w:spacing w:line="240" w:lineRule="auto"/>
        <w:rPr>
          <w:b w:val="0"/>
        </w:rPr>
      </w:pPr>
      <w:r w:rsidRPr="00CF2F25">
        <w:rPr>
          <w:b w:val="0"/>
        </w:rPr>
        <w:t>c.</w:t>
      </w:r>
      <w:r w:rsidRPr="00CF2F25">
        <w:rPr>
          <w:b w:val="0"/>
        </w:rPr>
        <w:tab/>
        <w:t>Will continued employment provide sufficient</w:t>
      </w:r>
    </w:p>
    <w:p w14:paraId="0295358D" w14:textId="77777777" w:rsidR="00655396" w:rsidRPr="00CF2F25" w:rsidRDefault="00655396" w:rsidP="008B512B">
      <w:pPr>
        <w:pStyle w:val="ContentSubquestionlastline"/>
        <w:spacing w:line="240" w:lineRule="auto"/>
        <w:rPr>
          <w:b w:val="0"/>
        </w:rPr>
      </w:pPr>
      <w:r w:rsidRPr="00CF2F25">
        <w:rPr>
          <w:b w:val="0"/>
        </w:rPr>
        <w:t xml:space="preserve">consideration to support a covenant not to </w:t>
      </w:r>
    </w:p>
    <w:p w14:paraId="31341DCB" w14:textId="77777777" w:rsidR="00655396" w:rsidRPr="00CF2F25" w:rsidRDefault="00655396" w:rsidP="008B512B">
      <w:pPr>
        <w:pStyle w:val="ContentSubquestionlastline"/>
        <w:spacing w:line="240" w:lineRule="auto"/>
        <w:rPr>
          <w:b w:val="0"/>
        </w:rPr>
      </w:pPr>
      <w:r w:rsidRPr="00CF2F25">
        <w:rPr>
          <w:b w:val="0"/>
        </w:rPr>
        <w:t xml:space="preserve">compete entered into after the employment </w:t>
      </w:r>
    </w:p>
    <w:p w14:paraId="3767B7BC" w14:textId="77777777" w:rsidR="00655396" w:rsidRPr="00CF2F25" w:rsidRDefault="00655396" w:rsidP="008B512B">
      <w:pPr>
        <w:pStyle w:val="ContentSubquestionlastline"/>
        <w:spacing w:line="240" w:lineRule="auto"/>
        <w:rPr>
          <w:b w:val="0"/>
        </w:rPr>
      </w:pPr>
      <w:r w:rsidRPr="00CF2F25">
        <w:rPr>
          <w:b w:val="0"/>
        </w:rPr>
        <w:t>relationship has begun?</w:t>
      </w:r>
      <w:r w:rsidRPr="00CF2F25">
        <w:rPr>
          <w:b w:val="0"/>
        </w:rPr>
        <w:tab/>
      </w:r>
      <w:r w:rsidRPr="00CF2F25">
        <w:rPr>
          <w:b w:val="0"/>
        </w:rPr>
        <w:tab/>
        <w:t>2608</w:t>
      </w:r>
    </w:p>
    <w:p w14:paraId="2100809D" w14:textId="77777777" w:rsidR="00655396" w:rsidRPr="00CF2F25" w:rsidRDefault="00655396" w:rsidP="008B512B">
      <w:pPr>
        <w:pStyle w:val="ContentSubquestion"/>
        <w:spacing w:line="240" w:lineRule="auto"/>
        <w:rPr>
          <w:b w:val="0"/>
        </w:rPr>
      </w:pPr>
      <w:r w:rsidRPr="00CF2F25">
        <w:rPr>
          <w:b w:val="0"/>
        </w:rPr>
        <w:t>d.</w:t>
      </w:r>
      <w:r w:rsidRPr="00CF2F25">
        <w:rPr>
          <w:b w:val="0"/>
        </w:rPr>
        <w:tab/>
        <w:t xml:space="preserve">What factors will the court consider in </w:t>
      </w:r>
    </w:p>
    <w:p w14:paraId="2B52CE4B" w14:textId="77777777" w:rsidR="00655396" w:rsidRPr="00CF2F25" w:rsidRDefault="00655396" w:rsidP="008B512B">
      <w:pPr>
        <w:pStyle w:val="ContentSubquestionlastline"/>
        <w:spacing w:line="240" w:lineRule="auto"/>
        <w:rPr>
          <w:b w:val="0"/>
        </w:rPr>
      </w:pPr>
      <w:r w:rsidRPr="00CF2F25">
        <w:rPr>
          <w:b w:val="0"/>
        </w:rPr>
        <w:t xml:space="preserve">determining whether time and geographic </w:t>
      </w:r>
    </w:p>
    <w:p w14:paraId="22C0E31F" w14:textId="77777777" w:rsidR="00655396" w:rsidRPr="00CF2F25" w:rsidRDefault="00655396" w:rsidP="008B512B">
      <w:pPr>
        <w:pStyle w:val="ContentSubquestionlastline"/>
        <w:spacing w:line="240" w:lineRule="auto"/>
        <w:rPr>
          <w:b w:val="0"/>
        </w:rPr>
      </w:pPr>
      <w:r w:rsidRPr="00CF2F25">
        <w:rPr>
          <w:b w:val="0"/>
        </w:rPr>
        <w:t>restrictions in the covenant are reasonable?</w:t>
      </w:r>
      <w:r w:rsidRPr="00CF2F25">
        <w:rPr>
          <w:b w:val="0"/>
        </w:rPr>
        <w:tab/>
      </w:r>
      <w:r w:rsidRPr="00CF2F25">
        <w:rPr>
          <w:b w:val="0"/>
        </w:rPr>
        <w:tab/>
        <w:t>2615</w:t>
      </w:r>
    </w:p>
    <w:p w14:paraId="5CD5E7DD" w14:textId="77777777" w:rsidR="00655396" w:rsidRPr="00CF2F25" w:rsidRDefault="00655396" w:rsidP="008B512B">
      <w:pPr>
        <w:pStyle w:val="ContentSubquestion"/>
        <w:spacing w:line="240" w:lineRule="auto"/>
        <w:rPr>
          <w:b w:val="0"/>
        </w:rPr>
      </w:pPr>
      <w:r w:rsidRPr="00CF2F25">
        <w:rPr>
          <w:b w:val="0"/>
        </w:rPr>
        <w:t>e.</w:t>
      </w:r>
      <w:r w:rsidRPr="00CF2F25">
        <w:rPr>
          <w:b w:val="0"/>
        </w:rPr>
        <w:tab/>
        <w:t xml:space="preserve">Who has the burden of proving the </w:t>
      </w:r>
    </w:p>
    <w:p w14:paraId="152CEDB1" w14:textId="77777777" w:rsidR="00655396" w:rsidRPr="00CF2F25" w:rsidRDefault="00655396" w:rsidP="008B512B">
      <w:pPr>
        <w:pStyle w:val="ContentSubquestionlastline"/>
        <w:spacing w:line="240" w:lineRule="auto"/>
        <w:rPr>
          <w:b w:val="0"/>
        </w:rPr>
      </w:pPr>
      <w:r w:rsidRPr="00CF2F25">
        <w:rPr>
          <w:b w:val="0"/>
        </w:rPr>
        <w:t xml:space="preserve">reasonableness or unreasonableness of the </w:t>
      </w:r>
    </w:p>
    <w:p w14:paraId="77A7620F" w14:textId="77777777" w:rsidR="00655396" w:rsidRPr="00CF2F25" w:rsidRDefault="00655396" w:rsidP="008B512B">
      <w:pPr>
        <w:pStyle w:val="ContentSubquestionlastline"/>
        <w:spacing w:line="240" w:lineRule="auto"/>
        <w:rPr>
          <w:b w:val="0"/>
        </w:rPr>
      </w:pPr>
      <w:r w:rsidRPr="00CF2F25">
        <w:rPr>
          <w:b w:val="0"/>
        </w:rPr>
        <w:t>covenant not to compete?</w:t>
      </w:r>
      <w:r w:rsidRPr="00CF2F25">
        <w:rPr>
          <w:b w:val="0"/>
        </w:rPr>
        <w:tab/>
      </w:r>
      <w:r w:rsidRPr="00CF2F25">
        <w:rPr>
          <w:b w:val="0"/>
        </w:rPr>
        <w:tab/>
        <w:t>2623</w:t>
      </w:r>
    </w:p>
    <w:p w14:paraId="6B69D394" w14:textId="77777777" w:rsidR="00655396" w:rsidRPr="00CF2F25" w:rsidRDefault="00655396" w:rsidP="008B512B">
      <w:pPr>
        <w:pStyle w:val="ContentSubquestion"/>
        <w:spacing w:line="240" w:lineRule="auto"/>
        <w:rPr>
          <w:b w:val="0"/>
        </w:rPr>
      </w:pPr>
      <w:r w:rsidRPr="00CF2F25">
        <w:rPr>
          <w:b w:val="0"/>
        </w:rPr>
        <w:t>f.</w:t>
      </w:r>
      <w:r w:rsidRPr="00CF2F25">
        <w:rPr>
          <w:b w:val="0"/>
        </w:rPr>
        <w:tab/>
        <w:t xml:space="preserve">What type of time or geographic restrictions </w:t>
      </w:r>
    </w:p>
    <w:p w14:paraId="55E6D7F7" w14:textId="77777777" w:rsidR="00655396" w:rsidRPr="00CF2F25" w:rsidRDefault="00655396" w:rsidP="008B512B">
      <w:pPr>
        <w:pStyle w:val="ContentSubquestionlastline"/>
        <w:spacing w:line="240" w:lineRule="auto"/>
        <w:rPr>
          <w:b w:val="0"/>
        </w:rPr>
      </w:pPr>
      <w:r w:rsidRPr="00CF2F25">
        <w:rPr>
          <w:b w:val="0"/>
        </w:rPr>
        <w:t xml:space="preserve">has the court found to be reasonable? </w:t>
      </w:r>
    </w:p>
    <w:p w14:paraId="13F7FAAC" w14:textId="77777777" w:rsidR="00655396" w:rsidRPr="00CF2F25" w:rsidRDefault="00655396" w:rsidP="008B512B">
      <w:pPr>
        <w:pStyle w:val="ContentSubquestionlastline"/>
        <w:spacing w:line="240" w:lineRule="auto"/>
        <w:rPr>
          <w:b w:val="0"/>
        </w:rPr>
      </w:pPr>
      <w:r w:rsidRPr="00CF2F25">
        <w:rPr>
          <w:b w:val="0"/>
        </w:rPr>
        <w:t>Unreasonable?</w:t>
      </w:r>
      <w:r w:rsidRPr="00CF2F25">
        <w:rPr>
          <w:b w:val="0"/>
        </w:rPr>
        <w:tab/>
      </w:r>
      <w:r w:rsidRPr="00CF2F25">
        <w:rPr>
          <w:b w:val="0"/>
        </w:rPr>
        <w:tab/>
        <w:t>2623</w:t>
      </w:r>
    </w:p>
    <w:p w14:paraId="2B584717" w14:textId="77777777" w:rsidR="00655396" w:rsidRPr="00CF2F25" w:rsidRDefault="00655396" w:rsidP="008B512B">
      <w:pPr>
        <w:pStyle w:val="ContentSubquestion"/>
        <w:spacing w:line="240" w:lineRule="auto"/>
        <w:rPr>
          <w:b w:val="0"/>
        </w:rPr>
      </w:pPr>
      <w:r w:rsidRPr="00CF2F25">
        <w:rPr>
          <w:b w:val="0"/>
        </w:rPr>
        <w:t>g.</w:t>
      </w:r>
      <w:r w:rsidRPr="00CF2F25">
        <w:rPr>
          <w:b w:val="0"/>
        </w:rPr>
        <w:tab/>
        <w:t xml:space="preserve">Will the court allow a customer restriction to </w:t>
      </w:r>
    </w:p>
    <w:p w14:paraId="74AC1671" w14:textId="77777777" w:rsidR="00655396" w:rsidRPr="00CF2F25" w:rsidRDefault="00655396" w:rsidP="008B512B">
      <w:pPr>
        <w:pStyle w:val="ContentSubquestionlastline"/>
        <w:spacing w:line="240" w:lineRule="auto"/>
        <w:rPr>
          <w:b w:val="0"/>
        </w:rPr>
      </w:pPr>
      <w:r w:rsidRPr="00CF2F25">
        <w:rPr>
          <w:b w:val="0"/>
        </w:rPr>
        <w:t xml:space="preserve">substitute for, or complement, a geographic </w:t>
      </w:r>
    </w:p>
    <w:p w14:paraId="08E5EC22" w14:textId="77777777" w:rsidR="00655396" w:rsidRPr="00CF2F25" w:rsidRDefault="00655396" w:rsidP="008B512B">
      <w:pPr>
        <w:pStyle w:val="ContentSubquestionlastline"/>
        <w:spacing w:line="240" w:lineRule="auto"/>
        <w:rPr>
          <w:b w:val="0"/>
        </w:rPr>
      </w:pPr>
      <w:r w:rsidRPr="00CF2F25">
        <w:rPr>
          <w:b w:val="0"/>
        </w:rPr>
        <w:t>restriction?</w:t>
      </w:r>
      <w:r w:rsidRPr="00CF2F25">
        <w:rPr>
          <w:b w:val="0"/>
        </w:rPr>
        <w:tab/>
      </w:r>
      <w:r w:rsidRPr="00CF2F25">
        <w:rPr>
          <w:b w:val="0"/>
        </w:rPr>
        <w:tab/>
        <w:t>2640</w:t>
      </w:r>
    </w:p>
    <w:p w14:paraId="77A08A39" w14:textId="77777777" w:rsidR="00655396" w:rsidRPr="00CF2F25" w:rsidRDefault="00655396" w:rsidP="008B512B">
      <w:pPr>
        <w:pStyle w:val="ContentQuestion"/>
        <w:spacing w:line="240" w:lineRule="auto"/>
        <w:rPr>
          <w:b w:val="0"/>
        </w:rPr>
      </w:pPr>
      <w:r w:rsidRPr="00CF2F25">
        <w:rPr>
          <w:b w:val="0"/>
        </w:rPr>
        <w:t>4.</w:t>
      </w:r>
      <w:r w:rsidRPr="00CF2F25">
        <w:rPr>
          <w:b w:val="0"/>
        </w:rPr>
        <w:tab/>
        <w:t xml:space="preserve">If the restrictions in the covenant not to compete are </w:t>
      </w:r>
    </w:p>
    <w:p w14:paraId="64E39D8C" w14:textId="77777777" w:rsidR="00655396" w:rsidRPr="00CF2F25" w:rsidRDefault="00655396" w:rsidP="008B512B">
      <w:pPr>
        <w:pStyle w:val="ContentQuestionlastline"/>
        <w:spacing w:line="240" w:lineRule="auto"/>
        <w:rPr>
          <w:b w:val="0"/>
        </w:rPr>
      </w:pPr>
      <w:r w:rsidRPr="00CF2F25">
        <w:rPr>
          <w:b w:val="0"/>
        </w:rPr>
        <w:t xml:space="preserve">unenforceable because they are overbroad, are the </w:t>
      </w:r>
    </w:p>
    <w:p w14:paraId="0B1FF2FB" w14:textId="77777777" w:rsidR="00655396" w:rsidRPr="00CF2F25" w:rsidRDefault="00655396" w:rsidP="008B512B">
      <w:pPr>
        <w:pStyle w:val="ContentQuestionlastline"/>
        <w:spacing w:line="240" w:lineRule="auto"/>
        <w:rPr>
          <w:b w:val="0"/>
        </w:rPr>
      </w:pPr>
      <w:r w:rsidRPr="00CF2F25">
        <w:rPr>
          <w:b w:val="0"/>
        </w:rPr>
        <w:lastRenderedPageBreak/>
        <w:t xml:space="preserve">courts permitted to modify the covenant to make </w:t>
      </w:r>
    </w:p>
    <w:p w14:paraId="63B948F8" w14:textId="77777777" w:rsidR="00655396" w:rsidRPr="00CF2F25" w:rsidRDefault="00655396" w:rsidP="008B512B">
      <w:pPr>
        <w:pStyle w:val="ContentQuestionlastline"/>
        <w:spacing w:line="240" w:lineRule="auto"/>
        <w:rPr>
          <w:b w:val="0"/>
        </w:rPr>
      </w:pPr>
      <w:r w:rsidRPr="00CF2F25">
        <w:rPr>
          <w:b w:val="0"/>
        </w:rPr>
        <w:t xml:space="preserve">the restrictions more narrow and to make the </w:t>
      </w:r>
    </w:p>
    <w:p w14:paraId="56313E5D" w14:textId="77777777" w:rsidR="00655396" w:rsidRPr="00CF2F25" w:rsidRDefault="00655396" w:rsidP="008B512B">
      <w:pPr>
        <w:pStyle w:val="ContentQuestionlastline"/>
        <w:spacing w:line="240" w:lineRule="auto"/>
        <w:rPr>
          <w:b w:val="0"/>
        </w:rPr>
      </w:pPr>
      <w:r w:rsidRPr="00CF2F25">
        <w:rPr>
          <w:b w:val="0"/>
        </w:rPr>
        <w:t xml:space="preserve">covenant enforceable? If so, under what circumstances </w:t>
      </w:r>
    </w:p>
    <w:p w14:paraId="3A3261AF" w14:textId="77777777" w:rsidR="00655396" w:rsidRPr="00CF2F25" w:rsidRDefault="00655396" w:rsidP="008B512B">
      <w:pPr>
        <w:pStyle w:val="ContentQuestionlastline"/>
        <w:spacing w:line="240" w:lineRule="auto"/>
        <w:rPr>
          <w:b w:val="0"/>
        </w:rPr>
      </w:pPr>
      <w:r w:rsidRPr="00CF2F25">
        <w:rPr>
          <w:b w:val="0"/>
        </w:rPr>
        <w:t xml:space="preserve">will the courts allow reduction and what form of </w:t>
      </w:r>
    </w:p>
    <w:p w14:paraId="39DA3FA1" w14:textId="77777777" w:rsidR="00655396" w:rsidRPr="00CF2F25" w:rsidRDefault="00655396" w:rsidP="008B512B">
      <w:pPr>
        <w:pStyle w:val="ContentQuestionlastline"/>
        <w:spacing w:line="240" w:lineRule="auto"/>
        <w:rPr>
          <w:b w:val="0"/>
        </w:rPr>
      </w:pPr>
      <w:r w:rsidRPr="00CF2F25">
        <w:rPr>
          <w:b w:val="0"/>
        </w:rPr>
        <w:t>reduction will the courts permit?</w:t>
      </w:r>
      <w:r w:rsidRPr="00CF2F25">
        <w:rPr>
          <w:b w:val="0"/>
        </w:rPr>
        <w:tab/>
      </w:r>
      <w:r w:rsidRPr="00CF2F25">
        <w:rPr>
          <w:b w:val="0"/>
        </w:rPr>
        <w:tab/>
        <w:t>2642</w:t>
      </w:r>
    </w:p>
    <w:p w14:paraId="04C7E127" w14:textId="77777777" w:rsidR="00655396" w:rsidRPr="00CF2F25" w:rsidRDefault="00655396" w:rsidP="008B512B">
      <w:pPr>
        <w:pStyle w:val="ContentQuestion"/>
        <w:spacing w:line="240" w:lineRule="auto"/>
        <w:rPr>
          <w:b w:val="0"/>
        </w:rPr>
      </w:pPr>
      <w:r w:rsidRPr="00CF2F25">
        <w:rPr>
          <w:b w:val="0"/>
        </w:rPr>
        <w:t>5.</w:t>
      </w:r>
      <w:r w:rsidRPr="00CF2F25">
        <w:rPr>
          <w:b w:val="0"/>
        </w:rPr>
        <w:tab/>
        <w:t xml:space="preserve">What must the employer prove to obtain a </w:t>
      </w:r>
    </w:p>
    <w:p w14:paraId="03154A99" w14:textId="77777777" w:rsidR="00655396" w:rsidRPr="00CF2F25" w:rsidRDefault="00655396" w:rsidP="008B512B">
      <w:pPr>
        <w:pStyle w:val="ContentQuestionlastline"/>
        <w:spacing w:line="240" w:lineRule="auto"/>
        <w:rPr>
          <w:b w:val="0"/>
        </w:rPr>
      </w:pPr>
      <w:r w:rsidRPr="00CF2F25">
        <w:rPr>
          <w:b w:val="0"/>
        </w:rPr>
        <w:t xml:space="preserve">preliminary injunction enforcing the covenant not </w:t>
      </w:r>
    </w:p>
    <w:p w14:paraId="62DB7040" w14:textId="77777777" w:rsidR="00655396" w:rsidRPr="00CF2F25" w:rsidRDefault="00655396" w:rsidP="008B512B">
      <w:pPr>
        <w:pStyle w:val="ContentQuestionlastline"/>
        <w:spacing w:line="240" w:lineRule="auto"/>
        <w:rPr>
          <w:b w:val="0"/>
        </w:rPr>
      </w:pPr>
      <w:r w:rsidRPr="00CF2F25">
        <w:rPr>
          <w:b w:val="0"/>
        </w:rPr>
        <w:t>to compete?</w:t>
      </w:r>
      <w:r w:rsidRPr="00CF2F25">
        <w:rPr>
          <w:b w:val="0"/>
        </w:rPr>
        <w:tab/>
      </w:r>
      <w:r w:rsidRPr="00CF2F25">
        <w:rPr>
          <w:b w:val="0"/>
        </w:rPr>
        <w:tab/>
        <w:t>2646</w:t>
      </w:r>
    </w:p>
    <w:p w14:paraId="176E2896" w14:textId="77777777" w:rsidR="00655396" w:rsidRPr="00CF2F25" w:rsidRDefault="00655396" w:rsidP="008B512B">
      <w:pPr>
        <w:pStyle w:val="ContentQuestion"/>
        <w:spacing w:line="240" w:lineRule="auto"/>
        <w:rPr>
          <w:b w:val="0"/>
        </w:rPr>
      </w:pPr>
      <w:r w:rsidRPr="00CF2F25">
        <w:rPr>
          <w:b w:val="0"/>
        </w:rPr>
        <w:t>6.</w:t>
      </w:r>
      <w:r w:rsidRPr="00CF2F25">
        <w:rPr>
          <w:b w:val="0"/>
        </w:rPr>
        <w:tab/>
        <w:t xml:space="preserve">If it is a necessary element of proof, how does the </w:t>
      </w:r>
    </w:p>
    <w:p w14:paraId="7817CB18" w14:textId="77777777" w:rsidR="00655396" w:rsidRPr="00CF2F25" w:rsidRDefault="00655396" w:rsidP="008B512B">
      <w:pPr>
        <w:pStyle w:val="ContentQuestionlastline"/>
        <w:spacing w:line="240" w:lineRule="auto"/>
        <w:rPr>
          <w:b w:val="0"/>
        </w:rPr>
      </w:pPr>
      <w:r w:rsidRPr="00CF2F25">
        <w:rPr>
          <w:b w:val="0"/>
        </w:rPr>
        <w:t>employer establish irreparable harm?</w:t>
      </w:r>
      <w:r w:rsidRPr="00CF2F25">
        <w:rPr>
          <w:b w:val="0"/>
        </w:rPr>
        <w:tab/>
      </w:r>
      <w:r w:rsidRPr="00CF2F25">
        <w:rPr>
          <w:b w:val="0"/>
        </w:rPr>
        <w:tab/>
        <w:t>2656</w:t>
      </w:r>
    </w:p>
    <w:p w14:paraId="43D7584C" w14:textId="77777777" w:rsidR="00655396" w:rsidRPr="00CF2F25" w:rsidRDefault="00655396" w:rsidP="008B512B">
      <w:pPr>
        <w:pStyle w:val="ContentQuestion"/>
        <w:spacing w:line="240" w:lineRule="auto"/>
        <w:rPr>
          <w:b w:val="0"/>
        </w:rPr>
      </w:pPr>
      <w:r w:rsidRPr="00CF2F25">
        <w:rPr>
          <w:b w:val="0"/>
        </w:rPr>
        <w:t>7.</w:t>
      </w:r>
      <w:r w:rsidRPr="00CF2F25">
        <w:rPr>
          <w:b w:val="0"/>
        </w:rPr>
        <w:tab/>
        <w:t xml:space="preserve">What is the standard of review on appeal of a trial </w:t>
      </w:r>
    </w:p>
    <w:p w14:paraId="376329C3" w14:textId="77777777" w:rsidR="00655396" w:rsidRPr="00CF2F25" w:rsidRDefault="00655396" w:rsidP="008B512B">
      <w:pPr>
        <w:pStyle w:val="ContentQuestionlastline"/>
        <w:spacing w:line="240" w:lineRule="auto"/>
        <w:rPr>
          <w:b w:val="0"/>
        </w:rPr>
      </w:pPr>
      <w:r w:rsidRPr="00CF2F25">
        <w:rPr>
          <w:b w:val="0"/>
        </w:rPr>
        <w:t xml:space="preserve">judge’s decision, following a preliminary injunction </w:t>
      </w:r>
    </w:p>
    <w:p w14:paraId="7245E29F" w14:textId="77777777" w:rsidR="00655396" w:rsidRPr="00CF2F25" w:rsidRDefault="00655396" w:rsidP="008B512B">
      <w:pPr>
        <w:pStyle w:val="ContentQuestionlastline"/>
        <w:spacing w:line="240" w:lineRule="auto"/>
        <w:rPr>
          <w:b w:val="0"/>
        </w:rPr>
      </w:pPr>
      <w:r w:rsidRPr="00CF2F25">
        <w:rPr>
          <w:b w:val="0"/>
        </w:rPr>
        <w:t xml:space="preserve">hearing, enforcing or refusing to enforce a covenant </w:t>
      </w:r>
    </w:p>
    <w:p w14:paraId="7E13E438" w14:textId="77777777" w:rsidR="00655396" w:rsidRPr="00CF2F25" w:rsidRDefault="00655396" w:rsidP="008B512B">
      <w:pPr>
        <w:pStyle w:val="ContentQuestionlastline"/>
        <w:spacing w:line="240" w:lineRule="auto"/>
        <w:rPr>
          <w:b w:val="0"/>
        </w:rPr>
      </w:pPr>
      <w:r w:rsidRPr="00CF2F25">
        <w:rPr>
          <w:b w:val="0"/>
        </w:rPr>
        <w:t>not to compete?</w:t>
      </w:r>
      <w:r w:rsidRPr="00CF2F25">
        <w:rPr>
          <w:b w:val="0"/>
        </w:rPr>
        <w:tab/>
      </w:r>
      <w:r w:rsidRPr="00CF2F25">
        <w:rPr>
          <w:b w:val="0"/>
        </w:rPr>
        <w:tab/>
        <w:t>2658</w:t>
      </w:r>
    </w:p>
    <w:p w14:paraId="5C273F4A" w14:textId="77777777" w:rsidR="00655396" w:rsidRPr="00CF2F25" w:rsidRDefault="00655396" w:rsidP="008B512B">
      <w:pPr>
        <w:pStyle w:val="ContentQuestion"/>
        <w:spacing w:line="240" w:lineRule="auto"/>
        <w:rPr>
          <w:b w:val="0"/>
        </w:rPr>
      </w:pPr>
      <w:r w:rsidRPr="00CF2F25">
        <w:rPr>
          <w:b w:val="0"/>
        </w:rPr>
        <w:t>8.</w:t>
      </w:r>
      <w:r w:rsidRPr="00CF2F25">
        <w:rPr>
          <w:b w:val="0"/>
        </w:rPr>
        <w:tab/>
        <w:t xml:space="preserve">If the employer terminates the employment </w:t>
      </w:r>
    </w:p>
    <w:p w14:paraId="68B3D8F7" w14:textId="77777777" w:rsidR="00655396" w:rsidRPr="00CF2F25" w:rsidRDefault="00655396" w:rsidP="008B512B">
      <w:pPr>
        <w:pStyle w:val="ContentQuestionlastline"/>
        <w:spacing w:line="240" w:lineRule="auto"/>
        <w:rPr>
          <w:b w:val="0"/>
        </w:rPr>
      </w:pPr>
      <w:r w:rsidRPr="00CF2F25">
        <w:rPr>
          <w:b w:val="0"/>
        </w:rPr>
        <w:t>relationship, is the covenant enforceable?</w:t>
      </w:r>
      <w:r w:rsidRPr="00CF2F25">
        <w:rPr>
          <w:b w:val="0"/>
        </w:rPr>
        <w:tab/>
      </w:r>
      <w:r w:rsidRPr="00CF2F25">
        <w:rPr>
          <w:b w:val="0"/>
        </w:rPr>
        <w:tab/>
        <w:t>2663</w:t>
      </w:r>
    </w:p>
    <w:p w14:paraId="569768D3" w14:textId="77777777" w:rsidR="00655396" w:rsidRPr="00CF2F25" w:rsidRDefault="00655396" w:rsidP="008B512B">
      <w:pPr>
        <w:pStyle w:val="ContentQuestion"/>
        <w:spacing w:line="240" w:lineRule="auto"/>
        <w:rPr>
          <w:b w:val="0"/>
        </w:rPr>
      </w:pPr>
      <w:r w:rsidRPr="00CF2F25">
        <w:rPr>
          <w:b w:val="0"/>
        </w:rPr>
        <w:t>9.</w:t>
      </w:r>
      <w:r w:rsidRPr="00CF2F25">
        <w:rPr>
          <w:b w:val="0"/>
        </w:rPr>
        <w:tab/>
        <w:t xml:space="preserve">If the court finds the employee has breached the </w:t>
      </w:r>
    </w:p>
    <w:p w14:paraId="099D527A" w14:textId="77777777" w:rsidR="00655396" w:rsidRPr="00CF2F25" w:rsidRDefault="00655396" w:rsidP="008B512B">
      <w:pPr>
        <w:pStyle w:val="ContentQuestionlastline"/>
        <w:spacing w:line="240" w:lineRule="auto"/>
        <w:rPr>
          <w:b w:val="0"/>
        </w:rPr>
      </w:pPr>
      <w:r w:rsidRPr="00CF2F25">
        <w:rPr>
          <w:b w:val="0"/>
        </w:rPr>
        <w:t xml:space="preserve">restrictive covenant, will the court measure the period </w:t>
      </w:r>
    </w:p>
    <w:p w14:paraId="7371D467" w14:textId="77777777" w:rsidR="00655396" w:rsidRPr="00CF2F25" w:rsidRDefault="00655396" w:rsidP="008B512B">
      <w:pPr>
        <w:pStyle w:val="ContentQuestionlastline"/>
        <w:spacing w:line="240" w:lineRule="auto"/>
        <w:rPr>
          <w:b w:val="0"/>
        </w:rPr>
      </w:pPr>
      <w:r w:rsidRPr="00CF2F25">
        <w:rPr>
          <w:b w:val="0"/>
        </w:rPr>
        <w:t xml:space="preserve">of injunction from the date of termination of </w:t>
      </w:r>
    </w:p>
    <w:p w14:paraId="70EE7B8F" w14:textId="77777777" w:rsidR="00655396" w:rsidRPr="00CF2F25" w:rsidRDefault="00655396" w:rsidP="008B512B">
      <w:pPr>
        <w:pStyle w:val="ContentQuestionlastline"/>
        <w:spacing w:line="240" w:lineRule="auto"/>
        <w:rPr>
          <w:b w:val="0"/>
        </w:rPr>
      </w:pPr>
      <w:r w:rsidRPr="00CF2F25">
        <w:rPr>
          <w:b w:val="0"/>
        </w:rPr>
        <w:t>employment or from the date of the court order?</w:t>
      </w:r>
      <w:r w:rsidRPr="00CF2F25">
        <w:rPr>
          <w:b w:val="0"/>
        </w:rPr>
        <w:tab/>
      </w:r>
      <w:r w:rsidRPr="00CF2F25">
        <w:rPr>
          <w:b w:val="0"/>
        </w:rPr>
        <w:tab/>
        <w:t>2664</w:t>
      </w:r>
    </w:p>
    <w:p w14:paraId="08071ECE" w14:textId="77777777" w:rsidR="00655396" w:rsidRPr="00CF2F25" w:rsidRDefault="00655396" w:rsidP="008B512B">
      <w:pPr>
        <w:pStyle w:val="ContentQuestion"/>
        <w:spacing w:line="240" w:lineRule="auto"/>
        <w:rPr>
          <w:b w:val="0"/>
        </w:rPr>
      </w:pPr>
      <w:r w:rsidRPr="00CF2F25">
        <w:rPr>
          <w:b w:val="0"/>
        </w:rPr>
        <w:t>10.</w:t>
      </w:r>
      <w:r w:rsidRPr="00CF2F25">
        <w:rPr>
          <w:b w:val="0"/>
        </w:rPr>
        <w:tab/>
        <w:t xml:space="preserve">What damages may an employer recover and from </w:t>
      </w:r>
    </w:p>
    <w:p w14:paraId="14357013" w14:textId="77777777" w:rsidR="00655396" w:rsidRPr="00CF2F25" w:rsidRDefault="00655396" w:rsidP="008B512B">
      <w:pPr>
        <w:pStyle w:val="ContentQuestionlastline"/>
        <w:spacing w:line="240" w:lineRule="auto"/>
        <w:rPr>
          <w:b w:val="0"/>
        </w:rPr>
      </w:pPr>
      <w:r w:rsidRPr="00CF2F25">
        <w:rPr>
          <w:b w:val="0"/>
        </w:rPr>
        <w:t>whom for breach of a covenant not to compete?</w:t>
      </w:r>
      <w:r w:rsidRPr="00CF2F25">
        <w:rPr>
          <w:b w:val="0"/>
        </w:rPr>
        <w:tab/>
      </w:r>
      <w:r w:rsidRPr="00CF2F25">
        <w:rPr>
          <w:b w:val="0"/>
        </w:rPr>
        <w:tab/>
        <w:t>2665</w:t>
      </w:r>
    </w:p>
    <w:p w14:paraId="611934F5" w14:textId="77777777" w:rsidR="00655396" w:rsidRPr="00CF2F25" w:rsidRDefault="00655396" w:rsidP="008B512B">
      <w:pPr>
        <w:pStyle w:val="ContentQuestion"/>
        <w:spacing w:line="240" w:lineRule="auto"/>
        <w:rPr>
          <w:b w:val="0"/>
        </w:rPr>
      </w:pPr>
      <w:r w:rsidRPr="00CF2F25">
        <w:rPr>
          <w:b w:val="0"/>
        </w:rPr>
        <w:t>11.</w:t>
      </w:r>
      <w:r w:rsidRPr="00CF2F25">
        <w:rPr>
          <w:b w:val="0"/>
        </w:rPr>
        <w:tab/>
        <w:t xml:space="preserve">Does a liquidated damage clause for breach of the </w:t>
      </w:r>
    </w:p>
    <w:p w14:paraId="1F1193B7" w14:textId="77777777" w:rsidR="00655396" w:rsidRPr="00CF2F25" w:rsidRDefault="00655396" w:rsidP="008B512B">
      <w:pPr>
        <w:pStyle w:val="ContentQuestionlastline"/>
        <w:spacing w:line="240" w:lineRule="auto"/>
        <w:rPr>
          <w:b w:val="0"/>
        </w:rPr>
      </w:pPr>
      <w:r w:rsidRPr="00CF2F25">
        <w:rPr>
          <w:b w:val="0"/>
        </w:rPr>
        <w:t xml:space="preserve">covenant not to compete preclude injunctive relief to </w:t>
      </w:r>
    </w:p>
    <w:p w14:paraId="005C9EDD" w14:textId="77777777" w:rsidR="00655396" w:rsidRPr="00CF2F25" w:rsidRDefault="00655396" w:rsidP="008B512B">
      <w:pPr>
        <w:pStyle w:val="ContentQuestionlastline"/>
        <w:spacing w:line="240" w:lineRule="auto"/>
        <w:rPr>
          <w:b w:val="0"/>
        </w:rPr>
      </w:pPr>
      <w:r w:rsidRPr="00CF2F25">
        <w:rPr>
          <w:b w:val="0"/>
        </w:rPr>
        <w:t>enforce the covenant?</w:t>
      </w:r>
      <w:r w:rsidRPr="00CF2F25">
        <w:rPr>
          <w:b w:val="0"/>
        </w:rPr>
        <w:tab/>
      </w:r>
      <w:r w:rsidRPr="00CF2F25">
        <w:rPr>
          <w:b w:val="0"/>
        </w:rPr>
        <w:tab/>
        <w:t>2667</w:t>
      </w:r>
    </w:p>
    <w:p w14:paraId="7C472D6B" w14:textId="77777777" w:rsidR="00655396" w:rsidRPr="00CF2F25" w:rsidRDefault="00655396" w:rsidP="008B512B">
      <w:pPr>
        <w:pStyle w:val="ContentQuestion"/>
        <w:spacing w:line="240" w:lineRule="auto"/>
        <w:rPr>
          <w:b w:val="0"/>
        </w:rPr>
      </w:pPr>
      <w:r w:rsidRPr="00CF2F25">
        <w:rPr>
          <w:b w:val="0"/>
        </w:rPr>
        <w:t>12.</w:t>
      </w:r>
      <w:r w:rsidRPr="00CF2F25">
        <w:rPr>
          <w:b w:val="0"/>
        </w:rPr>
        <w:tab/>
        <w:t xml:space="preserve">What choice of law rules apply to determine which </w:t>
      </w:r>
    </w:p>
    <w:p w14:paraId="51A6575C" w14:textId="77777777" w:rsidR="00655396" w:rsidRPr="00CF2F25" w:rsidRDefault="00655396" w:rsidP="008B512B">
      <w:pPr>
        <w:pStyle w:val="ContentQuestionlastline"/>
        <w:spacing w:line="240" w:lineRule="auto"/>
        <w:rPr>
          <w:b w:val="0"/>
        </w:rPr>
      </w:pPr>
      <w:r w:rsidRPr="00CF2F25">
        <w:rPr>
          <w:b w:val="0"/>
        </w:rPr>
        <w:t xml:space="preserve">state’s law will govern an action seeking to enforce a </w:t>
      </w:r>
    </w:p>
    <w:p w14:paraId="75724573" w14:textId="77777777" w:rsidR="00655396" w:rsidRPr="00CF2F25" w:rsidRDefault="00655396" w:rsidP="008B512B">
      <w:pPr>
        <w:pStyle w:val="ContentQuestionlastline"/>
        <w:spacing w:line="240" w:lineRule="auto"/>
        <w:rPr>
          <w:b w:val="0"/>
        </w:rPr>
      </w:pPr>
      <w:r w:rsidRPr="00CF2F25">
        <w:rPr>
          <w:b w:val="0"/>
        </w:rPr>
        <w:t>covenant not to compete?</w:t>
      </w:r>
      <w:r w:rsidRPr="00CF2F25">
        <w:rPr>
          <w:b w:val="0"/>
        </w:rPr>
        <w:tab/>
      </w:r>
      <w:r w:rsidRPr="00CF2F25">
        <w:rPr>
          <w:b w:val="0"/>
        </w:rPr>
        <w:tab/>
        <w:t>2668</w:t>
      </w:r>
    </w:p>
    <w:p w14:paraId="3BDF5599" w14:textId="77777777" w:rsidR="00655396" w:rsidRPr="00CF2F25" w:rsidRDefault="00655396" w:rsidP="008B512B">
      <w:pPr>
        <w:pStyle w:val="ContentSubquestion"/>
        <w:spacing w:line="240" w:lineRule="auto"/>
        <w:rPr>
          <w:b w:val="0"/>
        </w:rPr>
      </w:pPr>
      <w:r w:rsidRPr="00CF2F25">
        <w:rPr>
          <w:b w:val="0"/>
        </w:rPr>
        <w:t>a.</w:t>
      </w:r>
      <w:r w:rsidRPr="00CF2F25">
        <w:rPr>
          <w:b w:val="0"/>
        </w:rPr>
        <w:tab/>
        <w:t xml:space="preserve">What rule does the state apply when considering </w:t>
      </w:r>
    </w:p>
    <w:p w14:paraId="01E39C23" w14:textId="77777777" w:rsidR="00655396" w:rsidRPr="00CF2F25" w:rsidRDefault="00655396" w:rsidP="008B512B">
      <w:pPr>
        <w:pStyle w:val="ContentSubquestionlastline"/>
        <w:spacing w:line="240" w:lineRule="auto"/>
        <w:rPr>
          <w:b w:val="0"/>
        </w:rPr>
      </w:pPr>
      <w:r w:rsidRPr="00CF2F25">
        <w:rPr>
          <w:b w:val="0"/>
        </w:rPr>
        <w:t xml:space="preserve">a choice of law provision in a covenant not to </w:t>
      </w:r>
    </w:p>
    <w:p w14:paraId="13E99E1E" w14:textId="77777777" w:rsidR="00655396" w:rsidRPr="00CF2F25" w:rsidRDefault="00655396" w:rsidP="008B512B">
      <w:pPr>
        <w:pStyle w:val="ContentSubquestionlastline"/>
        <w:spacing w:line="240" w:lineRule="auto"/>
        <w:rPr>
          <w:b w:val="0"/>
        </w:rPr>
      </w:pPr>
      <w:r w:rsidRPr="00CF2F25">
        <w:rPr>
          <w:b w:val="0"/>
        </w:rPr>
        <w:t>compete case?</w:t>
      </w:r>
      <w:r w:rsidRPr="00CF2F25">
        <w:rPr>
          <w:b w:val="0"/>
        </w:rPr>
        <w:tab/>
      </w:r>
      <w:r w:rsidRPr="00CF2F25">
        <w:rPr>
          <w:b w:val="0"/>
        </w:rPr>
        <w:tab/>
        <w:t>2668</w:t>
      </w:r>
    </w:p>
    <w:p w14:paraId="0463AF9C" w14:textId="77777777" w:rsidR="00655396" w:rsidRPr="00CF2F25" w:rsidRDefault="00655396" w:rsidP="008B512B">
      <w:pPr>
        <w:pStyle w:val="ContentSubquestion"/>
        <w:spacing w:line="240" w:lineRule="auto"/>
        <w:rPr>
          <w:b w:val="0"/>
        </w:rPr>
      </w:pPr>
      <w:r w:rsidRPr="00CF2F25">
        <w:rPr>
          <w:b w:val="0"/>
        </w:rPr>
        <w:t>b.</w:t>
      </w:r>
      <w:r w:rsidRPr="00CF2F25">
        <w:rPr>
          <w:b w:val="0"/>
        </w:rPr>
        <w:tab/>
        <w:t xml:space="preserve">In the absence of a choice of law provision, what </w:t>
      </w:r>
    </w:p>
    <w:p w14:paraId="7F549B75" w14:textId="77777777" w:rsidR="00655396" w:rsidRPr="00CF2F25" w:rsidRDefault="00655396" w:rsidP="008B512B">
      <w:pPr>
        <w:pStyle w:val="ContentSubquestionlastline"/>
        <w:spacing w:line="240" w:lineRule="auto"/>
        <w:rPr>
          <w:b w:val="0"/>
        </w:rPr>
      </w:pPr>
      <w:r w:rsidRPr="00CF2F25">
        <w:rPr>
          <w:b w:val="0"/>
        </w:rPr>
        <w:t xml:space="preserve">rule does the state apply in a covenant not to </w:t>
      </w:r>
    </w:p>
    <w:p w14:paraId="6BDCC2A6" w14:textId="77777777" w:rsidR="00655396" w:rsidRPr="00CF2F25" w:rsidRDefault="00655396" w:rsidP="008B512B">
      <w:pPr>
        <w:pStyle w:val="ContentSubquestionlastline"/>
        <w:spacing w:line="240" w:lineRule="auto"/>
        <w:rPr>
          <w:b w:val="0"/>
        </w:rPr>
      </w:pPr>
      <w:r w:rsidRPr="00CF2F25">
        <w:rPr>
          <w:b w:val="0"/>
        </w:rPr>
        <w:t>compete case?</w:t>
      </w:r>
      <w:r w:rsidRPr="00CF2F25">
        <w:rPr>
          <w:b w:val="0"/>
        </w:rPr>
        <w:tab/>
      </w:r>
      <w:r w:rsidRPr="00CF2F25">
        <w:rPr>
          <w:b w:val="0"/>
        </w:rPr>
        <w:tab/>
        <w:t>2673</w:t>
      </w:r>
    </w:p>
    <w:p w14:paraId="0F2450EB" w14:textId="77777777" w:rsidR="00655396" w:rsidRPr="00CF2F25" w:rsidRDefault="00655396" w:rsidP="008B512B">
      <w:pPr>
        <w:pStyle w:val="ContentSubquestion"/>
        <w:spacing w:line="240" w:lineRule="auto"/>
        <w:rPr>
          <w:b w:val="0"/>
        </w:rPr>
      </w:pPr>
      <w:r w:rsidRPr="00CF2F25">
        <w:rPr>
          <w:b w:val="0"/>
        </w:rPr>
        <w:t>c.</w:t>
      </w:r>
      <w:r w:rsidRPr="00CF2F25">
        <w:rPr>
          <w:b w:val="0"/>
        </w:rPr>
        <w:tab/>
        <w:t xml:space="preserve">Has the state considered forum selection or </w:t>
      </w:r>
    </w:p>
    <w:p w14:paraId="7F410F86" w14:textId="77777777" w:rsidR="00655396" w:rsidRPr="00CF2F25" w:rsidRDefault="00655396" w:rsidP="008B512B">
      <w:pPr>
        <w:pStyle w:val="ContentSubquestionlastline"/>
        <w:spacing w:line="240" w:lineRule="auto"/>
        <w:rPr>
          <w:b w:val="0"/>
        </w:rPr>
      </w:pPr>
      <w:r w:rsidRPr="00CF2F25">
        <w:rPr>
          <w:b w:val="0"/>
        </w:rPr>
        <w:t xml:space="preserve">consent to jurisdiction clauses in a covenant not </w:t>
      </w:r>
    </w:p>
    <w:p w14:paraId="7DFD84CE" w14:textId="77777777" w:rsidR="00655396" w:rsidRPr="00CF2F25" w:rsidRDefault="00655396" w:rsidP="008B512B">
      <w:pPr>
        <w:pStyle w:val="ContentSubquestionlastline"/>
        <w:spacing w:line="240" w:lineRule="auto"/>
        <w:rPr>
          <w:b w:val="0"/>
        </w:rPr>
      </w:pPr>
      <w:r w:rsidRPr="00CF2F25">
        <w:rPr>
          <w:b w:val="0"/>
        </w:rPr>
        <w:t>to compete case?</w:t>
      </w:r>
      <w:r w:rsidRPr="00CF2F25">
        <w:rPr>
          <w:b w:val="0"/>
        </w:rPr>
        <w:tab/>
      </w:r>
      <w:r w:rsidRPr="00CF2F25">
        <w:rPr>
          <w:b w:val="0"/>
        </w:rPr>
        <w:tab/>
        <w:t>2673</w:t>
      </w:r>
    </w:p>
    <w:p w14:paraId="01DCE03B" w14:textId="77777777" w:rsidR="00655396" w:rsidRPr="00CF2F25" w:rsidRDefault="00655396" w:rsidP="008B512B">
      <w:pPr>
        <w:pStyle w:val="ContentQuestion"/>
        <w:spacing w:line="240" w:lineRule="auto"/>
        <w:rPr>
          <w:b w:val="0"/>
        </w:rPr>
      </w:pPr>
      <w:r w:rsidRPr="00CF2F25">
        <w:rPr>
          <w:b w:val="0"/>
        </w:rPr>
        <w:t>13.</w:t>
      </w:r>
      <w:r w:rsidRPr="00CF2F25">
        <w:rPr>
          <w:b w:val="0"/>
        </w:rPr>
        <w:tab/>
        <w:t xml:space="preserve">Law review articles and other resources that examine </w:t>
      </w:r>
    </w:p>
    <w:p w14:paraId="1192E19F" w14:textId="77777777" w:rsidR="00655396" w:rsidRPr="00CF2F25" w:rsidRDefault="00655396" w:rsidP="008B512B">
      <w:pPr>
        <w:pStyle w:val="ContentQuestionlastline"/>
        <w:spacing w:line="240" w:lineRule="auto"/>
        <w:rPr>
          <w:b w:val="0"/>
        </w:rPr>
      </w:pPr>
      <w:r w:rsidRPr="00CF2F25">
        <w:rPr>
          <w:b w:val="0"/>
        </w:rPr>
        <w:t>the law of covenants not to compete in this state.</w:t>
      </w:r>
      <w:r w:rsidRPr="00CF2F25">
        <w:rPr>
          <w:b w:val="0"/>
        </w:rPr>
        <w:tab/>
      </w:r>
      <w:r w:rsidRPr="00CF2F25">
        <w:rPr>
          <w:b w:val="0"/>
        </w:rPr>
        <w:tab/>
        <w:t>2674</w:t>
      </w:r>
    </w:p>
    <w:p w14:paraId="4AE64E5B" w14:textId="77777777" w:rsidR="00655396" w:rsidRPr="00CF2F25" w:rsidRDefault="00655396" w:rsidP="008B512B">
      <w:pPr>
        <w:pStyle w:val="ContentQuestion"/>
        <w:spacing w:line="240" w:lineRule="auto"/>
        <w:rPr>
          <w:b w:val="0"/>
        </w:rPr>
      </w:pPr>
      <w:r w:rsidRPr="00CF2F25">
        <w:rPr>
          <w:b w:val="0"/>
        </w:rPr>
        <w:lastRenderedPageBreak/>
        <w:t>14.</w:t>
      </w:r>
      <w:r w:rsidRPr="00CF2F25">
        <w:rPr>
          <w:b w:val="0"/>
        </w:rPr>
        <w:tab/>
        <w:t>Illustrative Cases</w:t>
      </w:r>
      <w:r w:rsidRPr="00CF2F25">
        <w:rPr>
          <w:b w:val="0"/>
        </w:rPr>
        <w:tab/>
      </w:r>
      <w:r w:rsidRPr="00CF2F25">
        <w:rPr>
          <w:b w:val="0"/>
        </w:rPr>
        <w:tab/>
        <w:t>2680</w:t>
      </w:r>
    </w:p>
    <w:p w14:paraId="0058CF61" w14:textId="77777777" w:rsidR="00655396" w:rsidRPr="00CF2F25" w:rsidRDefault="00655396" w:rsidP="008B512B">
      <w:pPr>
        <w:pStyle w:val="ContentQuestion"/>
        <w:spacing w:line="240" w:lineRule="auto"/>
        <w:rPr>
          <w:b w:val="0"/>
        </w:rPr>
      </w:pPr>
      <w:r w:rsidRPr="00CF2F25">
        <w:rPr>
          <w:b w:val="0"/>
        </w:rPr>
        <w:t>Additional Topics</w:t>
      </w:r>
      <w:r w:rsidRPr="00CF2F25">
        <w:rPr>
          <w:b w:val="0"/>
        </w:rPr>
        <w:tab/>
      </w:r>
      <w:r w:rsidRPr="00CF2F25">
        <w:rPr>
          <w:b w:val="0"/>
        </w:rPr>
        <w:tab/>
        <w:t>2705</w:t>
      </w:r>
    </w:p>
    <w:p w14:paraId="6A18794D" w14:textId="77777777" w:rsidR="00655396" w:rsidRDefault="00655396" w:rsidP="007D7606">
      <w:pPr>
        <w:pStyle w:val="ContentQuestion"/>
        <w:spacing w:line="240" w:lineRule="auto"/>
        <w:ind w:left="0" w:firstLine="0"/>
      </w:pPr>
    </w:p>
    <w:p w14:paraId="4D87A3F9" w14:textId="6208D37C" w:rsidR="00257D96" w:rsidRDefault="00655396" w:rsidP="00D42341">
      <w:pPr>
        <w:pStyle w:val="Question"/>
        <w:spacing w:line="240" w:lineRule="auto"/>
      </w:pPr>
      <w:r>
        <w:t>1.</w:t>
      </w:r>
      <w:r>
        <w:tab/>
        <w:t>Is there a state statute of general application that governs the enforceability of covenants not to compete?</w:t>
      </w:r>
    </w:p>
    <w:p w14:paraId="18747C85" w14:textId="77777777" w:rsidR="00F700B8" w:rsidRDefault="00F700B8" w:rsidP="00E27AD6">
      <w:pPr>
        <w:shd w:val="clear" w:color="auto" w:fill="FFFFFF"/>
        <w:rPr>
          <w:color w:val="000000" w:themeColor="text1"/>
          <w:u w:color="000000"/>
        </w:rPr>
      </w:pPr>
    </w:p>
    <w:p w14:paraId="7CF43AE3" w14:textId="0FC5F2C3" w:rsidR="00E27AD6" w:rsidRPr="006A121F" w:rsidRDefault="00655396" w:rsidP="006A121F">
      <w:pPr>
        <w:shd w:val="clear" w:color="auto" w:fill="FFFFFF"/>
        <w:rPr>
          <w:rFonts w:ascii="Baskerville" w:hAnsi="Baskerville"/>
          <w:color w:val="000000" w:themeColor="text1"/>
          <w:shd w:val="clear" w:color="auto" w:fill="FFFFFF"/>
        </w:rPr>
      </w:pPr>
      <w:r w:rsidRPr="006A121F">
        <w:rPr>
          <w:rFonts w:ascii="Baskerville" w:hAnsi="Baskerville"/>
          <w:color w:val="000000" w:themeColor="text1"/>
          <w:u w:color="000000"/>
        </w:rPr>
        <w:tab/>
      </w:r>
      <w:r w:rsidR="00257D96" w:rsidRPr="006A121F">
        <w:rPr>
          <w:rFonts w:ascii="Baskerville" w:hAnsi="Baskerville"/>
          <w:color w:val="000000" w:themeColor="text1"/>
          <w:u w:color="000000"/>
        </w:rPr>
        <w:t xml:space="preserve">Effective January 1, 2022, </w:t>
      </w:r>
      <w:r w:rsidR="00707115" w:rsidRPr="006A121F">
        <w:rPr>
          <w:rFonts w:ascii="Baskerville" w:hAnsi="Baskerville"/>
          <w:color w:val="000000" w:themeColor="text1"/>
          <w:shd w:val="clear" w:color="auto" w:fill="FFFFFF"/>
        </w:rPr>
        <w:t xml:space="preserve">as to covenants entered on or after that date, </w:t>
      </w:r>
      <w:r w:rsidR="00257D96" w:rsidRPr="006A121F">
        <w:rPr>
          <w:rFonts w:ascii="Baskerville" w:hAnsi="Baskerville"/>
          <w:color w:val="000000" w:themeColor="text1"/>
          <w:shd w:val="clear" w:color="auto" w:fill="FFFFFF"/>
        </w:rPr>
        <w:t>the Illinois Freedom to Work Act</w:t>
      </w:r>
      <w:r w:rsidR="007869D8" w:rsidRPr="00521CA9">
        <w:rPr>
          <w:rFonts w:ascii="Baskerville" w:hAnsi="Baskerville"/>
          <w:color w:val="000000" w:themeColor="text1"/>
          <w:shd w:val="clear" w:color="auto" w:fill="FFFFFF"/>
        </w:rPr>
        <w:t>,</w:t>
      </w:r>
      <w:r w:rsidR="007869D8" w:rsidRPr="00521CA9">
        <w:rPr>
          <w:rFonts w:ascii="Baskerville" w:hAnsi="Baskerville" w:cs="Open Sans"/>
          <w:color w:val="000000" w:themeColor="text1"/>
          <w:shd w:val="clear" w:color="auto" w:fill="FFFFFF"/>
        </w:rPr>
        <w:t xml:space="preserve"> 820 ILCS 90/1 to 90/97,</w:t>
      </w:r>
      <w:r w:rsidR="008E53BE" w:rsidRPr="00521CA9">
        <w:rPr>
          <w:rFonts w:ascii="Baskerville" w:hAnsi="Baskerville"/>
          <w:color w:val="000000" w:themeColor="text1"/>
          <w:shd w:val="clear" w:color="auto" w:fill="FFFFFF"/>
        </w:rPr>
        <w:t xml:space="preserve"> </w:t>
      </w:r>
      <w:r w:rsidR="00F17E66" w:rsidRPr="00521CA9">
        <w:rPr>
          <w:rFonts w:ascii="Baskerville" w:hAnsi="Baskerville"/>
          <w:color w:val="000000" w:themeColor="text1"/>
          <w:shd w:val="clear" w:color="auto" w:fill="FFFFFF"/>
        </w:rPr>
        <w:t>as amended</w:t>
      </w:r>
      <w:r w:rsidR="00F17E66" w:rsidRPr="006A121F">
        <w:rPr>
          <w:rFonts w:ascii="Baskerville" w:hAnsi="Baskerville"/>
          <w:color w:val="000000" w:themeColor="text1"/>
          <w:shd w:val="clear" w:color="auto" w:fill="FFFFFF"/>
        </w:rPr>
        <w:t xml:space="preserve"> by </w:t>
      </w:r>
      <w:r w:rsidR="00F17E66" w:rsidRPr="00521CA9">
        <w:rPr>
          <w:rFonts w:ascii="Baskerville" w:hAnsi="Baskerville"/>
          <w:color w:val="000000" w:themeColor="text1"/>
          <w:shd w:val="clear" w:color="auto" w:fill="FFFFFF"/>
        </w:rPr>
        <w:t xml:space="preserve">Public Acts 102-0385, §5, </w:t>
      </w:r>
      <w:r w:rsidR="00707115" w:rsidRPr="00521CA9">
        <w:rPr>
          <w:rFonts w:ascii="Baskerville" w:hAnsi="Baskerville"/>
          <w:color w:val="000000" w:themeColor="text1"/>
          <w:shd w:val="clear" w:color="auto" w:fill="FFFFFF"/>
        </w:rPr>
        <w:t>limit</w:t>
      </w:r>
      <w:r w:rsidR="00521CA9" w:rsidRPr="00521CA9">
        <w:rPr>
          <w:rFonts w:ascii="Baskerville" w:hAnsi="Baskerville"/>
          <w:color w:val="000000" w:themeColor="text1"/>
          <w:shd w:val="clear" w:color="auto" w:fill="FFFFFF"/>
        </w:rPr>
        <w:t>s</w:t>
      </w:r>
      <w:r w:rsidR="00707115" w:rsidRPr="006A121F">
        <w:rPr>
          <w:rFonts w:ascii="Baskerville" w:hAnsi="Baskerville"/>
          <w:color w:val="000000" w:themeColor="text1"/>
          <w:shd w:val="clear" w:color="auto" w:fill="FFFFFF"/>
        </w:rPr>
        <w:t xml:space="preserve"> </w:t>
      </w:r>
      <w:r w:rsidR="0085106B" w:rsidRPr="006A121F">
        <w:rPr>
          <w:rFonts w:ascii="Baskerville" w:hAnsi="Baskerville"/>
          <w:color w:val="000000" w:themeColor="text1"/>
          <w:shd w:val="clear" w:color="auto" w:fill="FFFFFF"/>
        </w:rPr>
        <w:t xml:space="preserve">the enforceability of </w:t>
      </w:r>
      <w:r w:rsidR="00257D96" w:rsidRPr="006A121F">
        <w:rPr>
          <w:rFonts w:ascii="Baskerville" w:hAnsi="Baskerville"/>
          <w:color w:val="000000" w:themeColor="text1"/>
          <w:shd w:val="clear" w:color="auto" w:fill="FFFFFF"/>
        </w:rPr>
        <w:t xml:space="preserve">postemployment </w:t>
      </w:r>
      <w:r w:rsidR="0085106B" w:rsidRPr="006A121F">
        <w:rPr>
          <w:rFonts w:ascii="Baskerville" w:hAnsi="Baskerville"/>
          <w:color w:val="000000" w:themeColor="text1"/>
          <w:shd w:val="clear" w:color="auto" w:fill="FFFFFF"/>
        </w:rPr>
        <w:t xml:space="preserve">restrictive </w:t>
      </w:r>
      <w:r w:rsidR="00257D96" w:rsidRPr="006A121F">
        <w:rPr>
          <w:rFonts w:ascii="Baskerville" w:hAnsi="Baskerville"/>
          <w:color w:val="000000" w:themeColor="text1"/>
          <w:shd w:val="clear" w:color="auto" w:fill="FFFFFF"/>
        </w:rPr>
        <w:t>covenants</w:t>
      </w:r>
      <w:r w:rsidR="00521CA9">
        <w:rPr>
          <w:rFonts w:ascii="Baskerville" w:hAnsi="Baskerville"/>
          <w:color w:val="000000" w:themeColor="text1"/>
          <w:shd w:val="clear" w:color="auto" w:fill="FFFFFF"/>
        </w:rPr>
        <w:t xml:space="preserve"> based on employee income</w:t>
      </w:r>
      <w:r w:rsidR="00257D96" w:rsidRPr="00521CA9">
        <w:rPr>
          <w:rFonts w:ascii="Baskerville" w:hAnsi="Baskerville"/>
          <w:color w:val="000000" w:themeColor="text1"/>
          <w:shd w:val="clear" w:color="auto" w:fill="FFFFFF"/>
        </w:rPr>
        <w:t>.</w:t>
      </w:r>
      <w:r w:rsidR="00257D96" w:rsidRPr="006A121F">
        <w:rPr>
          <w:rFonts w:ascii="Baskerville" w:hAnsi="Baskerville"/>
          <w:color w:val="000000" w:themeColor="text1"/>
          <w:shd w:val="clear" w:color="auto" w:fill="FFFFFF"/>
        </w:rPr>
        <w:t xml:space="preserve"> </w:t>
      </w:r>
      <w:r w:rsidR="00E547EA" w:rsidRPr="006A121F">
        <w:rPr>
          <w:rFonts w:ascii="Baskerville" w:hAnsi="Baskerville"/>
          <w:color w:val="000000" w:themeColor="text1"/>
          <w:shd w:val="clear" w:color="auto" w:fill="FFFFFF"/>
        </w:rPr>
        <w:t xml:space="preserve">820 ILCS 90/1 to 90/97. </w:t>
      </w:r>
      <w:r w:rsidR="00257D96" w:rsidRPr="006A121F">
        <w:rPr>
          <w:rFonts w:ascii="Baskerville" w:hAnsi="Baskerville"/>
          <w:i/>
          <w:color w:val="000000" w:themeColor="text1"/>
          <w:shd w:val="clear" w:color="auto" w:fill="FFFFFF"/>
        </w:rPr>
        <w:t>See</w:t>
      </w:r>
      <w:r w:rsidR="00257D96" w:rsidRPr="006A121F">
        <w:rPr>
          <w:rFonts w:ascii="Baskerville" w:hAnsi="Baskerville"/>
          <w:color w:val="000000" w:themeColor="text1"/>
          <w:shd w:val="clear" w:color="auto" w:fill="FFFFFF"/>
        </w:rPr>
        <w:t xml:space="preserve"> </w:t>
      </w:r>
      <w:hyperlink r:id="rId13" w:history="1">
        <w:r w:rsidR="00257D96" w:rsidRPr="006A121F">
          <w:rPr>
            <w:rStyle w:val="Hyperlink"/>
            <w:rFonts w:ascii="Baskerville" w:hAnsi="Baskerville"/>
            <w:color w:val="000000" w:themeColor="text1"/>
            <w:u w:val="none"/>
            <w:shd w:val="clear" w:color="auto" w:fill="FFFFFF"/>
          </w:rPr>
          <w:t>https://www.ilga.gov/legislation/publicacts/fulltext.asp?Name=102-0358</w:t>
        </w:r>
      </w:hyperlink>
      <w:r w:rsidR="00257D96" w:rsidRPr="006A121F">
        <w:rPr>
          <w:rFonts w:ascii="Baskerville" w:hAnsi="Baskerville"/>
          <w:color w:val="000000" w:themeColor="text1"/>
          <w:shd w:val="clear" w:color="auto" w:fill="FFFFFF"/>
        </w:rPr>
        <w:t>.</w:t>
      </w:r>
    </w:p>
    <w:p w14:paraId="13FF4FBE" w14:textId="735EDA55" w:rsidR="005F2911" w:rsidRPr="006A121F" w:rsidRDefault="00257D96" w:rsidP="00E2705B">
      <w:pPr>
        <w:ind w:firstLine="720"/>
        <w:rPr>
          <w:rFonts w:ascii="Baskerville" w:hAnsi="Baskerville"/>
          <w:color w:val="000000" w:themeColor="text1"/>
          <w:shd w:val="clear" w:color="auto" w:fill="FFFFFF"/>
        </w:rPr>
      </w:pPr>
      <w:r w:rsidRPr="006A121F">
        <w:rPr>
          <w:rFonts w:ascii="Baskerville" w:hAnsi="Baskerville"/>
          <w:color w:val="000000" w:themeColor="text1"/>
          <w:shd w:val="clear" w:color="auto" w:fill="FFFFFF"/>
        </w:rPr>
        <w:t>Among other things, the</w:t>
      </w:r>
      <w:r w:rsidRPr="00521CA9">
        <w:rPr>
          <w:rFonts w:ascii="Baskerville" w:hAnsi="Baskerville"/>
          <w:color w:val="000000" w:themeColor="text1"/>
          <w:shd w:val="clear" w:color="auto" w:fill="FFFFFF"/>
        </w:rPr>
        <w:t xml:space="preserve"> </w:t>
      </w:r>
      <w:r w:rsidR="008D028F">
        <w:rPr>
          <w:rFonts w:ascii="Baskerville" w:hAnsi="Baskerville"/>
          <w:color w:val="000000" w:themeColor="text1"/>
          <w:shd w:val="clear" w:color="auto" w:fill="FFFFFF"/>
        </w:rPr>
        <w:t>amended</w:t>
      </w:r>
      <w:r w:rsidR="008D028F" w:rsidRPr="006A121F">
        <w:rPr>
          <w:rFonts w:ascii="Baskerville" w:hAnsi="Baskerville"/>
          <w:color w:val="000000" w:themeColor="text1"/>
          <w:shd w:val="clear" w:color="auto" w:fill="FFFFFF"/>
        </w:rPr>
        <w:t xml:space="preserve"> </w:t>
      </w:r>
      <w:r w:rsidRPr="006A121F">
        <w:rPr>
          <w:rFonts w:ascii="Baskerville" w:hAnsi="Baskerville"/>
          <w:color w:val="000000" w:themeColor="text1"/>
          <w:shd w:val="clear" w:color="auto" w:fill="FFFFFF"/>
        </w:rPr>
        <w:t>statute make</w:t>
      </w:r>
      <w:r w:rsidR="00E547EA" w:rsidRPr="006A121F">
        <w:rPr>
          <w:rFonts w:ascii="Baskerville" w:hAnsi="Baskerville"/>
          <w:color w:val="000000" w:themeColor="text1"/>
          <w:shd w:val="clear" w:color="auto" w:fill="FFFFFF"/>
        </w:rPr>
        <w:t>s</w:t>
      </w:r>
      <w:r w:rsidRPr="006A121F">
        <w:rPr>
          <w:rFonts w:ascii="Baskerville" w:hAnsi="Baskerville"/>
          <w:color w:val="000000" w:themeColor="text1"/>
          <w:shd w:val="clear" w:color="auto" w:fill="FFFFFF"/>
        </w:rPr>
        <w:t xml:space="preserve"> invalid and unenforceable a </w:t>
      </w:r>
      <w:r w:rsidRPr="006A121F">
        <w:rPr>
          <w:rFonts w:ascii="Baskerville" w:hAnsi="Baskerville"/>
          <w:i/>
          <w:color w:val="000000" w:themeColor="text1"/>
          <w:shd w:val="clear" w:color="auto" w:fill="FFFFFF"/>
        </w:rPr>
        <w:t>noncompete</w:t>
      </w:r>
      <w:r w:rsidRPr="006A121F">
        <w:rPr>
          <w:rFonts w:ascii="Baskerville" w:hAnsi="Baskerville"/>
          <w:color w:val="000000" w:themeColor="text1"/>
          <w:shd w:val="clear" w:color="auto" w:fill="FFFFFF"/>
        </w:rPr>
        <w:t xml:space="preserve"> agreement </w:t>
      </w:r>
      <w:r w:rsidRPr="006A121F">
        <w:rPr>
          <w:rFonts w:ascii="Baskerville" w:hAnsi="Baskerville"/>
          <w:i/>
          <w:color w:val="000000" w:themeColor="text1"/>
          <w:shd w:val="clear" w:color="auto" w:fill="FFFFFF"/>
        </w:rPr>
        <w:t>unless</w:t>
      </w:r>
      <w:r w:rsidRPr="006A121F">
        <w:rPr>
          <w:rFonts w:ascii="Baskerville" w:hAnsi="Baskerville"/>
          <w:color w:val="000000" w:themeColor="text1"/>
          <w:shd w:val="clear" w:color="auto" w:fill="FFFFFF"/>
        </w:rPr>
        <w:t xml:space="preserve"> the employee’s actual or expected annualized earnings exceed $75,00</w:t>
      </w:r>
      <w:r w:rsidR="00822E35" w:rsidRPr="006A121F">
        <w:rPr>
          <w:rFonts w:ascii="Baskerville" w:hAnsi="Baskerville"/>
          <w:color w:val="000000" w:themeColor="text1"/>
          <w:shd w:val="clear" w:color="auto" w:fill="FFFFFF"/>
        </w:rPr>
        <w:t>0, with</w:t>
      </w:r>
      <w:r w:rsidR="008D028F" w:rsidRPr="006A121F">
        <w:rPr>
          <w:rFonts w:ascii="Baskerville" w:hAnsi="Baskerville"/>
          <w:color w:val="000000" w:themeColor="text1"/>
          <w:shd w:val="clear" w:color="auto" w:fill="FFFFFF"/>
        </w:rPr>
        <w:t xml:space="preserve"> that figure </w:t>
      </w:r>
      <w:r w:rsidR="00750798">
        <w:rPr>
          <w:rFonts w:ascii="Baskerville" w:hAnsi="Baskerville"/>
          <w:color w:val="000000" w:themeColor="text1"/>
          <w:shd w:val="clear" w:color="auto" w:fill="FFFFFF"/>
        </w:rPr>
        <w:t xml:space="preserve">set </w:t>
      </w:r>
      <w:r w:rsidR="00750798" w:rsidRPr="006A121F">
        <w:rPr>
          <w:rFonts w:ascii="Baskerville" w:hAnsi="Baskerville"/>
          <w:color w:val="000000" w:themeColor="text1"/>
          <w:shd w:val="clear" w:color="auto" w:fill="FFFFFF"/>
        </w:rPr>
        <w:t xml:space="preserve">to </w:t>
      </w:r>
      <w:r w:rsidR="00750798">
        <w:rPr>
          <w:rFonts w:ascii="Baskerville" w:hAnsi="Baskerville"/>
          <w:color w:val="000000" w:themeColor="text1"/>
          <w:shd w:val="clear" w:color="auto" w:fill="FFFFFF"/>
        </w:rPr>
        <w:t xml:space="preserve">increase </w:t>
      </w:r>
      <w:r w:rsidR="008D028F">
        <w:rPr>
          <w:rFonts w:ascii="Baskerville" w:hAnsi="Baskerville"/>
          <w:color w:val="000000" w:themeColor="text1"/>
          <w:shd w:val="clear" w:color="auto" w:fill="FFFFFF"/>
        </w:rPr>
        <w:t>by</w:t>
      </w:r>
      <w:r w:rsidR="008D028F" w:rsidRPr="006A121F">
        <w:rPr>
          <w:rFonts w:ascii="Baskerville" w:hAnsi="Baskerville"/>
          <w:color w:val="000000" w:themeColor="text1"/>
          <w:shd w:val="clear" w:color="auto" w:fill="FFFFFF"/>
        </w:rPr>
        <w:t xml:space="preserve"> </w:t>
      </w:r>
      <w:r w:rsidR="005F2911" w:rsidRPr="006A121F">
        <w:rPr>
          <w:rFonts w:ascii="Baskerville" w:hAnsi="Baskerville"/>
          <w:color w:val="000000" w:themeColor="text1"/>
          <w:shd w:val="clear" w:color="auto" w:fill="FFFFFF"/>
        </w:rPr>
        <w:t>$5,000 every five years</w:t>
      </w:r>
      <w:r w:rsidRPr="006A121F">
        <w:rPr>
          <w:rFonts w:ascii="Baskerville" w:hAnsi="Baskerville"/>
          <w:color w:val="000000" w:themeColor="text1"/>
          <w:shd w:val="clear" w:color="auto" w:fill="FFFFFF"/>
        </w:rPr>
        <w:t>.</w:t>
      </w:r>
      <w:r w:rsidR="00E547EA" w:rsidRPr="006A121F">
        <w:rPr>
          <w:rFonts w:ascii="Baskerville" w:hAnsi="Baskerville"/>
          <w:color w:val="000000" w:themeColor="text1"/>
          <w:shd w:val="clear" w:color="auto" w:fill="FFFFFF"/>
        </w:rPr>
        <w:t xml:space="preserve"> </w:t>
      </w:r>
      <w:r w:rsidR="00E2705B" w:rsidRPr="00521CA9">
        <w:rPr>
          <w:rFonts w:ascii="Baskerville" w:hAnsi="Baskerville"/>
          <w:color w:val="000000" w:themeColor="text1"/>
          <w:shd w:val="clear" w:color="auto" w:fill="FFFFFF"/>
        </w:rPr>
        <w:t>820 ILCS 90/1</w:t>
      </w:r>
      <w:r w:rsidR="00E2705B">
        <w:rPr>
          <w:rFonts w:ascii="Baskerville" w:hAnsi="Baskerville"/>
          <w:color w:val="000000" w:themeColor="text1"/>
          <w:shd w:val="clear" w:color="auto" w:fill="FFFFFF"/>
        </w:rPr>
        <w:t>0</w:t>
      </w:r>
      <w:r w:rsidR="00E2705B" w:rsidRPr="006A121F">
        <w:rPr>
          <w:rFonts w:ascii="Baskerville" w:hAnsi="Baskerville"/>
          <w:color w:val="000000" w:themeColor="text1"/>
          <w:shd w:val="clear" w:color="auto" w:fill="FFFFFF"/>
        </w:rPr>
        <w:t>.</w:t>
      </w:r>
    </w:p>
    <w:p w14:paraId="75B28A05" w14:textId="17053835" w:rsidR="005F2911" w:rsidRPr="006A121F" w:rsidRDefault="005F2911" w:rsidP="00DA68CA">
      <w:pPr>
        <w:rPr>
          <w:rFonts w:ascii="Baskerville" w:hAnsi="Baskerville"/>
          <w:color w:val="000000" w:themeColor="text1"/>
          <w:shd w:val="clear" w:color="auto" w:fill="FFFFFF"/>
        </w:rPr>
      </w:pPr>
      <w:r w:rsidRPr="006A121F">
        <w:rPr>
          <w:rFonts w:ascii="Baskerville" w:hAnsi="Baskerville"/>
          <w:i/>
          <w:color w:val="000000" w:themeColor="text1"/>
          <w:shd w:val="clear" w:color="auto" w:fill="FFFFFF"/>
        </w:rPr>
        <w:tab/>
      </w:r>
      <w:r w:rsidRPr="006A121F">
        <w:rPr>
          <w:rFonts w:ascii="Baskerville" w:hAnsi="Baskerville"/>
          <w:color w:val="000000" w:themeColor="text1"/>
          <w:shd w:val="clear" w:color="auto" w:fill="FFFFFF"/>
        </w:rPr>
        <w:t xml:space="preserve">The statute </w:t>
      </w:r>
      <w:r w:rsidR="008D028F">
        <w:rPr>
          <w:rFonts w:ascii="Baskerville" w:hAnsi="Baskerville"/>
          <w:color w:val="000000" w:themeColor="text1"/>
          <w:shd w:val="clear" w:color="auto" w:fill="FFFFFF"/>
        </w:rPr>
        <w:t xml:space="preserve">as amended </w:t>
      </w:r>
      <w:r w:rsidRPr="006A121F">
        <w:rPr>
          <w:rFonts w:ascii="Baskerville" w:hAnsi="Baskerville"/>
          <w:color w:val="000000" w:themeColor="text1"/>
          <w:shd w:val="clear" w:color="auto" w:fill="FFFFFF"/>
        </w:rPr>
        <w:t xml:space="preserve">bans </w:t>
      </w:r>
      <w:r w:rsidRPr="006A121F">
        <w:rPr>
          <w:rFonts w:ascii="Baskerville" w:hAnsi="Baskerville"/>
          <w:i/>
          <w:color w:val="000000" w:themeColor="text1"/>
          <w:shd w:val="clear" w:color="auto" w:fill="FFFFFF"/>
        </w:rPr>
        <w:t>nonsolicitation</w:t>
      </w:r>
      <w:r w:rsidRPr="006A121F">
        <w:rPr>
          <w:rFonts w:ascii="Baskerville" w:hAnsi="Baskerville"/>
          <w:color w:val="000000" w:themeColor="text1"/>
          <w:shd w:val="clear" w:color="auto" w:fill="FFFFFF"/>
        </w:rPr>
        <w:t xml:space="preserve"> covenants for employees </w:t>
      </w:r>
      <w:r w:rsidR="008D028F" w:rsidRPr="008D028F">
        <w:rPr>
          <w:rFonts w:ascii="Baskerville" w:hAnsi="Baskerville"/>
          <w:i/>
          <w:iCs/>
          <w:color w:val="000000" w:themeColor="text1"/>
          <w:shd w:val="clear" w:color="auto" w:fill="FFFFFF"/>
        </w:rPr>
        <w:t xml:space="preserve">unless </w:t>
      </w:r>
      <w:r w:rsidR="008D028F" w:rsidRPr="008D028F">
        <w:rPr>
          <w:rFonts w:ascii="Baskerville" w:hAnsi="Baskerville"/>
          <w:color w:val="000000" w:themeColor="text1"/>
          <w:shd w:val="clear" w:color="auto" w:fill="FFFFFF"/>
        </w:rPr>
        <w:t>th</w:t>
      </w:r>
      <w:r w:rsidR="008D028F">
        <w:rPr>
          <w:rFonts w:ascii="Baskerville" w:hAnsi="Baskerville"/>
          <w:color w:val="000000" w:themeColor="text1"/>
          <w:shd w:val="clear" w:color="auto" w:fill="FFFFFF"/>
        </w:rPr>
        <w:t>ey earn more</w:t>
      </w:r>
      <w:r w:rsidRPr="006A121F">
        <w:rPr>
          <w:rFonts w:ascii="Baskerville" w:hAnsi="Baskerville"/>
          <w:color w:val="000000" w:themeColor="text1"/>
          <w:shd w:val="clear" w:color="auto" w:fill="FFFFFF"/>
        </w:rPr>
        <w:t xml:space="preserve"> $45,000 or less annually, with that figure increasing by $2,500 every five years</w:t>
      </w:r>
      <w:r w:rsidR="008D028F">
        <w:rPr>
          <w:rFonts w:ascii="Baskerville" w:hAnsi="Baskerville"/>
          <w:color w:val="000000" w:themeColor="text1"/>
          <w:shd w:val="clear" w:color="auto" w:fill="FFFFFF"/>
        </w:rPr>
        <w:t>,</w:t>
      </w:r>
      <w:r w:rsidRPr="006A121F">
        <w:rPr>
          <w:rFonts w:ascii="Baskerville" w:hAnsi="Baskerville"/>
          <w:color w:val="000000" w:themeColor="text1"/>
          <w:shd w:val="clear" w:color="auto" w:fill="FFFFFF"/>
        </w:rPr>
        <w:t xml:space="preserve"> until reaching $52,500.</w:t>
      </w:r>
      <w:r w:rsidR="006F739F" w:rsidRPr="006F739F">
        <w:rPr>
          <w:rFonts w:ascii="Baskerville" w:hAnsi="Baskerville"/>
          <w:color w:val="000000" w:themeColor="text1"/>
          <w:shd w:val="clear" w:color="auto" w:fill="FFFFFF"/>
        </w:rPr>
        <w:t xml:space="preserve"> </w:t>
      </w:r>
      <w:r w:rsidR="006F739F" w:rsidRPr="00521CA9">
        <w:rPr>
          <w:rFonts w:ascii="Baskerville" w:hAnsi="Baskerville"/>
          <w:color w:val="000000" w:themeColor="text1"/>
          <w:shd w:val="clear" w:color="auto" w:fill="FFFFFF"/>
        </w:rPr>
        <w:t>820 ILCS 90/1</w:t>
      </w:r>
      <w:r w:rsidR="006F739F">
        <w:rPr>
          <w:rFonts w:ascii="Baskerville" w:hAnsi="Baskerville"/>
          <w:color w:val="000000" w:themeColor="text1"/>
          <w:shd w:val="clear" w:color="auto" w:fill="FFFFFF"/>
        </w:rPr>
        <w:t>0(b).</w:t>
      </w:r>
    </w:p>
    <w:p w14:paraId="3A789FBD" w14:textId="6A96FAA6" w:rsidR="005F2911" w:rsidRPr="006A121F" w:rsidRDefault="005F2911" w:rsidP="00DA68CA">
      <w:pPr>
        <w:rPr>
          <w:rFonts w:ascii="Baskerville" w:hAnsi="Baskerville"/>
          <w:i/>
          <w:color w:val="000000" w:themeColor="text1"/>
          <w:shd w:val="clear" w:color="auto" w:fill="FFFFFF"/>
        </w:rPr>
      </w:pPr>
      <w:r w:rsidRPr="006A121F">
        <w:rPr>
          <w:rFonts w:ascii="Baskerville" w:hAnsi="Baskerville"/>
          <w:color w:val="000000" w:themeColor="text1"/>
          <w:shd w:val="clear" w:color="auto" w:fill="FFFFFF"/>
        </w:rPr>
        <w:tab/>
        <w:t>The</w:t>
      </w:r>
      <w:r w:rsidRPr="00521CA9">
        <w:rPr>
          <w:rFonts w:ascii="Baskerville" w:hAnsi="Baskerville"/>
          <w:color w:val="000000" w:themeColor="text1"/>
          <w:shd w:val="clear" w:color="auto" w:fill="FFFFFF"/>
        </w:rPr>
        <w:t xml:space="preserve"> </w:t>
      </w:r>
      <w:r w:rsidR="008D028F">
        <w:rPr>
          <w:rFonts w:ascii="Baskerville" w:hAnsi="Baskerville"/>
          <w:color w:val="000000" w:themeColor="text1"/>
          <w:shd w:val="clear" w:color="auto" w:fill="FFFFFF"/>
        </w:rPr>
        <w:t>amended</w:t>
      </w:r>
      <w:r w:rsidR="008D028F" w:rsidRPr="006A121F">
        <w:rPr>
          <w:rFonts w:ascii="Baskerville" w:hAnsi="Baskerville"/>
          <w:color w:val="000000" w:themeColor="text1"/>
          <w:shd w:val="clear" w:color="auto" w:fill="FFFFFF"/>
        </w:rPr>
        <w:t xml:space="preserve"> </w:t>
      </w:r>
      <w:r w:rsidRPr="006A121F">
        <w:rPr>
          <w:rFonts w:ascii="Baskerville" w:hAnsi="Baskerville"/>
          <w:color w:val="000000" w:themeColor="text1"/>
          <w:shd w:val="clear" w:color="auto" w:fill="FFFFFF"/>
        </w:rPr>
        <w:t>statute also bars enforcement of covenants against those terminated as a result of COVID-19.</w:t>
      </w:r>
      <w:r w:rsidRPr="006A121F">
        <w:rPr>
          <w:rFonts w:ascii="Baskerville" w:hAnsi="Baskerville"/>
          <w:i/>
          <w:color w:val="000000" w:themeColor="text1"/>
          <w:shd w:val="clear" w:color="auto" w:fill="FFFFFF"/>
        </w:rPr>
        <w:tab/>
      </w:r>
    </w:p>
    <w:p w14:paraId="2A9AB0A5" w14:textId="3131BFEA" w:rsidR="00DA68CA" w:rsidRPr="006A121F" w:rsidRDefault="0095772D" w:rsidP="00DA68CA">
      <w:pPr>
        <w:rPr>
          <w:rFonts w:ascii="Baskerville" w:hAnsi="Baskerville"/>
          <w:color w:val="000000" w:themeColor="text1"/>
        </w:rPr>
      </w:pPr>
      <w:r w:rsidRPr="006A121F">
        <w:rPr>
          <w:rFonts w:ascii="Baskerville" w:hAnsi="Baskerville"/>
          <w:color w:val="000000" w:themeColor="text1"/>
          <w:shd w:val="clear" w:color="auto" w:fill="FFFFFF"/>
        </w:rPr>
        <w:t xml:space="preserve"> </w:t>
      </w:r>
      <w:r w:rsidR="005F2911" w:rsidRPr="006A121F">
        <w:rPr>
          <w:rFonts w:ascii="Baskerville" w:hAnsi="Baskerville"/>
          <w:color w:val="000000" w:themeColor="text1"/>
          <w:shd w:val="clear" w:color="auto" w:fill="FFFFFF"/>
        </w:rPr>
        <w:tab/>
      </w:r>
      <w:r w:rsidRPr="006A121F">
        <w:rPr>
          <w:rFonts w:ascii="Baskerville" w:hAnsi="Baskerville"/>
          <w:color w:val="000000" w:themeColor="text1"/>
          <w:shd w:val="clear" w:color="auto" w:fill="FFFFFF"/>
        </w:rPr>
        <w:t>The statute impose</w:t>
      </w:r>
      <w:r w:rsidR="00DA68CA" w:rsidRPr="006A121F">
        <w:rPr>
          <w:rFonts w:ascii="Baskerville" w:hAnsi="Baskerville"/>
          <w:color w:val="000000" w:themeColor="text1"/>
          <w:shd w:val="clear" w:color="auto" w:fill="FFFFFF"/>
        </w:rPr>
        <w:t>s</w:t>
      </w:r>
      <w:r w:rsidRPr="006A121F">
        <w:rPr>
          <w:rFonts w:ascii="Baskerville" w:hAnsi="Baskerville"/>
          <w:color w:val="000000" w:themeColor="text1"/>
          <w:shd w:val="clear" w:color="auto" w:fill="FFFFFF"/>
        </w:rPr>
        <w:t xml:space="preserve"> </w:t>
      </w:r>
      <w:r w:rsidR="00D8145F" w:rsidRPr="006A121F">
        <w:rPr>
          <w:rFonts w:ascii="Baskerville" w:hAnsi="Baskerville"/>
          <w:color w:val="000000" w:themeColor="text1"/>
          <w:shd w:val="clear" w:color="auto" w:fill="FFFFFF"/>
        </w:rPr>
        <w:t xml:space="preserve">specific </w:t>
      </w:r>
      <w:r w:rsidRPr="006A121F">
        <w:rPr>
          <w:rFonts w:ascii="Baskerville" w:hAnsi="Baskerville"/>
          <w:color w:val="000000" w:themeColor="text1"/>
        </w:rPr>
        <w:t xml:space="preserve">notice </w:t>
      </w:r>
      <w:r w:rsidR="00D8145F" w:rsidRPr="006A121F">
        <w:rPr>
          <w:rFonts w:ascii="Baskerville" w:hAnsi="Baskerville"/>
          <w:color w:val="000000" w:themeColor="text1"/>
        </w:rPr>
        <w:t>requirements</w:t>
      </w:r>
      <w:r w:rsidR="00DA68CA" w:rsidRPr="006A121F">
        <w:rPr>
          <w:rFonts w:ascii="Baskerville" w:hAnsi="Baskerville"/>
          <w:color w:val="000000" w:themeColor="text1"/>
        </w:rPr>
        <w:t>; under the statute, employers are required to advise Illinois-based employees to consult an attorney prior to signing a restrictive covenant, and employers who do not provide a copy of the covenant 14 days before the employee</w:t>
      </w:r>
      <w:r w:rsidR="008126CF" w:rsidRPr="006A121F">
        <w:rPr>
          <w:rFonts w:ascii="Baskerville" w:hAnsi="Baskerville"/>
          <w:color w:val="000000" w:themeColor="text1"/>
        </w:rPr>
        <w:t>’</w:t>
      </w:r>
      <w:r w:rsidR="00DA68CA" w:rsidRPr="006A121F">
        <w:rPr>
          <w:rFonts w:ascii="Baskerville" w:hAnsi="Baskerville"/>
          <w:color w:val="000000" w:themeColor="text1"/>
        </w:rPr>
        <w:t>s start date must give the employee 14 days to review the covenant when presented with it on the start date</w:t>
      </w:r>
      <w:r w:rsidR="008126CF" w:rsidRPr="006A121F">
        <w:rPr>
          <w:rFonts w:ascii="Baskerville" w:hAnsi="Baskerville"/>
          <w:color w:val="000000" w:themeColor="text1"/>
        </w:rPr>
        <w:t>.</w:t>
      </w:r>
      <w:r w:rsidR="00DA68CA" w:rsidRPr="006A121F">
        <w:rPr>
          <w:rFonts w:ascii="Baskerville" w:hAnsi="Baskerville"/>
          <w:color w:val="000000" w:themeColor="text1"/>
        </w:rPr>
        <w:t xml:space="preserve"> 820 ILCS 90/20.</w:t>
      </w:r>
    </w:p>
    <w:p w14:paraId="097AF51D" w14:textId="214373DE" w:rsidR="00965A4D" w:rsidRPr="006A121F" w:rsidRDefault="00965A4D" w:rsidP="00965A4D">
      <w:pPr>
        <w:ind w:firstLine="720"/>
        <w:rPr>
          <w:rFonts w:ascii="Baskerville" w:hAnsi="Baskerville"/>
          <w:color w:val="000000" w:themeColor="text1"/>
          <w:shd w:val="clear" w:color="auto" w:fill="FEFEFE"/>
        </w:rPr>
      </w:pPr>
      <w:r w:rsidRPr="006A121F">
        <w:rPr>
          <w:rFonts w:ascii="Baskerville" w:hAnsi="Baskerville"/>
          <w:color w:val="000000" w:themeColor="text1"/>
          <w:shd w:val="clear" w:color="auto" w:fill="FEFEFE"/>
        </w:rPr>
        <w:t>A totality-of-circumstances test for determining whether an employer’s “legitimate business interests” are reasonably protected by the covenant is codified in the statute.</w:t>
      </w:r>
      <w:r w:rsidR="006F739F" w:rsidRPr="006F739F">
        <w:rPr>
          <w:rFonts w:ascii="Baskerville" w:hAnsi="Baskerville"/>
          <w:color w:val="000000" w:themeColor="text1"/>
          <w:shd w:val="clear" w:color="auto" w:fill="FFFFFF"/>
        </w:rPr>
        <w:t xml:space="preserve"> </w:t>
      </w:r>
      <w:r w:rsidR="006F739F" w:rsidRPr="00521CA9">
        <w:rPr>
          <w:rFonts w:ascii="Baskerville" w:hAnsi="Baskerville"/>
          <w:color w:val="000000" w:themeColor="text1"/>
          <w:shd w:val="clear" w:color="auto" w:fill="FFFFFF"/>
        </w:rPr>
        <w:t>820 ILCS 90/</w:t>
      </w:r>
      <w:r w:rsidR="006F739F">
        <w:rPr>
          <w:rFonts w:ascii="Baskerville" w:hAnsi="Baskerville"/>
          <w:color w:val="000000" w:themeColor="text1"/>
          <w:shd w:val="clear" w:color="auto" w:fill="FFFFFF"/>
        </w:rPr>
        <w:t>7.</w:t>
      </w:r>
    </w:p>
    <w:p w14:paraId="4A35060E" w14:textId="3214492C" w:rsidR="00C127A5" w:rsidRPr="006A121F" w:rsidRDefault="00DA68CA" w:rsidP="007869D8">
      <w:pPr>
        <w:ind w:firstLine="720"/>
        <w:rPr>
          <w:rFonts w:ascii="Baskerville" w:hAnsi="Baskerville"/>
          <w:color w:val="000000" w:themeColor="text1"/>
        </w:rPr>
      </w:pPr>
      <w:r w:rsidRPr="006A121F">
        <w:rPr>
          <w:rFonts w:ascii="Baskerville" w:hAnsi="Baskerville"/>
          <w:color w:val="000000" w:themeColor="text1"/>
        </w:rPr>
        <w:t>F</w:t>
      </w:r>
      <w:r w:rsidR="0095772D" w:rsidRPr="006A121F">
        <w:rPr>
          <w:rFonts w:ascii="Baskerville" w:hAnsi="Baskerville"/>
          <w:color w:val="000000" w:themeColor="text1"/>
        </w:rPr>
        <w:t xml:space="preserve">or covenants entered into after the inception of employment, </w:t>
      </w:r>
      <w:r w:rsidRPr="006A121F">
        <w:rPr>
          <w:rFonts w:ascii="Baskerville" w:hAnsi="Baskerville"/>
          <w:color w:val="000000" w:themeColor="text1"/>
        </w:rPr>
        <w:t xml:space="preserve">the effective-2022 statute </w:t>
      </w:r>
      <w:r w:rsidR="0095772D" w:rsidRPr="006A121F">
        <w:rPr>
          <w:rFonts w:ascii="Baskerville" w:hAnsi="Baskerville"/>
          <w:color w:val="000000" w:themeColor="text1"/>
        </w:rPr>
        <w:t>require</w:t>
      </w:r>
      <w:r w:rsidRPr="006A121F">
        <w:rPr>
          <w:rFonts w:ascii="Baskerville" w:hAnsi="Baskerville"/>
          <w:color w:val="000000" w:themeColor="text1"/>
        </w:rPr>
        <w:t>s</w:t>
      </w:r>
      <w:r w:rsidR="0095772D" w:rsidRPr="006A121F">
        <w:rPr>
          <w:rFonts w:ascii="Baskerville" w:hAnsi="Baskerville"/>
          <w:color w:val="000000" w:themeColor="text1"/>
        </w:rPr>
        <w:t xml:space="preserve"> 2 years of continued employment in the absence of other consideration.</w:t>
      </w:r>
      <w:r w:rsidR="00D04A83" w:rsidRPr="006A121F">
        <w:rPr>
          <w:rFonts w:ascii="Baskerville" w:hAnsi="Baskerville"/>
          <w:color w:val="000000" w:themeColor="text1"/>
        </w:rPr>
        <w:t xml:space="preserve"> </w:t>
      </w:r>
      <w:r w:rsidR="006F739F" w:rsidRPr="00521CA9">
        <w:rPr>
          <w:rFonts w:ascii="Baskerville" w:hAnsi="Baskerville"/>
          <w:color w:val="000000" w:themeColor="text1"/>
          <w:shd w:val="clear" w:color="auto" w:fill="FFFFFF"/>
        </w:rPr>
        <w:t>820 ILCS 90/</w:t>
      </w:r>
      <w:r w:rsidR="006F739F">
        <w:rPr>
          <w:rFonts w:ascii="Baskerville" w:hAnsi="Baskerville"/>
          <w:color w:val="000000" w:themeColor="text1"/>
          <w:shd w:val="clear" w:color="auto" w:fill="FFFFFF"/>
        </w:rPr>
        <w:t xml:space="preserve">5. </w:t>
      </w:r>
      <w:r w:rsidR="00D04A83" w:rsidRPr="006A121F">
        <w:rPr>
          <w:rFonts w:ascii="Baskerville" w:hAnsi="Baskerville"/>
          <w:i/>
          <w:color w:val="000000" w:themeColor="text1"/>
        </w:rPr>
        <w:t>See</w:t>
      </w:r>
      <w:r w:rsidR="00D04A83" w:rsidRPr="006A121F">
        <w:rPr>
          <w:rFonts w:ascii="Baskerville" w:hAnsi="Baskerville"/>
          <w:color w:val="000000" w:themeColor="text1"/>
        </w:rPr>
        <w:t xml:space="preserve"> Michael P. Avila, </w:t>
      </w:r>
      <w:r w:rsidR="00D04A83" w:rsidRPr="006A121F">
        <w:rPr>
          <w:rFonts w:ascii="Baskerville" w:hAnsi="Baskerville"/>
          <w:i/>
          <w:color w:val="000000" w:themeColor="text1"/>
        </w:rPr>
        <w:t>Amendments to the Illinois Freedom to Work Act: Sweeping Changes Are on the Horizon</w:t>
      </w:r>
      <w:r w:rsidR="00D04A83" w:rsidRPr="006A121F">
        <w:rPr>
          <w:rFonts w:ascii="Baskerville" w:hAnsi="Baskerville"/>
          <w:color w:val="000000" w:themeColor="text1"/>
        </w:rPr>
        <w:t xml:space="preserve">, 29 </w:t>
      </w:r>
      <w:r w:rsidR="00D04A83" w:rsidRPr="006A121F">
        <w:rPr>
          <w:rFonts w:ascii="Baskerville" w:hAnsi="Baskerville"/>
          <w:smallCaps/>
          <w:color w:val="000000" w:themeColor="text1"/>
        </w:rPr>
        <w:t>Bus. Torts &amp; Un</w:t>
      </w:r>
      <w:r w:rsidR="00D04A83" w:rsidRPr="006A121F">
        <w:rPr>
          <w:rFonts w:ascii="Baskerville" w:hAnsi="Baskerville"/>
          <w:smallCaps/>
          <w:color w:val="000000" w:themeColor="text1"/>
        </w:rPr>
        <w:lastRenderedPageBreak/>
        <w:t>fair Competition</w:t>
      </w:r>
      <w:r w:rsidR="00D04A83" w:rsidRPr="006A121F">
        <w:rPr>
          <w:rFonts w:ascii="Baskerville" w:hAnsi="Baskerville"/>
          <w:color w:val="000000" w:themeColor="text1"/>
        </w:rPr>
        <w:t xml:space="preserve"> </w:t>
      </w:r>
      <w:r w:rsidR="00D8145F" w:rsidRPr="006A121F">
        <w:rPr>
          <w:rFonts w:ascii="Baskerville" w:hAnsi="Baskerville"/>
          <w:color w:val="000000" w:themeColor="text1"/>
        </w:rPr>
        <w:t xml:space="preserve">1 </w:t>
      </w:r>
      <w:r w:rsidR="00D04A83" w:rsidRPr="006A121F">
        <w:rPr>
          <w:rFonts w:ascii="Baskerville" w:hAnsi="Baskerville"/>
          <w:color w:val="000000" w:themeColor="text1"/>
        </w:rPr>
        <w:t xml:space="preserve">(Fall 2021), </w:t>
      </w:r>
      <w:hyperlink r:id="rId14" w:history="1">
        <w:r w:rsidR="00D8145F" w:rsidRPr="006A121F">
          <w:rPr>
            <w:rStyle w:val="Hyperlink"/>
            <w:rFonts w:ascii="Baskerville" w:hAnsi="Baskerville"/>
            <w:color w:val="000000" w:themeColor="text1"/>
            <w:u w:val="none"/>
          </w:rPr>
          <w:t>https://www.americanbar.org/groups/litigation/committees/business-torts-unfair-competition/articles/2021/illinois-freedom-to-work-act-amendments/</w:t>
        </w:r>
      </w:hyperlink>
      <w:r w:rsidR="00D04A83" w:rsidRPr="006A121F">
        <w:rPr>
          <w:rFonts w:ascii="Baskerville" w:hAnsi="Baskerville"/>
          <w:color w:val="000000" w:themeColor="text1"/>
        </w:rPr>
        <w:t>.</w:t>
      </w:r>
    </w:p>
    <w:p w14:paraId="44B1F1BA" w14:textId="362E74C2" w:rsidR="008D028F" w:rsidRPr="008D028F" w:rsidRDefault="008D028F" w:rsidP="00750798">
      <w:pPr>
        <w:shd w:val="clear" w:color="auto" w:fill="FFFFFF"/>
        <w:rPr>
          <w:rFonts w:ascii="Baskerville" w:hAnsi="Baskerville" w:cs="Open Sans"/>
          <w:color w:val="000000" w:themeColor="text1"/>
        </w:rPr>
      </w:pPr>
      <w:r>
        <w:rPr>
          <w:rFonts w:ascii="Baskerville" w:hAnsi="Baskerville"/>
          <w:color w:val="000000" w:themeColor="text1"/>
          <w:shd w:val="clear" w:color="auto" w:fill="FFFFFF"/>
        </w:rPr>
        <w:tab/>
      </w:r>
      <w:r w:rsidRPr="00521CA9">
        <w:rPr>
          <w:rFonts w:ascii="Baskerville" w:hAnsi="Baskerville"/>
          <w:color w:val="000000" w:themeColor="text1"/>
          <w:shd w:val="clear" w:color="auto" w:fill="FFFFFF"/>
        </w:rPr>
        <w:t>Th</w:t>
      </w:r>
      <w:r>
        <w:rPr>
          <w:rFonts w:ascii="Baskerville" w:hAnsi="Baskerville"/>
          <w:color w:val="000000" w:themeColor="text1"/>
          <w:shd w:val="clear" w:color="auto" w:fill="FFFFFF"/>
        </w:rPr>
        <w:t>e 2022 a</w:t>
      </w:r>
      <w:r w:rsidRPr="00521CA9">
        <w:rPr>
          <w:rFonts w:ascii="Baskerville" w:hAnsi="Baskerville" w:cs="Open Sans"/>
          <w:color w:val="000000" w:themeColor="text1"/>
        </w:rPr>
        <w:t xml:space="preserve">mendment </w:t>
      </w:r>
      <w:r>
        <w:rPr>
          <w:rFonts w:ascii="Baskerville" w:hAnsi="Baskerville" w:cs="Open Sans"/>
          <w:color w:val="000000" w:themeColor="text1"/>
        </w:rPr>
        <w:t>“</w:t>
      </w:r>
      <w:r w:rsidRPr="00521CA9">
        <w:rPr>
          <w:rFonts w:ascii="Baskerville" w:hAnsi="Baskerville" w:cs="Open Sans"/>
          <w:color w:val="000000" w:themeColor="text1"/>
        </w:rPr>
        <w:t xml:space="preserve">governs only agreements ‘entered into after [its] effective date,’ January 1, 2022.” </w:t>
      </w:r>
      <w:r w:rsidRPr="00521CA9">
        <w:rPr>
          <w:rFonts w:ascii="Baskerville" w:hAnsi="Baskerville" w:cs="Open Sans"/>
          <w:i/>
          <w:iCs/>
          <w:color w:val="000000" w:themeColor="text1"/>
        </w:rPr>
        <w:t>W.R. Berkley Corp. v. Dunai</w:t>
      </w:r>
      <w:r w:rsidRPr="00521CA9">
        <w:rPr>
          <w:rFonts w:ascii="Baskerville" w:hAnsi="Baskerville" w:cs="Open Sans"/>
          <w:color w:val="000000" w:themeColor="text1"/>
        </w:rPr>
        <w:t>, 2022 BL 344023, at *2 (D. Del. Sept. 28, 2022) (quoting 820 ILCS 90/5; finding amendment inapplicable to parties’ stock</w:t>
      </w:r>
      <w:r>
        <w:rPr>
          <w:rFonts w:ascii="Baskerville" w:hAnsi="Baskerville" w:cs="Open Sans"/>
          <w:color w:val="000000" w:themeColor="text1"/>
        </w:rPr>
        <w:t xml:space="preserve"> </w:t>
      </w:r>
      <w:r w:rsidRPr="00521CA9">
        <w:rPr>
          <w:rFonts w:ascii="Baskerville" w:hAnsi="Baskerville" w:cs="Open Sans"/>
          <w:color w:val="000000" w:themeColor="text1"/>
        </w:rPr>
        <w:t>benefit contract because it had been entered into “long before</w:t>
      </w:r>
      <w:r w:rsidR="00750798">
        <w:rPr>
          <w:rFonts w:ascii="Baskerville" w:hAnsi="Baskerville" w:cs="Open Sans"/>
          <w:color w:val="000000" w:themeColor="text1"/>
        </w:rPr>
        <w:t>”</w:t>
      </w:r>
      <w:r w:rsidR="00750798" w:rsidRPr="00750798">
        <w:rPr>
          <w:rFonts w:ascii="Baskerville" w:hAnsi="Baskerville" w:cs="Open Sans"/>
          <w:color w:val="000000" w:themeColor="text1"/>
        </w:rPr>
        <w:t xml:space="preserve"> </w:t>
      </w:r>
      <w:r w:rsidR="00750798" w:rsidRPr="00521CA9">
        <w:rPr>
          <w:rFonts w:ascii="Baskerville" w:hAnsi="Baskerville" w:cs="Open Sans"/>
          <w:color w:val="000000" w:themeColor="text1"/>
        </w:rPr>
        <w:t>January 1, 2022</w:t>
      </w:r>
      <w:r w:rsidR="00750798">
        <w:rPr>
          <w:rFonts w:ascii="Baskerville" w:hAnsi="Baskerville" w:cs="Open Sans"/>
          <w:color w:val="000000" w:themeColor="text1"/>
        </w:rPr>
        <w:t xml:space="preserve">; </w:t>
      </w:r>
      <w:r w:rsidRPr="00521CA9">
        <w:rPr>
          <w:rFonts w:ascii="Baskerville" w:hAnsi="Baskerville" w:cs="Open Sans"/>
          <w:color w:val="000000" w:themeColor="text1"/>
        </w:rPr>
        <w:t xml:space="preserve">adding, </w:t>
      </w:r>
      <w:r w:rsidRPr="00521CA9">
        <w:rPr>
          <w:rFonts w:ascii="Baskerville" w:hAnsi="Baskerville" w:cs="Open Sans"/>
          <w:i/>
          <w:iCs/>
          <w:color w:val="000000" w:themeColor="text1"/>
        </w:rPr>
        <w:t>id</w:t>
      </w:r>
      <w:r w:rsidRPr="00521CA9">
        <w:rPr>
          <w:rFonts w:ascii="Baskerville" w:hAnsi="Baskerville" w:cs="Open Sans"/>
          <w:color w:val="000000" w:themeColor="text1"/>
        </w:rPr>
        <w:t>., that “the amendment has not changed Illinois’s fundamental policy on noncompete agreements,” with respect to which only reasonable covenants are enforceable).</w:t>
      </w:r>
    </w:p>
    <w:p w14:paraId="779D7688" w14:textId="595D2594" w:rsidR="00E547EA" w:rsidRPr="00521CA9" w:rsidRDefault="00E547EA" w:rsidP="00257D96">
      <w:pPr>
        <w:rPr>
          <w:rFonts w:ascii="Baskerville" w:hAnsi="Baskerville" w:cs="Open Sans"/>
          <w:color w:val="000000" w:themeColor="text1"/>
          <w:shd w:val="clear" w:color="auto" w:fill="FFFFFF"/>
        </w:rPr>
      </w:pPr>
      <w:r w:rsidRPr="00521CA9">
        <w:rPr>
          <w:rFonts w:ascii="Baskerville" w:hAnsi="Baskerville" w:cs="Open Sans"/>
          <w:color w:val="000000" w:themeColor="text1"/>
          <w:shd w:val="clear" w:color="auto" w:fill="FFFFFF"/>
        </w:rPr>
        <w:tab/>
        <w:t xml:space="preserve">In full, the statute </w:t>
      </w:r>
      <w:r w:rsidR="00750798">
        <w:rPr>
          <w:rFonts w:ascii="Baskerville" w:hAnsi="Baskerville" w:cs="Open Sans"/>
          <w:color w:val="000000" w:themeColor="text1"/>
          <w:shd w:val="clear" w:color="auto" w:fill="FFFFFF"/>
        </w:rPr>
        <w:t xml:space="preserve">in effect from January 1, 2022, </w:t>
      </w:r>
      <w:r w:rsidRPr="00521CA9">
        <w:rPr>
          <w:rFonts w:ascii="Baskerville" w:hAnsi="Baskerville" w:cs="Open Sans"/>
          <w:color w:val="000000" w:themeColor="text1"/>
          <w:shd w:val="clear" w:color="auto" w:fill="FFFFFF"/>
        </w:rPr>
        <w:t>now provides:</w:t>
      </w:r>
    </w:p>
    <w:p w14:paraId="1E41B26C" w14:textId="77777777" w:rsidR="000A6505" w:rsidRPr="00521CA9" w:rsidRDefault="000A6505" w:rsidP="00257D96">
      <w:pPr>
        <w:rPr>
          <w:rFonts w:ascii="Baskerville" w:hAnsi="Baskerville" w:cs="Open Sans"/>
          <w:color w:val="000000" w:themeColor="text1"/>
          <w:shd w:val="clear" w:color="auto" w:fill="FFFFFF"/>
        </w:rPr>
      </w:pPr>
    </w:p>
    <w:p w14:paraId="7E90F36E" w14:textId="77777777" w:rsidR="00E547EA" w:rsidRPr="00761539" w:rsidRDefault="00E547EA" w:rsidP="009252CB">
      <w:pPr>
        <w:pStyle w:val="Heading1"/>
        <w:shd w:val="clear" w:color="auto" w:fill="FFFFFF"/>
        <w:spacing w:before="0"/>
        <w:ind w:left="720"/>
        <w:rPr>
          <w:rFonts w:ascii="Baskerville" w:hAnsi="Baskerville" w:cs="Arial"/>
          <w:b/>
          <w:bCs/>
          <w:color w:val="000000" w:themeColor="text1"/>
          <w:sz w:val="20"/>
          <w:szCs w:val="20"/>
          <w:u w:val="none"/>
        </w:rPr>
      </w:pPr>
      <w:r w:rsidRPr="00761539">
        <w:rPr>
          <w:rFonts w:ascii="Baskerville" w:hAnsi="Baskerville" w:cs="Arial"/>
          <w:b/>
          <w:bCs/>
          <w:color w:val="000000" w:themeColor="text1"/>
          <w:sz w:val="20"/>
          <w:szCs w:val="20"/>
          <w:u w:val="none"/>
        </w:rPr>
        <w:t>Section 820 ILCS 90/1. Short title</w:t>
      </w:r>
    </w:p>
    <w:p w14:paraId="19D7C0C5" w14:textId="2CCE31CE" w:rsidR="00E547EA" w:rsidRPr="00761539" w:rsidRDefault="00E547EA" w:rsidP="009252CB">
      <w:pPr>
        <w:shd w:val="clear" w:color="auto" w:fill="FFFFFF"/>
        <w:ind w:left="720"/>
        <w:rPr>
          <w:rFonts w:ascii="Baskerville" w:hAnsi="Baskerville" w:cs="Open Sans"/>
          <w:color w:val="000000" w:themeColor="text1"/>
          <w:sz w:val="20"/>
          <w:szCs w:val="20"/>
        </w:rPr>
      </w:pPr>
      <w:r w:rsidRPr="00761539">
        <w:rPr>
          <w:rFonts w:ascii="Baskerville" w:hAnsi="Baskerville" w:cs="Open Sans"/>
          <w:color w:val="000000" w:themeColor="text1"/>
          <w:sz w:val="20"/>
          <w:szCs w:val="20"/>
        </w:rPr>
        <w:t>This Act may be cited as the Illinois Freedom to Work Act.</w:t>
      </w:r>
    </w:p>
    <w:p w14:paraId="7D5978A2" w14:textId="77777777" w:rsidR="00E547EA" w:rsidRPr="00761539" w:rsidRDefault="00E547EA" w:rsidP="009252CB">
      <w:pPr>
        <w:shd w:val="clear" w:color="auto" w:fill="FFFFFF"/>
        <w:ind w:left="720"/>
        <w:rPr>
          <w:rFonts w:ascii="Baskerville" w:hAnsi="Baskerville" w:cs="Open Sans"/>
          <w:color w:val="000000" w:themeColor="text1"/>
          <w:sz w:val="20"/>
          <w:szCs w:val="20"/>
        </w:rPr>
      </w:pPr>
    </w:p>
    <w:p w14:paraId="0430756F" w14:textId="026C91B3" w:rsidR="00E547EA" w:rsidRPr="00761539" w:rsidRDefault="00E547EA" w:rsidP="009252CB">
      <w:pPr>
        <w:pStyle w:val="Heading1"/>
        <w:shd w:val="clear" w:color="auto" w:fill="FFFFFF"/>
        <w:spacing w:before="0"/>
        <w:ind w:left="720"/>
        <w:rPr>
          <w:rFonts w:ascii="Baskerville" w:hAnsi="Baskerville" w:cs="Arial"/>
          <w:b/>
          <w:bCs/>
          <w:color w:val="000000" w:themeColor="text1"/>
          <w:sz w:val="20"/>
          <w:szCs w:val="20"/>
          <w:u w:val="none"/>
        </w:rPr>
      </w:pPr>
      <w:r w:rsidRPr="00761539">
        <w:rPr>
          <w:rFonts w:ascii="Baskerville" w:hAnsi="Baskerville" w:cs="Arial"/>
          <w:b/>
          <w:bCs/>
          <w:color w:val="000000" w:themeColor="text1"/>
          <w:sz w:val="20"/>
          <w:szCs w:val="20"/>
          <w:u w:val="none"/>
        </w:rPr>
        <w:t>Section 820 ILCS 90/5. Definitions</w:t>
      </w:r>
    </w:p>
    <w:p w14:paraId="5215C903" w14:textId="77777777" w:rsidR="00E547EA" w:rsidRPr="006A121F" w:rsidRDefault="00E547EA" w:rsidP="009252CB">
      <w:pPr>
        <w:shd w:val="clear" w:color="auto" w:fill="FFFFFF"/>
        <w:ind w:left="720"/>
        <w:rPr>
          <w:rFonts w:ascii="Baskerville" w:hAnsi="Baskerville"/>
          <w:color w:val="000000" w:themeColor="text1"/>
          <w:sz w:val="20"/>
        </w:rPr>
      </w:pPr>
      <w:r w:rsidRPr="00761539">
        <w:rPr>
          <w:rFonts w:ascii="Baskerville" w:hAnsi="Baskerville" w:cs="Open Sans"/>
          <w:color w:val="000000" w:themeColor="text1"/>
          <w:sz w:val="20"/>
          <w:szCs w:val="20"/>
        </w:rPr>
        <w:t>I</w:t>
      </w:r>
      <w:r w:rsidRPr="006A121F">
        <w:rPr>
          <w:rFonts w:ascii="Baskerville" w:hAnsi="Baskerville"/>
          <w:color w:val="000000" w:themeColor="text1"/>
          <w:sz w:val="20"/>
        </w:rPr>
        <w:t>n this Act:</w:t>
      </w:r>
    </w:p>
    <w:p w14:paraId="3B56BD4D" w14:textId="1EB9D684" w:rsidR="00E547EA" w:rsidRPr="006A121F" w:rsidRDefault="004751DB" w:rsidP="009252CB">
      <w:pPr>
        <w:shd w:val="clear" w:color="auto" w:fill="FFFFFF"/>
        <w:ind w:left="720"/>
        <w:rPr>
          <w:rFonts w:ascii="Baskerville" w:hAnsi="Baskerville"/>
          <w:color w:val="000000" w:themeColor="text1"/>
          <w:sz w:val="20"/>
        </w:rPr>
      </w:pPr>
      <w:r w:rsidRPr="006A121F">
        <w:rPr>
          <w:rFonts w:ascii="Baskerville" w:hAnsi="Baskerville"/>
          <w:color w:val="000000" w:themeColor="text1"/>
          <w:sz w:val="20"/>
        </w:rPr>
        <w:t>“</w:t>
      </w:r>
      <w:r w:rsidR="00E547EA" w:rsidRPr="006A121F">
        <w:rPr>
          <w:rFonts w:ascii="Baskerville" w:hAnsi="Baskerville"/>
          <w:color w:val="000000" w:themeColor="text1"/>
          <w:sz w:val="20"/>
        </w:rPr>
        <w:t>Adequate consideration</w:t>
      </w:r>
      <w:r w:rsidRPr="006A121F">
        <w:rPr>
          <w:rFonts w:ascii="Baskerville" w:hAnsi="Baskerville"/>
          <w:color w:val="000000" w:themeColor="text1"/>
          <w:sz w:val="20"/>
        </w:rPr>
        <w:t>”</w:t>
      </w:r>
      <w:r w:rsidR="00E547EA" w:rsidRPr="006A121F">
        <w:rPr>
          <w:rFonts w:ascii="Baskerville" w:hAnsi="Baskerville"/>
          <w:color w:val="000000" w:themeColor="text1"/>
          <w:sz w:val="20"/>
        </w:rPr>
        <w:t xml:space="preserve"> means (1) the employee worked for the employer for at least 2 years after the employee signed an agreement containing a covenant not to compete or a covenant not to solicit or (2) the employer otherwise provided consideration adequate to support an agreement to not compete or to not solicit, which consideration can consist of a period of employment plus additional professional or financial benefits or merely professional or financial benefits adequate by themselves.</w:t>
      </w:r>
    </w:p>
    <w:p w14:paraId="03D28F40" w14:textId="3DCE81E7" w:rsidR="00E547EA" w:rsidRPr="006A121F" w:rsidRDefault="004751DB" w:rsidP="009252CB">
      <w:pPr>
        <w:shd w:val="clear" w:color="auto" w:fill="FFFFFF"/>
        <w:ind w:left="720"/>
        <w:rPr>
          <w:rFonts w:ascii="Baskerville" w:hAnsi="Baskerville"/>
          <w:color w:val="000000" w:themeColor="text1"/>
          <w:sz w:val="20"/>
        </w:rPr>
      </w:pPr>
      <w:r w:rsidRPr="006A121F">
        <w:rPr>
          <w:rFonts w:ascii="Baskerville" w:hAnsi="Baskerville"/>
          <w:color w:val="000000" w:themeColor="text1"/>
          <w:sz w:val="20"/>
        </w:rPr>
        <w:t>“</w:t>
      </w:r>
      <w:r w:rsidR="00E547EA" w:rsidRPr="006A121F">
        <w:rPr>
          <w:rFonts w:ascii="Baskerville" w:hAnsi="Baskerville"/>
          <w:color w:val="000000" w:themeColor="text1"/>
          <w:sz w:val="20"/>
        </w:rPr>
        <w:t>Covenant not to compete</w:t>
      </w:r>
      <w:r w:rsidRPr="006A121F">
        <w:rPr>
          <w:rFonts w:ascii="Baskerville" w:hAnsi="Baskerville"/>
          <w:color w:val="000000" w:themeColor="text1"/>
          <w:sz w:val="20"/>
        </w:rPr>
        <w:t>”</w:t>
      </w:r>
      <w:r w:rsidR="00E547EA" w:rsidRPr="006A121F">
        <w:rPr>
          <w:rFonts w:ascii="Baskerville" w:hAnsi="Baskerville"/>
          <w:color w:val="000000" w:themeColor="text1"/>
          <w:sz w:val="20"/>
        </w:rPr>
        <w:t xml:space="preserve"> means an agreement between an employer and an employee that is entered into after the effective date of this amendatory Act of the 102nd General Assembly that restricts the employee from performing:</w:t>
      </w:r>
    </w:p>
    <w:p w14:paraId="3FCE430C" w14:textId="77777777" w:rsidR="00E547EA" w:rsidRPr="006A121F" w:rsidRDefault="00E547EA" w:rsidP="009252CB">
      <w:pPr>
        <w:shd w:val="clear" w:color="auto" w:fill="FFFFFF"/>
        <w:ind w:left="720"/>
        <w:rPr>
          <w:rFonts w:ascii="Baskerville" w:hAnsi="Baskerville"/>
          <w:color w:val="000000" w:themeColor="text1"/>
          <w:sz w:val="20"/>
        </w:rPr>
      </w:pPr>
      <w:r w:rsidRPr="006A121F">
        <w:rPr>
          <w:rStyle w:val="enum"/>
          <w:rFonts w:ascii="Baskerville" w:hAnsi="Baskerville"/>
          <w:color w:val="000000" w:themeColor="text1"/>
          <w:sz w:val="20"/>
        </w:rPr>
        <w:t>(1)</w:t>
      </w:r>
      <w:r w:rsidRPr="006A121F">
        <w:rPr>
          <w:rFonts w:ascii="Baskerville" w:hAnsi="Baskerville"/>
          <w:color w:val="000000" w:themeColor="text1"/>
          <w:sz w:val="20"/>
        </w:rPr>
        <w:t> any work for another employer for a specified period of time;</w:t>
      </w:r>
    </w:p>
    <w:p w14:paraId="66EEF10F" w14:textId="77777777" w:rsidR="00E547EA" w:rsidRPr="006A121F" w:rsidRDefault="00E547EA" w:rsidP="009252CB">
      <w:pPr>
        <w:shd w:val="clear" w:color="auto" w:fill="FFFFFF"/>
        <w:ind w:left="720"/>
        <w:rPr>
          <w:rFonts w:ascii="Baskerville" w:hAnsi="Baskerville"/>
          <w:color w:val="000000" w:themeColor="text1"/>
          <w:sz w:val="20"/>
        </w:rPr>
      </w:pPr>
      <w:r w:rsidRPr="006A121F">
        <w:rPr>
          <w:rStyle w:val="enum"/>
          <w:rFonts w:ascii="Baskerville" w:hAnsi="Baskerville"/>
          <w:color w:val="000000" w:themeColor="text1"/>
          <w:sz w:val="20"/>
        </w:rPr>
        <w:t>(2)</w:t>
      </w:r>
      <w:r w:rsidRPr="006A121F">
        <w:rPr>
          <w:rFonts w:ascii="Baskerville" w:hAnsi="Baskerville"/>
          <w:color w:val="000000" w:themeColor="text1"/>
          <w:sz w:val="20"/>
        </w:rPr>
        <w:t> any work in a specified geographical area; or</w:t>
      </w:r>
    </w:p>
    <w:p w14:paraId="77A2B426" w14:textId="375D9F7C" w:rsidR="00E547EA" w:rsidRPr="006A121F" w:rsidRDefault="00E547EA" w:rsidP="009252CB">
      <w:pPr>
        <w:shd w:val="clear" w:color="auto" w:fill="FFFFFF"/>
        <w:ind w:left="720"/>
        <w:rPr>
          <w:rFonts w:ascii="Baskerville" w:hAnsi="Baskerville"/>
          <w:color w:val="000000" w:themeColor="text1"/>
          <w:sz w:val="20"/>
        </w:rPr>
      </w:pPr>
      <w:r w:rsidRPr="006A121F">
        <w:rPr>
          <w:rStyle w:val="enum"/>
          <w:rFonts w:ascii="Baskerville" w:hAnsi="Baskerville"/>
          <w:color w:val="000000" w:themeColor="text1"/>
          <w:sz w:val="20"/>
        </w:rPr>
        <w:t>(3)</w:t>
      </w:r>
      <w:r w:rsidRPr="006A121F">
        <w:rPr>
          <w:rFonts w:ascii="Baskerville" w:hAnsi="Baskerville"/>
          <w:color w:val="000000" w:themeColor="text1"/>
          <w:sz w:val="20"/>
        </w:rPr>
        <w:t> work for another employer that is similar to employee</w:t>
      </w:r>
      <w:r w:rsidR="004751DB" w:rsidRPr="006A121F">
        <w:rPr>
          <w:rFonts w:ascii="Baskerville" w:hAnsi="Baskerville"/>
          <w:color w:val="000000" w:themeColor="text1"/>
          <w:sz w:val="20"/>
        </w:rPr>
        <w:t>’</w:t>
      </w:r>
      <w:r w:rsidRPr="006A121F">
        <w:rPr>
          <w:rFonts w:ascii="Baskerville" w:hAnsi="Baskerville"/>
          <w:color w:val="000000" w:themeColor="text1"/>
          <w:sz w:val="20"/>
        </w:rPr>
        <w:t>s work for the employer included as a party to the agreement.</w:t>
      </w:r>
    </w:p>
    <w:p w14:paraId="37E5FEA1" w14:textId="549C881F" w:rsidR="00E547EA" w:rsidRPr="006A121F" w:rsidRDefault="004751DB" w:rsidP="009252CB">
      <w:pPr>
        <w:shd w:val="clear" w:color="auto" w:fill="FFFFFF"/>
        <w:ind w:left="720"/>
        <w:rPr>
          <w:rFonts w:ascii="Baskerville" w:hAnsi="Baskerville"/>
          <w:color w:val="000000" w:themeColor="text1"/>
          <w:sz w:val="20"/>
        </w:rPr>
      </w:pPr>
      <w:r w:rsidRPr="006A121F">
        <w:rPr>
          <w:rFonts w:ascii="Baskerville" w:hAnsi="Baskerville"/>
          <w:color w:val="000000" w:themeColor="text1"/>
          <w:sz w:val="20"/>
        </w:rPr>
        <w:t>“</w:t>
      </w:r>
      <w:r w:rsidR="00E547EA" w:rsidRPr="006A121F">
        <w:rPr>
          <w:rFonts w:ascii="Baskerville" w:hAnsi="Baskerville"/>
          <w:color w:val="000000" w:themeColor="text1"/>
          <w:sz w:val="20"/>
        </w:rPr>
        <w:t>Covenant not to compete</w:t>
      </w:r>
      <w:r w:rsidRPr="006A121F">
        <w:rPr>
          <w:rFonts w:ascii="Baskerville" w:hAnsi="Baskerville"/>
          <w:color w:val="000000" w:themeColor="text1"/>
          <w:sz w:val="20"/>
        </w:rPr>
        <w:t>”</w:t>
      </w:r>
      <w:r w:rsidR="00E547EA" w:rsidRPr="006A121F">
        <w:rPr>
          <w:rFonts w:ascii="Baskerville" w:hAnsi="Baskerville"/>
          <w:color w:val="000000" w:themeColor="text1"/>
          <w:sz w:val="20"/>
        </w:rPr>
        <w:t xml:space="preserve"> also means an agreement between an employer and an employee, entered into after the effective date of this amendatory Act of the 102nd General Assembly, that by its terms imposes adverse financial consequences on the former employee if the employee engages in competitive activities after the termination of the employee</w:t>
      </w:r>
      <w:r w:rsidRPr="006A121F">
        <w:rPr>
          <w:rFonts w:ascii="Baskerville" w:hAnsi="Baskerville"/>
          <w:color w:val="000000" w:themeColor="text1"/>
          <w:sz w:val="20"/>
        </w:rPr>
        <w:t>’</w:t>
      </w:r>
      <w:r w:rsidR="00E547EA" w:rsidRPr="006A121F">
        <w:rPr>
          <w:rFonts w:ascii="Baskerville" w:hAnsi="Baskerville"/>
          <w:color w:val="000000" w:themeColor="text1"/>
          <w:sz w:val="20"/>
        </w:rPr>
        <w:t>s employment with the employer.</w:t>
      </w:r>
    </w:p>
    <w:p w14:paraId="0D6644D4" w14:textId="33F8D08C" w:rsidR="00E547EA" w:rsidRPr="006A121F" w:rsidRDefault="004751DB" w:rsidP="009252CB">
      <w:pPr>
        <w:shd w:val="clear" w:color="auto" w:fill="FFFFFF"/>
        <w:ind w:left="720"/>
        <w:rPr>
          <w:rFonts w:ascii="Baskerville" w:hAnsi="Baskerville"/>
          <w:color w:val="000000" w:themeColor="text1"/>
          <w:sz w:val="20"/>
        </w:rPr>
      </w:pPr>
      <w:r w:rsidRPr="006A121F">
        <w:rPr>
          <w:rFonts w:ascii="Baskerville" w:hAnsi="Baskerville"/>
          <w:color w:val="000000" w:themeColor="text1"/>
          <w:sz w:val="20"/>
        </w:rPr>
        <w:t>“</w:t>
      </w:r>
      <w:r w:rsidR="00E547EA" w:rsidRPr="006A121F">
        <w:rPr>
          <w:rFonts w:ascii="Baskerville" w:hAnsi="Baskerville"/>
          <w:color w:val="000000" w:themeColor="text1"/>
          <w:sz w:val="20"/>
        </w:rPr>
        <w:t>Covenant not to compete</w:t>
      </w:r>
      <w:r w:rsidRPr="006A121F">
        <w:rPr>
          <w:rFonts w:ascii="Baskerville" w:hAnsi="Baskerville"/>
          <w:color w:val="000000" w:themeColor="text1"/>
          <w:sz w:val="20"/>
        </w:rPr>
        <w:t>”</w:t>
      </w:r>
      <w:r w:rsidR="00E547EA" w:rsidRPr="006A121F">
        <w:rPr>
          <w:rFonts w:ascii="Baskerville" w:hAnsi="Baskerville"/>
          <w:color w:val="000000" w:themeColor="text1"/>
          <w:sz w:val="20"/>
        </w:rPr>
        <w:t xml:space="preserve"> does not include (1) a covenant not to solicit, (2) a confidentiality agreement or covenant, (3) a covenant or agreement </w:t>
      </w:r>
      <w:r w:rsidR="00E547EA" w:rsidRPr="006A121F">
        <w:rPr>
          <w:rFonts w:ascii="Baskerville" w:hAnsi="Baskerville"/>
          <w:color w:val="000000" w:themeColor="text1"/>
          <w:sz w:val="20"/>
        </w:rPr>
        <w:lastRenderedPageBreak/>
        <w:t>prohibiting use or disclosure of trade secrets or inventions, (4) invention assignment agreements or covenants, (5) a covenant or agreement entered into by a person purchasing or selling the goodwill of a business or otherwise acquiring or disposing of an ownership interest, (6) clauses or an agreement between an employer and an employee requiring advance notice of termination of employment, during which notice period the employee remains employed by the employer and receives compensation, or (7) agreements by which the employee agrees not to reapply for employment to the same employer after termination of the employee.</w:t>
      </w:r>
    </w:p>
    <w:p w14:paraId="276B206E" w14:textId="4EC22205" w:rsidR="00E547EA" w:rsidRPr="006A121F" w:rsidRDefault="004751DB" w:rsidP="009252CB">
      <w:pPr>
        <w:shd w:val="clear" w:color="auto" w:fill="FFFFFF"/>
        <w:ind w:left="720"/>
        <w:rPr>
          <w:rFonts w:ascii="Baskerville" w:hAnsi="Baskerville"/>
          <w:color w:val="000000" w:themeColor="text1"/>
          <w:sz w:val="20"/>
        </w:rPr>
      </w:pPr>
      <w:r w:rsidRPr="006A121F">
        <w:rPr>
          <w:rFonts w:ascii="Baskerville" w:hAnsi="Baskerville"/>
          <w:color w:val="000000" w:themeColor="text1"/>
          <w:sz w:val="20"/>
        </w:rPr>
        <w:t>“</w:t>
      </w:r>
      <w:r w:rsidR="00E547EA" w:rsidRPr="006A121F">
        <w:rPr>
          <w:rFonts w:ascii="Baskerville" w:hAnsi="Baskerville"/>
          <w:color w:val="000000" w:themeColor="text1"/>
          <w:sz w:val="20"/>
        </w:rPr>
        <w:t>Covenant not to solicit</w:t>
      </w:r>
      <w:r w:rsidRPr="006A121F">
        <w:rPr>
          <w:rFonts w:ascii="Baskerville" w:hAnsi="Baskerville"/>
          <w:color w:val="000000" w:themeColor="text1"/>
          <w:sz w:val="20"/>
        </w:rPr>
        <w:t>”</w:t>
      </w:r>
      <w:r w:rsidR="00E547EA" w:rsidRPr="006A121F">
        <w:rPr>
          <w:rFonts w:ascii="Baskerville" w:hAnsi="Baskerville"/>
          <w:color w:val="000000" w:themeColor="text1"/>
          <w:sz w:val="20"/>
        </w:rPr>
        <w:t xml:space="preserve"> means an agreement that is entered into after the effective date of this amendatory Act of the 102nd General Assembly between an employer and an employee that (1) restricts the employee from soliciting for employment the employer</w:t>
      </w:r>
      <w:r w:rsidRPr="006A121F">
        <w:rPr>
          <w:rFonts w:ascii="Baskerville" w:hAnsi="Baskerville"/>
          <w:color w:val="000000" w:themeColor="text1"/>
          <w:sz w:val="20"/>
        </w:rPr>
        <w:t>’</w:t>
      </w:r>
      <w:r w:rsidR="00E547EA" w:rsidRPr="006A121F">
        <w:rPr>
          <w:rFonts w:ascii="Baskerville" w:hAnsi="Baskerville"/>
          <w:color w:val="000000" w:themeColor="text1"/>
          <w:sz w:val="20"/>
        </w:rPr>
        <w:t>s employees or (2) restricts the employee from soliciting, for the purpose of selling products or services of any kind to, or from interfering with the employer</w:t>
      </w:r>
      <w:r w:rsidRPr="006A121F">
        <w:rPr>
          <w:rFonts w:ascii="Baskerville" w:hAnsi="Baskerville"/>
          <w:color w:val="000000" w:themeColor="text1"/>
          <w:sz w:val="20"/>
        </w:rPr>
        <w:t>’</w:t>
      </w:r>
      <w:r w:rsidR="00E547EA" w:rsidRPr="006A121F">
        <w:rPr>
          <w:rFonts w:ascii="Baskerville" w:hAnsi="Baskerville"/>
          <w:color w:val="000000" w:themeColor="text1"/>
          <w:sz w:val="20"/>
        </w:rPr>
        <w:t>s relationships with, the employer</w:t>
      </w:r>
      <w:r w:rsidRPr="006A121F">
        <w:rPr>
          <w:rFonts w:ascii="Baskerville" w:hAnsi="Baskerville"/>
          <w:color w:val="000000" w:themeColor="text1"/>
          <w:sz w:val="20"/>
        </w:rPr>
        <w:t>’</w:t>
      </w:r>
      <w:r w:rsidR="00E547EA" w:rsidRPr="006A121F">
        <w:rPr>
          <w:rFonts w:ascii="Baskerville" w:hAnsi="Baskerville"/>
          <w:color w:val="000000" w:themeColor="text1"/>
          <w:sz w:val="20"/>
        </w:rPr>
        <w:t>s clients, prospective clients, vendors, prospective vendors, suppliers, prospective suppliers, or other business relationships.</w:t>
      </w:r>
    </w:p>
    <w:p w14:paraId="53C7E444" w14:textId="6291597E" w:rsidR="00E547EA" w:rsidRPr="006A121F" w:rsidRDefault="004751DB" w:rsidP="009252CB">
      <w:pPr>
        <w:shd w:val="clear" w:color="auto" w:fill="FFFFFF"/>
        <w:ind w:left="720"/>
        <w:rPr>
          <w:rFonts w:ascii="Baskerville" w:hAnsi="Baskerville"/>
          <w:color w:val="000000" w:themeColor="text1"/>
          <w:sz w:val="20"/>
        </w:rPr>
      </w:pPr>
      <w:r w:rsidRPr="006A121F">
        <w:rPr>
          <w:rFonts w:ascii="Baskerville" w:hAnsi="Baskerville"/>
          <w:color w:val="000000" w:themeColor="text1"/>
          <w:sz w:val="20"/>
        </w:rPr>
        <w:t>“</w:t>
      </w:r>
      <w:r w:rsidR="00E547EA" w:rsidRPr="006A121F">
        <w:rPr>
          <w:rFonts w:ascii="Baskerville" w:hAnsi="Baskerville"/>
          <w:color w:val="000000" w:themeColor="text1"/>
          <w:sz w:val="20"/>
        </w:rPr>
        <w:t>Earnings</w:t>
      </w:r>
      <w:r w:rsidRPr="006A121F">
        <w:rPr>
          <w:rFonts w:ascii="Baskerville" w:hAnsi="Baskerville"/>
          <w:color w:val="000000" w:themeColor="text1"/>
          <w:sz w:val="20"/>
        </w:rPr>
        <w:t>”</w:t>
      </w:r>
      <w:r w:rsidR="00E547EA" w:rsidRPr="006A121F">
        <w:rPr>
          <w:rFonts w:ascii="Baskerville" w:hAnsi="Baskerville"/>
          <w:color w:val="000000" w:themeColor="text1"/>
          <w:sz w:val="20"/>
        </w:rPr>
        <w:t xml:space="preserve"> means the compensation, including earned salary, earned bonuses, earned commissions, or any other form of taxable compensation, reflected or that is expected to be reflected as wages, tips, and other compensation on the employee</w:t>
      </w:r>
      <w:r w:rsidRPr="006A121F">
        <w:rPr>
          <w:rFonts w:ascii="Baskerville" w:hAnsi="Baskerville"/>
          <w:color w:val="000000" w:themeColor="text1"/>
          <w:sz w:val="20"/>
        </w:rPr>
        <w:t>’</w:t>
      </w:r>
      <w:r w:rsidR="00E547EA" w:rsidRPr="006A121F">
        <w:rPr>
          <w:rFonts w:ascii="Baskerville" w:hAnsi="Baskerville"/>
          <w:color w:val="000000" w:themeColor="text1"/>
          <w:sz w:val="20"/>
        </w:rPr>
        <w:t>s IRS Form W-2 plus any elective deferrals not reflected as wages, tips, and other compensation on the employee</w:t>
      </w:r>
      <w:r w:rsidRPr="006A121F">
        <w:rPr>
          <w:rFonts w:ascii="Baskerville" w:hAnsi="Baskerville"/>
          <w:color w:val="000000" w:themeColor="text1"/>
          <w:sz w:val="20"/>
        </w:rPr>
        <w:t>’</w:t>
      </w:r>
      <w:r w:rsidR="00E547EA" w:rsidRPr="006A121F">
        <w:rPr>
          <w:rFonts w:ascii="Baskerville" w:hAnsi="Baskerville"/>
          <w:color w:val="000000" w:themeColor="text1"/>
          <w:sz w:val="20"/>
        </w:rPr>
        <w:t>s IRS Form W-2, such as, without limitation, employee contributions to a 401(k) plan, a 403(b) plan, a flexible spending account, or a health savings account, or commuter benefit-related deductions.</w:t>
      </w:r>
    </w:p>
    <w:p w14:paraId="368CE968" w14:textId="1389EFDB" w:rsidR="00E547EA" w:rsidRPr="006A121F" w:rsidRDefault="004751DB" w:rsidP="009252CB">
      <w:pPr>
        <w:shd w:val="clear" w:color="auto" w:fill="FFFFFF"/>
        <w:ind w:left="720"/>
        <w:rPr>
          <w:rFonts w:ascii="Baskerville" w:hAnsi="Baskerville"/>
          <w:color w:val="000000" w:themeColor="text1"/>
          <w:sz w:val="20"/>
        </w:rPr>
      </w:pPr>
      <w:r w:rsidRPr="006A121F">
        <w:rPr>
          <w:rFonts w:ascii="Baskerville" w:hAnsi="Baskerville"/>
          <w:color w:val="000000" w:themeColor="text1"/>
          <w:sz w:val="20"/>
        </w:rPr>
        <w:t>“</w:t>
      </w:r>
      <w:r w:rsidR="00E547EA" w:rsidRPr="006A121F">
        <w:rPr>
          <w:rFonts w:ascii="Baskerville" w:hAnsi="Baskerville"/>
          <w:color w:val="000000" w:themeColor="text1"/>
          <w:sz w:val="20"/>
        </w:rPr>
        <w:t>Employee</w:t>
      </w:r>
      <w:r w:rsidRPr="006A121F">
        <w:rPr>
          <w:rFonts w:ascii="Baskerville" w:hAnsi="Baskerville"/>
          <w:color w:val="000000" w:themeColor="text1"/>
          <w:sz w:val="20"/>
        </w:rPr>
        <w:t>”</w:t>
      </w:r>
      <w:r w:rsidR="00E547EA" w:rsidRPr="006A121F">
        <w:rPr>
          <w:rFonts w:ascii="Baskerville" w:hAnsi="Baskerville"/>
          <w:color w:val="000000" w:themeColor="text1"/>
          <w:sz w:val="20"/>
        </w:rPr>
        <w:t xml:space="preserve"> means any individual permitted to work by an employer in an occupation.</w:t>
      </w:r>
    </w:p>
    <w:p w14:paraId="56E3196A" w14:textId="5C74B47A" w:rsidR="00E547EA" w:rsidRPr="006A121F" w:rsidRDefault="004751DB" w:rsidP="009252CB">
      <w:pPr>
        <w:shd w:val="clear" w:color="auto" w:fill="FFFFFF"/>
        <w:ind w:left="720"/>
        <w:rPr>
          <w:rFonts w:ascii="Baskerville" w:hAnsi="Baskerville"/>
          <w:color w:val="000000" w:themeColor="text1"/>
          <w:sz w:val="20"/>
        </w:rPr>
      </w:pPr>
      <w:r w:rsidRPr="006A121F">
        <w:rPr>
          <w:rFonts w:ascii="Baskerville" w:hAnsi="Baskerville"/>
          <w:color w:val="000000" w:themeColor="text1"/>
          <w:sz w:val="20"/>
        </w:rPr>
        <w:t>“</w:t>
      </w:r>
      <w:r w:rsidR="00E547EA" w:rsidRPr="006A121F">
        <w:rPr>
          <w:rFonts w:ascii="Baskerville" w:hAnsi="Baskerville"/>
          <w:color w:val="000000" w:themeColor="text1"/>
          <w:sz w:val="20"/>
        </w:rPr>
        <w:t>Employer</w:t>
      </w:r>
      <w:r w:rsidRPr="006A121F">
        <w:rPr>
          <w:rFonts w:ascii="Baskerville" w:hAnsi="Baskerville"/>
          <w:color w:val="000000" w:themeColor="text1"/>
          <w:sz w:val="20"/>
        </w:rPr>
        <w:t>”</w:t>
      </w:r>
      <w:r w:rsidR="00E547EA" w:rsidRPr="006A121F">
        <w:rPr>
          <w:rFonts w:ascii="Baskerville" w:hAnsi="Baskerville"/>
          <w:color w:val="000000" w:themeColor="text1"/>
          <w:sz w:val="20"/>
        </w:rPr>
        <w:t xml:space="preserve"> has the meaning given to such term in subsection (c) of Section 3 of the Minimum Wage Law.</w:t>
      </w:r>
    </w:p>
    <w:p w14:paraId="6152E128" w14:textId="4A6CDBE9" w:rsidR="00E547EA" w:rsidRPr="006A121F" w:rsidRDefault="004751DB" w:rsidP="009252CB">
      <w:pPr>
        <w:shd w:val="clear" w:color="auto" w:fill="FFFFFF"/>
        <w:ind w:left="720"/>
        <w:rPr>
          <w:rFonts w:ascii="Baskerville" w:hAnsi="Baskerville"/>
          <w:color w:val="000000" w:themeColor="text1"/>
          <w:sz w:val="20"/>
        </w:rPr>
      </w:pPr>
      <w:r w:rsidRPr="006A121F">
        <w:rPr>
          <w:rFonts w:ascii="Baskerville" w:hAnsi="Baskerville"/>
          <w:color w:val="000000" w:themeColor="text1"/>
          <w:sz w:val="20"/>
        </w:rPr>
        <w:t>“</w:t>
      </w:r>
      <w:r w:rsidR="00E547EA" w:rsidRPr="006A121F">
        <w:rPr>
          <w:rFonts w:ascii="Baskerville" w:hAnsi="Baskerville"/>
          <w:color w:val="000000" w:themeColor="text1"/>
          <w:sz w:val="20"/>
        </w:rPr>
        <w:t>Employer</w:t>
      </w:r>
      <w:r w:rsidRPr="006A121F">
        <w:rPr>
          <w:rFonts w:ascii="Baskerville" w:hAnsi="Baskerville"/>
          <w:color w:val="000000" w:themeColor="text1"/>
          <w:sz w:val="20"/>
        </w:rPr>
        <w:t>”</w:t>
      </w:r>
      <w:r w:rsidR="00E547EA" w:rsidRPr="006A121F">
        <w:rPr>
          <w:rFonts w:ascii="Baskerville" w:hAnsi="Baskerville"/>
          <w:color w:val="000000" w:themeColor="text1"/>
          <w:sz w:val="20"/>
        </w:rPr>
        <w:t xml:space="preserve"> does not include governmental or quasi-governmental bodies.</w:t>
      </w:r>
    </w:p>
    <w:p w14:paraId="439499B7" w14:textId="23D8383B" w:rsidR="00E547EA" w:rsidRPr="006A121F" w:rsidRDefault="004751DB" w:rsidP="009252CB">
      <w:pPr>
        <w:shd w:val="clear" w:color="auto" w:fill="FFFFFF"/>
        <w:ind w:left="720"/>
        <w:rPr>
          <w:rFonts w:ascii="Baskerville" w:hAnsi="Baskerville"/>
          <w:color w:val="000000" w:themeColor="text1"/>
          <w:sz w:val="20"/>
        </w:rPr>
      </w:pPr>
      <w:r w:rsidRPr="006A121F">
        <w:rPr>
          <w:rFonts w:ascii="Baskerville" w:hAnsi="Baskerville"/>
          <w:color w:val="000000" w:themeColor="text1"/>
          <w:sz w:val="20"/>
        </w:rPr>
        <w:t>“</w:t>
      </w:r>
      <w:r w:rsidR="00E547EA" w:rsidRPr="006A121F">
        <w:rPr>
          <w:rFonts w:ascii="Baskerville" w:hAnsi="Baskerville"/>
          <w:color w:val="000000" w:themeColor="text1"/>
          <w:sz w:val="20"/>
        </w:rPr>
        <w:t>Construction</w:t>
      </w:r>
      <w:r w:rsidRPr="006A121F">
        <w:rPr>
          <w:rFonts w:ascii="Baskerville" w:hAnsi="Baskerville"/>
          <w:color w:val="000000" w:themeColor="text1"/>
          <w:sz w:val="20"/>
        </w:rPr>
        <w:t>”</w:t>
      </w:r>
      <w:r w:rsidR="00E547EA" w:rsidRPr="006A121F">
        <w:rPr>
          <w:rFonts w:ascii="Baskerville" w:hAnsi="Baskerville"/>
          <w:color w:val="000000" w:themeColor="text1"/>
          <w:sz w:val="20"/>
        </w:rPr>
        <w:t xml:space="preserve"> means any constructing, altering, reconstructing, repairing, rehabilitating, refinishing, refurbishing, remodeling, remediating, renovating, custom fabricating, maintenance, landscaping, improving, wrecking, painting, decorating, demolishing, and adding to or subtracting from any building, structure, highway, roadway, street, bridge, alley, sewer, ditch, sewage disposal plant, water works, parking facility, railroad, excavation or other structure, project, development, real property or improvement, or to do any part thereof, whether or not the performance of the work herein described involves the addition to, or fabrication into, any structure, project, development, real property or improvement herein described of any material or article of merchandise.</w:t>
      </w:r>
    </w:p>
    <w:p w14:paraId="54B6CC90" w14:textId="77777777" w:rsidR="00E547EA" w:rsidRPr="006A121F" w:rsidRDefault="00E547EA" w:rsidP="009252CB">
      <w:pPr>
        <w:shd w:val="clear" w:color="auto" w:fill="FFFFFF"/>
        <w:ind w:left="720"/>
        <w:rPr>
          <w:rFonts w:ascii="Baskerville" w:hAnsi="Baskerville"/>
          <w:color w:val="000000" w:themeColor="text1"/>
          <w:sz w:val="20"/>
        </w:rPr>
      </w:pPr>
    </w:p>
    <w:p w14:paraId="46A937F1" w14:textId="1A1E3647" w:rsidR="00E547EA" w:rsidRPr="006A121F" w:rsidRDefault="00E547EA" w:rsidP="009252CB">
      <w:pPr>
        <w:pStyle w:val="Heading1"/>
        <w:shd w:val="clear" w:color="auto" w:fill="FFFFFF"/>
        <w:spacing w:before="0"/>
        <w:ind w:left="720"/>
        <w:rPr>
          <w:rFonts w:ascii="Baskerville" w:hAnsi="Baskerville"/>
          <w:b/>
          <w:color w:val="000000" w:themeColor="text1"/>
          <w:sz w:val="20"/>
          <w:u w:val="none"/>
        </w:rPr>
      </w:pPr>
      <w:r w:rsidRPr="006A121F">
        <w:rPr>
          <w:rFonts w:ascii="Baskerville" w:hAnsi="Baskerville"/>
          <w:b/>
          <w:color w:val="000000" w:themeColor="text1"/>
          <w:sz w:val="20"/>
          <w:u w:val="none"/>
        </w:rPr>
        <w:lastRenderedPageBreak/>
        <w:t>Section 820 ILCS 90/7. Legitimate business interest of the employer</w:t>
      </w:r>
    </w:p>
    <w:p w14:paraId="64D3E5CD" w14:textId="5CE5C568" w:rsidR="00E547EA" w:rsidRPr="006A121F" w:rsidRDefault="00E547EA" w:rsidP="009252CB">
      <w:pPr>
        <w:shd w:val="clear" w:color="auto" w:fill="FFFFFF"/>
        <w:ind w:left="720"/>
        <w:rPr>
          <w:rFonts w:ascii="Baskerville" w:hAnsi="Baskerville"/>
          <w:color w:val="000000" w:themeColor="text1"/>
          <w:sz w:val="20"/>
        </w:rPr>
      </w:pPr>
      <w:r w:rsidRPr="006A121F">
        <w:rPr>
          <w:rFonts w:ascii="Baskerville" w:hAnsi="Baskerville"/>
          <w:color w:val="000000" w:themeColor="text1"/>
          <w:sz w:val="20"/>
        </w:rPr>
        <w:t>In determining the legitimate business interest of the employer, the totality of the facts and circumstances of the individual case shall be considered. Factors that may be considered in this analysis include, but are not limited to, the employee</w:t>
      </w:r>
      <w:r w:rsidR="004751DB" w:rsidRPr="006A121F">
        <w:rPr>
          <w:rFonts w:ascii="Baskerville" w:hAnsi="Baskerville"/>
          <w:color w:val="000000" w:themeColor="text1"/>
          <w:sz w:val="20"/>
        </w:rPr>
        <w:t>’</w:t>
      </w:r>
      <w:r w:rsidRPr="006A121F">
        <w:rPr>
          <w:rFonts w:ascii="Baskerville" w:hAnsi="Baskerville"/>
          <w:color w:val="000000" w:themeColor="text1"/>
          <w:sz w:val="20"/>
        </w:rPr>
        <w:t>s exposure to the employer</w:t>
      </w:r>
      <w:r w:rsidR="004751DB" w:rsidRPr="006A121F">
        <w:rPr>
          <w:rFonts w:ascii="Baskerville" w:hAnsi="Baskerville"/>
          <w:color w:val="000000" w:themeColor="text1"/>
          <w:sz w:val="20"/>
        </w:rPr>
        <w:t>’</w:t>
      </w:r>
      <w:r w:rsidRPr="006A121F">
        <w:rPr>
          <w:rFonts w:ascii="Baskerville" w:hAnsi="Baskerville"/>
          <w:color w:val="000000" w:themeColor="text1"/>
          <w:sz w:val="20"/>
        </w:rPr>
        <w:t>s customer relationships or other employees, the near-permanence of customer relationships, the employee</w:t>
      </w:r>
      <w:r w:rsidR="004751DB" w:rsidRPr="006A121F">
        <w:rPr>
          <w:rFonts w:ascii="Baskerville" w:hAnsi="Baskerville"/>
          <w:color w:val="000000" w:themeColor="text1"/>
          <w:sz w:val="20"/>
        </w:rPr>
        <w:t>’</w:t>
      </w:r>
      <w:r w:rsidRPr="006A121F">
        <w:rPr>
          <w:rFonts w:ascii="Baskerville" w:hAnsi="Baskerville"/>
          <w:color w:val="000000" w:themeColor="text1"/>
          <w:sz w:val="20"/>
        </w:rPr>
        <w:t>s acquisition, use, or knowledge of confidential information through the employee</w:t>
      </w:r>
      <w:r w:rsidR="004751DB" w:rsidRPr="006A121F">
        <w:rPr>
          <w:rFonts w:ascii="Baskerville" w:hAnsi="Baskerville"/>
          <w:color w:val="000000" w:themeColor="text1"/>
          <w:sz w:val="20"/>
        </w:rPr>
        <w:t>’</w:t>
      </w:r>
      <w:r w:rsidRPr="006A121F">
        <w:rPr>
          <w:rFonts w:ascii="Baskerville" w:hAnsi="Baskerville"/>
          <w:color w:val="000000" w:themeColor="text1"/>
          <w:sz w:val="20"/>
        </w:rPr>
        <w:t>s employment, the time restrictions, the place restrictions, and the scope of the activity restrictions. No factor carries any more weight than any other, but rather its importance will depend on the specific facts and circumstances of the individual case. Such factors are only non-conclusive aids in determining the employer</w:t>
      </w:r>
      <w:r w:rsidR="004751DB" w:rsidRPr="006A121F">
        <w:rPr>
          <w:rFonts w:ascii="Baskerville" w:hAnsi="Baskerville"/>
          <w:color w:val="000000" w:themeColor="text1"/>
          <w:sz w:val="20"/>
        </w:rPr>
        <w:t>’</w:t>
      </w:r>
      <w:r w:rsidRPr="006A121F">
        <w:rPr>
          <w:rFonts w:ascii="Baskerville" w:hAnsi="Baskerville"/>
          <w:color w:val="000000" w:themeColor="text1"/>
          <w:sz w:val="20"/>
        </w:rPr>
        <w:t>s legitimate business interest, which in turn is but one component in the 3-prong rule of reason, grounded in the totality of the circumstances. Each situation must be determined on its own particular facts. Reasonableness is gauged not just by some, but by all of the circumstances. The same identical contract and restraint may be reasonable and valid under one set of circumstances and unreasonable and invalid under another set of circumstances.</w:t>
      </w:r>
    </w:p>
    <w:p w14:paraId="5072B9CB" w14:textId="77777777" w:rsidR="000A6505" w:rsidRPr="006A121F" w:rsidRDefault="000A6505" w:rsidP="009252CB">
      <w:pPr>
        <w:pStyle w:val="Heading1"/>
        <w:shd w:val="clear" w:color="auto" w:fill="FFFFFF"/>
        <w:spacing w:before="0"/>
        <w:ind w:left="720"/>
        <w:rPr>
          <w:rFonts w:ascii="Baskerville" w:hAnsi="Baskerville"/>
          <w:b/>
          <w:color w:val="000000" w:themeColor="text1"/>
          <w:sz w:val="20"/>
          <w:u w:val="none"/>
        </w:rPr>
      </w:pPr>
    </w:p>
    <w:p w14:paraId="4E146CFF" w14:textId="141508C1" w:rsidR="00E547EA" w:rsidRPr="006A121F" w:rsidRDefault="00E547EA" w:rsidP="009252CB">
      <w:pPr>
        <w:pStyle w:val="Heading1"/>
        <w:shd w:val="clear" w:color="auto" w:fill="FFFFFF"/>
        <w:spacing w:before="0"/>
        <w:ind w:left="720"/>
        <w:rPr>
          <w:rFonts w:ascii="Baskerville" w:hAnsi="Baskerville"/>
          <w:b/>
          <w:color w:val="000000" w:themeColor="text1"/>
          <w:sz w:val="20"/>
          <w:u w:val="none"/>
        </w:rPr>
      </w:pPr>
      <w:r w:rsidRPr="006A121F">
        <w:rPr>
          <w:rFonts w:ascii="Baskerville" w:hAnsi="Baskerville"/>
          <w:b/>
          <w:color w:val="000000" w:themeColor="text1"/>
          <w:sz w:val="20"/>
          <w:u w:val="none"/>
        </w:rPr>
        <w:t>Section 820 ILCS 90/10. Prohibiting covenants not to compete and covenants not to solicit</w:t>
      </w:r>
    </w:p>
    <w:p w14:paraId="00A64A62" w14:textId="3AC025F4" w:rsidR="00E547EA" w:rsidRPr="006A121F" w:rsidRDefault="00E547EA" w:rsidP="009252CB">
      <w:pPr>
        <w:shd w:val="clear" w:color="auto" w:fill="FFFFFF"/>
        <w:ind w:left="720"/>
        <w:rPr>
          <w:rFonts w:ascii="Baskerville" w:hAnsi="Baskerville"/>
          <w:color w:val="000000" w:themeColor="text1"/>
          <w:sz w:val="20"/>
        </w:rPr>
      </w:pPr>
      <w:r w:rsidRPr="006A121F">
        <w:rPr>
          <w:rStyle w:val="enum"/>
          <w:rFonts w:ascii="Baskerville" w:hAnsi="Baskerville"/>
          <w:color w:val="000000" w:themeColor="text1"/>
          <w:sz w:val="20"/>
        </w:rPr>
        <w:t>(a)</w:t>
      </w:r>
      <w:r w:rsidRPr="006A121F">
        <w:rPr>
          <w:rFonts w:ascii="Baskerville" w:hAnsi="Baskerville"/>
          <w:color w:val="000000" w:themeColor="text1"/>
          <w:sz w:val="20"/>
        </w:rPr>
        <w:t> No employer shall enter into a covenant not to compete with any employee unless the employee</w:t>
      </w:r>
      <w:r w:rsidR="004751DB" w:rsidRPr="006A121F">
        <w:rPr>
          <w:rFonts w:ascii="Baskerville" w:hAnsi="Baskerville"/>
          <w:color w:val="000000" w:themeColor="text1"/>
          <w:sz w:val="20"/>
        </w:rPr>
        <w:t>’</w:t>
      </w:r>
      <w:r w:rsidRPr="006A121F">
        <w:rPr>
          <w:rFonts w:ascii="Baskerville" w:hAnsi="Baskerville"/>
          <w:color w:val="000000" w:themeColor="text1"/>
          <w:sz w:val="20"/>
        </w:rPr>
        <w:t>s actual or expected annualized rate of earnings exceeds $75,000 per year. This amount shall increase to $80,000 per year beginning on January 1, 2027, $85,000 per year beginning on January 1, 2032, and $90,000 per year beginning on January 1, 2037. A covenant not to compete entered into in violation of this subsection is void and unenforceable.</w:t>
      </w:r>
    </w:p>
    <w:p w14:paraId="0680399E" w14:textId="65A9F5A2" w:rsidR="00E547EA" w:rsidRPr="006A121F" w:rsidRDefault="00E547EA" w:rsidP="009252CB">
      <w:pPr>
        <w:shd w:val="clear" w:color="auto" w:fill="FFFFFF"/>
        <w:ind w:left="720"/>
        <w:rPr>
          <w:rFonts w:ascii="Baskerville" w:hAnsi="Baskerville"/>
          <w:color w:val="000000" w:themeColor="text1"/>
          <w:sz w:val="20"/>
        </w:rPr>
      </w:pPr>
      <w:r w:rsidRPr="006A121F">
        <w:rPr>
          <w:rStyle w:val="enum"/>
          <w:rFonts w:ascii="Baskerville" w:hAnsi="Baskerville"/>
          <w:color w:val="000000" w:themeColor="text1"/>
          <w:sz w:val="20"/>
        </w:rPr>
        <w:t>(b)</w:t>
      </w:r>
      <w:r w:rsidRPr="006A121F">
        <w:rPr>
          <w:rFonts w:ascii="Baskerville" w:hAnsi="Baskerville"/>
          <w:color w:val="000000" w:themeColor="text1"/>
          <w:sz w:val="20"/>
        </w:rPr>
        <w:t> No employer shall enter into a covenant not to solicit with any employee unless the employee</w:t>
      </w:r>
      <w:r w:rsidR="004751DB" w:rsidRPr="006A121F">
        <w:rPr>
          <w:rFonts w:ascii="Baskerville" w:hAnsi="Baskerville"/>
          <w:color w:val="000000" w:themeColor="text1"/>
          <w:sz w:val="20"/>
        </w:rPr>
        <w:t>’</w:t>
      </w:r>
      <w:r w:rsidRPr="006A121F">
        <w:rPr>
          <w:rFonts w:ascii="Baskerville" w:hAnsi="Baskerville"/>
          <w:color w:val="000000" w:themeColor="text1"/>
          <w:sz w:val="20"/>
        </w:rPr>
        <w:t>s actual or expected annualized rate of earnings exceeds $45,000 per year. This amount shall increase to $47,500 per year beginning on January 1, 2027, $50,000 per year beginning on January 1, 2032, and $52,500 per year beginning on January 1, 2037. A covenant not to solicit entered into in violation of this subsection is void and unenforceable.</w:t>
      </w:r>
    </w:p>
    <w:p w14:paraId="002F15BB" w14:textId="163FA0BA" w:rsidR="00E547EA" w:rsidRPr="006A121F" w:rsidRDefault="00E547EA" w:rsidP="009252CB">
      <w:pPr>
        <w:shd w:val="clear" w:color="auto" w:fill="FFFFFF"/>
        <w:ind w:left="720"/>
        <w:rPr>
          <w:rFonts w:ascii="Baskerville" w:hAnsi="Baskerville"/>
          <w:color w:val="000000" w:themeColor="text1"/>
          <w:sz w:val="20"/>
        </w:rPr>
      </w:pPr>
      <w:r w:rsidRPr="006A121F">
        <w:rPr>
          <w:rStyle w:val="enum"/>
          <w:rFonts w:ascii="Baskerville" w:hAnsi="Baskerville"/>
          <w:color w:val="000000" w:themeColor="text1"/>
          <w:sz w:val="20"/>
        </w:rPr>
        <w:t>(c)</w:t>
      </w:r>
      <w:r w:rsidRPr="006A121F">
        <w:rPr>
          <w:rFonts w:ascii="Baskerville" w:hAnsi="Baskerville"/>
          <w:color w:val="000000" w:themeColor="text1"/>
          <w:sz w:val="20"/>
        </w:rPr>
        <w:t> No employer shall enter into a covenant not to compete or a covenant not to solicit with any employee who an employer terminates or furloughs or lays off as the result of business circumstances or governmental orders related to the COVID-19 pandemic or under circumstances that are similar to the COVID-19 pandemic, unless enforcement of the covenant not to compete includes compensation equivalent to the employee</w:t>
      </w:r>
      <w:r w:rsidR="004751DB" w:rsidRPr="006A121F">
        <w:rPr>
          <w:rFonts w:ascii="Baskerville" w:hAnsi="Baskerville"/>
          <w:color w:val="000000" w:themeColor="text1"/>
          <w:sz w:val="20"/>
        </w:rPr>
        <w:t>’</w:t>
      </w:r>
      <w:r w:rsidRPr="006A121F">
        <w:rPr>
          <w:rFonts w:ascii="Baskerville" w:hAnsi="Baskerville"/>
          <w:color w:val="000000" w:themeColor="text1"/>
          <w:sz w:val="20"/>
        </w:rPr>
        <w:t xml:space="preserve">s base salary at the time of termination for the period of enforcement minus compensation earned through subsequent employment during the period of enforcement. A covenant not to compete or a covenant not to </w:t>
      </w:r>
      <w:r w:rsidRPr="006A121F">
        <w:rPr>
          <w:rFonts w:ascii="Baskerville" w:hAnsi="Baskerville"/>
          <w:color w:val="000000" w:themeColor="text1"/>
          <w:sz w:val="20"/>
        </w:rPr>
        <w:lastRenderedPageBreak/>
        <w:t>solicit entered into in violation of this subsection is void and unenforceable.</w:t>
      </w:r>
    </w:p>
    <w:p w14:paraId="29614FCE" w14:textId="77777777" w:rsidR="00E547EA" w:rsidRPr="006A121F" w:rsidRDefault="00E547EA" w:rsidP="009252CB">
      <w:pPr>
        <w:shd w:val="clear" w:color="auto" w:fill="FFFFFF"/>
        <w:ind w:left="720"/>
        <w:rPr>
          <w:rFonts w:ascii="Baskerville" w:hAnsi="Baskerville"/>
          <w:color w:val="000000" w:themeColor="text1"/>
          <w:sz w:val="20"/>
        </w:rPr>
      </w:pPr>
      <w:r w:rsidRPr="006A121F">
        <w:rPr>
          <w:rStyle w:val="enum"/>
          <w:rFonts w:ascii="Baskerville" w:hAnsi="Baskerville"/>
          <w:color w:val="000000" w:themeColor="text1"/>
          <w:sz w:val="20"/>
        </w:rPr>
        <w:t>(d)</w:t>
      </w:r>
      <w:r w:rsidRPr="006A121F">
        <w:rPr>
          <w:rFonts w:ascii="Baskerville" w:hAnsi="Baskerville"/>
          <w:color w:val="000000" w:themeColor="text1"/>
          <w:sz w:val="20"/>
        </w:rPr>
        <w:t> A covenant not to compete is void and illegal with respect to individuals covered by a collective bargaining agreement under the Illinois Public Labor Relations Act or the Illinois Educational Labor Relations Act and individuals employed in construction. This subsection (d) does not apply to construction employees who primarily perform management, engineering or architectural, design, or sales functions for the employer or who are shareholders, partners, or owners in any capacity of the employer.</w:t>
      </w:r>
    </w:p>
    <w:p w14:paraId="4C0923E9" w14:textId="77777777" w:rsidR="000A6505" w:rsidRPr="006A121F" w:rsidRDefault="000A6505" w:rsidP="009252CB">
      <w:pPr>
        <w:pStyle w:val="Heading1"/>
        <w:shd w:val="clear" w:color="auto" w:fill="FFFFFF"/>
        <w:spacing w:before="0"/>
        <w:ind w:left="720"/>
        <w:rPr>
          <w:rFonts w:ascii="Baskerville" w:hAnsi="Baskerville"/>
          <w:b/>
          <w:color w:val="000000" w:themeColor="text1"/>
          <w:sz w:val="20"/>
          <w:u w:val="none"/>
        </w:rPr>
      </w:pPr>
    </w:p>
    <w:p w14:paraId="372F3A1D" w14:textId="05FD9F1F" w:rsidR="00A47EAE" w:rsidRPr="006A121F" w:rsidRDefault="00A47EAE" w:rsidP="009252CB">
      <w:pPr>
        <w:pStyle w:val="Heading1"/>
        <w:shd w:val="clear" w:color="auto" w:fill="FFFFFF"/>
        <w:spacing w:before="0"/>
        <w:ind w:left="720"/>
        <w:rPr>
          <w:rFonts w:ascii="Baskerville" w:hAnsi="Baskerville"/>
          <w:b/>
          <w:color w:val="000000" w:themeColor="text1"/>
          <w:sz w:val="20"/>
          <w:u w:val="none"/>
        </w:rPr>
      </w:pPr>
      <w:r w:rsidRPr="006A121F">
        <w:rPr>
          <w:rFonts w:ascii="Baskerville" w:hAnsi="Baskerville"/>
          <w:b/>
          <w:color w:val="000000" w:themeColor="text1"/>
          <w:sz w:val="20"/>
          <w:u w:val="none"/>
        </w:rPr>
        <w:t>Section 820 ILCS 90/15. Enforceability of a covenant not to compete or a covenant not to solicit</w:t>
      </w:r>
    </w:p>
    <w:p w14:paraId="29D5383D" w14:textId="77777777" w:rsidR="00A47EAE" w:rsidRPr="006A121F" w:rsidRDefault="00A47EAE" w:rsidP="009252CB">
      <w:pPr>
        <w:shd w:val="clear" w:color="auto" w:fill="FFFFFF"/>
        <w:ind w:left="720"/>
        <w:rPr>
          <w:rFonts w:ascii="Baskerville" w:hAnsi="Baskerville"/>
          <w:color w:val="000000" w:themeColor="text1"/>
          <w:sz w:val="20"/>
        </w:rPr>
      </w:pPr>
      <w:r w:rsidRPr="006A121F">
        <w:rPr>
          <w:rFonts w:ascii="Baskerville" w:hAnsi="Baskerville"/>
          <w:color w:val="000000" w:themeColor="text1"/>
          <w:sz w:val="20"/>
        </w:rPr>
        <w:t>A covenant not to compete or a covenant not to solicit is illegal and void unless (1) the employee receives adequate consideration, (2) the covenant is ancillary to a valid employment relationship, (3) the covenant is no greater than is required for the protection of a legitimate business interest of the employer, (4) the covenant does not impose undue hardship on the employee, and (5) the covenant is not injurious to the public.</w:t>
      </w:r>
    </w:p>
    <w:p w14:paraId="22A069B2" w14:textId="77777777" w:rsidR="000A6505" w:rsidRPr="006A121F" w:rsidRDefault="000A6505" w:rsidP="009252CB">
      <w:pPr>
        <w:pStyle w:val="Heading1"/>
        <w:shd w:val="clear" w:color="auto" w:fill="FFFFFF"/>
        <w:spacing w:before="0"/>
        <w:ind w:left="720"/>
        <w:rPr>
          <w:rFonts w:ascii="Baskerville" w:hAnsi="Baskerville"/>
          <w:b/>
          <w:color w:val="000000" w:themeColor="text1"/>
          <w:sz w:val="20"/>
          <w:u w:val="none"/>
        </w:rPr>
      </w:pPr>
    </w:p>
    <w:p w14:paraId="0750AEC8" w14:textId="6DCE14EB" w:rsidR="005373F0" w:rsidRPr="006A121F" w:rsidRDefault="005373F0" w:rsidP="009252CB">
      <w:pPr>
        <w:pStyle w:val="Heading1"/>
        <w:shd w:val="clear" w:color="auto" w:fill="FFFFFF"/>
        <w:spacing w:before="0"/>
        <w:ind w:left="720"/>
        <w:rPr>
          <w:rFonts w:ascii="Baskerville" w:hAnsi="Baskerville"/>
          <w:b/>
          <w:color w:val="000000" w:themeColor="text1"/>
          <w:sz w:val="20"/>
          <w:u w:val="none"/>
        </w:rPr>
      </w:pPr>
      <w:r w:rsidRPr="006A121F">
        <w:rPr>
          <w:rFonts w:ascii="Baskerville" w:hAnsi="Baskerville"/>
          <w:b/>
          <w:color w:val="000000" w:themeColor="text1"/>
          <w:sz w:val="20"/>
          <w:u w:val="none"/>
        </w:rPr>
        <w:t>Section 820 ILCS 90/20. Ensuring employees are informed about their obligations</w:t>
      </w:r>
    </w:p>
    <w:p w14:paraId="3D4DF204" w14:textId="5316BDF9" w:rsidR="005373F0" w:rsidRPr="006A121F" w:rsidRDefault="005373F0" w:rsidP="009252CB">
      <w:pPr>
        <w:shd w:val="clear" w:color="auto" w:fill="FFFFFF"/>
        <w:ind w:left="720"/>
        <w:rPr>
          <w:rFonts w:ascii="Baskerville" w:hAnsi="Baskerville"/>
          <w:color w:val="000000" w:themeColor="text1"/>
          <w:sz w:val="20"/>
        </w:rPr>
      </w:pPr>
      <w:r w:rsidRPr="006A121F">
        <w:rPr>
          <w:rFonts w:ascii="Baskerville" w:hAnsi="Baskerville"/>
          <w:color w:val="000000" w:themeColor="text1"/>
          <w:sz w:val="20"/>
        </w:rPr>
        <w:t>A covenant not to compete or a covenant not to solicit is illegal and void unless (1) the employer advises the employee in writing to consult with an attorney before entering into the covenant and (2) the employer provides the employee with a copy of the covenant at least 14 calendar days before the commencement of the employee</w:t>
      </w:r>
      <w:r w:rsidR="004751DB" w:rsidRPr="006A121F">
        <w:rPr>
          <w:rFonts w:ascii="Baskerville" w:hAnsi="Baskerville"/>
          <w:color w:val="000000" w:themeColor="text1"/>
          <w:sz w:val="20"/>
        </w:rPr>
        <w:t>’</w:t>
      </w:r>
      <w:r w:rsidRPr="006A121F">
        <w:rPr>
          <w:rFonts w:ascii="Baskerville" w:hAnsi="Baskerville"/>
          <w:color w:val="000000" w:themeColor="text1"/>
          <w:sz w:val="20"/>
        </w:rPr>
        <w:t>s employment or the employer provides the employee with at least 14 calendar days to review the covenant. An employer is in compliance with this Section even if the employee voluntarily elects to sign the covenant before the expiration of the 14-day period.</w:t>
      </w:r>
    </w:p>
    <w:p w14:paraId="4514A7E1" w14:textId="77777777" w:rsidR="000A6505" w:rsidRPr="006A121F" w:rsidRDefault="000A6505" w:rsidP="009252CB">
      <w:pPr>
        <w:shd w:val="clear" w:color="auto" w:fill="FFFFFF"/>
        <w:ind w:left="720"/>
        <w:rPr>
          <w:rFonts w:ascii="Baskerville" w:hAnsi="Baskerville"/>
          <w:color w:val="000000" w:themeColor="text1"/>
          <w:sz w:val="20"/>
        </w:rPr>
      </w:pPr>
    </w:p>
    <w:p w14:paraId="11355DD8" w14:textId="16055F1B" w:rsidR="005373F0" w:rsidRPr="006A121F" w:rsidRDefault="005373F0" w:rsidP="009252CB">
      <w:pPr>
        <w:pStyle w:val="Heading1"/>
        <w:shd w:val="clear" w:color="auto" w:fill="FFFFFF"/>
        <w:spacing w:before="0"/>
        <w:ind w:left="720"/>
        <w:rPr>
          <w:rFonts w:ascii="Baskerville" w:hAnsi="Baskerville"/>
          <w:b/>
          <w:color w:val="000000" w:themeColor="text1"/>
          <w:sz w:val="20"/>
          <w:u w:val="none"/>
        </w:rPr>
      </w:pPr>
      <w:r w:rsidRPr="006A121F">
        <w:rPr>
          <w:rFonts w:ascii="Baskerville" w:hAnsi="Baskerville"/>
          <w:b/>
          <w:color w:val="000000" w:themeColor="text1"/>
          <w:sz w:val="20"/>
          <w:u w:val="none"/>
        </w:rPr>
        <w:t>Section 820 ILCS 90/25. Remedies</w:t>
      </w:r>
    </w:p>
    <w:p w14:paraId="475DDF71" w14:textId="7B15B811" w:rsidR="005373F0" w:rsidRPr="006A121F" w:rsidRDefault="005373F0" w:rsidP="009252CB">
      <w:pPr>
        <w:shd w:val="clear" w:color="auto" w:fill="FFFFFF"/>
        <w:ind w:left="720"/>
        <w:rPr>
          <w:rFonts w:ascii="Baskerville" w:hAnsi="Baskerville"/>
          <w:color w:val="000000" w:themeColor="text1"/>
          <w:sz w:val="20"/>
        </w:rPr>
      </w:pPr>
      <w:r w:rsidRPr="006A121F">
        <w:rPr>
          <w:rFonts w:ascii="Baskerville" w:hAnsi="Baskerville"/>
          <w:color w:val="000000" w:themeColor="text1"/>
          <w:sz w:val="20"/>
        </w:rPr>
        <w:t xml:space="preserve">In addition to any remedies available under any agreement between an employer and an employee or under any other statute, in a civil action or arbitration filed by an employer (including, but not limited to, a complaint or counterclaim), if an employee prevails on a claim to enforce a covenant not </w:t>
      </w:r>
      <w:r w:rsidRPr="00761539">
        <w:rPr>
          <w:rFonts w:ascii="Baskerville" w:hAnsi="Baskerville" w:cs="Open Sans"/>
          <w:color w:val="000000" w:themeColor="text1"/>
          <w:sz w:val="20"/>
          <w:szCs w:val="20"/>
        </w:rPr>
        <w:t xml:space="preserve">to compete or a covenant not to solicit, the employee shall recover from the employer all costs </w:t>
      </w:r>
      <w:r w:rsidRPr="006A121F">
        <w:rPr>
          <w:rFonts w:ascii="Baskerville" w:hAnsi="Baskerville"/>
          <w:color w:val="000000" w:themeColor="text1"/>
          <w:sz w:val="20"/>
        </w:rPr>
        <w:t>and all reasonable attorney</w:t>
      </w:r>
      <w:r w:rsidR="004751DB" w:rsidRPr="006A121F">
        <w:rPr>
          <w:rFonts w:ascii="Baskerville" w:hAnsi="Baskerville"/>
          <w:color w:val="000000" w:themeColor="text1"/>
          <w:sz w:val="20"/>
        </w:rPr>
        <w:t>’</w:t>
      </w:r>
      <w:r w:rsidRPr="006A121F">
        <w:rPr>
          <w:rFonts w:ascii="Baskerville" w:hAnsi="Baskerville"/>
          <w:color w:val="000000" w:themeColor="text1"/>
          <w:sz w:val="20"/>
        </w:rPr>
        <w:t>s fees regarding such claim to enforce a covenant not to compete or a covenant not to solicit, and the court or arbitrator may award appropriate relief.</w:t>
      </w:r>
    </w:p>
    <w:p w14:paraId="7AA584F8" w14:textId="77777777" w:rsidR="000A6505" w:rsidRPr="006A121F" w:rsidRDefault="000A6505" w:rsidP="009252CB">
      <w:pPr>
        <w:shd w:val="clear" w:color="auto" w:fill="FFFFFF"/>
        <w:ind w:left="720"/>
        <w:rPr>
          <w:rFonts w:ascii="Baskerville" w:hAnsi="Baskerville"/>
          <w:color w:val="000000" w:themeColor="text1"/>
          <w:sz w:val="20"/>
        </w:rPr>
      </w:pPr>
    </w:p>
    <w:p w14:paraId="587B6C42" w14:textId="671E394A" w:rsidR="0024719D" w:rsidRPr="006A121F" w:rsidRDefault="0024719D" w:rsidP="009252CB">
      <w:pPr>
        <w:pStyle w:val="Heading1"/>
        <w:shd w:val="clear" w:color="auto" w:fill="FFFFFF"/>
        <w:spacing w:before="0"/>
        <w:ind w:left="720"/>
        <w:rPr>
          <w:rFonts w:ascii="Baskerville" w:hAnsi="Baskerville"/>
          <w:b/>
          <w:color w:val="000000" w:themeColor="text1"/>
          <w:sz w:val="20"/>
          <w:u w:val="none"/>
        </w:rPr>
      </w:pPr>
      <w:r w:rsidRPr="006A121F">
        <w:rPr>
          <w:rFonts w:ascii="Baskerville" w:hAnsi="Baskerville"/>
          <w:b/>
          <w:color w:val="000000" w:themeColor="text1"/>
          <w:sz w:val="20"/>
          <w:u w:val="none"/>
        </w:rPr>
        <w:t>Section 820 ILCS 90/30. Attorney General enforcement</w:t>
      </w:r>
    </w:p>
    <w:p w14:paraId="11F502CF" w14:textId="77777777" w:rsidR="0024719D" w:rsidRPr="006A121F" w:rsidRDefault="0024719D" w:rsidP="009252CB">
      <w:pPr>
        <w:shd w:val="clear" w:color="auto" w:fill="FFFFFF"/>
        <w:ind w:left="720"/>
        <w:rPr>
          <w:rFonts w:ascii="Baskerville" w:hAnsi="Baskerville"/>
          <w:color w:val="000000" w:themeColor="text1"/>
          <w:sz w:val="20"/>
        </w:rPr>
      </w:pPr>
      <w:r w:rsidRPr="006A121F">
        <w:rPr>
          <w:rStyle w:val="enum"/>
          <w:rFonts w:ascii="Baskerville" w:hAnsi="Baskerville"/>
          <w:color w:val="000000" w:themeColor="text1"/>
          <w:sz w:val="20"/>
        </w:rPr>
        <w:t>(a)</w:t>
      </w:r>
      <w:r w:rsidRPr="006A121F">
        <w:rPr>
          <w:rFonts w:ascii="Baskerville" w:hAnsi="Baskerville"/>
          <w:color w:val="000000" w:themeColor="text1"/>
          <w:sz w:val="20"/>
        </w:rPr>
        <w:t xml:space="preserve"> Whenever the Attorney General has reasonable cause to believe that any person or entity is engaged in a pattern and practice prohibited by this Act, the Attorney General may initiate or intervene in a civil action </w:t>
      </w:r>
      <w:r w:rsidRPr="006A121F">
        <w:rPr>
          <w:rFonts w:ascii="Baskerville" w:hAnsi="Baskerville"/>
          <w:color w:val="000000" w:themeColor="text1"/>
          <w:sz w:val="20"/>
        </w:rPr>
        <w:lastRenderedPageBreak/>
        <w:t>in the name of the People of the State in any appropriate court to obtain appropriate relief.</w:t>
      </w:r>
    </w:p>
    <w:p w14:paraId="7F798913" w14:textId="77777777" w:rsidR="0024719D" w:rsidRPr="006A121F" w:rsidRDefault="0024719D" w:rsidP="009252CB">
      <w:pPr>
        <w:shd w:val="clear" w:color="auto" w:fill="FFFFFF"/>
        <w:ind w:left="720"/>
        <w:rPr>
          <w:rFonts w:ascii="Baskerville" w:hAnsi="Baskerville"/>
          <w:color w:val="000000" w:themeColor="text1"/>
          <w:sz w:val="20"/>
        </w:rPr>
      </w:pPr>
      <w:r w:rsidRPr="006A121F">
        <w:rPr>
          <w:rStyle w:val="enum"/>
          <w:rFonts w:ascii="Baskerville" w:hAnsi="Baskerville"/>
          <w:color w:val="000000" w:themeColor="text1"/>
          <w:sz w:val="20"/>
        </w:rPr>
        <w:t>(b)</w:t>
      </w:r>
      <w:r w:rsidRPr="006A121F">
        <w:rPr>
          <w:rFonts w:ascii="Baskerville" w:hAnsi="Baskerville"/>
          <w:color w:val="000000" w:themeColor="text1"/>
          <w:sz w:val="20"/>
        </w:rPr>
        <w:t> Before initiating an action, the Attorney General may conduct an investigation and may: (1) require an individual or entity to file a statement or report in writing under oath or otherwise, as to all information the Attorney General may consider necessary; (2) examine under oath any person alleged to have participated in or with knowledge of the alleged violation; or (3) issue subpoenas or conduct hearings in aid of any investigation.</w:t>
      </w:r>
    </w:p>
    <w:p w14:paraId="748CA1D9" w14:textId="77777777" w:rsidR="0024719D" w:rsidRPr="006A121F" w:rsidRDefault="0024719D" w:rsidP="009252CB">
      <w:pPr>
        <w:shd w:val="clear" w:color="auto" w:fill="FFFFFF"/>
        <w:ind w:left="720"/>
        <w:rPr>
          <w:rFonts w:ascii="Baskerville" w:hAnsi="Baskerville"/>
          <w:color w:val="000000" w:themeColor="text1"/>
          <w:sz w:val="20"/>
        </w:rPr>
      </w:pPr>
      <w:r w:rsidRPr="006A121F">
        <w:rPr>
          <w:rStyle w:val="enum"/>
          <w:rFonts w:ascii="Baskerville" w:hAnsi="Baskerville"/>
          <w:color w:val="000000" w:themeColor="text1"/>
          <w:sz w:val="20"/>
        </w:rPr>
        <w:t>(c)</w:t>
      </w:r>
      <w:r w:rsidRPr="006A121F">
        <w:rPr>
          <w:rFonts w:ascii="Baskerville" w:hAnsi="Baskerville"/>
          <w:color w:val="000000" w:themeColor="text1"/>
          <w:sz w:val="20"/>
        </w:rPr>
        <w:t> Service by the Attorney General of any notice requiring a person or entity to file a statement or report, or of a subpoena upon any person or entity, shall be made:</w:t>
      </w:r>
    </w:p>
    <w:p w14:paraId="5229FD17" w14:textId="77777777" w:rsidR="0024719D" w:rsidRPr="006A121F" w:rsidRDefault="0024719D" w:rsidP="009252CB">
      <w:pPr>
        <w:shd w:val="clear" w:color="auto" w:fill="FFFFFF"/>
        <w:ind w:left="720"/>
        <w:rPr>
          <w:rFonts w:ascii="Baskerville" w:hAnsi="Baskerville"/>
          <w:color w:val="000000" w:themeColor="text1"/>
          <w:sz w:val="20"/>
        </w:rPr>
      </w:pPr>
      <w:r w:rsidRPr="006A121F">
        <w:rPr>
          <w:rStyle w:val="enum"/>
          <w:rFonts w:ascii="Baskerville" w:hAnsi="Baskerville"/>
          <w:color w:val="000000" w:themeColor="text1"/>
          <w:sz w:val="20"/>
        </w:rPr>
        <w:t>(1)</w:t>
      </w:r>
      <w:r w:rsidRPr="006A121F">
        <w:rPr>
          <w:rFonts w:ascii="Baskerville" w:hAnsi="Baskerville"/>
          <w:color w:val="000000" w:themeColor="text1"/>
          <w:sz w:val="20"/>
        </w:rPr>
        <w:t> personally by delivery of a duly executed copy thereof to the person to be served or, if a person is not a natural person, in the manner provided in the Code of Civil Procedure when a complaint is filed; or</w:t>
      </w:r>
    </w:p>
    <w:p w14:paraId="2FDF2D8E" w14:textId="77777777" w:rsidR="0024719D" w:rsidRPr="006A121F" w:rsidRDefault="0024719D" w:rsidP="009252CB">
      <w:pPr>
        <w:shd w:val="clear" w:color="auto" w:fill="FFFFFF"/>
        <w:ind w:left="720"/>
        <w:rPr>
          <w:rFonts w:ascii="Baskerville" w:hAnsi="Baskerville"/>
          <w:color w:val="000000" w:themeColor="text1"/>
          <w:sz w:val="20"/>
        </w:rPr>
      </w:pPr>
      <w:r w:rsidRPr="006A121F">
        <w:rPr>
          <w:rStyle w:val="enum"/>
          <w:rFonts w:ascii="Baskerville" w:hAnsi="Baskerville"/>
          <w:color w:val="000000" w:themeColor="text1"/>
          <w:sz w:val="20"/>
        </w:rPr>
        <w:t>(2)</w:t>
      </w:r>
      <w:r w:rsidRPr="006A121F">
        <w:rPr>
          <w:rFonts w:ascii="Baskerville" w:hAnsi="Baskerville"/>
          <w:color w:val="000000" w:themeColor="text1"/>
          <w:sz w:val="20"/>
        </w:rPr>
        <w:t> by mailing by certified mail a duly executed copy thereof to the person to be served at his or her last known abode or principal place of business within this State or, if a person is not a natural person, in the manner provided in the Code of Civil Procedure when a complaint is filed.</w:t>
      </w:r>
    </w:p>
    <w:p w14:paraId="1FE35E08" w14:textId="77777777" w:rsidR="0024719D" w:rsidRPr="006A121F" w:rsidRDefault="0024719D" w:rsidP="009252CB">
      <w:pPr>
        <w:shd w:val="clear" w:color="auto" w:fill="FFFFFF"/>
        <w:ind w:left="720"/>
        <w:rPr>
          <w:rFonts w:ascii="Baskerville" w:hAnsi="Baskerville"/>
          <w:color w:val="000000" w:themeColor="text1"/>
          <w:sz w:val="20"/>
        </w:rPr>
      </w:pPr>
      <w:r w:rsidRPr="006A121F">
        <w:rPr>
          <w:rFonts w:ascii="Baskerville" w:hAnsi="Baskerville"/>
          <w:color w:val="000000" w:themeColor="text1"/>
          <w:sz w:val="20"/>
        </w:rPr>
        <w:t>The Attorney General may compel compliance with investigative demands under this Section through an order by any court of competent jurisdiction.</w:t>
      </w:r>
    </w:p>
    <w:p w14:paraId="709B0A48" w14:textId="77777777" w:rsidR="0024719D" w:rsidRPr="006A121F" w:rsidRDefault="0024719D" w:rsidP="009252CB">
      <w:pPr>
        <w:shd w:val="clear" w:color="auto" w:fill="FFFFFF"/>
        <w:ind w:left="720"/>
        <w:rPr>
          <w:rFonts w:ascii="Baskerville" w:hAnsi="Baskerville"/>
          <w:color w:val="000000" w:themeColor="text1"/>
          <w:sz w:val="20"/>
        </w:rPr>
      </w:pPr>
      <w:r w:rsidRPr="006A121F">
        <w:rPr>
          <w:rStyle w:val="enum"/>
          <w:rFonts w:ascii="Baskerville" w:hAnsi="Baskerville"/>
          <w:color w:val="000000" w:themeColor="text1"/>
          <w:sz w:val="20"/>
        </w:rPr>
        <w:t>(d)</w:t>
      </w:r>
    </w:p>
    <w:p w14:paraId="06E660E6" w14:textId="77777777" w:rsidR="0024719D" w:rsidRPr="006A121F" w:rsidRDefault="0024719D" w:rsidP="009252CB">
      <w:pPr>
        <w:shd w:val="clear" w:color="auto" w:fill="FFFFFF"/>
        <w:ind w:left="720"/>
        <w:rPr>
          <w:rFonts w:ascii="Baskerville" w:hAnsi="Baskerville"/>
          <w:color w:val="000000" w:themeColor="text1"/>
          <w:sz w:val="20"/>
        </w:rPr>
      </w:pPr>
      <w:r w:rsidRPr="006A121F">
        <w:rPr>
          <w:rStyle w:val="enum"/>
          <w:rFonts w:ascii="Baskerville" w:hAnsi="Baskerville"/>
          <w:color w:val="000000" w:themeColor="text1"/>
          <w:sz w:val="20"/>
        </w:rPr>
        <w:t>(1)</w:t>
      </w:r>
      <w:r w:rsidRPr="006A121F">
        <w:rPr>
          <w:rFonts w:ascii="Baskerville" w:hAnsi="Baskerville"/>
          <w:color w:val="000000" w:themeColor="text1"/>
          <w:sz w:val="20"/>
        </w:rPr>
        <w:t> In an action brought under this Act, the Attorney General may obtain, as a remedy, monetary damages to the State, restitution, and equitable relief, including any permanent or preliminary injunction, temporary restraining order, or other order, including an order enjoining the defendant from engaging in a violation, or order any action as may be appropriate. In addition, the Attorney General may request and the court may impose a civil penalty not to exceed $5,000 for each violation or $10,000 for each repeat violation within a 5-year period. For purposes of this Section, each violation of this Act for each person who was subject to an agreement in violation of this Act shall constitute a separate and distinct violation.</w:t>
      </w:r>
    </w:p>
    <w:p w14:paraId="4F200B08" w14:textId="3AEB0F9C" w:rsidR="0024719D" w:rsidRPr="006A121F" w:rsidRDefault="0024719D" w:rsidP="009252CB">
      <w:pPr>
        <w:shd w:val="clear" w:color="auto" w:fill="FFFFFF"/>
        <w:ind w:left="720"/>
        <w:rPr>
          <w:rFonts w:ascii="Baskerville" w:hAnsi="Baskerville"/>
          <w:color w:val="000000" w:themeColor="text1"/>
          <w:sz w:val="20"/>
        </w:rPr>
      </w:pPr>
      <w:r w:rsidRPr="006A121F">
        <w:rPr>
          <w:rStyle w:val="enum"/>
          <w:rFonts w:ascii="Baskerville" w:hAnsi="Baskerville"/>
          <w:color w:val="000000" w:themeColor="text1"/>
          <w:sz w:val="20"/>
        </w:rPr>
        <w:t>(2)</w:t>
      </w:r>
      <w:r w:rsidRPr="006A121F">
        <w:rPr>
          <w:rFonts w:ascii="Baskerville" w:hAnsi="Baskerville"/>
          <w:color w:val="000000" w:themeColor="text1"/>
          <w:sz w:val="20"/>
        </w:rPr>
        <w:t> A civil penalty imposed under this subsection shall be deposited into the Attorney General Court Ordered and Voluntary Compliance Payment Projects Fund. Moneys in the Fund shall be used, subject to appropriation, for the performance of any function pertaining to the exercise of the duties of the Attorney General, including, but not limited to, enforcement of any law of this State and conducting public education programs; however, any moneys in the Fund that are required by the court or by an agreement to be used for a particular purpose shall be used for that purpose.</w:t>
      </w:r>
    </w:p>
    <w:p w14:paraId="66C2B4B4" w14:textId="77777777" w:rsidR="000A6505" w:rsidRPr="006A121F" w:rsidRDefault="000A6505" w:rsidP="009252CB">
      <w:pPr>
        <w:shd w:val="clear" w:color="auto" w:fill="FFFFFF"/>
        <w:ind w:left="720"/>
        <w:rPr>
          <w:rFonts w:ascii="Baskerville" w:hAnsi="Baskerville"/>
          <w:color w:val="000000" w:themeColor="text1"/>
          <w:sz w:val="20"/>
        </w:rPr>
      </w:pPr>
    </w:p>
    <w:p w14:paraId="5784DCFE" w14:textId="0D88CBB7" w:rsidR="00BB2591" w:rsidRPr="006A121F" w:rsidRDefault="00BB2591" w:rsidP="009252CB">
      <w:pPr>
        <w:pStyle w:val="Heading1"/>
        <w:shd w:val="clear" w:color="auto" w:fill="FFFFFF"/>
        <w:spacing w:before="0"/>
        <w:ind w:left="720"/>
        <w:rPr>
          <w:rFonts w:ascii="Baskerville" w:hAnsi="Baskerville"/>
          <w:b/>
          <w:color w:val="000000" w:themeColor="text1"/>
          <w:sz w:val="20"/>
          <w:u w:val="none"/>
        </w:rPr>
      </w:pPr>
      <w:r w:rsidRPr="006A121F">
        <w:rPr>
          <w:rFonts w:ascii="Baskerville" w:hAnsi="Baskerville"/>
          <w:b/>
          <w:color w:val="000000" w:themeColor="text1"/>
          <w:sz w:val="20"/>
          <w:u w:val="none"/>
        </w:rPr>
        <w:lastRenderedPageBreak/>
        <w:t>Section 820 ILCS 90/35. Reformation</w:t>
      </w:r>
    </w:p>
    <w:p w14:paraId="1F1EEB8B" w14:textId="77777777" w:rsidR="00BB2591" w:rsidRPr="006A121F" w:rsidRDefault="00BB2591" w:rsidP="009252CB">
      <w:pPr>
        <w:shd w:val="clear" w:color="auto" w:fill="FFFFFF"/>
        <w:ind w:left="720"/>
        <w:rPr>
          <w:rFonts w:ascii="Baskerville" w:hAnsi="Baskerville"/>
          <w:color w:val="000000" w:themeColor="text1"/>
          <w:sz w:val="20"/>
        </w:rPr>
      </w:pPr>
      <w:r w:rsidRPr="006A121F">
        <w:rPr>
          <w:rStyle w:val="enum"/>
          <w:rFonts w:ascii="Baskerville" w:hAnsi="Baskerville"/>
          <w:color w:val="000000" w:themeColor="text1"/>
          <w:sz w:val="20"/>
        </w:rPr>
        <w:t>(a)</w:t>
      </w:r>
      <w:r w:rsidRPr="006A121F">
        <w:rPr>
          <w:rFonts w:ascii="Baskerville" w:hAnsi="Baskerville"/>
          <w:color w:val="000000" w:themeColor="text1"/>
          <w:sz w:val="20"/>
        </w:rPr>
        <w:t> Extensive judicial reformation of a covenant not to compete or a covenant not to solicit may be against the public policy of this State and a court may refrain from wholly rewriting contracts.</w:t>
      </w:r>
    </w:p>
    <w:p w14:paraId="003F0339" w14:textId="569B3FD8" w:rsidR="00BB2591" w:rsidRPr="006A121F" w:rsidRDefault="00BB2591" w:rsidP="009252CB">
      <w:pPr>
        <w:shd w:val="clear" w:color="auto" w:fill="FFFFFF"/>
        <w:ind w:left="720"/>
        <w:rPr>
          <w:rFonts w:ascii="Baskerville" w:hAnsi="Baskerville"/>
          <w:color w:val="000000" w:themeColor="text1"/>
          <w:sz w:val="20"/>
        </w:rPr>
      </w:pPr>
      <w:r w:rsidRPr="006A121F">
        <w:rPr>
          <w:rStyle w:val="enum"/>
          <w:rFonts w:ascii="Baskerville" w:hAnsi="Baskerville"/>
          <w:color w:val="000000" w:themeColor="text1"/>
          <w:sz w:val="20"/>
        </w:rPr>
        <w:t>(b)</w:t>
      </w:r>
      <w:r w:rsidRPr="006A121F">
        <w:rPr>
          <w:rFonts w:ascii="Baskerville" w:hAnsi="Baskerville"/>
          <w:color w:val="000000" w:themeColor="text1"/>
          <w:sz w:val="20"/>
        </w:rPr>
        <w:t> In some circumstances, a court may, in its discretion, choose to reform or sever provisions of a covenant not to compete or a covenant not to solicit rather than hold such covenant unenforceable. Factors which may be considered when deciding whether such reformation is appropriate include the fairness of the restraints as originally written, whether the original restriction reflects a good-faith effort to protect a legitimate business interest of the employer, the extent of such reformation, and whether the parties included a clause authorizing such modifications in their agreement.</w:t>
      </w:r>
    </w:p>
    <w:p w14:paraId="1CED353C" w14:textId="77777777" w:rsidR="000A6505" w:rsidRPr="006A121F" w:rsidRDefault="000A6505" w:rsidP="009252CB">
      <w:pPr>
        <w:shd w:val="clear" w:color="auto" w:fill="FFFFFF"/>
        <w:ind w:left="720"/>
        <w:rPr>
          <w:rFonts w:ascii="Baskerville" w:hAnsi="Baskerville"/>
          <w:color w:val="000000" w:themeColor="text1"/>
          <w:sz w:val="20"/>
        </w:rPr>
      </w:pPr>
    </w:p>
    <w:p w14:paraId="6C9A050D" w14:textId="53FBDA4F" w:rsidR="009252CB" w:rsidRPr="006A121F" w:rsidRDefault="009252CB" w:rsidP="009252CB">
      <w:pPr>
        <w:pStyle w:val="Heading1"/>
        <w:shd w:val="clear" w:color="auto" w:fill="FFFFFF"/>
        <w:spacing w:before="0"/>
        <w:ind w:left="720"/>
        <w:rPr>
          <w:rFonts w:ascii="Baskerville" w:hAnsi="Baskerville"/>
          <w:b/>
          <w:color w:val="000000" w:themeColor="text1"/>
          <w:sz w:val="20"/>
          <w:u w:val="none"/>
        </w:rPr>
      </w:pPr>
      <w:r w:rsidRPr="006A121F">
        <w:rPr>
          <w:rFonts w:ascii="Baskerville" w:hAnsi="Baskerville"/>
          <w:b/>
          <w:color w:val="000000" w:themeColor="text1"/>
          <w:sz w:val="20"/>
          <w:u w:val="none"/>
        </w:rPr>
        <w:t>Section 820 ILCS 90/97. Severability</w:t>
      </w:r>
    </w:p>
    <w:p w14:paraId="6BC0B1B7" w14:textId="53200AA0" w:rsidR="009252CB" w:rsidRPr="006A121F" w:rsidRDefault="009252CB" w:rsidP="009252CB">
      <w:pPr>
        <w:shd w:val="clear" w:color="auto" w:fill="FFFFFF"/>
        <w:ind w:left="720"/>
        <w:rPr>
          <w:rFonts w:ascii="Baskerville" w:hAnsi="Baskerville"/>
          <w:color w:val="000000" w:themeColor="text1"/>
          <w:sz w:val="20"/>
        </w:rPr>
      </w:pPr>
      <w:r w:rsidRPr="006A121F">
        <w:rPr>
          <w:rFonts w:ascii="Baskerville" w:hAnsi="Baskerville"/>
          <w:color w:val="000000" w:themeColor="text1"/>
          <w:sz w:val="20"/>
        </w:rPr>
        <w:t>The provisions of this Act are severable under Section 1.31 of the Statute on Statutes.</w:t>
      </w:r>
    </w:p>
    <w:p w14:paraId="0F446F13" w14:textId="77777777" w:rsidR="000A6505" w:rsidRPr="009252CB" w:rsidRDefault="000A6505" w:rsidP="009252CB">
      <w:pPr>
        <w:shd w:val="clear" w:color="auto" w:fill="FFFFFF"/>
        <w:ind w:left="720"/>
        <w:rPr>
          <w:rFonts w:ascii="Baskerville" w:hAnsi="Baskerville" w:cs="Open Sans"/>
          <w:color w:val="333333"/>
          <w:sz w:val="20"/>
          <w:szCs w:val="20"/>
        </w:rPr>
      </w:pPr>
    </w:p>
    <w:p w14:paraId="6BCD541E" w14:textId="77777777" w:rsidR="009252CB" w:rsidRDefault="009252CB" w:rsidP="009252CB">
      <w:pPr>
        <w:shd w:val="clear" w:color="auto" w:fill="FFFFFF"/>
        <w:rPr>
          <w:rFonts w:ascii="Baskerville" w:hAnsi="Baskerville" w:cs="Open Sans"/>
          <w:color w:val="000000" w:themeColor="text1"/>
          <w:shd w:val="clear" w:color="auto" w:fill="FFFFFF"/>
        </w:rPr>
      </w:pPr>
      <w:r w:rsidRPr="00E547EA">
        <w:rPr>
          <w:rFonts w:ascii="Baskerville" w:hAnsi="Baskerville" w:cs="Open Sans"/>
          <w:color w:val="000000" w:themeColor="text1"/>
          <w:shd w:val="clear" w:color="auto" w:fill="FFFFFF"/>
        </w:rPr>
        <w:t>820 ILCS 90/1 to 90/97</w:t>
      </w:r>
      <w:r>
        <w:rPr>
          <w:rFonts w:ascii="Baskerville" w:hAnsi="Baskerville" w:cs="Open Sans"/>
          <w:color w:val="000000" w:themeColor="text1"/>
          <w:shd w:val="clear" w:color="auto" w:fill="FFFFFF"/>
        </w:rPr>
        <w:t xml:space="preserve">. </w:t>
      </w:r>
    </w:p>
    <w:p w14:paraId="5013634C" w14:textId="6CCC38DE" w:rsidR="00655396" w:rsidRPr="009252CB" w:rsidRDefault="009252CB" w:rsidP="009252CB">
      <w:pPr>
        <w:shd w:val="clear" w:color="auto" w:fill="FFFFFF"/>
        <w:rPr>
          <w:rFonts w:ascii="Baskerville" w:hAnsi="Baskerville" w:cs="Open Sans"/>
          <w:color w:val="000000" w:themeColor="text1"/>
          <w:shd w:val="clear" w:color="auto" w:fill="FFFFFF"/>
        </w:rPr>
      </w:pPr>
      <w:r w:rsidRPr="009252CB">
        <w:rPr>
          <w:rFonts w:ascii="Baskerville" w:hAnsi="Baskerville" w:cs="Open Sans"/>
          <w:color w:val="000000" w:themeColor="text1"/>
          <w:shd w:val="clear" w:color="auto" w:fill="FFFFFF"/>
        </w:rPr>
        <w:tab/>
        <w:t xml:space="preserve">An earlier version of the </w:t>
      </w:r>
      <w:r w:rsidR="00655396" w:rsidRPr="009252CB">
        <w:rPr>
          <w:rFonts w:ascii="Baskerville" w:hAnsi="Baskerville"/>
          <w:u w:color="000000"/>
        </w:rPr>
        <w:t>statute</w:t>
      </w:r>
      <w:r w:rsidRPr="009252CB">
        <w:rPr>
          <w:rFonts w:ascii="Baskerville" w:hAnsi="Baskerville"/>
          <w:u w:color="000000"/>
        </w:rPr>
        <w:t>, effective in 2017,</w:t>
      </w:r>
      <w:r w:rsidR="00655396" w:rsidRPr="009252CB">
        <w:rPr>
          <w:rFonts w:ascii="Baskerville" w:hAnsi="Baskerville"/>
          <w:u w:color="000000"/>
        </w:rPr>
        <w:t xml:space="preserve"> follow</w:t>
      </w:r>
      <w:r w:rsidRPr="009252CB">
        <w:rPr>
          <w:rFonts w:ascii="Baskerville" w:hAnsi="Baskerville"/>
          <w:u w:color="000000"/>
        </w:rPr>
        <w:t>ed</w:t>
      </w:r>
      <w:r w:rsidR="00655396" w:rsidRPr="009252CB">
        <w:rPr>
          <w:rFonts w:ascii="Baskerville" w:hAnsi="Baskerville"/>
          <w:u w:color="000000"/>
        </w:rPr>
        <w:t xml:space="preserve"> a December 5, 2016, settlement in which submarine sandwich seller Jimmy John’s Enterprises settled charges by the Illinois Attorney General that the chain’s policy of requiring low-wage workers to execute noncompetition covenants ran afoul of Illinois law. </w:t>
      </w:r>
      <w:r w:rsidR="00655396" w:rsidRPr="009252CB">
        <w:rPr>
          <w:rFonts w:ascii="Baskerville" w:hAnsi="Baskerville"/>
          <w:i/>
          <w:iCs/>
          <w:u w:color="000000"/>
        </w:rPr>
        <w:t>See Illinois v. Jimmy John’s Enters. LLC,</w:t>
      </w:r>
      <w:r w:rsidR="00655396" w:rsidRPr="009252CB">
        <w:rPr>
          <w:rFonts w:ascii="Baskerville" w:hAnsi="Baskerville"/>
          <w:u w:color="000000"/>
        </w:rPr>
        <w:t xml:space="preserve"> Ill. Cir. Ct., No. 2016 CH 07746, Dec. 5, 2016 (settlement). </w:t>
      </w:r>
    </w:p>
    <w:p w14:paraId="12D53E58"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19C56061" w14:textId="77777777" w:rsidR="00655396" w:rsidRDefault="00655396" w:rsidP="008B512B">
      <w:pPr>
        <w:pStyle w:val="SubQuestion"/>
        <w:spacing w:line="240" w:lineRule="auto"/>
      </w:pPr>
      <w:r>
        <w:t>a.</w:t>
      </w:r>
      <w:r>
        <w:tab/>
        <w:t>What state statutes govern the enforceability of covenants not to compete as regards specific professions?</w:t>
      </w:r>
    </w:p>
    <w:p w14:paraId="440F3BBC"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sz w:val="22"/>
          <w:szCs w:val="22"/>
        </w:rPr>
      </w:pPr>
    </w:p>
    <w:p w14:paraId="1773749D" w14:textId="77777777" w:rsidR="00655396" w:rsidRPr="008B512B" w:rsidRDefault="00655396" w:rsidP="008B512B">
      <w:pPr>
        <w:pStyle w:val="HeadingCenter11"/>
        <w:spacing w:after="0" w:line="240" w:lineRule="auto"/>
        <w:rPr>
          <w:b w:val="0"/>
        </w:rPr>
      </w:pPr>
      <w:r w:rsidRPr="008B512B">
        <w:rPr>
          <w:b w:val="0"/>
        </w:rPr>
        <w:t>Attorneys</w:t>
      </w:r>
    </w:p>
    <w:p w14:paraId="24B17C0C" w14:textId="77777777" w:rsidR="007869D8" w:rsidRDefault="007869D8" w:rsidP="008B512B">
      <w:pPr>
        <w:pStyle w:val="BodyText"/>
        <w:spacing w:line="240" w:lineRule="auto"/>
      </w:pPr>
    </w:p>
    <w:p w14:paraId="434D724B" w14:textId="392D94C8" w:rsidR="00655396" w:rsidRDefault="00655396" w:rsidP="008B512B">
      <w:pPr>
        <w:pStyle w:val="BodyText"/>
        <w:spacing w:line="240" w:lineRule="auto"/>
      </w:pPr>
      <w:r>
        <w:tab/>
        <w:t xml:space="preserve">Rule of Professional Conduct 5.6 was addressed by an Illinois court of appeals in </w:t>
      </w:r>
      <w:r>
        <w:rPr>
          <w:i/>
          <w:iCs/>
        </w:rPr>
        <w:t>Dowd &amp;</w:t>
      </w:r>
      <w:r>
        <w:t xml:space="preserve"> </w:t>
      </w:r>
      <w:r>
        <w:rPr>
          <w:i/>
          <w:iCs/>
        </w:rPr>
        <w:t>Dowd, Ltd. v. Gleason</w:t>
      </w:r>
      <w:r>
        <w:t>, 352 Ill. App. 3d 365, 816 N.E.2d 754 (1st Dist. 2004).</w:t>
      </w:r>
      <w:r w:rsidR="00FB1D09">
        <w:t xml:space="preserve"> </w:t>
      </w:r>
      <w:r>
        <w:t>On appeal from a judgment entered in favor of a law firm (and against former partners who had moved business to their new firm) for breach of fiduciary duty, breach of employment contracts, tortious interference with prospective economic advantage, and civil conspiracy, the court addressed the question of the enforceability of noncompetition covenants in employment agreements in light of Rule 5.6 of the Rules of Professional Con</w:t>
      </w:r>
      <w:r>
        <w:lastRenderedPageBreak/>
        <w:t>duct.</w:t>
      </w:r>
      <w:r w:rsidR="00FB1D09">
        <w:t xml:space="preserve"> </w:t>
      </w:r>
      <w:r>
        <w:t xml:space="preserve">The court affirmed the finding of breach of fiduciary duty, finding a similarity between the principles of fiduciary duties </w:t>
      </w:r>
      <w:r w:rsidR="001A419C">
        <w:t>of lawyers</w:t>
      </w:r>
      <w:r>
        <w:t>, on one hand, and those of nonlawyer corporate officers and directors, on the other.</w:t>
      </w:r>
      <w:r w:rsidR="00FB1D09">
        <w:t xml:space="preserve"> </w:t>
      </w:r>
      <w:r>
        <w:t>Secretly attempting to lure firm clients to the new law firm, lying to partners about plans to leave on short notice, and taking files and clients are all inconsistent with a partner’s fiduciary duties, according to the court.</w:t>
      </w:r>
    </w:p>
    <w:p w14:paraId="0D267720" w14:textId="77777777" w:rsidR="00655396" w:rsidRDefault="00655396" w:rsidP="008B512B">
      <w:pPr>
        <w:pStyle w:val="BodyText"/>
        <w:spacing w:line="240" w:lineRule="auto"/>
      </w:pPr>
      <w:r>
        <w:tab/>
      </w:r>
      <w:r>
        <w:rPr>
          <w:i/>
          <w:iCs/>
        </w:rPr>
        <w:t>See generally</w:t>
      </w:r>
      <w:r>
        <w:t xml:space="preserve"> William Lynch Schaller, </w:t>
      </w:r>
      <w:r>
        <w:rPr>
          <w:i/>
          <w:iCs/>
        </w:rPr>
        <w:t>Growing Pains</w:t>
      </w:r>
      <w:r w:rsidR="00D47546">
        <w:rPr>
          <w:i/>
          <w:iCs/>
        </w:rPr>
        <w:t xml:space="preserve">: </w:t>
      </w:r>
      <w:r>
        <w:rPr>
          <w:i/>
          <w:iCs/>
        </w:rPr>
        <w:t xml:space="preserve">Intellectual Property Considerations for Illinois Small Businesses Seeking </w:t>
      </w:r>
      <w:r w:rsidR="001A419C">
        <w:rPr>
          <w:i/>
          <w:iCs/>
        </w:rPr>
        <w:t>t</w:t>
      </w:r>
      <w:r>
        <w:rPr>
          <w:i/>
          <w:iCs/>
        </w:rPr>
        <w:t>o Expand</w:t>
      </w:r>
      <w:r>
        <w:t xml:space="preserve">, 35 </w:t>
      </w:r>
      <w:r>
        <w:rPr>
          <w:smallCaps/>
        </w:rPr>
        <w:t>Loy. U. Chi. L.J.</w:t>
      </w:r>
      <w:r>
        <w:t xml:space="preserve"> 845 (Spring 2004) (noting, </w:t>
      </w:r>
      <w:r>
        <w:rPr>
          <w:i/>
          <w:iCs/>
        </w:rPr>
        <w:t xml:space="preserve">id. </w:t>
      </w:r>
      <w:r>
        <w:t xml:space="preserve">at 872, that Illinois noncompete law “can test even the most experienced attorneys and clients;” adding, </w:t>
      </w:r>
      <w:r>
        <w:rPr>
          <w:i/>
          <w:iCs/>
        </w:rPr>
        <w:t>id.</w:t>
      </w:r>
      <w:r>
        <w:t>, that “[o]nly broadcasting industry employees and lawyers other than retired law partners present easy calls</w:t>
      </w:r>
      <w:r w:rsidR="00D47546">
        <w:t xml:space="preserve">: </w:t>
      </w:r>
      <w:r>
        <w:t>they enjoy blanket exemptions from noncompetes.”)</w:t>
      </w:r>
      <w:r w:rsidR="00D47546">
        <w:t xml:space="preserve">; </w:t>
      </w:r>
      <w:r>
        <w:t xml:space="preserve">George M. Cohen, </w:t>
      </w:r>
      <w:r>
        <w:rPr>
          <w:i/>
          <w:iCs/>
        </w:rPr>
        <w:t>The Multilawyered Problems of Professional Responsibility</w:t>
      </w:r>
      <w:r>
        <w:t xml:space="preserve">, 2003 </w:t>
      </w:r>
      <w:r>
        <w:rPr>
          <w:smallCaps/>
        </w:rPr>
        <w:t xml:space="preserve">U. Ill. L. Rev. </w:t>
      </w:r>
      <w:r>
        <w:t xml:space="preserve">1409, 1472 (2003); </w:t>
      </w:r>
      <w:r>
        <w:rPr>
          <w:smallCaps/>
        </w:rPr>
        <w:t>Restatement (Third) of Law Governing Lawyers</w:t>
      </w:r>
      <w:r>
        <w:t xml:space="preserve"> §9(3) (2000) (“Absent an agreement with the firm providing a more permissive rule, a lawyer leaving a law firm may solicit firm clients</w:t>
      </w:r>
      <w:r w:rsidR="00D47546">
        <w:t xml:space="preserve">: </w:t>
      </w:r>
      <w:r>
        <w:t>(a) prior to leaving the firm</w:t>
      </w:r>
      <w:r w:rsidR="00D47546">
        <w:t xml:space="preserve">: </w:t>
      </w:r>
      <w:r>
        <w:t>(i) only with respect to firm clients on whose matters the lawyer is actively and substantially working</w:t>
      </w:r>
      <w:r w:rsidR="00D47546">
        <w:t xml:space="preserve">; </w:t>
      </w:r>
      <w:r>
        <w:t>and (ii) only after the lawyer has adequately and timely informed the firm of the lawyer’s intent to contact firm clients for that purpose</w:t>
      </w:r>
      <w:r w:rsidR="00D47546">
        <w:t xml:space="preserve">; </w:t>
      </w:r>
      <w:r>
        <w:t>and (b) after ceasing employment in the firm, to the same extent as any other nonfirm lawyer.”) and cmt. i (2000).</w:t>
      </w:r>
    </w:p>
    <w:p w14:paraId="17B4ABDE"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093221B1" w14:textId="77777777" w:rsidR="00655396" w:rsidRPr="008B512B" w:rsidRDefault="00655396" w:rsidP="008B512B">
      <w:pPr>
        <w:pStyle w:val="HeadingCenter11"/>
        <w:spacing w:after="0" w:line="240" w:lineRule="auto"/>
        <w:rPr>
          <w:b w:val="0"/>
        </w:rPr>
      </w:pPr>
      <w:r w:rsidRPr="008B512B">
        <w:rPr>
          <w:b w:val="0"/>
        </w:rPr>
        <w:t>Broadcasters</w:t>
      </w:r>
    </w:p>
    <w:p w14:paraId="2EAEAC7E" w14:textId="77777777" w:rsidR="007869D8" w:rsidRDefault="007869D8" w:rsidP="008B512B">
      <w:pPr>
        <w:pStyle w:val="BodyText"/>
        <w:spacing w:line="240" w:lineRule="auto"/>
      </w:pPr>
    </w:p>
    <w:p w14:paraId="6343460F" w14:textId="563AF3FA" w:rsidR="00655396" w:rsidRDefault="00655396" w:rsidP="008B512B">
      <w:pPr>
        <w:pStyle w:val="BodyText"/>
        <w:spacing w:line="240" w:lineRule="auto"/>
      </w:pPr>
      <w:r>
        <w:tab/>
        <w:t xml:space="preserve">Effective January 1, 2002, the 2002 Illinois Broadcast Industry Free Market Act, codified at 820 </w:t>
      </w:r>
      <w:r>
        <w:rPr>
          <w:smallCaps/>
        </w:rPr>
        <w:t>Ill. Comp. Stat.</w:t>
      </w:r>
      <w:r>
        <w:t xml:space="preserve"> 17/1 through 17/15, and enacted over the governor’s veto, provides:</w:t>
      </w:r>
    </w:p>
    <w:p w14:paraId="26E3A796"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06A0DBD2" w14:textId="77777777" w:rsidR="00655396" w:rsidRDefault="00655396" w:rsidP="008B512B">
      <w:pPr>
        <w:pStyle w:val="BQ"/>
        <w:spacing w:line="240" w:lineRule="auto"/>
      </w:pPr>
      <w:r>
        <w:t>17/1. Short title</w:t>
      </w:r>
    </w:p>
    <w:p w14:paraId="641DAED9" w14:textId="64585393" w:rsidR="00655396" w:rsidRPr="008B512B" w:rsidRDefault="00655396" w:rsidP="008B512B">
      <w:pPr>
        <w:pStyle w:val="BQ"/>
        <w:spacing w:line="240" w:lineRule="auto"/>
        <w:rPr>
          <w:b/>
        </w:rPr>
      </w:pPr>
      <w:r w:rsidRPr="008B512B">
        <w:t>§1. Short title.</w:t>
      </w:r>
      <w:r w:rsidR="00FB1D09">
        <w:t xml:space="preserve"> </w:t>
      </w:r>
      <w:r w:rsidRPr="008B512B">
        <w:t>This Act may be cited as the Broadcast Industry Free Market Act.</w:t>
      </w:r>
    </w:p>
    <w:p w14:paraId="61C9B770"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128F2027" w14:textId="77777777" w:rsidR="00655396" w:rsidRDefault="00655396" w:rsidP="008B512B">
      <w:pPr>
        <w:pStyle w:val="BQ"/>
        <w:spacing w:line="240" w:lineRule="auto"/>
      </w:pPr>
      <w:r>
        <w:t>17/5. Definitions</w:t>
      </w:r>
    </w:p>
    <w:p w14:paraId="17D13131" w14:textId="121269D1" w:rsidR="00655396" w:rsidRPr="008B512B" w:rsidRDefault="00655396" w:rsidP="008B512B">
      <w:pPr>
        <w:pStyle w:val="BQ"/>
        <w:spacing w:line="240" w:lineRule="auto"/>
        <w:rPr>
          <w:b/>
        </w:rPr>
      </w:pPr>
      <w:r w:rsidRPr="008B512B">
        <w:t>§5. Definitions.</w:t>
      </w:r>
      <w:r w:rsidR="00FB1D09">
        <w:t xml:space="preserve"> </w:t>
      </w:r>
      <w:r w:rsidRPr="008B512B">
        <w:t>As used in this Act:</w:t>
      </w:r>
    </w:p>
    <w:p w14:paraId="4F58E10B" w14:textId="77777777" w:rsidR="00655396" w:rsidRPr="008B512B" w:rsidRDefault="00655396" w:rsidP="008B512B">
      <w:pPr>
        <w:pStyle w:val="BQ"/>
        <w:spacing w:line="240" w:lineRule="auto"/>
        <w:rPr>
          <w:b/>
        </w:rPr>
      </w:pPr>
      <w:r w:rsidRPr="008B512B">
        <w:tab/>
        <w:t xml:space="preserve">(a) “Broadcasting industry” means television, radio, and cable </w:t>
      </w:r>
      <w:r w:rsidRPr="008B512B">
        <w:lastRenderedPageBreak/>
        <w:t>stations.</w:t>
      </w:r>
    </w:p>
    <w:p w14:paraId="1FBE3E56" w14:textId="77777777" w:rsidR="00655396" w:rsidRPr="008B512B" w:rsidRDefault="00655396" w:rsidP="008B512B">
      <w:pPr>
        <w:pStyle w:val="BQ"/>
        <w:spacing w:line="240" w:lineRule="auto"/>
        <w:rPr>
          <w:b/>
        </w:rPr>
      </w:pPr>
      <w:r w:rsidRPr="008B512B">
        <w:tab/>
        <w:t>(b) “Broadcast employee” means any employee of a broadcasting industry employer, other than a sales or management employee.</w:t>
      </w:r>
    </w:p>
    <w:p w14:paraId="606A2CD3"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644694B5" w14:textId="77777777" w:rsidR="00655396" w:rsidRDefault="00655396" w:rsidP="008B512B">
      <w:pPr>
        <w:pStyle w:val="BQ"/>
        <w:spacing w:line="240" w:lineRule="auto"/>
      </w:pPr>
      <w:r>
        <w:t>17/10. Post-employment covenants not to compete are prohibited</w:t>
      </w:r>
    </w:p>
    <w:p w14:paraId="02C3DFD7" w14:textId="77777777" w:rsidR="00655396" w:rsidRPr="008B512B" w:rsidRDefault="00655396" w:rsidP="008B512B">
      <w:pPr>
        <w:pStyle w:val="BQ"/>
        <w:spacing w:line="240" w:lineRule="auto"/>
        <w:rPr>
          <w:b/>
        </w:rPr>
      </w:pPr>
      <w:r w:rsidRPr="008B512B">
        <w:t>§10. Post-employment covenants not to compete are prohibited.</w:t>
      </w:r>
    </w:p>
    <w:p w14:paraId="2F6EE6CA" w14:textId="77777777" w:rsidR="00655396" w:rsidRPr="008B512B" w:rsidRDefault="00655396" w:rsidP="008B512B">
      <w:pPr>
        <w:pStyle w:val="BQ"/>
        <w:spacing w:line="240" w:lineRule="auto"/>
        <w:rPr>
          <w:b/>
        </w:rPr>
      </w:pPr>
      <w:r w:rsidRPr="008B512B">
        <w:tab/>
        <w:t>(a) No broadcasting industry employer may require in an employment contract that an employee or prospective employee refrain from obtaining employment in a specific geographic area for a specific period of time after termination of employment with that broadcasting industry employer.</w:t>
      </w:r>
    </w:p>
    <w:p w14:paraId="4C98A941" w14:textId="77777777" w:rsidR="00655396" w:rsidRPr="008B512B" w:rsidRDefault="00655396" w:rsidP="008B512B">
      <w:pPr>
        <w:pStyle w:val="BQ"/>
        <w:spacing w:line="240" w:lineRule="auto"/>
        <w:rPr>
          <w:b/>
        </w:rPr>
      </w:pPr>
      <w:r w:rsidRPr="008B512B">
        <w:tab/>
        <w:t>(b) This Section does not prevent the enforcement of a covenant not to compete during the term of an employment contract or against an employee who breaches an employment contract.</w:t>
      </w:r>
    </w:p>
    <w:p w14:paraId="17A1F33D" w14:textId="77777777" w:rsidR="00655396" w:rsidRPr="008B512B" w:rsidRDefault="00655396" w:rsidP="008B512B">
      <w:pPr>
        <w:pStyle w:val="BQ"/>
        <w:spacing w:line="240" w:lineRule="auto"/>
        <w:rPr>
          <w:b/>
        </w:rPr>
      </w:pPr>
      <w:r w:rsidRPr="008B512B">
        <w:t>17/15. Damages</w:t>
      </w:r>
    </w:p>
    <w:p w14:paraId="3AFD2FB8" w14:textId="223EBE2D" w:rsidR="00655396" w:rsidRPr="008B512B" w:rsidRDefault="00655396" w:rsidP="008B512B">
      <w:pPr>
        <w:pStyle w:val="BQ"/>
        <w:spacing w:line="240" w:lineRule="auto"/>
        <w:rPr>
          <w:b/>
        </w:rPr>
      </w:pPr>
      <w:r w:rsidRPr="008B512B">
        <w:t>§15. Damages.</w:t>
      </w:r>
      <w:r w:rsidR="00FB1D09">
        <w:t xml:space="preserve"> </w:t>
      </w:r>
      <w:r w:rsidRPr="008B512B">
        <w:t>Any person or entity that violates Section 10 of this Act is liable for civil damages, attorney’s fees, and costs.</w:t>
      </w:r>
    </w:p>
    <w:p w14:paraId="1E1C8767"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478340ED" w14:textId="77777777" w:rsidR="00655396" w:rsidRDefault="00655396" w:rsidP="008B512B">
      <w:pPr>
        <w:pStyle w:val="BodyText"/>
        <w:spacing w:line="240" w:lineRule="auto"/>
      </w:pPr>
      <w:r>
        <w:t xml:space="preserve">820 </w:t>
      </w:r>
      <w:r>
        <w:rPr>
          <w:smallCaps/>
        </w:rPr>
        <w:t>Ill. Comp. Stat.</w:t>
      </w:r>
      <w:r>
        <w:t xml:space="preserve"> 17/1 through 17/15.</w:t>
      </w:r>
    </w:p>
    <w:p w14:paraId="115E9B05" w14:textId="50C16F51" w:rsidR="00655396" w:rsidRDefault="00655396" w:rsidP="008B512B">
      <w:pPr>
        <w:pStyle w:val="BodyText"/>
        <w:spacing w:line="240" w:lineRule="auto"/>
      </w:pPr>
      <w:r>
        <w:tab/>
        <w:t>The statute specifically includes cable operations and specifically excludes sales and management employees.</w:t>
      </w:r>
      <w:r w:rsidR="00FB1D09">
        <w:t xml:space="preserve"> </w:t>
      </w:r>
      <w:r>
        <w:t xml:space="preserve">Nancy Morrison O’Connor, </w:t>
      </w:r>
      <w:r>
        <w:rPr>
          <w:i/>
          <w:iCs/>
        </w:rPr>
        <w:t>“Promises and Pye-Crusts”</w:t>
      </w:r>
      <w:r w:rsidR="00D47546">
        <w:rPr>
          <w:i/>
          <w:iCs/>
        </w:rPr>
        <w:t xml:space="preserve">: </w:t>
      </w:r>
      <w:r>
        <w:rPr>
          <w:i/>
          <w:iCs/>
        </w:rPr>
        <w:t>State Statutes Threaten Broadcast Noncompetes</w:t>
      </w:r>
      <w:r>
        <w:t xml:space="preserve">, 21 </w:t>
      </w:r>
      <w:r>
        <w:rPr>
          <w:smallCaps/>
        </w:rPr>
        <w:t xml:space="preserve">Comm. Law. </w:t>
      </w:r>
      <w:r>
        <w:t xml:space="preserve">3, 4 (Fall 2003) (citing 820 </w:t>
      </w:r>
      <w:r>
        <w:rPr>
          <w:smallCaps/>
        </w:rPr>
        <w:t>Ill. Comp. Stat.</w:t>
      </w:r>
      <w:r>
        <w:t xml:space="preserve"> 17/5(a), (b)</w:t>
      </w:r>
      <w:r w:rsidR="001A419C">
        <w:t>; noting</w:t>
      </w:r>
      <w:r>
        <w:t xml:space="preserve">, </w:t>
      </w:r>
      <w:r>
        <w:rPr>
          <w:i/>
          <w:iCs/>
        </w:rPr>
        <w:t>id.</w:t>
      </w:r>
      <w:r>
        <w:t xml:space="preserve"> at 3, that, “[b]ased largely on [the American Federation of Television and Radio Artists’s] efforts,” statutes in Arizona, the District of Columbia, Illinois, Maine, and Massachusetts “now impose specific restrictions on noncompetes in the broadcast industry,” and similar bills have been introduced—without success, as of O’Connor’s writing—in Connecticut, Iowa, Maryland, Missouri, New Jersey, New York, North Carolina, Tennessee, Washington, and West Virginia).</w:t>
      </w:r>
    </w:p>
    <w:p w14:paraId="756DB6E6" w14:textId="7FF2F6B1" w:rsidR="00655396" w:rsidRDefault="00655396" w:rsidP="008B512B">
      <w:pPr>
        <w:pStyle w:val="BodyText"/>
        <w:spacing w:line="240" w:lineRule="auto"/>
      </w:pPr>
      <w:r>
        <w:tab/>
      </w:r>
      <w:r>
        <w:rPr>
          <w:i/>
          <w:iCs/>
        </w:rPr>
        <w:t>See generally</w:t>
      </w:r>
      <w:r>
        <w:t xml:space="preserve"> William Lynch Schaller, </w:t>
      </w:r>
      <w:r>
        <w:rPr>
          <w:i/>
          <w:iCs/>
        </w:rPr>
        <w:t>Growing Pains</w:t>
      </w:r>
      <w:r w:rsidR="00D47546">
        <w:rPr>
          <w:i/>
          <w:iCs/>
        </w:rPr>
        <w:t xml:space="preserve">: </w:t>
      </w:r>
      <w:r>
        <w:rPr>
          <w:i/>
          <w:iCs/>
        </w:rPr>
        <w:t xml:space="preserve">Intellectual Property Considerations for Illinois Small Businesses Seeking </w:t>
      </w:r>
      <w:r w:rsidR="001A419C">
        <w:rPr>
          <w:i/>
          <w:iCs/>
        </w:rPr>
        <w:t>t</w:t>
      </w:r>
      <w:r>
        <w:rPr>
          <w:i/>
          <w:iCs/>
        </w:rPr>
        <w:t>o Expand</w:t>
      </w:r>
      <w:r>
        <w:t xml:space="preserve">, 35 </w:t>
      </w:r>
      <w:r>
        <w:rPr>
          <w:smallCaps/>
        </w:rPr>
        <w:t>Loy. U. Chi. L.J.</w:t>
      </w:r>
      <w:r>
        <w:t xml:space="preserve"> 845 (Spring 2004) (noting, </w:t>
      </w:r>
      <w:r>
        <w:rPr>
          <w:i/>
          <w:iCs/>
        </w:rPr>
        <w:t xml:space="preserve">id. </w:t>
      </w:r>
      <w:r>
        <w:t xml:space="preserve">at 872, that Illinois noncompete law “can test even the most experienced attorneys and clients;” adding, </w:t>
      </w:r>
      <w:r>
        <w:rPr>
          <w:i/>
          <w:iCs/>
        </w:rPr>
        <w:t>id.</w:t>
      </w:r>
      <w:r>
        <w:t>, that “[o]nly broadcasting industry employees and lawyers other than retired law partners present easy calls</w:t>
      </w:r>
      <w:r w:rsidR="00D47546">
        <w:t xml:space="preserve">: </w:t>
      </w:r>
      <w:r>
        <w:t>they enjoy blanket exemptions from noncompetes.”).</w:t>
      </w:r>
    </w:p>
    <w:p w14:paraId="2C55D1B8" w14:textId="735B4227" w:rsidR="000C7BD8" w:rsidRDefault="000C7BD8" w:rsidP="008B512B">
      <w:pPr>
        <w:pStyle w:val="BodyText"/>
        <w:spacing w:line="240" w:lineRule="auto"/>
      </w:pPr>
    </w:p>
    <w:p w14:paraId="5DFD9867" w14:textId="77777777" w:rsidR="007869D8" w:rsidRDefault="007869D8" w:rsidP="006A121F">
      <w:pPr>
        <w:pStyle w:val="HeadingCenter11"/>
      </w:pPr>
      <w:r>
        <w:t xml:space="preserve">Collective Bargaining Employees; </w:t>
      </w:r>
      <w:r w:rsidR="000C7BD8" w:rsidRPr="000C7BD8">
        <w:t>Construction Workers</w:t>
      </w:r>
      <w:r>
        <w:t>;</w:t>
      </w:r>
    </w:p>
    <w:p w14:paraId="0F05C8DC" w14:textId="724862A7" w:rsidR="000C7BD8" w:rsidRPr="000C7BD8" w:rsidRDefault="007869D8" w:rsidP="006A121F">
      <w:pPr>
        <w:pStyle w:val="HeadingCenter11"/>
      </w:pPr>
      <w:r>
        <w:lastRenderedPageBreak/>
        <w:t xml:space="preserve"> and Employees</w:t>
      </w:r>
    </w:p>
    <w:p w14:paraId="1B16224E" w14:textId="34DE125F" w:rsidR="000C7BD8" w:rsidRDefault="000C7BD8" w:rsidP="008B512B">
      <w:pPr>
        <w:pStyle w:val="BodyText"/>
        <w:spacing w:line="240" w:lineRule="auto"/>
      </w:pPr>
    </w:p>
    <w:p w14:paraId="4A7D5ED7" w14:textId="38CC744E" w:rsidR="000C7BD8" w:rsidRPr="007869D8" w:rsidRDefault="007869D8" w:rsidP="00F17E66">
      <w:pPr>
        <w:shd w:val="clear" w:color="auto" w:fill="FFFFFF"/>
        <w:rPr>
          <w:rFonts w:ascii="Baskerville" w:hAnsi="Baskerville" w:cs="Open Sans"/>
          <w:color w:val="000000" w:themeColor="text1"/>
        </w:rPr>
      </w:pPr>
      <w:r w:rsidRPr="007869D8">
        <w:rPr>
          <w:rFonts w:ascii="Baskerville" w:hAnsi="Baskerville"/>
          <w:color w:val="000000" w:themeColor="text1"/>
        </w:rPr>
        <w:tab/>
      </w:r>
      <w:r w:rsidR="00F17E66" w:rsidRPr="00F700B8">
        <w:rPr>
          <w:rFonts w:ascii="Baskerville" w:hAnsi="Baskerville"/>
          <w:color w:val="000000" w:themeColor="text1"/>
          <w:u w:color="000000"/>
        </w:rPr>
        <w:t xml:space="preserve">Effective January 1, 2022, </w:t>
      </w:r>
      <w:r w:rsidR="00F17E66" w:rsidRPr="00F700B8">
        <w:rPr>
          <w:rFonts w:ascii="Baskerville" w:hAnsi="Baskerville"/>
          <w:color w:val="000000" w:themeColor="text1"/>
          <w:shd w:val="clear" w:color="auto" w:fill="FFFFFF"/>
        </w:rPr>
        <w:t>the Illinois Freedom to Work Act</w:t>
      </w:r>
      <w:r w:rsidR="00F17E66">
        <w:rPr>
          <w:rFonts w:ascii="Baskerville" w:hAnsi="Baskerville"/>
          <w:color w:val="000000" w:themeColor="text1"/>
          <w:shd w:val="clear" w:color="auto" w:fill="FFFFFF"/>
        </w:rPr>
        <w:t>,</w:t>
      </w:r>
      <w:r w:rsidR="00F17E66" w:rsidRPr="007869D8">
        <w:rPr>
          <w:rFonts w:ascii="Baskerville" w:hAnsi="Baskerville" w:cs="Open Sans"/>
          <w:color w:val="000000" w:themeColor="text1"/>
          <w:shd w:val="clear" w:color="auto" w:fill="FFFFFF"/>
        </w:rPr>
        <w:t xml:space="preserve"> </w:t>
      </w:r>
      <w:r w:rsidR="00F17E66" w:rsidRPr="00E547EA">
        <w:rPr>
          <w:rFonts w:ascii="Baskerville" w:hAnsi="Baskerville" w:cs="Open Sans"/>
          <w:color w:val="000000" w:themeColor="text1"/>
          <w:shd w:val="clear" w:color="auto" w:fill="FFFFFF"/>
        </w:rPr>
        <w:t>820 ILCS 90/</w:t>
      </w:r>
      <w:r w:rsidR="001749E9">
        <w:rPr>
          <w:rFonts w:ascii="Baskerville" w:hAnsi="Baskerville" w:cs="Open Sans"/>
          <w:color w:val="000000" w:themeColor="text1"/>
          <w:shd w:val="clear" w:color="auto" w:fill="FFFFFF"/>
        </w:rPr>
        <w:t>10</w:t>
      </w:r>
      <w:r w:rsidR="006F739F">
        <w:rPr>
          <w:rFonts w:ascii="Baskerville" w:hAnsi="Baskerville" w:cs="Open Sans"/>
          <w:color w:val="000000" w:themeColor="text1"/>
          <w:shd w:val="clear" w:color="auto" w:fill="FFFFFF"/>
        </w:rPr>
        <w:t>(d)</w:t>
      </w:r>
      <w:r w:rsidR="00F17E66">
        <w:rPr>
          <w:rFonts w:ascii="Baskerville" w:hAnsi="Baskerville" w:cs="Open Sans"/>
          <w:color w:val="000000" w:themeColor="text1"/>
          <w:shd w:val="clear" w:color="auto" w:fill="FFFFFF"/>
        </w:rPr>
        <w:t>,</w:t>
      </w:r>
      <w:r w:rsidR="00F17E66" w:rsidRPr="00F700B8">
        <w:rPr>
          <w:rFonts w:ascii="Baskerville" w:hAnsi="Baskerville"/>
          <w:color w:val="000000" w:themeColor="text1"/>
          <w:shd w:val="clear" w:color="auto" w:fill="FFFFFF"/>
        </w:rPr>
        <w:t xml:space="preserve"> </w:t>
      </w:r>
      <w:r w:rsidR="00F17E66">
        <w:rPr>
          <w:rFonts w:ascii="Baskerville" w:hAnsi="Baskerville"/>
          <w:color w:val="000000" w:themeColor="text1"/>
          <w:shd w:val="clear" w:color="auto" w:fill="FFFFFF"/>
        </w:rPr>
        <w:t xml:space="preserve">as amended by Public Acts 102-0385, §5, </w:t>
      </w:r>
      <w:r w:rsidRPr="007869D8">
        <w:rPr>
          <w:rFonts w:ascii="Baskerville" w:hAnsi="Baskerville"/>
          <w:color w:val="000000" w:themeColor="text1"/>
        </w:rPr>
        <w:t xml:space="preserve">makes a </w:t>
      </w:r>
      <w:r w:rsidR="000C7BD8" w:rsidRPr="007869D8">
        <w:rPr>
          <w:rFonts w:ascii="Baskerville" w:hAnsi="Baskerville" w:cs="Open Sans"/>
          <w:color w:val="000000" w:themeColor="text1"/>
        </w:rPr>
        <w:t xml:space="preserve">covenant not to compete </w:t>
      </w:r>
      <w:r w:rsidRPr="007869D8">
        <w:rPr>
          <w:rFonts w:ascii="Baskerville" w:hAnsi="Baskerville" w:cs="Open Sans"/>
          <w:color w:val="000000" w:themeColor="text1"/>
        </w:rPr>
        <w:t>“</w:t>
      </w:r>
      <w:r w:rsidR="000C7BD8" w:rsidRPr="007869D8">
        <w:rPr>
          <w:rFonts w:ascii="Baskerville" w:hAnsi="Baskerville" w:cs="Open Sans"/>
          <w:color w:val="000000" w:themeColor="text1"/>
        </w:rPr>
        <w:t>void and illegal with respect to individuals covered by a collective bargaining agreement under the Illinois Public Labor Relations Act or the Illinois Educational Labor Relations Act and individuals employed in construction.</w:t>
      </w:r>
      <w:r w:rsidRPr="007869D8">
        <w:rPr>
          <w:rFonts w:ascii="Baskerville" w:hAnsi="Baskerville" w:cs="Open Sans"/>
          <w:color w:val="000000" w:themeColor="text1"/>
        </w:rPr>
        <w:t>”</w:t>
      </w:r>
      <w:r w:rsidRPr="007869D8">
        <w:rPr>
          <w:rFonts w:ascii="Baskerville" w:hAnsi="Baskerville" w:cs="Open Sans"/>
          <w:color w:val="000000" w:themeColor="text1"/>
          <w:shd w:val="clear" w:color="auto" w:fill="FFFFFF"/>
        </w:rPr>
        <w:t xml:space="preserve"> 820 ILCS 90/10(d). </w:t>
      </w:r>
      <w:r w:rsidR="00F17E66">
        <w:rPr>
          <w:rFonts w:ascii="Baskerville" w:hAnsi="Baskerville" w:cs="Open Sans"/>
          <w:color w:val="000000" w:themeColor="text1"/>
          <w:shd w:val="clear" w:color="auto" w:fill="FFFFFF"/>
        </w:rPr>
        <w:t xml:space="preserve">Subsection d </w:t>
      </w:r>
      <w:r w:rsidRPr="007869D8">
        <w:rPr>
          <w:rFonts w:ascii="Baskerville" w:hAnsi="Baskerville" w:cs="Open Sans"/>
          <w:color w:val="000000" w:themeColor="text1"/>
          <w:shd w:val="clear" w:color="auto" w:fill="FFFFFF"/>
        </w:rPr>
        <w:t>“</w:t>
      </w:r>
      <w:r w:rsidR="000C7BD8" w:rsidRPr="007869D8">
        <w:rPr>
          <w:rFonts w:ascii="Baskerville" w:hAnsi="Baskerville" w:cs="Open Sans"/>
          <w:color w:val="000000" w:themeColor="text1"/>
        </w:rPr>
        <w:t>does not apply to construction employees who primarily perform management, engineering or architectural, design, or sales functions for the employer or who are shareholders, partners, or owners in any capacity of the employer.</w:t>
      </w:r>
      <w:r w:rsidRPr="007869D8">
        <w:rPr>
          <w:rFonts w:ascii="Baskerville" w:hAnsi="Baskerville" w:cs="Open Sans"/>
          <w:color w:val="000000" w:themeColor="text1"/>
        </w:rPr>
        <w:t xml:space="preserve">” </w:t>
      </w:r>
      <w:r w:rsidRPr="007869D8">
        <w:rPr>
          <w:rFonts w:ascii="Baskerville" w:hAnsi="Baskerville" w:cs="Open Sans"/>
          <w:color w:val="000000" w:themeColor="text1"/>
          <w:shd w:val="clear" w:color="auto" w:fill="FFFFFF"/>
        </w:rPr>
        <w:t>820 ILCS 90/10(d).</w:t>
      </w:r>
    </w:p>
    <w:p w14:paraId="0D0E9C94" w14:textId="77777777" w:rsidR="00655396" w:rsidRDefault="00655396" w:rsidP="008B512B">
      <w:pPr>
        <w:pStyle w:val="BodyText"/>
        <w:spacing w:line="240" w:lineRule="auto"/>
      </w:pPr>
    </w:p>
    <w:p w14:paraId="04999989" w14:textId="77777777" w:rsidR="00655396" w:rsidRPr="008B512B" w:rsidRDefault="00655396" w:rsidP="008B512B">
      <w:pPr>
        <w:pStyle w:val="HeadingCenter11"/>
        <w:spacing w:after="0" w:line="240" w:lineRule="auto"/>
        <w:rPr>
          <w:b w:val="0"/>
        </w:rPr>
      </w:pPr>
      <w:r w:rsidRPr="008B512B">
        <w:rPr>
          <w:b w:val="0"/>
        </w:rPr>
        <w:t>Government Contractors</w:t>
      </w:r>
    </w:p>
    <w:p w14:paraId="2964D326" w14:textId="77777777" w:rsidR="005230B1" w:rsidRDefault="00655396" w:rsidP="005230B1">
      <w:pPr>
        <w:pStyle w:val="BodyText"/>
        <w:spacing w:line="240" w:lineRule="auto"/>
      </w:pPr>
      <w:r w:rsidRPr="008B512B">
        <w:tab/>
      </w:r>
    </w:p>
    <w:p w14:paraId="1B8D3298" w14:textId="3DD89EB6" w:rsidR="005230B1" w:rsidRPr="00F40D98" w:rsidRDefault="005230B1" w:rsidP="00F40D98">
      <w:pPr>
        <w:pStyle w:val="BodyText"/>
        <w:spacing w:line="240" w:lineRule="auto"/>
        <w:rPr>
          <w:rFonts w:cs="Open Sans"/>
          <w:color w:val="000000" w:themeColor="text1"/>
        </w:rPr>
      </w:pPr>
      <w:r>
        <w:tab/>
      </w:r>
      <w:r w:rsidR="00655396" w:rsidRPr="008B512B">
        <w:t xml:space="preserve">The parties’ noncompetition agreement in </w:t>
      </w:r>
      <w:r w:rsidR="00655396" w:rsidRPr="008B512B">
        <w:rPr>
          <w:i/>
          <w:iCs/>
        </w:rPr>
        <w:t>Health Professionals, Ltd. v. Johnson</w:t>
      </w:r>
      <w:r w:rsidR="00655396" w:rsidRPr="008B512B">
        <w:t>, 339 Ill. App. 3d 1021, 274 Ill. Dec. 768, 791 N.E.2d 1179, 2003 Ill. App. LEXIS 711 (3d Dist. 2003), violated the Illinois Procurement Act (IPA), 30 ILCS 500/1-1 et seq., by purporting to prohibit the defendants from bidding on Illinois Department of Corrections contracts and other state contracts.</w:t>
      </w:r>
      <w:r w:rsidR="00FB1D09">
        <w:t xml:space="preserve"> </w:t>
      </w:r>
      <w:r w:rsidR="00655396" w:rsidRPr="008B512B">
        <w:t xml:space="preserve">The entire noncompetition agreement was not declared void, however, because the IPA does not apply to food service contracts at county jails and the </w:t>
      </w:r>
      <w:r w:rsidR="00655396" w:rsidRPr="00F40D98">
        <w:t>noncompetition provision contained a severability clause stating that the invalidity of any provision or term thereof did not affect the remaining provisions or terms.</w:t>
      </w:r>
      <w:r w:rsidRPr="00F40D98">
        <w:rPr>
          <w:color w:val="000000" w:themeColor="text1"/>
        </w:rPr>
        <w:tab/>
      </w:r>
      <w:r w:rsidR="003C2788" w:rsidRPr="00F40D98">
        <w:rPr>
          <w:color w:val="000000" w:themeColor="text1"/>
        </w:rPr>
        <w:t>Section 50-25 of the Illinois Procurement Code</w:t>
      </w:r>
      <w:r w:rsidR="00F40D98" w:rsidRPr="00F40D98">
        <w:rPr>
          <w:color w:val="000000" w:themeColor="text1"/>
        </w:rPr>
        <w:t>, for its part, provides that “[a]</w:t>
      </w:r>
      <w:r w:rsidRPr="00F40D98">
        <w:rPr>
          <w:rFonts w:cs="Open Sans"/>
          <w:color w:val="000000" w:themeColor="text1"/>
        </w:rPr>
        <w:t>ny person who offers or pays any money or other valuable thing to any person to induce him or her not to provide a submission to a vendor portal, bid, or submit an offer for a State contract or as recompense for not having bid on or submitted an offer for a State contract or provided a submission to a vendor portal is guilty of a Class 4 felony.</w:t>
      </w:r>
      <w:r w:rsidR="00F40D98" w:rsidRPr="00F40D98">
        <w:rPr>
          <w:rFonts w:cs="Open Sans"/>
          <w:color w:val="000000" w:themeColor="text1"/>
        </w:rPr>
        <w:t xml:space="preserve">” </w:t>
      </w:r>
      <w:r w:rsidR="00F40D98" w:rsidRPr="00F40D98">
        <w:rPr>
          <w:color w:val="000000" w:themeColor="text1"/>
        </w:rPr>
        <w:t>30 ILCS 500/50-25. It also provides that “[</w:t>
      </w:r>
      <w:r w:rsidR="00F40D98" w:rsidRPr="00F40D98">
        <w:rPr>
          <w:rFonts w:cs="Open Sans"/>
          <w:color w:val="000000" w:themeColor="text1"/>
        </w:rPr>
        <w:t>a]</w:t>
      </w:r>
      <w:r w:rsidRPr="00F40D98">
        <w:rPr>
          <w:rFonts w:cs="Open Sans"/>
          <w:color w:val="000000" w:themeColor="text1"/>
        </w:rPr>
        <w:t xml:space="preserve">ny person who accepts any money or other valuable thing for not bidding or submitting an offer for a State contract, not making a submission to a vendor portal, or who withholds a bid, offer, or submission to vendor portal in consideration of the promise for the payment of money or other valuable thing is guilty of a Class 4 </w:t>
      </w:r>
      <w:r w:rsidRPr="00F40D98">
        <w:rPr>
          <w:rFonts w:cs="Open Sans"/>
          <w:color w:val="000000" w:themeColor="text1"/>
        </w:rPr>
        <w:lastRenderedPageBreak/>
        <w:t>felony.</w:t>
      </w:r>
      <w:r w:rsidR="00F40D98" w:rsidRPr="00F40D98">
        <w:rPr>
          <w:rFonts w:cs="Open Sans"/>
          <w:color w:val="000000" w:themeColor="text1"/>
        </w:rPr>
        <w:t xml:space="preserve">” </w:t>
      </w:r>
      <w:r w:rsidR="00F40D98" w:rsidRPr="00F40D98">
        <w:rPr>
          <w:rFonts w:cs="Open Sans"/>
          <w:i/>
          <w:iCs/>
          <w:color w:val="000000" w:themeColor="text1"/>
        </w:rPr>
        <w:t>Id.</w:t>
      </w:r>
    </w:p>
    <w:p w14:paraId="4E49E130" w14:textId="0350C1B0" w:rsidR="00345082" w:rsidRDefault="00345082" w:rsidP="008B512B">
      <w:pPr>
        <w:pStyle w:val="BodyText"/>
        <w:spacing w:line="240" w:lineRule="auto"/>
      </w:pPr>
    </w:p>
    <w:p w14:paraId="4C2328D8" w14:textId="47342ABE" w:rsidR="00345082" w:rsidRPr="00345082" w:rsidRDefault="00345082" w:rsidP="006A121F">
      <w:pPr>
        <w:pStyle w:val="HeadingCenter11"/>
      </w:pPr>
      <w:r w:rsidRPr="00345082">
        <w:t>Nurse Agencies</w:t>
      </w:r>
      <w:r w:rsidR="006B3DAE">
        <w:t xml:space="preserve"> (Nurses and </w:t>
      </w:r>
      <w:r w:rsidR="00040613">
        <w:t xml:space="preserve">Certified </w:t>
      </w:r>
      <w:r w:rsidR="006B3DAE">
        <w:t>Nurse Aids)</w:t>
      </w:r>
    </w:p>
    <w:p w14:paraId="5E6CE798" w14:textId="25689C50" w:rsidR="00581B30" w:rsidRDefault="00581B30" w:rsidP="00581B30">
      <w:pPr>
        <w:shd w:val="clear" w:color="auto" w:fill="FFFFFF"/>
        <w:rPr>
          <w:rFonts w:ascii="Open Sans" w:hAnsi="Open Sans" w:cs="Open Sans"/>
          <w:color w:val="505558"/>
        </w:rPr>
      </w:pPr>
      <w:bookmarkStart w:id="0" w:name="(g)"/>
    </w:p>
    <w:p w14:paraId="4A77A668" w14:textId="6E5CC27D" w:rsidR="00581B30" w:rsidRPr="00581B30" w:rsidRDefault="00581B30" w:rsidP="00581B30">
      <w:pPr>
        <w:shd w:val="clear" w:color="auto" w:fill="FFFFFF"/>
        <w:rPr>
          <w:rFonts w:ascii="Baskerville" w:hAnsi="Baskerville" w:cs="Open Sans"/>
          <w:color w:val="000000" w:themeColor="text1"/>
        </w:rPr>
      </w:pPr>
      <w:r w:rsidRPr="00581B30">
        <w:rPr>
          <w:rFonts w:ascii="Baskerville" w:hAnsi="Baskerville" w:cs="Open Sans"/>
          <w:color w:val="000000" w:themeColor="text1"/>
        </w:rPr>
        <w:tab/>
        <w:t>Effective July 1, 2022, the Illinois Agency Nurse Licensing Act prohibits nurse agencies from</w:t>
      </w:r>
      <w:r w:rsidR="00F40E64">
        <w:rPr>
          <w:rFonts w:ascii="Baskerville" w:hAnsi="Baskerville" w:cs="Open Sans"/>
          <w:color w:val="000000" w:themeColor="text1"/>
        </w:rPr>
        <w:t>:</w:t>
      </w:r>
    </w:p>
    <w:bookmarkEnd w:id="0"/>
    <w:p w14:paraId="345DAF6A" w14:textId="77777777" w:rsidR="00581B30" w:rsidRPr="00581B30" w:rsidRDefault="00581B30" w:rsidP="00581B30">
      <w:pPr>
        <w:shd w:val="clear" w:color="auto" w:fill="FFFFFF"/>
        <w:rPr>
          <w:rFonts w:ascii="Baskerville" w:hAnsi="Baskerville" w:cs="Open Sans"/>
          <w:color w:val="000000" w:themeColor="text1"/>
        </w:rPr>
      </w:pPr>
    </w:p>
    <w:p w14:paraId="3FB9FB23" w14:textId="3228E041" w:rsidR="00581B30" w:rsidRPr="00581B30" w:rsidRDefault="00581B30" w:rsidP="006A121F">
      <w:pPr>
        <w:pStyle w:val="BQ"/>
      </w:pPr>
      <w:r w:rsidRPr="00581B30">
        <w:t>entering into covenants not to compete with nurses and certified nurse aides if the nurse is employed, assigned, or referred by a nurse agency to a health care facility on a temporary basis or the certified nurse aide is employed, assigned, or referred by a nurse agency to a health care facility on a temporary basis. A covenant not to compete entered into on or after July 1, 2022 (the effective date of Public Act 102-946) between a nurse agency and a nurse or a certified nurse aide is illegal and void if (i) the nurse is employed, assigned, or referred by a nurse agency to a health care facility on a temporary basis or (ii) the certified nurse aide is employed, assigned, or referred by a nurse agency to a health care facility on a temporary basis. In any contract on a temporary basis with any nurse, certified nurse aide, or health care facility, a nurse agency is prohibited from requiring the payment of liquidated damages, conversion fees, employment fees, buy-out fees, placement fees, or other compensation if the nurse or certified nurse aide is hired as a permanent employee of a health care facility.</w:t>
      </w:r>
    </w:p>
    <w:p w14:paraId="6928FD99" w14:textId="77777777" w:rsidR="00581B30" w:rsidRPr="00581B30" w:rsidRDefault="00581B30" w:rsidP="00581B30">
      <w:pPr>
        <w:shd w:val="clear" w:color="auto" w:fill="FFFFFF"/>
        <w:rPr>
          <w:rFonts w:ascii="Baskerville" w:hAnsi="Baskerville" w:cs="Open Sans"/>
          <w:color w:val="000000" w:themeColor="text1"/>
        </w:rPr>
      </w:pPr>
    </w:p>
    <w:p w14:paraId="5BE84483" w14:textId="4C60D8A0" w:rsidR="00581B30" w:rsidRPr="00581B30" w:rsidRDefault="00581B30" w:rsidP="00581B30">
      <w:pPr>
        <w:shd w:val="clear" w:color="auto" w:fill="FFFFFF"/>
        <w:rPr>
          <w:rFonts w:ascii="Baskerville" w:hAnsi="Baskerville" w:cs="Open Sans"/>
          <w:color w:val="000000" w:themeColor="text1"/>
        </w:rPr>
      </w:pPr>
      <w:r>
        <w:rPr>
          <w:rFonts w:ascii="Baskerville" w:hAnsi="Baskerville" w:cs="Open Sans"/>
          <w:color w:val="000000" w:themeColor="text1"/>
        </w:rPr>
        <w:t xml:space="preserve">225 </w:t>
      </w:r>
      <w:r w:rsidRPr="00581B30">
        <w:rPr>
          <w:rFonts w:ascii="Baskerville" w:hAnsi="Baskerville" w:cs="Open Sans"/>
          <w:smallCaps/>
          <w:color w:val="000000" w:themeColor="text1"/>
        </w:rPr>
        <w:t>Ill. Comp. Stat.</w:t>
      </w:r>
      <w:r w:rsidRPr="00581B30">
        <w:rPr>
          <w:rFonts w:ascii="Baskerville" w:hAnsi="Baskerville" w:cs="Open Sans"/>
          <w:color w:val="000000" w:themeColor="text1"/>
        </w:rPr>
        <w:t xml:space="preserve"> 510/14(g), as amended by P.A. 102-946, §10 (effective July 1, 2022), with the larger statute further amended by P.A. 102-1124, §5</w:t>
      </w:r>
      <w:r>
        <w:rPr>
          <w:rFonts w:ascii="Baskerville" w:hAnsi="Baskerville" w:cs="Open Sans"/>
          <w:color w:val="000000" w:themeColor="text1"/>
        </w:rPr>
        <w:t xml:space="preserve"> </w:t>
      </w:r>
      <w:r w:rsidRPr="00581B30">
        <w:rPr>
          <w:rFonts w:ascii="Baskerville" w:hAnsi="Baskerville" w:cs="Open Sans"/>
          <w:color w:val="000000" w:themeColor="text1"/>
        </w:rPr>
        <w:t>(effective Feb. 3, 2023).</w:t>
      </w:r>
      <w:r w:rsidR="00AF4CC3">
        <w:rPr>
          <w:rFonts w:ascii="Baskerville" w:hAnsi="Baskerville" w:cs="Open Sans"/>
          <w:color w:val="000000" w:themeColor="text1"/>
        </w:rPr>
        <w:t xml:space="preserve"> </w:t>
      </w:r>
    </w:p>
    <w:p w14:paraId="466B7A97" w14:textId="77777777" w:rsidR="00E22509" w:rsidRDefault="00E22509" w:rsidP="00E22509">
      <w:pPr>
        <w:pStyle w:val="BodyText"/>
        <w:spacing w:line="240" w:lineRule="auto"/>
      </w:pPr>
    </w:p>
    <w:p w14:paraId="244AC14F" w14:textId="77777777" w:rsidR="00655396" w:rsidRPr="008B512B" w:rsidRDefault="00655396" w:rsidP="008B512B">
      <w:pPr>
        <w:pStyle w:val="HeadingCenter11"/>
        <w:spacing w:after="0" w:line="240" w:lineRule="auto"/>
        <w:rPr>
          <w:b w:val="0"/>
        </w:rPr>
      </w:pPr>
      <w:r w:rsidRPr="008B512B">
        <w:rPr>
          <w:b w:val="0"/>
        </w:rPr>
        <w:t>Physicians</w:t>
      </w:r>
    </w:p>
    <w:p w14:paraId="79CAEA9D" w14:textId="77777777" w:rsidR="003D4127" w:rsidRPr="006A121F" w:rsidRDefault="003D4127" w:rsidP="006A121F">
      <w:pPr>
        <w:pStyle w:val="NoParagraphStyle"/>
        <w:tabs>
          <w:tab w:val="left" w:pos="480"/>
          <w:tab w:val="left" w:pos="960"/>
          <w:tab w:val="left" w:pos="1440"/>
        </w:tabs>
        <w:spacing w:line="240" w:lineRule="auto"/>
        <w:jc w:val="both"/>
        <w:rPr>
          <w:b/>
        </w:rPr>
      </w:pPr>
    </w:p>
    <w:p w14:paraId="62E6ADFE" w14:textId="652FE75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A firm that employs a physician but fails to possess a certificate of registration from the Illinois Department of Professional Regulation (IDPR) pursuant to Professional Service Corporation Act §12, 805 ILCS 10/12 (West 2002), renders a noncompetition covenant in the firm’s employment agreement with the physician unenforceable and the entire employment agreement itself void </w:t>
      </w:r>
      <w:r>
        <w:rPr>
          <w:rFonts w:ascii="Baskerville" w:hAnsi="Baskerville" w:cs="Baskerville"/>
          <w:i/>
          <w:iCs/>
        </w:rPr>
        <w:t>ab initio</w:t>
      </w:r>
      <w:r>
        <w:rPr>
          <w:rFonts w:ascii="Baskerville" w:hAnsi="Baskerville" w:cs="Baskerville"/>
        </w:rPr>
        <w:t>.</w:t>
      </w:r>
      <w:r w:rsidR="00FB1D09">
        <w:rPr>
          <w:rFonts w:ascii="Baskerville" w:hAnsi="Baskerville" w:cs="Baskerville"/>
        </w:rPr>
        <w:t xml:space="preserve"> </w:t>
      </w:r>
      <w:r>
        <w:rPr>
          <w:rFonts w:ascii="Baskerville" w:hAnsi="Baskerville" w:cs="Baskerville"/>
          <w:i/>
          <w:iCs/>
        </w:rPr>
        <w:t>Riggs v. Woman to Woman, Obstetrics &amp; Gynecology, P.C.,</w:t>
      </w:r>
      <w:r>
        <w:rPr>
          <w:rFonts w:ascii="Baskerville" w:hAnsi="Baskerville" w:cs="Baskerville"/>
        </w:rPr>
        <w:t xml:space="preserve"> 351 Ill. App. 3d 268, 812 N.E.2d 1027 (2d Dist. 2004).</w:t>
      </w:r>
      <w:r w:rsidR="00FB1D09">
        <w:rPr>
          <w:rFonts w:ascii="Baskerville" w:hAnsi="Baskerville" w:cs="Baskerville"/>
        </w:rPr>
        <w:t xml:space="preserve"> </w:t>
      </w:r>
      <w:r>
        <w:rPr>
          <w:rFonts w:ascii="Baskerville" w:hAnsi="Baskerville" w:cs="Baskerville"/>
        </w:rPr>
        <w:t xml:space="preserve">Relying on </w:t>
      </w:r>
      <w:r>
        <w:rPr>
          <w:rFonts w:ascii="Baskerville" w:hAnsi="Baskerville" w:cs="Baskerville"/>
          <w:i/>
          <w:iCs/>
        </w:rPr>
        <w:t>Ransburg v. Haase</w:t>
      </w:r>
      <w:r>
        <w:rPr>
          <w:rFonts w:ascii="Baskerville" w:hAnsi="Baskerville" w:cs="Baskerville"/>
        </w:rPr>
        <w:t xml:space="preserve">, </w:t>
      </w:r>
      <w:r>
        <w:rPr>
          <w:rFonts w:ascii="Baskerville" w:hAnsi="Baskerville" w:cs="Baskerville"/>
        </w:rPr>
        <w:lastRenderedPageBreak/>
        <w:t xml:space="preserve">224 Ill. App. 3d 681, 586 N.E.2d 1295 (3d Dist. 1992) (not a covenant case), the </w:t>
      </w:r>
      <w:r>
        <w:rPr>
          <w:rFonts w:ascii="Baskerville" w:hAnsi="Baskerville" w:cs="Baskerville"/>
          <w:i/>
          <w:iCs/>
        </w:rPr>
        <w:t>Riggs</w:t>
      </w:r>
      <w:r>
        <w:rPr>
          <w:rFonts w:ascii="Baskerville" w:hAnsi="Baskerville" w:cs="Baskerville"/>
        </w:rPr>
        <w:t xml:space="preserve"> court pointed out that Illinois “courts will not enforce a contract involving a party who does not have a license called for by legislation that expressly prohibits the carrying on of the particular activity without a license where the legislation was enacted for the protection of the public, not as a revenue measure.”</w:t>
      </w:r>
      <w:r w:rsidR="00FB1D09">
        <w:rPr>
          <w:rFonts w:ascii="Baskerville" w:hAnsi="Baskerville" w:cs="Baskerville"/>
        </w:rPr>
        <w:t xml:space="preserve"> </w:t>
      </w:r>
      <w:r>
        <w:rPr>
          <w:rFonts w:ascii="Baskerville" w:hAnsi="Baskerville" w:cs="Baskerville"/>
        </w:rPr>
        <w:t>351 Ill. App. 3d at 275, 812 N.E.2d at 1033 (punctuation omitted</w:t>
      </w:r>
      <w:r w:rsidR="001A419C">
        <w:rPr>
          <w:rFonts w:ascii="Baskerville" w:hAnsi="Baskerville" w:cs="Baskerville"/>
        </w:rPr>
        <w:t>; quoting</w:t>
      </w:r>
      <w:r>
        <w:rPr>
          <w:rFonts w:ascii="Baskerville" w:hAnsi="Baskerville" w:cs="Baskerville"/>
        </w:rPr>
        <w:t xml:space="preserve"> </w:t>
      </w:r>
      <w:r>
        <w:rPr>
          <w:rFonts w:ascii="Baskerville" w:hAnsi="Baskerville" w:cs="Baskerville"/>
          <w:i/>
          <w:iCs/>
        </w:rPr>
        <w:t>Ransburg</w:t>
      </w:r>
      <w:r>
        <w:rPr>
          <w:rFonts w:ascii="Baskerville" w:hAnsi="Baskerville" w:cs="Baskerville"/>
        </w:rPr>
        <w:t>, 224 Ill. App. 3d at 684–85, 586 N.E.2d 1295).</w:t>
      </w:r>
    </w:p>
    <w:p w14:paraId="46ADCF40" w14:textId="39DB010F"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A noncompetition covenant given in connection with a physician’s sale of the assets and good will of his medical practice may run afoul of the Illinois Medical Practice Act of 1987 (IMPA), </w:t>
      </w:r>
      <w:r>
        <w:rPr>
          <w:rFonts w:ascii="Baskerville" w:hAnsi="Baskerville" w:cs="Baskerville"/>
          <w:smallCaps/>
        </w:rPr>
        <w:t>Ill. Rev. Stat.</w:t>
      </w:r>
      <w:r>
        <w:rPr>
          <w:rFonts w:ascii="Baskerville" w:hAnsi="Baskerville" w:cs="Baskerville"/>
        </w:rPr>
        <w:t xml:space="preserve"> ch. 225, ¶ 60/1 et seq.</w:t>
      </w:r>
      <w:r w:rsidR="00FB1D09">
        <w:rPr>
          <w:rFonts w:ascii="Baskerville" w:hAnsi="Baskerville" w:cs="Baskerville"/>
        </w:rPr>
        <w:t xml:space="preserve"> </w:t>
      </w:r>
      <w:r>
        <w:rPr>
          <w:rFonts w:ascii="Baskerville" w:hAnsi="Baskerville" w:cs="Baskerville"/>
          <w:i/>
          <w:iCs/>
        </w:rPr>
        <w:t>See Gavery v. McMahon &amp; Elliott</w:t>
      </w:r>
      <w:r>
        <w:rPr>
          <w:rFonts w:ascii="Baskerville" w:hAnsi="Baskerville" w:cs="Baskerville"/>
        </w:rPr>
        <w:t>, 283 Ill. App. 3d 484, 485, 670 N.E.2d 822, 824 (1st Dist. 1996) (involving legal malpractice claims brought by physician who entered into asset purchase agreement and noncompetition agreement in connection with sale of his medical practice; under covenant, seller was to receive 10 percent of buyer’s gross revenues for 10 years; buyer filed action seeking to void noncompetition covenant as violative of IMPA; due to conflict between covenant and IMPA, physician entered into settlement of buyer’s claim relating to whether credits were to be applied against purchase price; seller sued two separate law firms, alleging failure to advise him properly about validity of covenant and IMPA’s impact upon covenant).</w:t>
      </w:r>
    </w:p>
    <w:p w14:paraId="14F4AC42" w14:textId="1C27DAE8" w:rsidR="00655396" w:rsidRDefault="00655396" w:rsidP="008B512B">
      <w:pPr>
        <w:pStyle w:val="BodyText"/>
        <w:spacing w:line="240" w:lineRule="auto"/>
      </w:pPr>
      <w:r>
        <w:tab/>
        <w:t>“Physicians licensed in Illinois are specifically prohibited from abandoning their patients.”</w:t>
      </w:r>
      <w:r w:rsidR="00FB1D09">
        <w:t xml:space="preserve"> </w:t>
      </w:r>
      <w:r>
        <w:rPr>
          <w:i/>
          <w:iCs/>
        </w:rPr>
        <w:t>Bloomington Urological Assocs., SC v. Scaglia</w:t>
      </w:r>
      <w:r>
        <w:t xml:space="preserve">, 292 Ill. App. 3d 793, 800, 226 Ill. Dec. 759, 764, 686 N.E.2d 389, 394 (4th Dist. 1997) (majority op.; citing </w:t>
      </w:r>
      <w:r>
        <w:rPr>
          <w:smallCaps/>
        </w:rPr>
        <w:t>Ill. Rev. Stat.</w:t>
      </w:r>
      <w:r>
        <w:t xml:space="preserve"> ch. 225, ¶60/22(A)(16) (West 1994)).</w:t>
      </w:r>
      <w:r w:rsidR="00FB1D09">
        <w:t xml:space="preserve"> </w:t>
      </w:r>
      <w:r>
        <w:t>“Further, the American Medical Association’s Council on Ethical and Judicial Affairs mandates that ‘once having undertaken a case, the physician should not neglect the patients.’</w:t>
      </w:r>
      <w:r>
        <w:rPr>
          <w:rFonts w:ascii="Times New Roman" w:hAnsi="Times New Roman" w:cs="Times New Roman"/>
        </w:rPr>
        <w:t> </w:t>
      </w:r>
      <w:r>
        <w:t>”</w:t>
      </w:r>
      <w:r w:rsidR="00FB1D09">
        <w:t xml:space="preserve"> </w:t>
      </w:r>
      <w:r>
        <w:rPr>
          <w:i/>
          <w:iCs/>
        </w:rPr>
        <w:t>Id.</w:t>
      </w:r>
      <w:r>
        <w:t xml:space="preserve">, 226 Ill. Dec. at 764, 686 N.E.2d at 394 (quoting </w:t>
      </w:r>
      <w:r>
        <w:rPr>
          <w:smallCaps/>
        </w:rPr>
        <w:t>American Medical Association Code of Medical Ethics: Current Opinions with Annotations</w:t>
      </w:r>
      <w:r>
        <w:t>, 8.11 (1996); finding that “[t]o conclude that telephone inquiries from existing patients to their physician constitute the practice of medicine in the context of a restrictive covenant would effectively force a physician to neglect or abandon his patients whenever they telephone or page him with medical-related questions, concerns, or emergencies at a time when he happens to be in the restricted geographical area.”).</w:t>
      </w:r>
    </w:p>
    <w:p w14:paraId="098129EF" w14:textId="018C22F5" w:rsidR="00655396" w:rsidRDefault="00655396" w:rsidP="008B512B">
      <w:pPr>
        <w:pStyle w:val="BodyText"/>
        <w:spacing w:line="240" w:lineRule="auto"/>
      </w:pPr>
      <w:r>
        <w:lastRenderedPageBreak/>
        <w:tab/>
        <w:t>Although Section 9.2 of the Opinions of the Council of Ethical &amp; Judicial Affairs of the American Medical Association discourages noncompetition agreements between physicians as against the public interest, it does not operate to make noncompetition agreements in the medical profession unenforceable.</w:t>
      </w:r>
      <w:r w:rsidR="00FB1D09">
        <w:t xml:space="preserve"> </w:t>
      </w:r>
      <w:r>
        <w:rPr>
          <w:i/>
          <w:iCs/>
        </w:rPr>
        <w:t>Prairie Eye Ctr., Ltd. v. Butler</w:t>
      </w:r>
      <w:r>
        <w:t>, 329 Ill. App. 3d 293, 300, 263 Ill. Dec. 654, 660–61, 768 N.E.2d 414, 420–21 (4th Dist. 2002) (holding that §9.2 is not codified in the rules of the Illinois Supreme Court and, accordingly, does not establish public policy; acknowledging that it is important for patients to have the freedom to ch</w:t>
      </w:r>
      <w:r w:rsidR="001A419C">
        <w:t>o</w:t>
      </w:r>
      <w:r>
        <w:t>ose their doctors, but refusing to deviate from long line of precedent enforcing noncompetition agreements in medical profession</w:t>
      </w:r>
      <w:r w:rsidR="00D47546">
        <w:t xml:space="preserve">; </w:t>
      </w:r>
      <w:r>
        <w:t xml:space="preserve">noting that any changes should be left to the state legislature), </w:t>
      </w:r>
      <w:r>
        <w:rPr>
          <w:i/>
          <w:iCs/>
        </w:rPr>
        <w:t>appeal denied by</w:t>
      </w:r>
      <w:r>
        <w:t xml:space="preserve"> </w:t>
      </w:r>
      <w:r>
        <w:rPr>
          <w:i/>
          <w:iCs/>
        </w:rPr>
        <w:t>Prairie Eye Ctr., Ltd. v. Butler</w:t>
      </w:r>
      <w:r>
        <w:t>, 202 Ill. 2d 661, 272 Ill. Dec. 354, 787 N.E.2d 169 (2002).</w:t>
      </w:r>
      <w:r w:rsidR="00FB1D09">
        <w:t xml:space="preserve"> </w:t>
      </w:r>
      <w:r>
        <w:rPr>
          <w:i/>
          <w:iCs/>
        </w:rPr>
        <w:t>See also</w:t>
      </w:r>
      <w:r>
        <w:t xml:space="preserve"> </w:t>
      </w:r>
      <w:r>
        <w:rPr>
          <w:i/>
          <w:iCs/>
        </w:rPr>
        <w:t>Carter-Shields v. Alton Health Inst.</w:t>
      </w:r>
      <w:r>
        <w:t>, 201 Ill. 2d 441, 463–64, 268 Ill. Dec. 25, 37, 777 N.E.2d 948, 962 (2002) (vacating advisory portion of appellate court’s decision).</w:t>
      </w:r>
    </w:p>
    <w:p w14:paraId="3B327404" w14:textId="77777777" w:rsidR="00655396" w:rsidRDefault="00655396" w:rsidP="008B512B">
      <w:pPr>
        <w:pStyle w:val="BodyText"/>
        <w:spacing w:line="240" w:lineRule="auto"/>
      </w:pPr>
      <w:r>
        <w:tab/>
        <w:t xml:space="preserve">Restrictive covenants in physician employment contracts are not void as a matter of public policy. </w:t>
      </w:r>
      <w:r>
        <w:rPr>
          <w:i/>
          <w:iCs/>
        </w:rPr>
        <w:t>Mohanty v. St. John Heart Clinics, S.C.</w:t>
      </w:r>
      <w:r>
        <w:t xml:space="preserve">, 310 Ill. Dec. 274, 282, 866 N.E.2d 85, 93 (2006) (rejecting plaintiff’s argument that physician contracts containing noncompetition covenants are similar to covenants executed by attorneys, which </w:t>
      </w:r>
      <w:r w:rsidR="001A419C">
        <w:t>are void</w:t>
      </w:r>
      <w:r>
        <w:t xml:space="preserve"> where in direct conflict with Rules of Professional Conduct</w:t>
      </w:r>
      <w:r w:rsidR="001A419C">
        <w:t>; noting</w:t>
      </w:r>
      <w:r>
        <w:t xml:space="preserve"> that opinion of American Medical Association discouraging restrictive covenants is not equivalent of statute or rule of professional conduct).</w:t>
      </w:r>
    </w:p>
    <w:p w14:paraId="19998E27" w14:textId="71DCB9B9" w:rsidR="00655396" w:rsidRDefault="00655396" w:rsidP="00B95ED6">
      <w:pPr>
        <w:pStyle w:val="BodyText"/>
        <w:spacing w:line="240" w:lineRule="auto"/>
      </w:pPr>
      <w:r>
        <w:tab/>
        <w:t>The corporate practice of medicine doctrine does not apply to licensed hospitals and their agreements with physicians.</w:t>
      </w:r>
      <w:r w:rsidR="00FB1D09">
        <w:t xml:space="preserve"> </w:t>
      </w:r>
      <w:r>
        <w:rPr>
          <w:i/>
          <w:iCs/>
        </w:rPr>
        <w:t>Holden v. Rockford Mem’l Hosp.</w:t>
      </w:r>
      <w:r>
        <w:t>, 295 Ill. App. 3d 45, 46, 692 N.E.2d 374, 376, 229 Ill. Dec. 601, 603 (2d Dist. 1998).</w:t>
      </w:r>
      <w:r w:rsidR="00CD7A12">
        <w:t xml:space="preserve"> </w:t>
      </w:r>
      <w:r>
        <w:t>In applying the corporate practice of medicine doctrine, Illinois courts draw distinctions between licensed hospitals and corporations that have no specific authority to offer medical services to the public.</w:t>
      </w:r>
      <w:r w:rsidR="00FB1D09">
        <w:t xml:space="preserve"> </w:t>
      </w:r>
      <w:r>
        <w:rPr>
          <w:i/>
          <w:iCs/>
        </w:rPr>
        <w:t>Berlin v. Sarah Bush Lincoln Health Ctr.,</w:t>
      </w:r>
      <w:r>
        <w:t xml:space="preserve"> 179 Ill. 2d 1, 16, 227 Ill. Dec. 769, 776, 688 N.E.2d 106, 113 (1997).</w:t>
      </w:r>
    </w:p>
    <w:p w14:paraId="32EF39B2"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1E853F1A" w14:textId="77777777" w:rsidR="00655396" w:rsidRDefault="00655396" w:rsidP="008B512B">
      <w:pPr>
        <w:pStyle w:val="Question"/>
        <w:spacing w:line="240" w:lineRule="auto"/>
      </w:pPr>
      <w:r>
        <w:t>2.</w:t>
      </w:r>
      <w:r>
        <w:tab/>
        <w:t>What is an employer’s protectable interest and how is that defined?</w:t>
      </w:r>
    </w:p>
    <w:p w14:paraId="78D28F53" w14:textId="77777777" w:rsidR="00655396" w:rsidRDefault="00655396" w:rsidP="008B512B">
      <w:pPr>
        <w:pStyle w:val="BodyText"/>
        <w:spacing w:line="240" w:lineRule="auto"/>
      </w:pPr>
    </w:p>
    <w:p w14:paraId="40D15CE9" w14:textId="77777777" w:rsidR="00020BD9" w:rsidRPr="006A121F" w:rsidRDefault="006532A6" w:rsidP="00204FD8">
      <w:pPr>
        <w:pStyle w:val="text"/>
        <w:ind w:firstLine="0"/>
        <w:rPr>
          <w:rFonts w:ascii="Baskerville Old Face" w:hAnsi="Baskerville Old Face"/>
          <w:u w:color="000000"/>
        </w:rPr>
      </w:pPr>
      <w:r w:rsidRPr="006A121F">
        <w:rPr>
          <w:rFonts w:ascii="Baskerville Old Face" w:hAnsi="Baskerville Old Face"/>
        </w:rPr>
        <w:lastRenderedPageBreak/>
        <w:tab/>
      </w:r>
      <w:r w:rsidR="00020BD9" w:rsidRPr="006A121F">
        <w:rPr>
          <w:rFonts w:ascii="Baskerville Old Face" w:hAnsi="Baskerville Old Face"/>
        </w:rPr>
        <w:t xml:space="preserve">Under a 2011 Illinois Supreme Court case, </w:t>
      </w:r>
      <w:r w:rsidR="00020BD9" w:rsidRPr="006A121F">
        <w:rPr>
          <w:rFonts w:ascii="Baskerville Old Face" w:hAnsi="Baskerville Old Face"/>
          <w:i/>
        </w:rPr>
        <w:t>Reliable Fire Equipment Co. v. Arredondo</w:t>
      </w:r>
      <w:r w:rsidR="00020BD9" w:rsidRPr="006A121F">
        <w:rPr>
          <w:rFonts w:ascii="Baskerville Old Face" w:hAnsi="Baskerville Old Face"/>
        </w:rPr>
        <w:t xml:space="preserve">, 358 Ill. Dec. 322, 965 N.E.2d 393 (2011), the existence of a legitimate, covenant-protectable business interest turns on the totality of the circumstances of each case, and the factors that may be considered include “the near-permanence of customer relationships, the employee’s acquisition of confidential information through his employment, and time and place restrictions.” </w:t>
      </w:r>
      <w:r w:rsidR="00020BD9" w:rsidRPr="006A121F">
        <w:rPr>
          <w:rFonts w:ascii="Baskerville Old Face" w:hAnsi="Baskerville Old Face"/>
          <w:i/>
        </w:rPr>
        <w:t>Id.</w:t>
      </w:r>
      <w:r w:rsidR="00020BD9" w:rsidRPr="006A121F">
        <w:rPr>
          <w:rFonts w:ascii="Baskerville Old Face" w:hAnsi="Baskerville Old Face"/>
        </w:rPr>
        <w:t xml:space="preserve">, 965 N.E.2d at 403; </w:t>
      </w:r>
      <w:r w:rsidR="00020BD9" w:rsidRPr="006A121F">
        <w:rPr>
          <w:rFonts w:ascii="Baskerville Old Face" w:hAnsi="Baskerville Old Face"/>
          <w:i/>
        </w:rPr>
        <w:t>see also Instant Tech., LLC v. DeFazio</w:t>
      </w:r>
      <w:r w:rsidR="00020BD9" w:rsidRPr="006A121F">
        <w:rPr>
          <w:rFonts w:ascii="Baskerville Old Face" w:hAnsi="Baskerville Old Face"/>
        </w:rPr>
        <w:t xml:space="preserve">, 2012 WL 2567033, *6 (N.D. Ill. June 26, 2012) (quoting same language from </w:t>
      </w:r>
      <w:r w:rsidR="00020BD9" w:rsidRPr="006A121F">
        <w:rPr>
          <w:rFonts w:ascii="Baskerville Old Face" w:hAnsi="Baskerville Old Face"/>
          <w:i/>
        </w:rPr>
        <w:t>Reliable Fire</w:t>
      </w:r>
      <w:r w:rsidR="00020BD9" w:rsidRPr="006A121F">
        <w:rPr>
          <w:rFonts w:ascii="Baskerville Old Face" w:hAnsi="Baskerville Old Face"/>
        </w:rPr>
        <w:t xml:space="preserve">), </w:t>
      </w:r>
      <w:r w:rsidR="00020BD9" w:rsidRPr="006A121F">
        <w:rPr>
          <w:rFonts w:ascii="Baskerville Old Face" w:hAnsi="Baskerville Old Face"/>
          <w:i/>
        </w:rPr>
        <w:t>aff’d,</w:t>
      </w:r>
      <w:r w:rsidR="00020BD9" w:rsidRPr="006A121F">
        <w:rPr>
          <w:rFonts w:ascii="Baskerville Old Face" w:hAnsi="Baskerville Old Face"/>
        </w:rPr>
        <w:t xml:space="preserve"> 793 F.3d 748 (7th Cir. 2015) (ruling that employees were not liable for breach of restrictive covenants in their employment contracts for using information on employer’s candidates and clients to solicit them for placements through newly formed competitor, where candidate and client information was not proprietary because it was widely available online, and restrictive covenants were unenforceable because data were not confidential, high employee and client turnover showed no information or relationship warranting protection, and employer offered no further evidence to justify enforcement of covenants). </w:t>
      </w:r>
      <w:r w:rsidR="00020BD9" w:rsidRPr="006A121F">
        <w:rPr>
          <w:rFonts w:ascii="Baskerville Old Face" w:hAnsi="Baskerville Old Face"/>
          <w:i/>
          <w:u w:color="000000"/>
        </w:rPr>
        <w:t>See generally</w:t>
      </w:r>
      <w:r w:rsidR="00020BD9" w:rsidRPr="006A121F">
        <w:rPr>
          <w:rFonts w:ascii="Baskerville Old Face" w:hAnsi="Baskerville Old Face"/>
          <w:u w:color="000000"/>
        </w:rPr>
        <w:t xml:space="preserve"> </w:t>
      </w:r>
      <w:r w:rsidR="00020BD9" w:rsidRPr="006A121F">
        <w:rPr>
          <w:rFonts w:ascii="Baskerville Old Face" w:hAnsi="Baskerville Old Face"/>
          <w:i/>
          <w:u w:color="000000"/>
        </w:rPr>
        <w:t>Orthofix Inc. v. Gordon</w:t>
      </w:r>
      <w:r w:rsidR="00020BD9" w:rsidRPr="006A121F">
        <w:rPr>
          <w:rFonts w:ascii="Baskerville Old Face" w:hAnsi="Baskerville Old Face"/>
          <w:u w:color="000000"/>
        </w:rPr>
        <w:t xml:space="preserve">, 2016 BL 92512 (C.D. Ill. Mar. 24, 2016) (not citing </w:t>
      </w:r>
      <w:r w:rsidR="00020BD9" w:rsidRPr="006A121F">
        <w:rPr>
          <w:rFonts w:ascii="Baskerville Old Face" w:hAnsi="Baskerville Old Face"/>
          <w:i/>
          <w:u w:color="000000"/>
        </w:rPr>
        <w:t>Reliable</w:t>
      </w:r>
      <w:r w:rsidR="00020BD9" w:rsidRPr="006A121F">
        <w:rPr>
          <w:rFonts w:ascii="Baskerville Old Face" w:hAnsi="Baskerville Old Face"/>
          <w:u w:color="000000"/>
        </w:rPr>
        <w:t>, but ruling that issue of fact existed as to whether employer’s relationship with customers was near-permanent enough to be protectable by a covenant, given investments of time and money involved in developing customer relationships).</w:t>
      </w:r>
    </w:p>
    <w:p w14:paraId="3AE636EE" w14:textId="6C5385E8" w:rsidR="00020BD9" w:rsidRPr="006A121F" w:rsidRDefault="00020BD9" w:rsidP="00020BD9">
      <w:pPr>
        <w:pStyle w:val="bulletedparagraph-"/>
        <w:rPr>
          <w:rFonts w:ascii="Baskerville Old Face" w:hAnsi="Baskerville Old Face"/>
        </w:rPr>
      </w:pPr>
      <w:r w:rsidRPr="006A121F">
        <w:rPr>
          <w:rFonts w:ascii="Baskerville Old Face" w:hAnsi="Baskerville Old Face"/>
        </w:rPr>
        <w:t xml:space="preserve">• </w:t>
      </w:r>
      <w:r w:rsidRPr="006A121F">
        <w:rPr>
          <w:rFonts w:ascii="Baskerville Old Face" w:hAnsi="Baskerville Old Face"/>
          <w:i/>
        </w:rPr>
        <w:t>Effect of employer’s termination or abandonment of business: Seeking remedy for only breaches occurring prior to</w:t>
      </w:r>
      <w:r w:rsidRPr="006A121F">
        <w:rPr>
          <w:rFonts w:ascii="Baskerville Old Face" w:hAnsi="Baskerville Old Face"/>
        </w:rPr>
        <w:t xml:space="preserve"> </w:t>
      </w:r>
      <w:r w:rsidRPr="006A121F">
        <w:rPr>
          <w:rFonts w:ascii="Baskerville Old Face" w:hAnsi="Baskerville Old Face"/>
          <w:i/>
        </w:rPr>
        <w:t>closure</w:t>
      </w:r>
      <w:r w:rsidRPr="006A121F">
        <w:rPr>
          <w:rFonts w:ascii="Baskerville Old Face" w:hAnsi="Baskerville Old Face"/>
        </w:rPr>
        <w:t xml:space="preserve">. Where an employer has abandoned or terminated its business, a very good argument could be made that no covenant-protectable interest continues to exist, but the closing of the business does not deprive the employer of any relief to which it is entitled for breaches occurring </w:t>
      </w:r>
      <w:r w:rsidRPr="006A121F">
        <w:rPr>
          <w:rFonts w:ascii="Baskerville Old Face" w:hAnsi="Baskerville Old Face"/>
          <w:i/>
        </w:rPr>
        <w:t>prior to</w:t>
      </w:r>
      <w:r w:rsidRPr="006A121F">
        <w:rPr>
          <w:rFonts w:ascii="Baskerville Old Face" w:hAnsi="Baskerville Old Face"/>
        </w:rPr>
        <w:t xml:space="preserve"> closure.</w:t>
      </w:r>
      <w:r w:rsidRPr="006A121F">
        <w:rPr>
          <w:rFonts w:ascii="Baskerville Old Face" w:hAnsi="Baskerville Old Face"/>
          <w:i/>
        </w:rPr>
        <w:t xml:space="preserve"> Act II Jewelry, LLC v. Wooten</w:t>
      </w:r>
      <w:r w:rsidRPr="006A121F">
        <w:rPr>
          <w:rFonts w:ascii="Baskerville Old Face" w:hAnsi="Baskerville Old Face"/>
        </w:rPr>
        <w:t>, 318 F. Supp. 3d 1073, 1093 (N.D. Ill. 2018) (“[Former employer] Act II is not litigating whether the Agreement is currently in effect, but rather a claim for damages based on [former employee’s] breach of the Agreement while Act II was still in business and winding up its affairs</w:t>
      </w:r>
      <w:r w:rsidR="00944F63">
        <w:rPr>
          <w:rFonts w:ascii="Baskerville Old Face" w:hAnsi="Baskerville Old Face" w:cs="Times New Roman"/>
        </w:rPr>
        <w:t>…</w:t>
      </w:r>
      <w:r w:rsidRPr="00020BD9">
        <w:rPr>
          <w:rFonts w:cs="Times New Roman"/>
        </w:rPr>
        <w:t> </w:t>
      </w:r>
      <w:r w:rsidRPr="006A121F">
        <w:rPr>
          <w:rFonts w:ascii="Baskerville Old Face" w:hAnsi="Baskerville Old Face"/>
        </w:rPr>
        <w:t xml:space="preserve">Act II legitimately may seek to protect the financial outcome of its wind-up process and the value of its assets which it was in the midst of selling. Furthermore, Act II transferred its assets to KEC, </w:t>
      </w:r>
      <w:r w:rsidRPr="006A121F">
        <w:rPr>
          <w:rFonts w:ascii="Baskerville Old Face" w:hAnsi="Baskerville Old Face"/>
        </w:rPr>
        <w:lastRenderedPageBreak/>
        <w:t>which is still operating, and KEC has a legitimate business interest in protecting its alleged trade secrets. The Release and Waiver attached to the Incentive Agreement required Wooten to ‘refrain</w:t>
      </w:r>
      <w:r w:rsidRPr="00020BD9">
        <w:rPr>
          <w:rFonts w:cs="Times New Roman"/>
        </w:rPr>
        <w:t> </w:t>
      </w:r>
      <w:r w:rsidR="00944F63">
        <w:rPr>
          <w:rFonts w:ascii="Baskerville Old Face" w:hAnsi="Baskerville Old Face" w:cs="Times New Roman"/>
        </w:rPr>
        <w:t>…</w:t>
      </w:r>
      <w:r w:rsidRPr="00020BD9">
        <w:rPr>
          <w:rFonts w:cs="Times New Roman"/>
        </w:rPr>
        <w:t> </w:t>
      </w:r>
      <w:r w:rsidRPr="006A121F">
        <w:rPr>
          <w:rFonts w:ascii="Baskerville Old Face" w:hAnsi="Baskerville Old Face"/>
        </w:rPr>
        <w:t xml:space="preserve">from disclosing any trade secret of [KEC] or Act II or other confidential and proprietary business information and material.’ (Dkt. No. 294, ¶ 61.) Thus, KEC may enforce any breach under the Incentive Agreement, because Act II’s rights were assigned and the agreement specifically contemplated protecting KEC’s assets as well. </w:t>
      </w:r>
      <w:r w:rsidRPr="006A121F">
        <w:rPr>
          <w:rFonts w:ascii="Baskerville Old Face" w:hAnsi="Baskerville Old Face"/>
          <w:i/>
        </w:rPr>
        <w:t>See, id.; see also</w:t>
      </w:r>
      <w:r w:rsidRPr="006A121F">
        <w:rPr>
          <w:rFonts w:ascii="Baskerville Old Face" w:hAnsi="Baskerville Old Face"/>
        </w:rPr>
        <w:t xml:space="preserve"> Memorandum and Opinion Order, Dkt. No. 90 at 17 (rejecting argument that agreement was unenforceable where agreement specifically contemplated Act II winding down).” </w:t>
      </w:r>
    </w:p>
    <w:p w14:paraId="2CD60B99" w14:textId="77777777" w:rsidR="00020BD9" w:rsidRPr="006A121F" w:rsidRDefault="00020BD9" w:rsidP="00020BD9">
      <w:pPr>
        <w:pStyle w:val="bulletedparagraph-"/>
        <w:rPr>
          <w:rFonts w:ascii="Baskerville Old Face" w:hAnsi="Baskerville Old Face"/>
        </w:rPr>
      </w:pPr>
      <w:r w:rsidRPr="006A121F">
        <w:rPr>
          <w:rFonts w:ascii="Baskerville Old Face" w:hAnsi="Baskerville Old Face"/>
        </w:rPr>
        <w:t xml:space="preserve">• </w:t>
      </w:r>
      <w:r w:rsidRPr="006A121F">
        <w:rPr>
          <w:rFonts w:ascii="Baskerville Old Face" w:hAnsi="Baskerville Old Face"/>
          <w:i/>
        </w:rPr>
        <w:t>Analysis prior to</w:t>
      </w:r>
      <w:r w:rsidRPr="006A121F">
        <w:rPr>
          <w:rFonts w:ascii="Baskerville Old Face" w:hAnsi="Baskerville Old Face"/>
        </w:rPr>
        <w:t xml:space="preserve"> Reliable Fire.</w:t>
      </w:r>
    </w:p>
    <w:p w14:paraId="2A87BCD5" w14:textId="77777777" w:rsidR="00020BD9" w:rsidRPr="006532A6" w:rsidRDefault="00020BD9" w:rsidP="00020BD9">
      <w:pPr>
        <w:pStyle w:val="block-f"/>
        <w:rPr>
          <w:rFonts w:ascii="Baskerville Old Face" w:hAnsi="Baskerville Old Face" w:cs="Times New Roman"/>
        </w:rPr>
      </w:pPr>
      <w:r w:rsidRPr="006532A6">
        <w:rPr>
          <w:rFonts w:ascii="Baskerville Old Face" w:hAnsi="Baskerville Old Face" w:cs="Times New Roman"/>
        </w:rPr>
        <w:t xml:space="preserve">Generally, there are two situations in which a legitimate business interest will exist: (1) where the customer relationships are near permanent and but for the employee’s association with the </w:t>
      </w:r>
      <w:r w:rsidRPr="006532A6">
        <w:rPr>
          <w:rFonts w:ascii="Baskerville Old Face" w:hAnsi="Baskerville Old Face" w:cs="Times New Roman"/>
        </w:rPr>
        <w:br/>
        <w:t xml:space="preserve">employer the employee would not have had contact with the customers; and (2) where the former employee acquired trade secrets or other confidential information through his employment and subsequently tried to use it for his own benefit. </w:t>
      </w:r>
      <w:r w:rsidRPr="006532A6">
        <w:rPr>
          <w:rFonts w:ascii="Baskerville Old Face" w:hAnsi="Baskerville Old Face" w:cs="Times New Roman"/>
          <w:i/>
          <w:iCs/>
        </w:rPr>
        <w:t>Capsonic Group</w:t>
      </w:r>
      <w:r w:rsidRPr="006532A6">
        <w:rPr>
          <w:rFonts w:ascii="Baskerville Old Face" w:hAnsi="Baskerville Old Face" w:cs="Times New Roman"/>
        </w:rPr>
        <w:t xml:space="preserve"> [</w:t>
      </w:r>
      <w:r w:rsidRPr="006532A6">
        <w:rPr>
          <w:rFonts w:ascii="Baskerville Old Face" w:hAnsi="Baskerville Old Face" w:cs="Times New Roman"/>
          <w:i/>
          <w:iCs/>
        </w:rPr>
        <w:t>v. Swick</w:t>
      </w:r>
      <w:r w:rsidRPr="006532A6">
        <w:rPr>
          <w:rFonts w:ascii="Baskerville Old Face" w:hAnsi="Baskerville Old Face" w:cs="Times New Roman"/>
        </w:rPr>
        <w:t>, 181 Ill. App. 3d 988, 993, 130 Ill. Dec. 909, 537 N.E.2d 1378 (1989)].</w:t>
      </w:r>
    </w:p>
    <w:p w14:paraId="3463FF76" w14:textId="77777777" w:rsidR="00020BD9" w:rsidRPr="006532A6" w:rsidRDefault="00020BD9" w:rsidP="00020BD9">
      <w:pPr>
        <w:pStyle w:val="textflush"/>
        <w:rPr>
          <w:rFonts w:ascii="Baskerville Old Face" w:hAnsi="Baskerville Old Face" w:cs="Times New Roman"/>
        </w:rPr>
      </w:pPr>
      <w:r w:rsidRPr="006532A6">
        <w:rPr>
          <w:rFonts w:ascii="Baskerville Old Face" w:hAnsi="Baskerville Old Face" w:cs="Times New Roman"/>
          <w:i/>
          <w:iCs/>
        </w:rPr>
        <w:t>Lawrence &amp; Allen, Inc. v. Cambridge Human Res. Grp., Inc.</w:t>
      </w:r>
      <w:r w:rsidRPr="006532A6">
        <w:rPr>
          <w:rFonts w:ascii="Baskerville Old Face" w:hAnsi="Baskerville Old Face" w:cs="Times New Roman"/>
        </w:rPr>
        <w:t xml:space="preserve">, 226 Ill. Dec. 331, 340, 685 N.E.2d 434, 443 (Ct. App. 2d Dist. 1997). </w:t>
      </w:r>
      <w:r w:rsidRPr="006532A6">
        <w:rPr>
          <w:rFonts w:ascii="Baskerville Old Face" w:hAnsi="Baskerville Old Face" w:cs="Times New Roman"/>
          <w:i/>
          <w:iCs/>
        </w:rPr>
        <w:t>Accord: Brown &amp; Brown Inc. v. Ali,</w:t>
      </w:r>
      <w:r w:rsidRPr="006532A6">
        <w:rPr>
          <w:rFonts w:ascii="Baskerville Old Face" w:hAnsi="Baskerville Old Face" w:cs="Times New Roman"/>
        </w:rPr>
        <w:t xml:space="preserve"> 592 F. Supp. 2d 1009, 1044 (N.D. Ill. 2009) (stating that there are “two ways an employer can establish a legitimate business interest sufficient to support a restrictive covenant: (1) by showing that it has a ‘near-permanent relationship’ with its customers, and that but for his employment, the employee would not have had access to those customers; or (2) by showing that the employee acquired the employer’s confidential information and attempted to use that information for his own benefit;” finding, </w:t>
      </w:r>
      <w:r w:rsidRPr="006532A6">
        <w:rPr>
          <w:rFonts w:ascii="Baskerville Old Face" w:hAnsi="Baskerville Old Face" w:cs="Times New Roman"/>
          <w:i/>
          <w:iCs/>
        </w:rPr>
        <w:t xml:space="preserve">id. </w:t>
      </w:r>
      <w:r w:rsidRPr="006532A6">
        <w:rPr>
          <w:rFonts w:ascii="Baskerville Old Face" w:hAnsi="Baskerville Old Face" w:cs="Times New Roman"/>
        </w:rPr>
        <w:t xml:space="preserve">at 1045, that former employer had failed to establish a legitimate interest in a “near permanent relationship” with its customers because the evidence showed that the relevant industry, the insurance industry, is highly competitive, and that customers in that industry often move their business to other entities or even do business with various entities simultaneously when it is to their financial benefit to </w:t>
      </w:r>
      <w:r w:rsidRPr="006532A6">
        <w:rPr>
          <w:rFonts w:ascii="Baskerville Old Face" w:hAnsi="Baskerville Old Face" w:cs="Times New Roman"/>
        </w:rPr>
        <w:lastRenderedPageBreak/>
        <w:t xml:space="preserve">do so; also finding that former employer had failed to establish a legitimate business interest in its confidential business information, including its customer information); </w:t>
      </w:r>
      <w:r w:rsidRPr="006532A6">
        <w:rPr>
          <w:rFonts w:ascii="Baskerville Old Face" w:hAnsi="Baskerville Old Face" w:cs="Times New Roman"/>
          <w:i/>
          <w:iCs/>
        </w:rPr>
        <w:t>AMFM Broad., Inc. v. Osowiec</w:t>
      </w:r>
      <w:r w:rsidRPr="006532A6">
        <w:rPr>
          <w:rFonts w:ascii="Baskerville Old Face" w:hAnsi="Baskerville Old Face" w:cs="Times New Roman"/>
        </w:rPr>
        <w:t xml:space="preserve">, 2008 U.S. Dist. LEXIS 31700, at *2 (N.D. Ill. Apr. 11, 2008); </w:t>
      </w:r>
      <w:r w:rsidRPr="006532A6">
        <w:rPr>
          <w:rFonts w:ascii="Baskerville Old Face" w:hAnsi="Baskerville Old Face" w:cs="Times New Roman"/>
          <w:i/>
          <w:iCs/>
        </w:rPr>
        <w:t>Lifetec, Inc. v. Edwards</w:t>
      </w:r>
      <w:r w:rsidRPr="006532A6">
        <w:rPr>
          <w:rFonts w:ascii="Baskerville Old Face" w:hAnsi="Baskerville Old Face" w:cs="Times New Roman"/>
        </w:rPr>
        <w:t xml:space="preserve">, 377 Ill. App. 3d 260, 269, 800 N.E.2d 188, 196 (4th Dist. 2007); </w:t>
      </w:r>
      <w:r w:rsidRPr="006532A6">
        <w:rPr>
          <w:rFonts w:ascii="Baskerville Old Face" w:hAnsi="Baskerville Old Face" w:cs="Times New Roman"/>
          <w:i/>
          <w:iCs/>
        </w:rPr>
        <w:t>Label Printers v. Pflug</w:t>
      </w:r>
      <w:r w:rsidRPr="006532A6">
        <w:rPr>
          <w:rFonts w:ascii="Baskerville Old Face" w:hAnsi="Baskerville Old Face" w:cs="Times New Roman"/>
        </w:rPr>
        <w:t xml:space="preserve">, 206 Ill. App. 3d 483, 491, 151 Ill. Dec. 720, 725, 564 N.E.2d 1382, 1387, 6 IER Cases 214 (2d Dist. 1991) (citing </w:t>
      </w:r>
      <w:r w:rsidRPr="006532A6">
        <w:rPr>
          <w:rFonts w:ascii="Baskerville Old Face" w:hAnsi="Baskerville Old Face" w:cs="Times New Roman"/>
          <w:i/>
          <w:iCs/>
        </w:rPr>
        <w:t>Shapiro v. Regent Printing Co.</w:t>
      </w:r>
      <w:r w:rsidRPr="006532A6">
        <w:rPr>
          <w:rFonts w:ascii="Baskerville Old Face" w:hAnsi="Baskerville Old Face" w:cs="Times New Roman"/>
        </w:rPr>
        <w:t xml:space="preserve">, 192 Ill. App. 3d 1005, 1010–11, 140 Ill. Dec. 142, 549 N.E.2d 793 (1st Dist. 1989); </w:t>
      </w:r>
      <w:r w:rsidRPr="006532A6">
        <w:rPr>
          <w:rFonts w:ascii="Baskerville Old Face" w:hAnsi="Baskerville Old Face" w:cs="Times New Roman"/>
          <w:i/>
          <w:iCs/>
        </w:rPr>
        <w:t>Reinhardt Printing Co. v. Feld</w:t>
      </w:r>
      <w:r w:rsidRPr="006532A6">
        <w:rPr>
          <w:rFonts w:ascii="Baskerville Old Face" w:hAnsi="Baskerville Old Face" w:cs="Times New Roman"/>
        </w:rPr>
        <w:t xml:space="preserve">, 142 Ill. App. 3d 9, 16, 96 Ill. Dec. 97, 490 N.E.2d 1302 (1st Dist. 1986)); </w:t>
      </w:r>
      <w:r w:rsidRPr="006532A6">
        <w:rPr>
          <w:rFonts w:ascii="Baskerville Old Face" w:hAnsi="Baskerville Old Face" w:cs="Times New Roman"/>
          <w:i/>
          <w:iCs/>
        </w:rPr>
        <w:t>Audio Props., Inc. v. Kovach</w:t>
      </w:r>
      <w:r w:rsidRPr="006532A6">
        <w:rPr>
          <w:rFonts w:ascii="Baskerville Old Face" w:hAnsi="Baskerville Old Face" w:cs="Times New Roman"/>
        </w:rPr>
        <w:t xml:space="preserve">, 275 Ill. App. 3d 145, 211 Ill. Dec. 651, 655 N.E.2d 1034, 1037 (1st Dist. 1995); </w:t>
      </w:r>
      <w:r w:rsidRPr="006532A6">
        <w:rPr>
          <w:rFonts w:ascii="Baskerville Old Face" w:hAnsi="Baskerville Old Face" w:cs="Times New Roman"/>
          <w:i/>
          <w:iCs/>
        </w:rPr>
        <w:t>Springfield Rare Coin Galleries, Inc. v. Mileham</w:t>
      </w:r>
      <w:r w:rsidRPr="006532A6">
        <w:rPr>
          <w:rFonts w:ascii="Baskerville Old Face" w:hAnsi="Baskerville Old Face" w:cs="Times New Roman"/>
        </w:rPr>
        <w:t xml:space="preserve">, 250 Ill. App. 3d 922, 930, 189 Ill. Dec. 511, 517, 620 N.E.2d 479, 485 (4th Dist. 1993) (citing </w:t>
      </w:r>
      <w:r w:rsidRPr="006532A6">
        <w:rPr>
          <w:rFonts w:ascii="Baskerville Old Face" w:hAnsi="Baskerville Old Face" w:cs="Times New Roman"/>
          <w:i/>
          <w:iCs/>
        </w:rPr>
        <w:t>Lee/O’Keefe Ins. Agency v. Ferega,</w:t>
      </w:r>
      <w:r w:rsidRPr="006532A6">
        <w:rPr>
          <w:rFonts w:ascii="Baskerville Old Face" w:hAnsi="Baskerville Old Face" w:cs="Times New Roman"/>
        </w:rPr>
        <w:t xml:space="preserve"> 163 Ill. App. 3d 997, 1004, 114 Ill. Dec. 919, 924, 516 N.E.2d 1313, 1318 (1987)); </w:t>
      </w:r>
      <w:r w:rsidRPr="006532A6">
        <w:rPr>
          <w:rFonts w:ascii="Baskerville Old Face" w:hAnsi="Baskerville Old Face" w:cs="Times New Roman"/>
          <w:i/>
          <w:iCs/>
        </w:rPr>
        <w:t>Tyler Enters. of Elwood v. Shafer</w:t>
      </w:r>
      <w:r w:rsidRPr="006532A6">
        <w:rPr>
          <w:rFonts w:ascii="Baskerville Old Face" w:hAnsi="Baskerville Old Face" w:cs="Times New Roman"/>
        </w:rPr>
        <w:t xml:space="preserve">, 214 Ill. App. 3d 145, 149, 158 Ill. Dec. 50, 53, 573 N.E.2d 863, 866 (3d Dist. 1991); </w:t>
      </w:r>
      <w:r w:rsidRPr="006532A6">
        <w:rPr>
          <w:rFonts w:ascii="Baskerville Old Face" w:hAnsi="Baskerville Old Face" w:cs="Times New Roman"/>
          <w:i/>
          <w:iCs/>
        </w:rPr>
        <w:t>Capsonic Grp. v. Swick</w:t>
      </w:r>
      <w:r w:rsidRPr="006532A6">
        <w:rPr>
          <w:rFonts w:ascii="Baskerville Old Face" w:hAnsi="Baskerville Old Face" w:cs="Times New Roman"/>
        </w:rPr>
        <w:t xml:space="preserve">, 181 Ill. App. 3d 988, 993, 130 Ill. Dec. 909, 913, 537 N.E.2d 1378, 1382 (2d Dist. 1989); </w:t>
      </w:r>
      <w:r w:rsidRPr="006532A6">
        <w:rPr>
          <w:rFonts w:ascii="Baskerville Old Face" w:hAnsi="Baskerville Old Face" w:cs="Times New Roman"/>
          <w:i/>
          <w:iCs/>
        </w:rPr>
        <w:t>PCx Corp. v. Ross</w:t>
      </w:r>
      <w:r w:rsidRPr="006532A6">
        <w:rPr>
          <w:rFonts w:ascii="Baskerville Old Face" w:hAnsi="Baskerville Old Face" w:cs="Times New Roman"/>
        </w:rPr>
        <w:t xml:space="preserve">, 168 Ill. App. 3d 1047, 1057, 119 Ill. Dec. 474, 480, 522 N.E.2d 1333, 1339 (1st Dist. 1988). </w:t>
      </w:r>
      <w:r w:rsidRPr="006532A6">
        <w:rPr>
          <w:rFonts w:ascii="Baskerville Old Face" w:hAnsi="Baskerville Old Face" w:cs="Times New Roman"/>
          <w:i/>
          <w:iCs/>
        </w:rPr>
        <w:t>See also Booth v. Greber</w:t>
      </w:r>
      <w:r w:rsidRPr="006532A6">
        <w:rPr>
          <w:rFonts w:ascii="Baskerville Old Face" w:hAnsi="Baskerville Old Face" w:cs="Times New Roman"/>
        </w:rPr>
        <w:t>, 48 Ill. App. 3d 213, 218, 363 N.E.2d 6 (1977). These two situations have “long [been] recognized” as ones in which protectable interests are developed.</w:t>
      </w:r>
      <w:r w:rsidRPr="006532A6">
        <w:rPr>
          <w:rFonts w:ascii="Baskerville Old Face" w:hAnsi="Baskerville Old Face" w:cs="Times New Roman"/>
          <w:i/>
          <w:iCs/>
        </w:rPr>
        <w:t xml:space="preserve"> Outsource Int’l, Inc. v. Barton</w:t>
      </w:r>
      <w:r w:rsidRPr="006532A6">
        <w:rPr>
          <w:rFonts w:ascii="Baskerville Old Face" w:hAnsi="Baskerville Old Face" w:cs="Times New Roman"/>
        </w:rPr>
        <w:t xml:space="preserve">, 192 F.3d 662, 666, 15 IER Cases 977, 52 USPQ 2d 1085 (7th Cir. 1999) (maj. op.; citing earlier cases; finding, </w:t>
      </w:r>
      <w:r w:rsidRPr="006532A6">
        <w:rPr>
          <w:rFonts w:ascii="Baskerville Old Face" w:hAnsi="Baskerville Old Face" w:cs="Times New Roman"/>
          <w:i/>
          <w:iCs/>
        </w:rPr>
        <w:t>id.</w:t>
      </w:r>
      <w:r w:rsidRPr="006532A6">
        <w:rPr>
          <w:rFonts w:ascii="Baskerville Old Face" w:hAnsi="Baskerville Old Face" w:cs="Times New Roman"/>
        </w:rPr>
        <w:t xml:space="preserve"> at 667–68, that near-permanent relationship existed between employer and its customers).</w:t>
      </w:r>
    </w:p>
    <w:p w14:paraId="7B4C21AA"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Under the “but for the employee’s association with the employer” test, an employer has no covenant-protectable interest in customers an employee knew personally before the inception of employment. </w:t>
      </w:r>
      <w:r w:rsidRPr="006A121F">
        <w:rPr>
          <w:rFonts w:ascii="Baskerville Old Face" w:hAnsi="Baskerville Old Face"/>
          <w:i/>
        </w:rPr>
        <w:t>Com-Co Ins. Agency, Inc. v. Service Ins. Agency, Inc.</w:t>
      </w:r>
      <w:r w:rsidRPr="006A121F">
        <w:rPr>
          <w:rFonts w:ascii="Baskerville Old Face" w:hAnsi="Baskerville Old Face"/>
        </w:rPr>
        <w:t>, 321 Ill. App. 3d 816, 822, 748 N.E.2d 298, 303 (1st Dist. 2001).</w:t>
      </w:r>
    </w:p>
    <w:p w14:paraId="32B461C2" w14:textId="77777777" w:rsidR="00020BD9" w:rsidRPr="006A121F" w:rsidRDefault="00020BD9" w:rsidP="006A121F">
      <w:pPr>
        <w:pStyle w:val="text"/>
        <w:spacing w:before="240"/>
        <w:rPr>
          <w:rFonts w:ascii="Baskerville Old Face" w:hAnsi="Baskerville Old Face"/>
        </w:rPr>
      </w:pPr>
      <w:r w:rsidRPr="006A121F">
        <w:rPr>
          <w:rFonts w:ascii="Baskerville Old Face" w:hAnsi="Baskerville Old Face"/>
          <w:b/>
        </w:rPr>
        <w:t>[</w:t>
      </w:r>
      <w:r w:rsidRPr="006A121F">
        <w:rPr>
          <w:rFonts w:ascii="Baskerville Old Face" w:hAnsi="Baskerville Old Face"/>
          <w:i/>
        </w:rPr>
        <w:t>Editor’s note:</w:t>
      </w:r>
      <w:r w:rsidRPr="006A121F">
        <w:rPr>
          <w:rFonts w:ascii="Baskerville Old Face" w:hAnsi="Baskerville Old Face"/>
        </w:rPr>
        <w:t xml:space="preserve"> In </w:t>
      </w:r>
      <w:r w:rsidRPr="006A121F">
        <w:rPr>
          <w:rFonts w:ascii="Baskerville Old Face" w:hAnsi="Baskerville Old Face"/>
          <w:i/>
        </w:rPr>
        <w:t>AMFM Broadcasting</w:t>
      </w:r>
      <w:r w:rsidRPr="006A121F">
        <w:rPr>
          <w:rFonts w:ascii="Baskerville Old Face" w:hAnsi="Baskerville Old Face"/>
        </w:rPr>
        <w:t xml:space="preserve">, the court took pains to note that “[i]n a special concurring opinion in </w:t>
      </w:r>
      <w:r w:rsidRPr="006A121F">
        <w:rPr>
          <w:rFonts w:ascii="Baskerville Old Face" w:hAnsi="Baskerville Old Face"/>
          <w:i/>
        </w:rPr>
        <w:t>Lifetec Inc. v. Edwards,</w:t>
      </w:r>
      <w:r w:rsidRPr="006A121F">
        <w:rPr>
          <w:rFonts w:ascii="Baskerville Old Face" w:hAnsi="Baskerville Old Face"/>
        </w:rPr>
        <w:t xml:space="preserve"> 377 Ill. App. 3d 260, 880 N.E.2d 188, 316 Ill. Dec. 710 (Ill. App. Ct. 2007), Judge Steigmann discusses the enforceability of re</w:t>
      </w:r>
      <w:r w:rsidRPr="006A121F">
        <w:rPr>
          <w:rFonts w:ascii="Baskerville Old Face" w:hAnsi="Baskerville Old Face"/>
        </w:rPr>
        <w:lastRenderedPageBreak/>
        <w:t xml:space="preserve">strictive covenants. After accurately stating the law in Illinois, he argues that the ‘legitimate business interest’ test is inconsistent with recent Illinois Supreme Court decisions. 880 N.E.2d at 201 (Steigmann, P.J., concurring). Judge Steigmann opines that ‘courts at any level, when presented with the issue of whether a restrictive covenant should be enforced, should evaluate only the time and territory restrictions contained therein. If the court determines that they are not unreasonable, then the restrictive covenant should be enforced.’ </w:t>
      </w:r>
      <w:r w:rsidRPr="006A121F">
        <w:rPr>
          <w:rFonts w:ascii="Baskerville Old Face" w:hAnsi="Baskerville Old Face"/>
          <w:i/>
        </w:rPr>
        <w:t>Id.</w:t>
      </w:r>
      <w:r w:rsidRPr="006A121F">
        <w:rPr>
          <w:rFonts w:ascii="Baskerville Old Face" w:hAnsi="Baskerville Old Face"/>
        </w:rPr>
        <w:t xml:space="preserve"> at 204 (Steigmann, P.J., concurring). Of course, as Chief Judge Easterbrook has written: ‘Under </w:t>
      </w:r>
      <w:r w:rsidRPr="006A121F">
        <w:rPr>
          <w:rFonts w:ascii="Baskerville Old Face" w:hAnsi="Baskerville Old Face"/>
          <w:i/>
        </w:rPr>
        <w:t>Erie R.R. v. Tompkins,</w:t>
      </w:r>
      <w:r w:rsidRPr="006A121F">
        <w:rPr>
          <w:rFonts w:ascii="Baskerville Old Face" w:hAnsi="Baskerville Old Face"/>
        </w:rPr>
        <w:t xml:space="preserve"> 304 U.S. 64, 58 S. Ct. 817, 82 L. Ed. 1188 (1938), the federal court’s task is not to make an independent decision but to predict how the Supreme Court of [Illinois] would understand and apply its own law.’ </w:t>
      </w:r>
      <w:r w:rsidRPr="006A121F">
        <w:rPr>
          <w:rFonts w:ascii="Baskerville Old Face" w:hAnsi="Baskerville Old Face"/>
          <w:i/>
        </w:rPr>
        <w:t>Intec USA, LLC v. Engle,</w:t>
      </w:r>
      <w:r w:rsidRPr="006A121F">
        <w:rPr>
          <w:rFonts w:ascii="Baskerville Old Face" w:hAnsi="Baskerville Old Face"/>
        </w:rPr>
        <w:t xml:space="preserve"> 467 F.3d 1038, 1040 (7th Cir. 2006). Judge Steigmann’s well-reasoned approach notwithstanding, I hesitate to predict that the Supreme Court of Illinois would abandon the test used by every district of the appellate court in Illinois for decades. Moreover, I find that Plaintiff has established its burden under the existing test, the approach for which Judge Steigmann advocates would only favor Plaintiff further.” </w:t>
      </w:r>
      <w:r w:rsidRPr="006A121F">
        <w:rPr>
          <w:rFonts w:ascii="Baskerville Old Face" w:hAnsi="Baskerville Old Face"/>
          <w:i/>
        </w:rPr>
        <w:t>Id.</w:t>
      </w:r>
      <w:r w:rsidRPr="006A121F">
        <w:rPr>
          <w:rFonts w:ascii="Baskerville Old Face" w:hAnsi="Baskerville Old Face"/>
        </w:rPr>
        <w:t xml:space="preserve"> at *3–4.</w:t>
      </w:r>
    </w:p>
    <w:p w14:paraId="4D1711A3" w14:textId="77777777" w:rsidR="00020BD9" w:rsidRPr="006A121F" w:rsidRDefault="00020BD9" w:rsidP="00020BD9">
      <w:pPr>
        <w:pStyle w:val="text"/>
        <w:rPr>
          <w:rFonts w:ascii="Baskerville Old Face" w:hAnsi="Baskerville Old Face"/>
          <w:b/>
        </w:rPr>
      </w:pPr>
      <w:r w:rsidRPr="006A121F">
        <w:rPr>
          <w:rFonts w:ascii="Baskerville Old Face" w:hAnsi="Baskerville Old Face"/>
        </w:rPr>
        <w:t xml:space="preserve">Moreover, Justice Schmidt, in his dissenting opinion in </w:t>
      </w:r>
      <w:r w:rsidRPr="006A121F">
        <w:rPr>
          <w:rFonts w:ascii="Baskerville Old Face" w:hAnsi="Baskerville Old Face"/>
          <w:i/>
        </w:rPr>
        <w:t>Brown &amp; Brown, Inc. v. Mudron</w:t>
      </w:r>
      <w:r w:rsidRPr="006A121F">
        <w:rPr>
          <w:rFonts w:ascii="Baskerville Old Face" w:hAnsi="Baskerville Old Face"/>
        </w:rPr>
        <w:t xml:space="preserve">, 379 Ill. App. 3d 724, 887 N.E.2d 437 (2008), contended that a former employer no longer need satisfy the legitimate-business-interest test under Illinois law, noting that “Justice Steigmann has recently pointed out that courts have created and hijacked the legitimate-business-interest test. </w:t>
      </w:r>
      <w:r w:rsidRPr="006A121F">
        <w:rPr>
          <w:rFonts w:ascii="Baskerville Old Face" w:hAnsi="Baskerville Old Face"/>
          <w:i/>
        </w:rPr>
        <w:t>Lifetec, Inc. v. Edwards,</w:t>
      </w:r>
      <w:r w:rsidRPr="006A121F">
        <w:rPr>
          <w:rFonts w:ascii="Baskerville Old Face" w:hAnsi="Baskerville Old Face"/>
        </w:rPr>
        <w:t xml:space="preserve"> 377 Ill. App. 3d 260, 275, 880 N.E.2d 188, 316 Ill. Dec. 710 (2007) (Steigmann, J., specially concurring). I agree with Justice Steigmann’s analysis that the legitimate-business-interest test ‘is no longer valid, if it ever was.’</w:t>
      </w:r>
      <w:r w:rsidRPr="00020BD9">
        <w:t> </w:t>
      </w:r>
      <w:r w:rsidRPr="006A121F">
        <w:rPr>
          <w:rFonts w:ascii="Baskerville Old Face" w:hAnsi="Baskerville Old Face"/>
        </w:rPr>
        <w:t xml:space="preserve">” </w:t>
      </w:r>
      <w:r w:rsidRPr="006A121F">
        <w:rPr>
          <w:rFonts w:ascii="Baskerville Old Face" w:hAnsi="Baskerville Old Face"/>
          <w:i/>
        </w:rPr>
        <w:t>Brown &amp; Brown</w:t>
      </w:r>
      <w:r w:rsidRPr="006A121F">
        <w:rPr>
          <w:rFonts w:ascii="Baskerville Old Face" w:hAnsi="Baskerville Old Face"/>
        </w:rPr>
        <w:t xml:space="preserve">, 379 Ill. App. 3d at 731, 887 N.E.2d at 442–43 (Schmidt, J., </w:t>
      </w:r>
      <w:r w:rsidR="001A419C" w:rsidRPr="006A121F">
        <w:rPr>
          <w:rFonts w:ascii="Baskerville Old Face" w:hAnsi="Baskerville Old Face"/>
        </w:rPr>
        <w:t>dissenting)</w:t>
      </w:r>
      <w:r w:rsidRPr="006A121F">
        <w:rPr>
          <w:rFonts w:ascii="Baskerville Old Face" w:hAnsi="Baskerville Old Face"/>
        </w:rPr>
        <w:t xml:space="preserve"> (quoting </w:t>
      </w:r>
      <w:r w:rsidRPr="006A121F">
        <w:rPr>
          <w:rFonts w:ascii="Baskerville Old Face" w:hAnsi="Baskerville Old Face"/>
          <w:i/>
        </w:rPr>
        <w:t>Lifetec,</w:t>
      </w:r>
      <w:r w:rsidRPr="006A121F">
        <w:rPr>
          <w:rFonts w:ascii="Baskerville Old Face" w:hAnsi="Baskerville Old Face"/>
        </w:rPr>
        <w:t xml:space="preserve"> 377 Ill. App. 3d at 275 (Steigmann, J., specially concurring)).</w:t>
      </w:r>
      <w:r w:rsidRPr="006A121F">
        <w:rPr>
          <w:rFonts w:ascii="Baskerville Old Face" w:hAnsi="Baskerville Old Face"/>
          <w:b/>
        </w:rPr>
        <w:t>]</w:t>
      </w:r>
    </w:p>
    <w:p w14:paraId="090C82F8" w14:textId="77777777" w:rsidR="00020BD9" w:rsidRPr="006532A6" w:rsidRDefault="00020BD9" w:rsidP="00020BD9">
      <w:pPr>
        <w:pStyle w:val="HeadingCenter11Underscore"/>
        <w:rPr>
          <w:rFonts w:ascii="Baskerville Old Face" w:hAnsi="Baskerville Old Face" w:cs="Times New Roman"/>
        </w:rPr>
      </w:pPr>
      <w:r w:rsidRPr="006532A6">
        <w:rPr>
          <w:rFonts w:ascii="Baskerville Old Face" w:hAnsi="Baskerville Old Face" w:cs="Times New Roman"/>
        </w:rPr>
        <w:t>Customer Relationships</w:t>
      </w:r>
    </w:p>
    <w:p w14:paraId="40091506"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Under Illinois law, an “employer has a valid interest in protecting its long-standing client relationships against the subterfuge and sabotage of former employees.”</w:t>
      </w:r>
      <w:r w:rsidRPr="006A121F">
        <w:rPr>
          <w:rFonts w:ascii="Baskerville Old Face" w:hAnsi="Baskerville Old Face"/>
          <w:i/>
        </w:rPr>
        <w:t xml:space="preserve"> A-Tech Computer Servs., Inc. v. Soo Hoo</w:t>
      </w:r>
      <w:r w:rsidRPr="006A121F">
        <w:rPr>
          <w:rFonts w:ascii="Baskerville Old Face" w:hAnsi="Baskerville Old Face"/>
        </w:rPr>
        <w:t xml:space="preserve">, 254 Ill. App. 3d 392, 193 Ill. Dec. 862 (1993) (cited in </w:t>
      </w:r>
      <w:r w:rsidRPr="006A121F">
        <w:rPr>
          <w:rFonts w:ascii="Baskerville Old Face" w:hAnsi="Baskerville Old Face"/>
          <w:i/>
        </w:rPr>
        <w:lastRenderedPageBreak/>
        <w:t>Videojet Techs., Inc. v. Garcia</w:t>
      </w:r>
      <w:r w:rsidRPr="006A121F">
        <w:rPr>
          <w:rFonts w:ascii="Baskerville Old Face" w:hAnsi="Baskerville Old Face"/>
        </w:rPr>
        <w:t xml:space="preserve">, 2008 U.S. Dist. LEXIS 46045, at *21–22 n.8 (M.D. Fla. June 12, 2008) (applying Illinois substantive law)). </w:t>
      </w:r>
      <w:r w:rsidRPr="006A121F">
        <w:rPr>
          <w:rFonts w:ascii="Baskerville Old Face" w:hAnsi="Baskerville Old Face"/>
          <w:i/>
        </w:rPr>
        <w:t>See also</w:t>
      </w:r>
      <w:r w:rsidRPr="006A121F">
        <w:rPr>
          <w:rFonts w:ascii="Baskerville Old Face" w:hAnsi="Baskerville Old Face"/>
        </w:rPr>
        <w:t xml:space="preserve"> </w:t>
      </w:r>
      <w:r w:rsidRPr="006A121F">
        <w:rPr>
          <w:rFonts w:ascii="Baskerville Old Face" w:hAnsi="Baskerville Old Face"/>
          <w:i/>
        </w:rPr>
        <w:t>Aspen Mktg. Servs., Inc. v. Russell</w:t>
      </w:r>
      <w:r w:rsidRPr="006A121F">
        <w:rPr>
          <w:rFonts w:ascii="Baskerville Old Face" w:hAnsi="Baskerville Old Face"/>
        </w:rPr>
        <w:t>, 2009 U.S. Dist. LEXIS 112982, at *12 (N.D. Ill. Dec. 3, 2009) (finding that “‘near exclusive’ knowledge of [employer’s] business, clients and marketing projects,” awareness of all of employer’s confidential information, and use of this knowledge in a new venture constituted a legitimate business interest justifying enforcement of a noncompete covenant).</w:t>
      </w:r>
    </w:p>
    <w:p w14:paraId="3778521C" w14:textId="77777777" w:rsidR="00020BD9" w:rsidRPr="006532A6" w:rsidRDefault="00020BD9" w:rsidP="00020BD9">
      <w:pPr>
        <w:pStyle w:val="block-p"/>
        <w:rPr>
          <w:rFonts w:ascii="Baskerville Old Face" w:hAnsi="Baskerville Old Face"/>
        </w:rPr>
      </w:pPr>
      <w:r w:rsidRPr="006532A6">
        <w:rPr>
          <w:rFonts w:ascii="Baskerville Old Face" w:hAnsi="Baskerville Old Face"/>
        </w:rPr>
        <w:t xml:space="preserve">Illinois courts have developed two tests for determining whether an employer has a near-permanent relationship with its customers or clients. Some courts analyze the near-permanent relationship according to the seven objective factors as set forth in </w:t>
      </w:r>
      <w:r w:rsidRPr="006532A6">
        <w:rPr>
          <w:rFonts w:ascii="Baskerville Old Face" w:hAnsi="Baskerville Old Face"/>
          <w:i/>
          <w:iCs/>
        </w:rPr>
        <w:t>Agrimerica, Inc. v. Mathes</w:t>
      </w:r>
      <w:r w:rsidRPr="006532A6">
        <w:rPr>
          <w:rFonts w:ascii="Baskerville Old Face" w:hAnsi="Baskerville Old Face"/>
        </w:rPr>
        <w:t xml:space="preserve">, 199 Ill. App. 3d 435, 145 Ill. Dec. 587, 557 N.E.2d 357 (1990), while others follow the “nature of the business” test as espoused in </w:t>
      </w:r>
      <w:r w:rsidRPr="006532A6">
        <w:rPr>
          <w:rFonts w:ascii="Baskerville Old Face" w:hAnsi="Baskerville Old Face"/>
          <w:i/>
          <w:iCs/>
        </w:rPr>
        <w:t>Office Mates 5, North Shore, Inc. v. Hazen</w:t>
      </w:r>
      <w:r w:rsidRPr="006532A6">
        <w:rPr>
          <w:rFonts w:ascii="Baskerville Old Face" w:hAnsi="Baskerville Old Face"/>
        </w:rPr>
        <w:t>, 234 Ill. App. 3d 557, 568, 175 Ill. Dec. 58, 599 N.E.2d 1072 (1992).</w:t>
      </w:r>
    </w:p>
    <w:p w14:paraId="1DF2C83A" w14:textId="77777777" w:rsidR="00020BD9" w:rsidRPr="006532A6" w:rsidRDefault="00020BD9" w:rsidP="00020BD9">
      <w:pPr>
        <w:pStyle w:val="textflush"/>
        <w:rPr>
          <w:rFonts w:ascii="Baskerville Old Face" w:hAnsi="Baskerville Old Face" w:cs="Times New Roman"/>
        </w:rPr>
      </w:pPr>
      <w:r w:rsidRPr="006532A6">
        <w:rPr>
          <w:rFonts w:ascii="Baskerville Old Face" w:hAnsi="Baskerville Old Face" w:cs="Times New Roman"/>
          <w:i/>
          <w:iCs/>
        </w:rPr>
        <w:t>Lawrence &amp; Allen</w:t>
      </w:r>
      <w:r w:rsidRPr="006532A6">
        <w:rPr>
          <w:rFonts w:ascii="Baskerville Old Face" w:hAnsi="Baskerville Old Face" w:cs="Times New Roman"/>
        </w:rPr>
        <w:t>, 226 Ill. Dec. at 340, 685 N.E.2d at 443.</w:t>
      </w:r>
    </w:p>
    <w:p w14:paraId="05F81A90"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The employer “is not required to show that the customer relationship is perpetual or indissoluble, or that a near permanent relationship existed with each customer. Nor does the employer have to have an exclusive relationship with its clients to satisfy the near permanent test.” </w:t>
      </w:r>
      <w:r w:rsidRPr="006A121F">
        <w:rPr>
          <w:rFonts w:ascii="Baskerville Old Face" w:hAnsi="Baskerville Old Face"/>
          <w:i/>
        </w:rPr>
        <w:t>Audio Props.</w:t>
      </w:r>
      <w:r w:rsidRPr="006A121F">
        <w:rPr>
          <w:rFonts w:ascii="Baskerville Old Face" w:hAnsi="Baskerville Old Face"/>
        </w:rPr>
        <w:t xml:space="preserve">, </w:t>
      </w:r>
      <w:r w:rsidRPr="006A121F">
        <w:rPr>
          <w:rFonts w:ascii="Baskerville Old Face" w:hAnsi="Baskerville Old Face"/>
          <w:i/>
        </w:rPr>
        <w:t>Inc. v. Kovach</w:t>
      </w:r>
      <w:r w:rsidRPr="006A121F">
        <w:rPr>
          <w:rFonts w:ascii="Baskerville Old Face" w:hAnsi="Baskerville Old Face"/>
        </w:rPr>
        <w:t>, 275 Ill. App. 3d 145, 149, 655 N.E.2d 1034, 1037 (1st Dist. 1995) (citations omitted).</w:t>
      </w:r>
    </w:p>
    <w:p w14:paraId="1A1FB05A" w14:textId="0F59D658" w:rsidR="00020BD9" w:rsidRPr="006532A6" w:rsidRDefault="00020BD9" w:rsidP="00020BD9">
      <w:pPr>
        <w:pStyle w:val="block-p"/>
        <w:rPr>
          <w:rFonts w:ascii="Baskerville Old Face" w:hAnsi="Baskerville Old Face"/>
        </w:rPr>
      </w:pPr>
      <w:r w:rsidRPr="006532A6">
        <w:rPr>
          <w:rFonts w:ascii="Baskerville Old Face" w:hAnsi="Baskerville Old Face"/>
        </w:rPr>
        <w:t>Factors to be considered in determining whether a near-permanent relationship exists between an employer and its customers</w:t>
      </w:r>
      <w:r w:rsidRPr="00020BD9">
        <w:t> </w:t>
      </w:r>
      <w:r w:rsidR="00944F63">
        <w:rPr>
          <w:rFonts w:ascii="Baskerville Old Face" w:hAnsi="Baskerville Old Face"/>
        </w:rPr>
        <w:t>…</w:t>
      </w:r>
      <w:r w:rsidRPr="00020BD9">
        <w:t> </w:t>
      </w:r>
      <w:r w:rsidRPr="006532A6">
        <w:rPr>
          <w:rFonts w:ascii="Baskerville Old Face" w:hAnsi="Baskerville Old Face"/>
        </w:rPr>
        <w:t>include the time, cost, and difficulty involved in developing and maintaining the clientele, the parties</w:t>
      </w:r>
      <w:r w:rsidRPr="006532A6">
        <w:rPr>
          <w:rFonts w:ascii="Baskerville Old Face" w:hAnsi="Baskerville Old Face" w:cs="Baskerville Old Face"/>
        </w:rPr>
        <w:t>’</w:t>
      </w:r>
      <w:r w:rsidRPr="006532A6">
        <w:rPr>
          <w:rFonts w:ascii="Baskerville Old Face" w:hAnsi="Baskerville Old Face"/>
        </w:rPr>
        <w:t xml:space="preserve"> intention to remain affiliated for an indefinite period, and the continuity as well as the duration of the relationship.</w:t>
      </w:r>
    </w:p>
    <w:p w14:paraId="4CBD1C59" w14:textId="77777777" w:rsidR="00020BD9" w:rsidRPr="006532A6" w:rsidRDefault="00020BD9" w:rsidP="00020BD9">
      <w:pPr>
        <w:pStyle w:val="textflush"/>
        <w:rPr>
          <w:rFonts w:ascii="Baskerville Old Face" w:hAnsi="Baskerville Old Face" w:cs="Times New Roman"/>
        </w:rPr>
      </w:pPr>
      <w:r w:rsidRPr="006532A6">
        <w:rPr>
          <w:rFonts w:ascii="Baskerville Old Face" w:hAnsi="Baskerville Old Face" w:cs="Times New Roman"/>
          <w:i/>
          <w:iCs/>
        </w:rPr>
        <w:t xml:space="preserve">Label Printers, </w:t>
      </w:r>
      <w:r w:rsidRPr="006532A6">
        <w:rPr>
          <w:rFonts w:ascii="Baskerville Old Face" w:hAnsi="Baskerville Old Face" w:cs="Times New Roman"/>
        </w:rPr>
        <w:t xml:space="preserve">564 N.E.2d at 1387 (citing </w:t>
      </w:r>
      <w:r w:rsidRPr="006532A6">
        <w:rPr>
          <w:rFonts w:ascii="Baskerville Old Face" w:hAnsi="Baskerville Old Face" w:cs="Times New Roman"/>
          <w:i/>
          <w:iCs/>
        </w:rPr>
        <w:t>Reinhardt Printing</w:t>
      </w:r>
      <w:r w:rsidRPr="006532A6">
        <w:rPr>
          <w:rFonts w:ascii="Baskerville Old Face" w:hAnsi="Baskerville Old Face" w:cs="Times New Roman"/>
        </w:rPr>
        <w:t xml:space="preserve">, 142 Ill. App. 3d at 16). </w:t>
      </w:r>
      <w:r w:rsidRPr="006532A6">
        <w:rPr>
          <w:rFonts w:ascii="Baskerville Old Face" w:hAnsi="Baskerville Old Face" w:cs="Times New Roman"/>
          <w:i/>
          <w:iCs/>
        </w:rPr>
        <w:t>See also Hanchett Paper Co. v. Melchiorre</w:t>
      </w:r>
      <w:r w:rsidRPr="006532A6">
        <w:rPr>
          <w:rFonts w:ascii="Baskerville Old Face" w:hAnsi="Baskerville Old Face" w:cs="Times New Roman"/>
        </w:rPr>
        <w:t xml:space="preserve">, 341 Ill. App. 3d 345, 347 (2d Dist. 2003) (Illinois distributor of packaging products such as corrugated boxes, shrink wrap, tape, adhesive, protective packaging materials, and related items had a legitimate protectable business interest in its customers; company had spent millions of dollars each year developing and maintaining its customers through a “team effort”); </w:t>
      </w:r>
      <w:r w:rsidRPr="006532A6">
        <w:rPr>
          <w:rFonts w:ascii="Baskerville Old Face" w:hAnsi="Baskerville Old Face" w:cs="Times New Roman"/>
          <w:i/>
          <w:iCs/>
        </w:rPr>
        <w:t>Rapp Ins. Agency v. Baldree,</w:t>
      </w:r>
      <w:r w:rsidRPr="006532A6">
        <w:rPr>
          <w:rFonts w:ascii="Baskerville Old Face" w:hAnsi="Baskerville Old Face" w:cs="Times New Roman"/>
        </w:rPr>
        <w:t xml:space="preserve"> 231 Ill. </w:t>
      </w:r>
      <w:r w:rsidRPr="006532A6">
        <w:rPr>
          <w:rFonts w:ascii="Baskerville Old Face" w:hAnsi="Baskerville Old Face" w:cs="Times New Roman"/>
        </w:rPr>
        <w:lastRenderedPageBreak/>
        <w:t xml:space="preserve">App. 3d 1038, 1042, 173 Ill. Dec. 962, 965, 597 N.E.2d 936, 939 (5th Dist. 1992); </w:t>
      </w:r>
      <w:r w:rsidRPr="006532A6">
        <w:rPr>
          <w:rFonts w:ascii="Baskerville Old Face" w:hAnsi="Baskerville Old Face" w:cs="Times New Roman"/>
          <w:i/>
          <w:iCs/>
        </w:rPr>
        <w:t>Arpac Corp. v. Murray,</w:t>
      </w:r>
      <w:r w:rsidRPr="006532A6">
        <w:rPr>
          <w:rFonts w:ascii="Baskerville Old Face" w:hAnsi="Baskerville Old Face" w:cs="Times New Roman"/>
        </w:rPr>
        <w:t xml:space="preserve"> 226 Ill. App. 3d 65, 73, 168 Ill. Dec. 240, 248, 589 N.E.2d 640, 647 (1st Dist. 1992) (disagreed with by </w:t>
      </w:r>
      <w:r w:rsidRPr="006532A6">
        <w:rPr>
          <w:rFonts w:ascii="Baskerville Old Face" w:hAnsi="Baskerville Old Face" w:cs="Times New Roman"/>
          <w:i/>
          <w:iCs/>
        </w:rPr>
        <w:t>Unisource Worldwide, Inc. v. Carrar</w:t>
      </w:r>
      <w:r w:rsidRPr="006532A6">
        <w:rPr>
          <w:rFonts w:ascii="Baskerville Old Face" w:hAnsi="Baskerville Old Face" w:cs="Times New Roman"/>
        </w:rPr>
        <w:t>a, 244 F. Supp. 2d 977, 983 (C.D. Ill. 2003), and distinguished by</w:t>
      </w:r>
      <w:r w:rsidRPr="006532A6">
        <w:rPr>
          <w:rFonts w:ascii="Baskerville Old Face" w:hAnsi="Baskerville Old Face" w:cs="Times New Roman"/>
          <w:i/>
          <w:iCs/>
        </w:rPr>
        <w:t xml:space="preserve"> Cambridge Eng’g, Inc. v. Mercury Partners 90 BI, Inc</w:t>
      </w:r>
      <w:r w:rsidRPr="006532A6">
        <w:rPr>
          <w:rFonts w:ascii="Baskerville Old Face" w:hAnsi="Baskerville Old Face" w:cs="Times New Roman"/>
        </w:rPr>
        <w:t>., 378 Ill. App. 3d 437, 447, 316 Ill. Dec. 445, 455, 879 N.E.2d 512, 522 (1st Dist. 2007)).</w:t>
      </w:r>
    </w:p>
    <w:p w14:paraId="0DF57041"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“[T]he number of years it takes the employer to develop the clientele indicates the parties’ [i.e., the employer’s and the customers’] intention to remain affiliated for an indefinite period.” </w:t>
      </w:r>
      <w:r w:rsidRPr="006A121F">
        <w:rPr>
          <w:rFonts w:ascii="Baskerville Old Face" w:hAnsi="Baskerville Old Face"/>
          <w:i/>
        </w:rPr>
        <w:t xml:space="preserve">Arpac Corp., </w:t>
      </w:r>
      <w:r w:rsidRPr="006A121F">
        <w:rPr>
          <w:rFonts w:ascii="Baskerville Old Face" w:hAnsi="Baskerville Old Face"/>
        </w:rPr>
        <w:t xml:space="preserve">589 N.E.2d at 647 (fact that several of employer’s customers have been associated with employer in excess of 10 years, with average association being 5 years, treated as objective factor supporting determination that near permanent relationships with customers existed; citing </w:t>
      </w:r>
      <w:r w:rsidRPr="006A121F">
        <w:rPr>
          <w:rFonts w:ascii="Baskerville Old Face" w:hAnsi="Baskerville Old Face"/>
          <w:i/>
        </w:rPr>
        <w:t>McRand, Inc. v. van Beelen,</w:t>
      </w:r>
      <w:r w:rsidRPr="006A121F">
        <w:rPr>
          <w:rFonts w:ascii="Baskerville Old Face" w:hAnsi="Baskerville Old Face"/>
        </w:rPr>
        <w:t xml:space="preserve"> 138 Ill. App. 3d 1045, 1051, 93 Ill. Dec. 471, 486 N.E.2d 1306 (1985)).</w:t>
      </w:r>
    </w:p>
    <w:p w14:paraId="1BE03300"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Other factors include the amount of personal customer contact by the employee and the extent of the employer’s knowledge of its clientele. </w:t>
      </w:r>
      <w:r w:rsidRPr="006A121F">
        <w:rPr>
          <w:rFonts w:ascii="Baskerville Old Face" w:hAnsi="Baskerville Old Face"/>
          <w:i/>
        </w:rPr>
        <w:t xml:space="preserve">LSBZ Inc. v. Brokis, </w:t>
      </w:r>
      <w:r w:rsidRPr="006A121F">
        <w:rPr>
          <w:rFonts w:ascii="Baskerville Old Face" w:hAnsi="Baskerville Old Face"/>
        </w:rPr>
        <w:t xml:space="preserve">237 Ill. App. 3d 415, 177 Ill. Dec. 866 603 N.E.2d 1240, 1247–48 (2d Dist. 1992); </w:t>
      </w:r>
      <w:r w:rsidRPr="006A121F">
        <w:rPr>
          <w:rFonts w:ascii="Baskerville Old Face" w:hAnsi="Baskerville Old Face"/>
          <w:i/>
        </w:rPr>
        <w:t>Millard Maint. Serv. Co. v. Bernero</w:t>
      </w:r>
      <w:r w:rsidRPr="006A121F">
        <w:rPr>
          <w:rFonts w:ascii="Baskerville Old Face" w:hAnsi="Baskerville Old Face"/>
        </w:rPr>
        <w:t xml:space="preserve">, 207 Ill. App. 3d 736, 748, 152 Ill. Dec. 692, 699, 566 N.E.2d 379, 386 (1st Dist. 1990); </w:t>
      </w:r>
      <w:r w:rsidRPr="006A121F">
        <w:rPr>
          <w:rFonts w:ascii="Baskerville Old Face" w:hAnsi="Baskerville Old Face"/>
          <w:i/>
        </w:rPr>
        <w:t>A.B. Dick Co. v. American Pro-Tech</w:t>
      </w:r>
      <w:r w:rsidRPr="006A121F">
        <w:rPr>
          <w:rFonts w:ascii="Baskerville Old Face" w:hAnsi="Baskerville Old Face"/>
        </w:rPr>
        <w:t>, 159 Ill. App. 3d 786, 793, 112 Ill. Dec. 649, 653, 514 N.E.2d 45, 49 (1st Dist. 1987).</w:t>
      </w:r>
    </w:p>
    <w:p w14:paraId="0311421F"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Thus, as the First District has synthesized the law, the following seven factors are relevant to determining whether the near-permanency test has been met:</w:t>
      </w:r>
    </w:p>
    <w:p w14:paraId="48225ECD" w14:textId="77777777" w:rsidR="00020BD9" w:rsidRPr="006532A6" w:rsidRDefault="00020BD9" w:rsidP="00020BD9">
      <w:pPr>
        <w:pStyle w:val="block-f"/>
        <w:rPr>
          <w:rFonts w:ascii="Baskerville Old Face" w:hAnsi="Baskerville Old Face" w:cs="Times New Roman"/>
        </w:rPr>
      </w:pPr>
      <w:r w:rsidRPr="006532A6">
        <w:rPr>
          <w:rFonts w:ascii="Baskerville Old Face" w:hAnsi="Baskerville Old Face" w:cs="Times New Roman"/>
        </w:rPr>
        <w:t>(1) the number of years required to develop the clientele; (2) the amount of money invested to acquire clients; (3) the degree of difficulty acquiring clients; (4) the extent of personal customer contact by the employee; (5) the extent of the employer’s knowledge of its clients; (6) the duration of the customers’ association with the employer; and (7) the continuity of the employer-customer relationships.</w:t>
      </w:r>
    </w:p>
    <w:p w14:paraId="699BB983" w14:textId="77777777" w:rsidR="00020BD9" w:rsidRPr="006532A6" w:rsidRDefault="00020BD9" w:rsidP="00020BD9">
      <w:pPr>
        <w:pStyle w:val="textflush"/>
        <w:rPr>
          <w:rFonts w:ascii="Baskerville Old Face" w:hAnsi="Baskerville Old Face" w:cs="Times New Roman"/>
          <w:b/>
          <w:bCs/>
        </w:rPr>
      </w:pPr>
      <w:r w:rsidRPr="006532A6">
        <w:rPr>
          <w:rFonts w:ascii="Baskerville Old Face" w:hAnsi="Baskerville Old Face" w:cs="Times New Roman"/>
          <w:i/>
          <w:iCs/>
        </w:rPr>
        <w:t xml:space="preserve">Springfield Rare Coin, </w:t>
      </w:r>
      <w:r w:rsidRPr="006532A6">
        <w:rPr>
          <w:rFonts w:ascii="Baskerville Old Face" w:hAnsi="Baskerville Old Face" w:cs="Times New Roman"/>
        </w:rPr>
        <w:t xml:space="preserve">620 N.E.2d at 488 (citing </w:t>
      </w:r>
      <w:r w:rsidRPr="006532A6">
        <w:rPr>
          <w:rFonts w:ascii="Baskerville Old Face" w:hAnsi="Baskerville Old Face" w:cs="Times New Roman"/>
          <w:i/>
          <w:iCs/>
        </w:rPr>
        <w:t>Agrimerica, Inc. v. Mathes,</w:t>
      </w:r>
      <w:r w:rsidRPr="006532A6">
        <w:rPr>
          <w:rFonts w:ascii="Baskerville Old Face" w:hAnsi="Baskerville Old Face" w:cs="Times New Roman"/>
        </w:rPr>
        <w:t xml:space="preserve"> 199 Ill. App. 3d 435, 444, 145 Ill. Dec. 587, 593, 557 N.E.2d 357, 363 (1990)). </w:t>
      </w:r>
      <w:r w:rsidRPr="006532A6">
        <w:rPr>
          <w:rFonts w:ascii="Baskerville Old Face" w:hAnsi="Baskerville Old Face" w:cs="Times New Roman"/>
          <w:b/>
          <w:bCs/>
        </w:rPr>
        <w:t>[</w:t>
      </w:r>
      <w:r w:rsidRPr="006532A6">
        <w:rPr>
          <w:rFonts w:ascii="Baskerville Old Face" w:hAnsi="Baskerville Old Face" w:cs="Times New Roman"/>
        </w:rPr>
        <w:t xml:space="preserve">For an example of how the courts have applied these factors, see </w:t>
      </w:r>
      <w:r w:rsidRPr="006532A6">
        <w:rPr>
          <w:rFonts w:ascii="Baskerville Old Face" w:hAnsi="Baskerville Old Face" w:cs="Times New Roman"/>
          <w:i/>
          <w:iCs/>
        </w:rPr>
        <w:t>Audio Properties, Inc. v. Kovach</w:t>
      </w:r>
      <w:r w:rsidRPr="006532A6">
        <w:rPr>
          <w:rFonts w:ascii="Baskerville Old Face" w:hAnsi="Baskerville Old Face" w:cs="Times New Roman"/>
        </w:rPr>
        <w:t>, 275 Ill. App. 3d 145, 211 Ill. Dec. 651, 655 N.E.2d 1034 (1st Dist. 1995).</w:t>
      </w:r>
      <w:r w:rsidRPr="006532A6">
        <w:rPr>
          <w:rFonts w:ascii="Baskerville Old Face" w:hAnsi="Baskerville Old Face" w:cs="Times New Roman"/>
          <w:b/>
          <w:bCs/>
        </w:rPr>
        <w:t>]</w:t>
      </w:r>
    </w:p>
    <w:p w14:paraId="1628BBAC" w14:textId="5E42F24C" w:rsidR="00020BD9" w:rsidRPr="006A121F" w:rsidRDefault="00020BD9" w:rsidP="00020BD9">
      <w:pPr>
        <w:pStyle w:val="text"/>
        <w:rPr>
          <w:rFonts w:ascii="Baskerville Old Face" w:hAnsi="Baskerville Old Face"/>
        </w:rPr>
      </w:pPr>
      <w:r w:rsidRPr="006A121F">
        <w:rPr>
          <w:rFonts w:ascii="Baskerville Old Face" w:hAnsi="Baskerville Old Face"/>
        </w:rPr>
        <w:lastRenderedPageBreak/>
        <w:t>These so-called “</w:t>
      </w:r>
      <w:r w:rsidRPr="006A121F">
        <w:rPr>
          <w:rFonts w:ascii="Baskerville Old Face" w:hAnsi="Baskerville Old Face"/>
          <w:i/>
        </w:rPr>
        <w:t>Agrimerica</w:t>
      </w:r>
      <w:r w:rsidRPr="006A121F">
        <w:rPr>
          <w:rFonts w:ascii="Baskerville Old Face" w:hAnsi="Baskerville Old Face"/>
        </w:rPr>
        <w:t xml:space="preserve"> factors,” though “helpful in some cases,” need not be applied in all cases. </w:t>
      </w:r>
      <w:r w:rsidRPr="006A121F">
        <w:rPr>
          <w:rFonts w:ascii="Baskerville Old Face" w:hAnsi="Baskerville Old Face"/>
          <w:i/>
        </w:rPr>
        <w:t xml:space="preserve">Springfield Rare Coin, </w:t>
      </w:r>
      <w:r w:rsidRPr="006A121F">
        <w:rPr>
          <w:rFonts w:ascii="Baskerville Old Face" w:hAnsi="Baskerville Old Face"/>
        </w:rPr>
        <w:t>620 N.E.2d at 490. Specifically, “[w]hen a given business falls squarely within [</w:t>
      </w:r>
      <w:r w:rsidRPr="006A121F">
        <w:rPr>
          <w:rFonts w:ascii="Baskerville Old Face" w:hAnsi="Baskerville Old Face"/>
          <w:i/>
        </w:rPr>
        <w:t>either</w:t>
      </w:r>
      <w:r w:rsidRPr="006A121F">
        <w:rPr>
          <w:rFonts w:ascii="Baskerville Old Face" w:hAnsi="Baskerville Old Face"/>
        </w:rPr>
        <w:t xml:space="preserve"> the professional services </w:t>
      </w:r>
      <w:r w:rsidRPr="006A121F">
        <w:rPr>
          <w:rFonts w:ascii="Baskerville Old Face" w:hAnsi="Baskerville Old Face"/>
          <w:i/>
        </w:rPr>
        <w:t>or</w:t>
      </w:r>
      <w:r w:rsidRPr="006A121F">
        <w:rPr>
          <w:rFonts w:ascii="Baskerville Old Face" w:hAnsi="Baskerville Old Face"/>
        </w:rPr>
        <w:t xml:space="preserve"> the sales] categories</w:t>
      </w:r>
      <w:r w:rsidRPr="00020BD9">
        <w:t> </w:t>
      </w:r>
      <w:r w:rsidR="00944F63">
        <w:rPr>
          <w:rFonts w:ascii="Baskerville Old Face" w:hAnsi="Baskerville Old Face"/>
        </w:rPr>
        <w:t>…</w:t>
      </w:r>
      <w:r w:rsidRPr="00020BD9">
        <w:t> </w:t>
      </w:r>
      <w:r w:rsidRPr="006A121F">
        <w:rPr>
          <w:rFonts w:ascii="Baskerville Old Face" w:hAnsi="Baskerville Old Face"/>
        </w:rPr>
        <w:t xml:space="preserve">, the near-permanency determination may be made without resort to the </w:t>
      </w:r>
      <w:r w:rsidRPr="006A121F">
        <w:rPr>
          <w:rFonts w:ascii="Baskerville Old Face" w:hAnsi="Baskerville Old Face"/>
          <w:i/>
        </w:rPr>
        <w:t>Agrimerica</w:t>
      </w:r>
      <w:r w:rsidRPr="006A121F">
        <w:rPr>
          <w:rFonts w:ascii="Baskerville Old Face" w:hAnsi="Baskerville Old Face"/>
        </w:rPr>
        <w:t xml:space="preserve"> factors.” </w:t>
      </w:r>
      <w:r w:rsidRPr="006A121F">
        <w:rPr>
          <w:rFonts w:ascii="Baskerville Old Face" w:hAnsi="Baskerville Old Face"/>
          <w:i/>
        </w:rPr>
        <w:t>Id.</w:t>
      </w:r>
      <w:r w:rsidRPr="006A121F">
        <w:rPr>
          <w:rFonts w:ascii="Baskerville Old Face" w:hAnsi="Baskerville Old Face"/>
        </w:rPr>
        <w:t xml:space="preserve"> The </w:t>
      </w:r>
      <w:r w:rsidRPr="006A121F">
        <w:rPr>
          <w:rFonts w:ascii="Baskerville Old Face" w:hAnsi="Baskerville Old Face"/>
          <w:i/>
        </w:rPr>
        <w:t>Springfield Rare Coin</w:t>
      </w:r>
      <w:r w:rsidRPr="006A121F">
        <w:rPr>
          <w:rFonts w:ascii="Baskerville Old Face" w:hAnsi="Baskerville Old Face"/>
        </w:rPr>
        <w:t xml:space="preserve"> court explained:</w:t>
      </w:r>
    </w:p>
    <w:p w14:paraId="33B46A3C" w14:textId="77777777" w:rsidR="00020BD9" w:rsidRPr="006532A6" w:rsidRDefault="00020BD9" w:rsidP="00020BD9">
      <w:pPr>
        <w:pStyle w:val="block-p-0"/>
        <w:rPr>
          <w:rFonts w:ascii="Baskerville Old Face" w:hAnsi="Baskerville Old Face" w:cs="Times New Roman"/>
        </w:rPr>
      </w:pPr>
      <w:r w:rsidRPr="006532A6">
        <w:rPr>
          <w:rFonts w:ascii="Baskerville Old Face" w:hAnsi="Baskerville Old Face" w:cs="Times New Roman"/>
        </w:rPr>
        <w:t xml:space="preserve">A near-permanent relationship with clients is inherent in the provision of professional services. (See </w:t>
      </w:r>
      <w:r w:rsidRPr="006532A6">
        <w:rPr>
          <w:rFonts w:ascii="Baskerville Old Face" w:hAnsi="Baskerville Old Face" w:cs="Times New Roman"/>
          <w:i/>
          <w:iCs/>
        </w:rPr>
        <w:t>Nationwide Advertising Service, Inc. v. Kolar</w:t>
      </w:r>
      <w:r w:rsidRPr="006532A6">
        <w:rPr>
          <w:rFonts w:ascii="Baskerville Old Face" w:hAnsi="Baskerville Old Face" w:cs="Times New Roman"/>
        </w:rPr>
        <w:t xml:space="preserve"> (1973), 14 Ill. App. 3d 522, 528, 302 N.E.2d 734, 738.) Conversely, a near-permanent relationship with customers is generally absent from businesses engaged in sales. Moreover, a near-permanent relationship is not generally present in a business which does not engender customer loyalty by providing a unique product or personal service, and customers of the business utilize many suppliers simultaneously to meet their needs. (</w:t>
      </w:r>
      <w:r w:rsidRPr="006532A6">
        <w:rPr>
          <w:rFonts w:ascii="Baskerville Old Face" w:hAnsi="Baskerville Old Face" w:cs="Times New Roman"/>
          <w:i/>
          <w:iCs/>
        </w:rPr>
        <w:t>Office Mates,</w:t>
      </w:r>
      <w:r w:rsidRPr="006532A6">
        <w:rPr>
          <w:rFonts w:ascii="Baskerville Old Face" w:hAnsi="Baskerville Old Face" w:cs="Times New Roman"/>
        </w:rPr>
        <w:t xml:space="preserve"> 234 Ill. App. 3d at 571, 175 Ill. Dec. at 68, 599 N.E.2d at 1082.) Likewise, when the names of the employer’s customers are readily ascertainable by reference to the telephone directory or professional publications, or are generally well known by the employer’s competitors, the employer will generally be unable to establish the employee would not have had contact with the customers but for the association with the employer. See </w:t>
      </w:r>
      <w:r w:rsidRPr="006532A6">
        <w:rPr>
          <w:rFonts w:ascii="Baskerville Old Face" w:hAnsi="Baskerville Old Face" w:cs="Times New Roman"/>
          <w:i/>
          <w:iCs/>
        </w:rPr>
        <w:t>Image Supplies, Inc. v. Hilmert</w:t>
      </w:r>
      <w:r w:rsidRPr="006532A6">
        <w:rPr>
          <w:rFonts w:ascii="Baskerville Old Face" w:hAnsi="Baskerville Old Face" w:cs="Times New Roman"/>
        </w:rPr>
        <w:t xml:space="preserve"> (1979), 71 Ill. App. 3d 710, 714–15, 28 Ill. Dec. 86, 90, 390 N.E.2d 68, 72.</w:t>
      </w:r>
    </w:p>
    <w:p w14:paraId="2B5C54D8" w14:textId="77777777" w:rsidR="00020BD9" w:rsidRPr="006532A6" w:rsidRDefault="00020BD9" w:rsidP="00020BD9">
      <w:pPr>
        <w:pStyle w:val="block-p--"/>
        <w:rPr>
          <w:rFonts w:ascii="Baskerville Old Face" w:hAnsi="Baskerville Old Face" w:cs="Times New Roman"/>
        </w:rPr>
      </w:pPr>
      <w:r w:rsidRPr="006532A6">
        <w:rPr>
          <w:rFonts w:ascii="Baskerville Old Face" w:hAnsi="Baskerville Old Face" w:cs="Times New Roman"/>
        </w:rPr>
        <w:t>Where the employer is engaged in the provision of professional services and employs the employee to assist in the provision of these services, and the evidence indicates the employee would not have had contact with the clients but for the association with the employer, the near-permanency test is satisfied. Thus, when an established veterinarian employs a newly licensed veterinarian with no previous affiliation with the community, a covenant not to compete will be enforced. (</w:t>
      </w:r>
      <w:r w:rsidRPr="006532A6">
        <w:rPr>
          <w:rFonts w:ascii="Baskerville Old Face" w:hAnsi="Baskerville Old Face" w:cs="Times New Roman"/>
          <w:i/>
          <w:iCs/>
        </w:rPr>
        <w:t>Cockerill v. Wilson</w:t>
      </w:r>
      <w:r w:rsidRPr="006532A6">
        <w:rPr>
          <w:rFonts w:ascii="Baskerville Old Face" w:hAnsi="Baskerville Old Face" w:cs="Times New Roman"/>
        </w:rPr>
        <w:t xml:space="preserve"> (1972), 51 Ill. 2d 179, 184, 281 N.E.2d 648, 651.) Similarly, when an established association of physicians employs a physician with no previous affiliation with the community, a covenant not to compete will be enforced. (</w:t>
      </w:r>
      <w:r w:rsidRPr="006532A6">
        <w:rPr>
          <w:rFonts w:ascii="Baskerville Old Face" w:hAnsi="Baskerville Old Face" w:cs="Times New Roman"/>
          <w:i/>
          <w:iCs/>
        </w:rPr>
        <w:t>Canfield v. Spear</w:t>
      </w:r>
      <w:r w:rsidRPr="006532A6">
        <w:rPr>
          <w:rFonts w:ascii="Baskerville Old Face" w:hAnsi="Baskerville Old Face" w:cs="Times New Roman"/>
        </w:rPr>
        <w:t xml:space="preserve"> (1969), 44 Ill. 2d 49, 51–52, 254 N.E.2d 433, 434.) However, even though engaged in providing professional services, when the evidence indicates the clients utilize several providers of the same type of professional services simultaneously, the near-permanency test will not be satisf</w:t>
      </w:r>
      <w:r w:rsidR="001A419C">
        <w:rPr>
          <w:rFonts w:ascii="Baskerville Old Face" w:hAnsi="Baskerville Old Face" w:cs="Times New Roman"/>
        </w:rPr>
        <w:t>i</w:t>
      </w:r>
      <w:r w:rsidRPr="006532A6">
        <w:rPr>
          <w:rFonts w:ascii="Baskerville Old Face" w:hAnsi="Baskerville Old Face" w:cs="Times New Roman"/>
        </w:rPr>
        <w:t xml:space="preserve">ed. Thus, where the employer is an insurance defense law firm, and the clients of the firm also retain other law firms to do insurance defense work, the law firm does not have a consistent expectation of representing the clients, and the near-permanency test is not satisfied. </w:t>
      </w:r>
      <w:r w:rsidRPr="006532A6">
        <w:rPr>
          <w:rFonts w:ascii="Baskerville Old Face" w:hAnsi="Baskerville Old Face" w:cs="Times New Roman"/>
          <w:i/>
          <w:iCs/>
        </w:rPr>
        <w:t>Williams &amp; Montgomery, Ltd. v. Stellato</w:t>
      </w:r>
      <w:r w:rsidRPr="006532A6">
        <w:rPr>
          <w:rFonts w:ascii="Baskerville Old Face" w:hAnsi="Baskerville Old Face" w:cs="Times New Roman"/>
        </w:rPr>
        <w:t xml:space="preserve"> (1990), 195 Ill. App. 3d 544, 554, 142 Ill. Dec. 359, 366, 552 N.E.2d 1100, 1107.</w:t>
      </w:r>
    </w:p>
    <w:p w14:paraId="102F9C2B" w14:textId="77777777" w:rsidR="00020BD9" w:rsidRPr="006532A6" w:rsidRDefault="00020BD9" w:rsidP="00020BD9">
      <w:pPr>
        <w:pStyle w:val="block-p--"/>
        <w:rPr>
          <w:rFonts w:ascii="Baskerville Old Face" w:hAnsi="Baskerville Old Face" w:cs="Times New Roman"/>
        </w:rPr>
      </w:pPr>
      <w:r w:rsidRPr="006532A6">
        <w:rPr>
          <w:rFonts w:ascii="Baskerville Old Face" w:hAnsi="Baskerville Old Face" w:cs="Times New Roman"/>
        </w:rPr>
        <w:lastRenderedPageBreak/>
        <w:t xml:space="preserve">The sales category is the opposite of the professional services category. When the employer’s business is sales of a nonunique product, its customers also do business with its competitors, or are ascertainable by reference to telephone or specialized directories, the near-permanency test will not be satisfied. Thus, in </w:t>
      </w:r>
      <w:r w:rsidRPr="006532A6">
        <w:rPr>
          <w:rFonts w:ascii="Baskerville Old Face" w:hAnsi="Baskerville Old Face" w:cs="Times New Roman"/>
          <w:i/>
          <w:iCs/>
        </w:rPr>
        <w:t>Image Supplies,</w:t>
      </w:r>
      <w:r w:rsidRPr="006532A6">
        <w:rPr>
          <w:rFonts w:ascii="Baskerville Old Face" w:hAnsi="Baskerville Old Face" w:cs="Times New Roman"/>
        </w:rPr>
        <w:t xml:space="preserve"> the appellate court determined a printing supply company did not have a near-permanent relationship with its customers where the customers were listed in the telephone directory and three professional journals, and the customers also did business with the printing supply company’s competitors. (</w:t>
      </w:r>
      <w:r w:rsidRPr="006532A6">
        <w:rPr>
          <w:rFonts w:ascii="Baskerville Old Face" w:hAnsi="Baskerville Old Face" w:cs="Times New Roman"/>
          <w:i/>
          <w:iCs/>
        </w:rPr>
        <w:t>Image Supplies,</w:t>
      </w:r>
      <w:r w:rsidRPr="006532A6">
        <w:rPr>
          <w:rFonts w:ascii="Baskerville Old Face" w:hAnsi="Baskerville Old Face" w:cs="Times New Roman"/>
        </w:rPr>
        <w:t xml:space="preserve"> 71 Ill. App. 3d at 714–15, 28 Ill. Dec. at 90, 390 N.E.2d at 72.) Likewise, in </w:t>
      </w:r>
      <w:r w:rsidRPr="006532A6">
        <w:rPr>
          <w:rFonts w:ascii="Baskerville Old Face" w:hAnsi="Baskerville Old Face" w:cs="Times New Roman"/>
          <w:i/>
          <w:iCs/>
        </w:rPr>
        <w:t>Label Printers</w:t>
      </w:r>
      <w:r w:rsidRPr="006532A6">
        <w:rPr>
          <w:rFonts w:ascii="Baskerville Old Face" w:hAnsi="Baskerville Old Face" w:cs="Times New Roman"/>
        </w:rPr>
        <w:t xml:space="preserve"> (206 Ill. App. 3d at 493–94, 151 Ill. Dec. at 726–27, 564 N.E.2d at 1388–89), the court found a printer of pressure sensitive labels did not demonstrate a near-permanent relationship with its customers where its customers also did business with its competitors. Finally, in </w:t>
      </w:r>
      <w:r w:rsidRPr="006532A6">
        <w:rPr>
          <w:rFonts w:ascii="Baskerville Old Face" w:hAnsi="Baskerville Old Face" w:cs="Times New Roman"/>
          <w:i/>
          <w:iCs/>
        </w:rPr>
        <w:t>Office Mates,</w:t>
      </w:r>
      <w:r w:rsidRPr="006532A6">
        <w:rPr>
          <w:rFonts w:ascii="Baskerville Old Face" w:hAnsi="Baskerville Old Face" w:cs="Times New Roman"/>
        </w:rPr>
        <w:t xml:space="preserve"> the appellate court determined an office support personnel placement agency did not have a near-permanent relationship with its customers where the customers’ names, addresses and nature of business are readily available by way of canvassing, cold calling, and the use of telephone and specialized directories, and the customers did business with other placement agencies. </w:t>
      </w:r>
      <w:r w:rsidRPr="006532A6">
        <w:rPr>
          <w:rFonts w:ascii="Baskerville Old Face" w:hAnsi="Baskerville Old Face" w:cs="Times New Roman"/>
          <w:i/>
          <w:iCs/>
        </w:rPr>
        <w:t>Office Mates,</w:t>
      </w:r>
      <w:r w:rsidRPr="006532A6">
        <w:rPr>
          <w:rFonts w:ascii="Baskerville Old Face" w:hAnsi="Baskerville Old Face" w:cs="Times New Roman"/>
        </w:rPr>
        <w:t xml:space="preserve"> 234 Ill. App. 3d at 572, 175 Ill. Dec. at 68, 599 N.E.2d at 1082.</w:t>
      </w:r>
    </w:p>
    <w:p w14:paraId="0D86CBDB" w14:textId="77777777" w:rsidR="00020BD9" w:rsidRPr="006532A6" w:rsidRDefault="00020BD9" w:rsidP="00020BD9">
      <w:pPr>
        <w:pStyle w:val="block-p--"/>
        <w:rPr>
          <w:rFonts w:ascii="Baskerville Old Face" w:hAnsi="Baskerville Old Face" w:cs="Times New Roman"/>
        </w:rPr>
      </w:pPr>
      <w:r w:rsidRPr="006532A6">
        <w:rPr>
          <w:rFonts w:ascii="Baskerville Old Face" w:hAnsi="Baskerville Old Face" w:cs="Times New Roman"/>
        </w:rPr>
        <w:t xml:space="preserve">In </w:t>
      </w:r>
      <w:r w:rsidRPr="006532A6">
        <w:rPr>
          <w:rFonts w:ascii="Baskerville Old Face" w:hAnsi="Baskerville Old Face" w:cs="Times New Roman"/>
          <w:i/>
          <w:iCs/>
        </w:rPr>
        <w:t>Sarah Bush Lincoln Health Center v. Perket</w:t>
      </w:r>
      <w:r w:rsidRPr="006532A6">
        <w:rPr>
          <w:rFonts w:ascii="Baskerville Old Face" w:hAnsi="Baskerville Old Face" w:cs="Times New Roman"/>
        </w:rPr>
        <w:t xml:space="preserve"> (1992), 238 Ill. App. 3d 958, 962–63, 178 Ill. Dec. 819, 822–23, 605 N.E.2d 613, 616–17, this court recognized these two categories of cases. The employer in </w:t>
      </w:r>
      <w:r w:rsidRPr="006532A6">
        <w:rPr>
          <w:rFonts w:ascii="Baskerville Old Face" w:hAnsi="Baskerville Old Face" w:cs="Times New Roman"/>
          <w:i/>
          <w:iCs/>
        </w:rPr>
        <w:t>Sarah Bush,</w:t>
      </w:r>
      <w:r w:rsidRPr="006532A6">
        <w:rPr>
          <w:rFonts w:ascii="Baskerville Old Face" w:hAnsi="Baskerville Old Face" w:cs="Times New Roman"/>
        </w:rPr>
        <w:t xml:space="preserve"> a hospital, sought to enforce a covenant not to compete made by an employee who had been the director of physical medicine and rehabilitation at the hospital. This court examined the nature of the business, concluding the situation was more like that of the professionals in </w:t>
      </w:r>
      <w:r w:rsidRPr="006532A6">
        <w:rPr>
          <w:rFonts w:ascii="Baskerville Old Face" w:hAnsi="Baskerville Old Face" w:cs="Times New Roman"/>
          <w:i/>
          <w:iCs/>
        </w:rPr>
        <w:t>Cockerill</w:t>
      </w:r>
      <w:r w:rsidRPr="006532A6">
        <w:rPr>
          <w:rFonts w:ascii="Baskerville Old Face" w:hAnsi="Baskerville Old Face" w:cs="Times New Roman"/>
        </w:rPr>
        <w:t xml:space="preserve"> and </w:t>
      </w:r>
      <w:r w:rsidRPr="006532A6">
        <w:rPr>
          <w:rFonts w:ascii="Baskerville Old Face" w:hAnsi="Baskerville Old Face" w:cs="Times New Roman"/>
          <w:i/>
          <w:iCs/>
        </w:rPr>
        <w:t>Canfield</w:t>
      </w:r>
      <w:r w:rsidRPr="006532A6">
        <w:rPr>
          <w:rFonts w:ascii="Baskerville Old Face" w:hAnsi="Baskerville Old Face" w:cs="Times New Roman"/>
        </w:rPr>
        <w:t xml:space="preserve"> than the “ordinary case” in which the employee is in a position such as a salesperson. Accordingly, we upheld the trial court’s injunction predicated on the enforcement of the covenant not to compete. </w:t>
      </w:r>
      <w:r w:rsidRPr="006532A6">
        <w:rPr>
          <w:rFonts w:ascii="Baskerville Old Face" w:hAnsi="Baskerville Old Face" w:cs="Times New Roman"/>
          <w:i/>
          <w:iCs/>
        </w:rPr>
        <w:t>Sarah Bush,</w:t>
      </w:r>
      <w:r w:rsidRPr="006532A6">
        <w:rPr>
          <w:rFonts w:ascii="Baskerville Old Face" w:hAnsi="Baskerville Old Face" w:cs="Times New Roman"/>
        </w:rPr>
        <w:t xml:space="preserve"> 238 Ill. App. 3d at 963, 178 Ill. Dec. at 823, 605 N.E.2d at 617.</w:t>
      </w:r>
    </w:p>
    <w:p w14:paraId="074746CF" w14:textId="54A08F81" w:rsidR="00020BD9" w:rsidRPr="006532A6" w:rsidRDefault="00944F63" w:rsidP="00020BD9">
      <w:pPr>
        <w:pStyle w:val="block-p-"/>
        <w:rPr>
          <w:rFonts w:ascii="Baskerville Old Face" w:hAnsi="Baskerville Old Face" w:cs="Times New Roman"/>
        </w:rPr>
      </w:pPr>
      <w:r>
        <w:rPr>
          <w:rFonts w:ascii="Baskerville Old Face" w:hAnsi="Baskerville Old Face" w:cs="Times New Roman"/>
        </w:rPr>
        <w:t>…</w:t>
      </w:r>
      <w:r w:rsidR="00020BD9" w:rsidRPr="00020BD9">
        <w:rPr>
          <w:rFonts w:cs="Times New Roman"/>
        </w:rPr>
        <w:t> </w:t>
      </w:r>
      <w:r w:rsidR="00020BD9" w:rsidRPr="006532A6">
        <w:rPr>
          <w:rFonts w:ascii="Baskerville Old Face" w:hAnsi="Baskerville Old Face" w:cs="Times New Roman"/>
        </w:rPr>
        <w:t xml:space="preserve">While the </w:t>
      </w:r>
      <w:r w:rsidR="00020BD9" w:rsidRPr="006532A6">
        <w:rPr>
          <w:rFonts w:ascii="Baskerville Old Face" w:hAnsi="Baskerville Old Face" w:cs="Times New Roman"/>
          <w:i/>
          <w:iCs/>
        </w:rPr>
        <w:t>Agrimerica</w:t>
      </w:r>
      <w:r w:rsidR="00020BD9" w:rsidRPr="006532A6">
        <w:rPr>
          <w:rFonts w:ascii="Baskerville Old Face" w:hAnsi="Baskerville Old Face" w:cs="Times New Roman"/>
        </w:rPr>
        <w:t xml:space="preserve"> factors may be helpful in some ­cases, we find they need not be applied in all cases. When a given business falls squarely within one of the two categories of cases this court has previously recognized, the near-permanency determination may be made without resort to the </w:t>
      </w:r>
      <w:r w:rsidR="00020BD9" w:rsidRPr="006532A6">
        <w:rPr>
          <w:rFonts w:ascii="Baskerville Old Face" w:hAnsi="Baskerville Old Face" w:cs="Times New Roman"/>
          <w:i/>
          <w:iCs/>
        </w:rPr>
        <w:t>Agrimerica</w:t>
      </w:r>
      <w:r w:rsidR="00020BD9" w:rsidRPr="006532A6">
        <w:rPr>
          <w:rFonts w:ascii="Baskerville Old Face" w:hAnsi="Baskerville Old Face" w:cs="Times New Roman"/>
        </w:rPr>
        <w:t xml:space="preserve"> factors. However, when a business is lacking some of the characteristics of a category, has characteristics inconsistent with the category in which it would otherwise be placed, or for some other reason does not fall squarely within one of the two categories, the </w:t>
      </w:r>
      <w:r w:rsidR="00020BD9" w:rsidRPr="006532A6">
        <w:rPr>
          <w:rFonts w:ascii="Baskerville Old Face" w:hAnsi="Baskerville Old Face" w:cs="Times New Roman"/>
          <w:i/>
          <w:iCs/>
        </w:rPr>
        <w:t>Agrimerica</w:t>
      </w:r>
      <w:r w:rsidR="00020BD9" w:rsidRPr="006532A6">
        <w:rPr>
          <w:rFonts w:ascii="Baskerville Old Face" w:hAnsi="Baskerville Old Face" w:cs="Times New Roman"/>
        </w:rPr>
        <w:t xml:space="preserve"> factors may be helpful to the court in determining whether the near-permanency test has been met. Thus, for example, when a business is engaged in selling custom-made goods and its clients </w:t>
      </w:r>
      <w:r w:rsidR="00020BD9" w:rsidRPr="006532A6">
        <w:rPr>
          <w:rFonts w:ascii="Baskerville Old Face" w:hAnsi="Baskerville Old Face" w:cs="Times New Roman"/>
        </w:rPr>
        <w:lastRenderedPageBreak/>
        <w:t xml:space="preserve">do not also do business with its competitors, and are not readily ascertainable by reference to available sources, the business does not fall squarely within either of the two categories and the </w:t>
      </w:r>
      <w:r w:rsidR="00020BD9" w:rsidRPr="006532A6">
        <w:rPr>
          <w:rFonts w:ascii="Baskerville Old Face" w:hAnsi="Baskerville Old Face" w:cs="Times New Roman"/>
          <w:i/>
          <w:iCs/>
        </w:rPr>
        <w:t>Agrimerica</w:t>
      </w:r>
      <w:r w:rsidR="00020BD9" w:rsidRPr="006532A6">
        <w:rPr>
          <w:rFonts w:ascii="Baskerville Old Face" w:hAnsi="Baskerville Old Face" w:cs="Times New Roman"/>
        </w:rPr>
        <w:t xml:space="preserve"> factors may be helpful in determining whether the business meets the near-permanency test.</w:t>
      </w:r>
    </w:p>
    <w:p w14:paraId="54743A28" w14:textId="77777777" w:rsidR="00020BD9" w:rsidRPr="006532A6" w:rsidRDefault="00020BD9" w:rsidP="00020BD9">
      <w:pPr>
        <w:pStyle w:val="textflush"/>
        <w:rPr>
          <w:rFonts w:ascii="Baskerville Old Face" w:hAnsi="Baskerville Old Face" w:cs="Times New Roman"/>
        </w:rPr>
      </w:pPr>
      <w:r w:rsidRPr="006532A6">
        <w:rPr>
          <w:rFonts w:ascii="Baskerville Old Face" w:hAnsi="Baskerville Old Face" w:cs="Times New Roman"/>
          <w:i/>
          <w:iCs/>
        </w:rPr>
        <w:t>Id.,</w:t>
      </w:r>
      <w:r w:rsidRPr="006532A6">
        <w:rPr>
          <w:rFonts w:ascii="Baskerville Old Face" w:hAnsi="Baskerville Old Face" w:cs="Times New Roman"/>
        </w:rPr>
        <w:t xml:space="preserve"> 620 N.E.2d at 488–90 (finding business fell “squarely within sales category” and that former employer did not satisfy near-permanency test because (1) employer was “not the exclusive supplier to its customers” (</w:t>
      </w:r>
      <w:r w:rsidRPr="006532A6">
        <w:rPr>
          <w:rFonts w:ascii="Baskerville Old Face" w:hAnsi="Baskerville Old Face" w:cs="Times New Roman"/>
          <w:i/>
          <w:iCs/>
        </w:rPr>
        <w:t>id</w:t>
      </w:r>
      <w:r w:rsidRPr="006532A6">
        <w:rPr>
          <w:rFonts w:ascii="Baskerville Old Face" w:hAnsi="Baskerville Old Face" w:cs="Times New Roman"/>
        </w:rPr>
        <w:t>., 620 N.E.2d at 490), (2) employer’s customers were “ascertainable by reference to yellow pages, trade directories and attendance at trade shows” (</w:t>
      </w:r>
      <w:r w:rsidRPr="006532A6">
        <w:rPr>
          <w:rFonts w:ascii="Baskerville Old Face" w:hAnsi="Baskerville Old Face" w:cs="Times New Roman"/>
          <w:i/>
          <w:iCs/>
        </w:rPr>
        <w:t>id.</w:t>
      </w:r>
      <w:r w:rsidRPr="006532A6">
        <w:rPr>
          <w:rFonts w:ascii="Baskerville Old Face" w:hAnsi="Baskerville Old Face" w:cs="Times New Roman"/>
        </w:rPr>
        <w:t>) and “[could] be approached by making cold calls” (</w:t>
      </w:r>
      <w:r w:rsidRPr="006532A6">
        <w:rPr>
          <w:rFonts w:ascii="Baskerville Old Face" w:hAnsi="Baskerville Old Face" w:cs="Times New Roman"/>
          <w:i/>
          <w:iCs/>
        </w:rPr>
        <w:t>id.</w:t>
      </w:r>
      <w:r w:rsidRPr="006532A6">
        <w:rPr>
          <w:rFonts w:ascii="Baskerville Old Face" w:hAnsi="Baskerville Old Face" w:cs="Times New Roman"/>
        </w:rPr>
        <w:t>), and (3) evidence that customers began to do business with employer through employee “</w:t>
      </w:r>
      <w:r w:rsidRPr="006532A6">
        <w:rPr>
          <w:rFonts w:ascii="Baskerville Old Face" w:hAnsi="Baskerville Old Face" w:cs="Times New Roman"/>
          <w:i/>
          <w:iCs/>
        </w:rPr>
        <w:t>after</w:t>
      </w:r>
      <w:r w:rsidRPr="006532A6">
        <w:rPr>
          <w:rFonts w:ascii="Baskerville Old Face" w:hAnsi="Baskerville Old Face" w:cs="Times New Roman"/>
        </w:rPr>
        <w:t xml:space="preserve"> [employee] became employed by [employer]” (</w:t>
      </w:r>
      <w:r w:rsidRPr="006532A6">
        <w:rPr>
          <w:rFonts w:ascii="Baskerville Old Face" w:hAnsi="Baskerville Old Face" w:cs="Times New Roman"/>
          <w:i/>
          <w:iCs/>
        </w:rPr>
        <w:t>id.</w:t>
      </w:r>
      <w:r w:rsidRPr="006532A6">
        <w:rPr>
          <w:rFonts w:ascii="Baskerville Old Face" w:hAnsi="Baskerville Old Face" w:cs="Times New Roman"/>
        </w:rPr>
        <w:t>) indicated that “[employer’s] reputation was not necessary to [employee’s] access” to the customers (id.), and, therefore employer failed on argument that, “but for” employee’s affiliation with employer, employee would not have had access to customers (</w:t>
      </w:r>
      <w:r w:rsidRPr="006532A6">
        <w:rPr>
          <w:rFonts w:ascii="Baskerville Old Face" w:hAnsi="Baskerville Old Face" w:cs="Times New Roman"/>
          <w:i/>
          <w:iCs/>
        </w:rPr>
        <w:t>id</w:t>
      </w:r>
      <w:r w:rsidRPr="006532A6">
        <w:rPr>
          <w:rFonts w:ascii="Baskerville Old Face" w:hAnsi="Baskerville Old Face" w:cs="Times New Roman"/>
        </w:rPr>
        <w:t>.)).</w:t>
      </w:r>
    </w:p>
    <w:p w14:paraId="09E7EAE6"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No one </w:t>
      </w:r>
      <w:r w:rsidRPr="006A121F">
        <w:rPr>
          <w:rFonts w:ascii="Baskerville Old Face" w:hAnsi="Baskerville Old Face"/>
          <w:i/>
        </w:rPr>
        <w:t>Agrimerica</w:t>
      </w:r>
      <w:r w:rsidRPr="006A121F">
        <w:rPr>
          <w:rFonts w:ascii="Baskerville Old Face" w:hAnsi="Baskerville Old Face"/>
        </w:rPr>
        <w:t xml:space="preserve"> factor is to be given greater weight. </w:t>
      </w:r>
      <w:r w:rsidRPr="006A121F">
        <w:rPr>
          <w:rFonts w:ascii="Baskerville Old Face" w:hAnsi="Baskerville Old Face"/>
          <w:i/>
        </w:rPr>
        <w:t>Southern Ill. Med. Bus. Assocs. v. Camillo,</w:t>
      </w:r>
      <w:r w:rsidRPr="006A121F">
        <w:rPr>
          <w:rFonts w:ascii="Baskerville Old Face" w:hAnsi="Baskerville Old Face"/>
        </w:rPr>
        <w:t xml:space="preserve"> 190 Ill. App. 3d 664, 138 Ill. Dec. 4, 10, 546 N.E.2d 1059, 1065 (5th Dist. 1989).</w:t>
      </w:r>
    </w:p>
    <w:p w14:paraId="212B2F48" w14:textId="2ABABC89"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The first part of the first alternate test is satisfied—that is, the former employer has a near-permanent relationship with a customer—if the employer has, for instance, a maintenance agreement with the customer which automatically renews from year to year until the customer cancels it. </w:t>
      </w:r>
      <w:r w:rsidRPr="006A121F">
        <w:rPr>
          <w:rFonts w:ascii="Baskerville Old Face" w:hAnsi="Baskerville Old Face"/>
          <w:i/>
        </w:rPr>
        <w:t xml:space="preserve">A.B. Dick, </w:t>
      </w:r>
      <w:r w:rsidRPr="006A121F">
        <w:rPr>
          <w:rFonts w:ascii="Baskerville Old Face" w:hAnsi="Baskerville Old Face"/>
        </w:rPr>
        <w:t xml:space="preserve">514 N.E.2d at 49. And the fact that the employer’s customers “occasionally do business with” the employer’s rivals does not—standing alone—lessen the permanency of their relationship with the employer. </w:t>
      </w:r>
      <w:r w:rsidRPr="006A121F">
        <w:rPr>
          <w:rFonts w:ascii="Baskerville Old Face" w:hAnsi="Baskerville Old Face"/>
          <w:i/>
        </w:rPr>
        <w:t xml:space="preserve">Arpac Corp., </w:t>
      </w:r>
      <w:r w:rsidRPr="006A121F">
        <w:rPr>
          <w:rFonts w:ascii="Baskerville Old Face" w:hAnsi="Baskerville Old Face"/>
        </w:rPr>
        <w:t xml:space="preserve">589 N.E.2d at 648 (citing </w:t>
      </w:r>
      <w:r w:rsidRPr="006A121F">
        <w:rPr>
          <w:rFonts w:ascii="Baskerville Old Face" w:hAnsi="Baskerville Old Face"/>
          <w:i/>
        </w:rPr>
        <w:t>Charles P. Young Co. v. Leuser,</w:t>
      </w:r>
      <w:r w:rsidRPr="006A121F">
        <w:rPr>
          <w:rFonts w:ascii="Baskerville Old Face" w:hAnsi="Baskerville Old Face"/>
        </w:rPr>
        <w:t xml:space="preserve"> 137 Ill. App. 3d 1044, 92 Ill. Dec. 730, 485 N.E.2d 541 (1985)). Where the employer’s larger customers “[o]n the average,</w:t>
      </w:r>
      <w:r w:rsidRPr="00020BD9">
        <w:t> </w:t>
      </w:r>
      <w:r w:rsidR="00944F63">
        <w:rPr>
          <w:rFonts w:ascii="Baskerville Old Face" w:hAnsi="Baskerville Old Face"/>
        </w:rPr>
        <w:t>…</w:t>
      </w:r>
      <w:r w:rsidRPr="00020BD9">
        <w:t> </w:t>
      </w:r>
      <w:r w:rsidRPr="006A121F">
        <w:rPr>
          <w:rFonts w:ascii="Baskerville Old Face" w:hAnsi="Baskerville Old Face"/>
        </w:rPr>
        <w:t xml:space="preserve">have had a five[-]year relationship” with the employer, the employer has been found to have a near-permanent relationship with its customers. 589 N.E.2d at 649. No such relationship exists, however, if the majority of accounts the former employee serviced were accounts secured by making cold calls or by using a directory that lists potential customers, what they manufacture, and their locations. </w:t>
      </w:r>
      <w:r w:rsidRPr="006A121F">
        <w:rPr>
          <w:rFonts w:ascii="Baskerville Old Face" w:hAnsi="Baskerville Old Face"/>
          <w:i/>
        </w:rPr>
        <w:t xml:space="preserve">Label Printers, </w:t>
      </w:r>
      <w:r w:rsidRPr="006A121F">
        <w:rPr>
          <w:rFonts w:ascii="Baskerville Old Face" w:hAnsi="Baskerville Old Face"/>
        </w:rPr>
        <w:t xml:space="preserve">564 </w:t>
      </w:r>
      <w:r w:rsidRPr="006A121F">
        <w:rPr>
          <w:rFonts w:ascii="Baskerville Old Face" w:hAnsi="Baskerville Old Face"/>
        </w:rPr>
        <w:lastRenderedPageBreak/>
        <w:t xml:space="preserve">N.E.2d at 1388–89. Likewise, given “the nature of most insurance policies [as] somewhat transient” since “most are easily cancellable within relatively short periods and depend on constant periodic renewals,” an insurance agency has been held to have no near-permanent relationship with its policyholders. </w:t>
      </w:r>
      <w:r w:rsidRPr="006A121F">
        <w:rPr>
          <w:rFonts w:ascii="Baskerville Old Face" w:hAnsi="Baskerville Old Face"/>
          <w:i/>
        </w:rPr>
        <w:t xml:space="preserve">Rapp Ins., </w:t>
      </w:r>
      <w:r w:rsidRPr="006A121F">
        <w:rPr>
          <w:rFonts w:ascii="Baskerville Old Face" w:hAnsi="Baskerville Old Face"/>
        </w:rPr>
        <w:t xml:space="preserve">597 N.E.2d at 939 (Welch, J., dissenting) (citing </w:t>
      </w:r>
      <w:r w:rsidRPr="006A121F">
        <w:rPr>
          <w:rFonts w:ascii="Baskerville Old Face" w:hAnsi="Baskerville Old Face"/>
          <w:i/>
        </w:rPr>
        <w:t xml:space="preserve">Camillo, </w:t>
      </w:r>
      <w:r w:rsidRPr="006A121F">
        <w:rPr>
          <w:rFonts w:ascii="Baskerville Old Face" w:hAnsi="Baskerville Old Face"/>
        </w:rPr>
        <w:t>190 Ill. App. 3d at 674, 138 Ill. Dec. at 11, 546 N.E.2d at 1066). Moreover, “[t]he mere potential to become a long-standing customer is not sufficient” to establish a near-permanent relationship between the employer and its customers. 597 N.E.2d at 939.</w:t>
      </w:r>
    </w:p>
    <w:p w14:paraId="10C199B4"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“The employer is not required to show that the customer relationship is perpetual or indissoluble, or that a near permanent relationship exists with each customer.” </w:t>
      </w:r>
      <w:r w:rsidRPr="006A121F">
        <w:rPr>
          <w:rFonts w:ascii="Baskerville Old Face" w:hAnsi="Baskerville Old Face"/>
          <w:i/>
        </w:rPr>
        <w:t xml:space="preserve">LSBZ, </w:t>
      </w:r>
      <w:r w:rsidRPr="006A121F">
        <w:rPr>
          <w:rFonts w:ascii="Baskerville Old Face" w:hAnsi="Baskerville Old Face"/>
        </w:rPr>
        <w:t xml:space="preserve">603 S.E.2d at 1248 (citing </w:t>
      </w:r>
      <w:r w:rsidRPr="006A121F">
        <w:rPr>
          <w:rFonts w:ascii="Baskerville Old Face" w:hAnsi="Baskerville Old Face"/>
          <w:i/>
        </w:rPr>
        <w:t>Preferred Meal Sys. v. Guse,</w:t>
      </w:r>
      <w:r w:rsidRPr="006A121F">
        <w:rPr>
          <w:rFonts w:ascii="Baskerville Old Face" w:hAnsi="Baskerville Old Face"/>
        </w:rPr>
        <w:t xml:space="preserve"> 199 Ill. App. 3d 710, 723–24, 145 Ill. Dec. 736, 557 N.E.2d 506 (1st Dist. 1990)). The majority and dissenting opinions in </w:t>
      </w:r>
      <w:r w:rsidRPr="006A121F">
        <w:rPr>
          <w:rFonts w:ascii="Baskerville Old Face" w:hAnsi="Baskerville Old Face"/>
          <w:i/>
        </w:rPr>
        <w:t>LSBZ</w:t>
      </w:r>
      <w:r w:rsidRPr="006A121F">
        <w:rPr>
          <w:rFonts w:ascii="Baskerville Old Face" w:hAnsi="Baskerville Old Face"/>
        </w:rPr>
        <w:t xml:space="preserve"> contain excellent examples of judicial application of the factors to be considered in determining whether a near-permanent relationship exists between an employer and its customers.</w:t>
      </w:r>
    </w:p>
    <w:p w14:paraId="6E3238DF" w14:textId="77777777" w:rsidR="00020BD9" w:rsidRPr="006A121F" w:rsidRDefault="00020BD9" w:rsidP="00020BD9">
      <w:pPr>
        <w:pStyle w:val="text"/>
        <w:rPr>
          <w:rFonts w:ascii="Baskerville Old Face" w:hAnsi="Baskerville Old Face"/>
          <w:i/>
        </w:rPr>
      </w:pPr>
      <w:r w:rsidRPr="006A121F">
        <w:rPr>
          <w:rFonts w:ascii="Baskerville Old Face" w:hAnsi="Baskerville Old Face"/>
        </w:rPr>
        <w:t xml:space="preserve">Although the Illinois Supreme Court has repeatedly upheld covenants not to compete in medical practice cases without making a specific inquiry into whether the former employer has demonstrated a protectable business interest, a medical professional’s practice has oftener than not been treated as a protectable business interest. </w:t>
      </w:r>
      <w:r w:rsidRPr="006A121F">
        <w:rPr>
          <w:rFonts w:ascii="Baskerville Old Face" w:hAnsi="Baskerville Old Face"/>
          <w:i/>
        </w:rPr>
        <w:t>Vascular &amp; Gen. Surgical Assocs. v. Loiterman,</w:t>
      </w:r>
      <w:r w:rsidRPr="006A121F">
        <w:rPr>
          <w:rFonts w:ascii="Baskerville Old Face" w:hAnsi="Baskerville Old Face"/>
        </w:rPr>
        <w:t xml:space="preserve"> 234 Ill. App. 3d 1, 175 Ill. Dec. 232, 599 N.E.2d 1246, 1252 (1st Dist. 1992) (vascular surgeon) (citing </w:t>
      </w:r>
      <w:r w:rsidRPr="006A121F">
        <w:rPr>
          <w:rFonts w:ascii="Baskerville Old Face" w:hAnsi="Baskerville Old Face"/>
          <w:i/>
        </w:rPr>
        <w:t>Retina Servs. v. Garoon,</w:t>
      </w:r>
      <w:r w:rsidRPr="006A121F">
        <w:rPr>
          <w:rFonts w:ascii="Baskerville Old Face" w:hAnsi="Baskerville Old Face"/>
        </w:rPr>
        <w:t xml:space="preserve"> 182 Ill. App. 3d 851, 856, 131 Ill. Dec. 276, 278, 538 N.E.2d 651, 653 (1st Dist. 1989) (ophthalmologist)); </w:t>
      </w:r>
      <w:r w:rsidRPr="006A121F">
        <w:rPr>
          <w:rFonts w:ascii="Baskerville Old Face" w:hAnsi="Baskerville Old Face"/>
          <w:i/>
        </w:rPr>
        <w:t>Gillespie v. Carbondale &amp; Marion Eye Ctrs., Ltd.,</w:t>
      </w:r>
      <w:r w:rsidRPr="006A121F">
        <w:rPr>
          <w:rFonts w:ascii="Baskerville Old Face" w:hAnsi="Baskerville Old Face"/>
        </w:rPr>
        <w:t xml:space="preserve"> 251 Ill. App. 3d 625, 190 Ill. Dec. 950, 622 N.E.2d 1267, 1269 (5th Dist. 1993) (ophthalmologist) (citing </w:t>
      </w:r>
      <w:r w:rsidRPr="006A121F">
        <w:rPr>
          <w:rFonts w:ascii="Baskerville Old Face" w:hAnsi="Baskerville Old Face"/>
          <w:i/>
        </w:rPr>
        <w:t>Retina Servs., supra</w:t>
      </w:r>
      <w:r w:rsidRPr="006A121F">
        <w:rPr>
          <w:rFonts w:ascii="Baskerville Old Face" w:hAnsi="Baskerville Old Face"/>
        </w:rPr>
        <w:t xml:space="preserve">). “The only noncompetitive covenant in a medical practice case found by our supreme court to be unreasonable[, </w:t>
      </w:r>
      <w:r w:rsidRPr="006A121F">
        <w:rPr>
          <w:rFonts w:ascii="Baskerville Old Face" w:hAnsi="Baskerville Old Face"/>
          <w:i/>
        </w:rPr>
        <w:t>House of Vision, Inc. v. Hiyane,</w:t>
      </w:r>
      <w:r w:rsidRPr="006A121F">
        <w:rPr>
          <w:rFonts w:ascii="Baskerville Old Face" w:hAnsi="Baskerville Old Face"/>
        </w:rPr>
        <w:t xml:space="preserve"> 37 Ill. 2d 32, 225 N.E.2d 21 (1967),] involved an unlimited time restriction from practicing medicine within 30 miles from any of plaintiff’s offices, which included a Highland Park office 23 miles north of Chicago and a Waukegan office 35 miles north of Chicago.” </w:t>
      </w:r>
      <w:r w:rsidRPr="006A121F">
        <w:rPr>
          <w:rFonts w:ascii="Baskerville Old Face" w:hAnsi="Baskerville Old Face"/>
          <w:i/>
        </w:rPr>
        <w:t>Id.,</w:t>
      </w:r>
      <w:r w:rsidRPr="006A121F">
        <w:rPr>
          <w:rFonts w:ascii="Baskerville Old Face" w:hAnsi="Baskerville Old Face"/>
        </w:rPr>
        <w:t xml:space="preserve"> 622 N.E.2d at 1270 (citing </w:t>
      </w:r>
      <w:r w:rsidRPr="006A121F">
        <w:rPr>
          <w:rFonts w:ascii="Baskerville Old Face" w:hAnsi="Baskerville Old Face"/>
          <w:i/>
        </w:rPr>
        <w:t>House of Vision, supra,</w:t>
      </w:r>
      <w:r w:rsidRPr="006A121F">
        <w:rPr>
          <w:rFonts w:ascii="Baskerville Old Face" w:hAnsi="Baskerville Old Face"/>
        </w:rPr>
        <w:t xml:space="preserve"> and </w:t>
      </w:r>
      <w:r w:rsidRPr="006A121F">
        <w:rPr>
          <w:rFonts w:ascii="Baskerville Old Face" w:hAnsi="Baskerville Old Face"/>
          <w:i/>
        </w:rPr>
        <w:t>Retina Servs., supra</w:t>
      </w:r>
      <w:r w:rsidRPr="006A121F">
        <w:rPr>
          <w:rFonts w:ascii="Baskerville Old Face" w:hAnsi="Baskerville Old Face"/>
        </w:rPr>
        <w:t>)</w:t>
      </w:r>
      <w:r w:rsidRPr="006A121F">
        <w:rPr>
          <w:rFonts w:ascii="Baskerville Old Face" w:hAnsi="Baskerville Old Face"/>
          <w:i/>
        </w:rPr>
        <w:t>.</w:t>
      </w:r>
    </w:p>
    <w:p w14:paraId="17BCC2D8"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lastRenderedPageBreak/>
        <w:t xml:space="preserve">The answer to the question whether a particular former employer medical practice is entitled to protection of this ascertainable right “hinges on whether the Employment Agreement and covenant not to compete contained therein were valid and in force” at the time the former employee pursues a competitive endeavor. </w:t>
      </w:r>
      <w:r w:rsidRPr="006A121F">
        <w:rPr>
          <w:rFonts w:ascii="Baskerville Old Face" w:hAnsi="Baskerville Old Face"/>
          <w:i/>
        </w:rPr>
        <w:t>Virendra S. Bisla, M.D., Ltd. v. Parvaiz</w:t>
      </w:r>
      <w:r w:rsidRPr="006A121F">
        <w:rPr>
          <w:rFonts w:ascii="Baskerville Old Face" w:hAnsi="Baskerville Old Face"/>
        </w:rPr>
        <w:t>, 379 Ill. App. 3d 567, 572, 318 Ill. Dec. 822, 884 N.E.2d 790, 795 (1st Dist. 2008) (finding employment agreement and covenant were not in force at time of alleged breach of covenant).</w:t>
      </w:r>
    </w:p>
    <w:p w14:paraId="3F8B8773"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The permanency or near-permanency of the employer’s </w:t>
      </w:r>
      <w:r w:rsidRPr="006A121F">
        <w:rPr>
          <w:rFonts w:ascii="Baskerville Old Face" w:hAnsi="Baskerville Old Face"/>
        </w:rPr>
        <w:br/>
        <w:t xml:space="preserve">relationship with—and, thus, the protectability of its interest in—patients is “inherent” in the medical professional and veterinarian context. </w:t>
      </w:r>
      <w:r w:rsidRPr="006A121F">
        <w:rPr>
          <w:rFonts w:ascii="Baskerville Old Face" w:hAnsi="Baskerville Old Face"/>
          <w:i/>
        </w:rPr>
        <w:t>Sarah Bush Lincoln Health Ctr. v. Perket,</w:t>
      </w:r>
      <w:r w:rsidRPr="006A121F">
        <w:rPr>
          <w:rFonts w:ascii="Baskerville Old Face" w:hAnsi="Baskerville Old Face"/>
        </w:rPr>
        <w:t xml:space="preserve"> 238 Ill. App. 3d 958, 178 Ill. Dec. 819, 605 N.E.2d 613, 617 (4th Dist. 1993) (protectable interest in hospital’s physical medicine and rehabilitation patients) (citing </w:t>
      </w:r>
      <w:r w:rsidRPr="006A121F">
        <w:rPr>
          <w:rFonts w:ascii="Baskerville Old Face" w:hAnsi="Baskerville Old Face"/>
          <w:i/>
        </w:rPr>
        <w:t>Cockerill v. Wilson,</w:t>
      </w:r>
      <w:r w:rsidRPr="006A121F">
        <w:rPr>
          <w:rFonts w:ascii="Baskerville Old Face" w:hAnsi="Baskerville Old Face"/>
        </w:rPr>
        <w:t xml:space="preserve"> 51 Ill. 2d 179, 281 N.E.2d 648 (1972) (veterinarian’s patients); </w:t>
      </w:r>
      <w:r w:rsidRPr="006A121F">
        <w:rPr>
          <w:rFonts w:ascii="Baskerville Old Face" w:hAnsi="Baskerville Old Face"/>
          <w:i/>
        </w:rPr>
        <w:t>Total Health Physicians, S.C. v. Barrientos</w:t>
      </w:r>
      <w:r w:rsidRPr="006A121F">
        <w:rPr>
          <w:rFonts w:ascii="Baskerville Old Face" w:hAnsi="Baskerville Old Face"/>
        </w:rPr>
        <w:t xml:space="preserve">, 151 Ill. App. 3d 726, 104 Ill. Dec. 580, 502 N.E.2d 1240 (1st Dist. 1986) (physician’s patients); </w:t>
      </w:r>
      <w:r w:rsidRPr="006A121F">
        <w:rPr>
          <w:rFonts w:ascii="Baskerville Old Face" w:hAnsi="Baskerville Old Face"/>
          <w:i/>
        </w:rPr>
        <w:t>Canfield v. Spear</w:t>
      </w:r>
      <w:r w:rsidRPr="006A121F">
        <w:rPr>
          <w:rFonts w:ascii="Baskerville Old Face" w:hAnsi="Baskerville Old Face"/>
        </w:rPr>
        <w:t xml:space="preserve">, 44 Ill. 2d 49, 254 N.E.2d 433 (1969) (physician’s patients)). Although the </w:t>
      </w:r>
      <w:r w:rsidRPr="006A121F">
        <w:rPr>
          <w:rFonts w:ascii="Baskerville Old Face" w:hAnsi="Baskerville Old Face"/>
          <w:i/>
        </w:rPr>
        <w:t>Sarah Bush</w:t>
      </w:r>
      <w:r w:rsidRPr="006A121F">
        <w:rPr>
          <w:rFonts w:ascii="Baskerville Old Face" w:hAnsi="Baskerville Old Face"/>
        </w:rPr>
        <w:t xml:space="preserve"> court cited </w:t>
      </w:r>
      <w:r w:rsidRPr="006A121F">
        <w:rPr>
          <w:rFonts w:ascii="Baskerville Old Face" w:hAnsi="Baskerville Old Face"/>
          <w:i/>
        </w:rPr>
        <w:t>Cockerill</w:t>
      </w:r>
      <w:r w:rsidRPr="006A121F">
        <w:rPr>
          <w:rFonts w:ascii="Baskerville Old Face" w:hAnsi="Baskerville Old Face"/>
        </w:rPr>
        <w:t xml:space="preserve"> and </w:t>
      </w:r>
      <w:r w:rsidRPr="006A121F">
        <w:rPr>
          <w:rFonts w:ascii="Baskerville Old Face" w:hAnsi="Baskerville Old Face"/>
          <w:i/>
        </w:rPr>
        <w:t>Canfield</w:t>
      </w:r>
      <w:r w:rsidRPr="006A121F">
        <w:rPr>
          <w:rFonts w:ascii="Baskerville Old Face" w:hAnsi="Baskerville Old Face"/>
        </w:rPr>
        <w:t xml:space="preserve"> for the principle that medical professionals have an inherently permanent or near-permanent relationship with their patients, those courts actually enforced noncompete agreements with respect to doctors and veterinarians, respectively, only after finding “near permanent relationships” between the employers and their clients.</w:t>
      </w:r>
    </w:p>
    <w:p w14:paraId="66D81C58"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In </w:t>
      </w:r>
      <w:r w:rsidRPr="006A121F">
        <w:rPr>
          <w:rFonts w:ascii="Baskerville Old Face" w:hAnsi="Baskerville Old Face"/>
          <w:i/>
        </w:rPr>
        <w:t>Sarah Bush,</w:t>
      </w:r>
      <w:r w:rsidRPr="006A121F">
        <w:rPr>
          <w:rFonts w:ascii="Baskerville Old Face" w:hAnsi="Baskerville Old Face"/>
        </w:rPr>
        <w:t xml:space="preserve"> the court explained:</w:t>
      </w:r>
    </w:p>
    <w:p w14:paraId="0BC44672" w14:textId="77777777" w:rsidR="00020BD9" w:rsidRPr="006532A6" w:rsidRDefault="00020BD9" w:rsidP="00020BD9">
      <w:pPr>
        <w:pStyle w:val="block-p-0"/>
        <w:rPr>
          <w:rFonts w:ascii="Baskerville Old Face" w:hAnsi="Baskerville Old Face" w:cs="Times New Roman"/>
        </w:rPr>
      </w:pPr>
      <w:r w:rsidRPr="006532A6">
        <w:rPr>
          <w:rFonts w:ascii="Baskerville Old Face" w:hAnsi="Baskerville Old Face" w:cs="Times New Roman"/>
        </w:rPr>
        <w:t xml:space="preserve">In the last 20 years, the supreme court has not dealt with the question of whether an employee has a sufficient proprietary interest in its customers, clients, or patients to justify enforcement of covenants in contracts of employment which restrict competition. In </w:t>
      </w:r>
      <w:r w:rsidRPr="006532A6">
        <w:rPr>
          <w:rFonts w:ascii="Baskerville Old Face" w:hAnsi="Baskerville Old Face" w:cs="Times New Roman"/>
          <w:i/>
          <w:iCs/>
        </w:rPr>
        <w:t>Lee/O’Keefe Insurance Agency, Inc. v. Ferega</w:t>
      </w:r>
      <w:r w:rsidRPr="006532A6">
        <w:rPr>
          <w:rFonts w:ascii="Baskerville Old Face" w:hAnsi="Baskerville Old Face" w:cs="Times New Roman"/>
        </w:rPr>
        <w:t xml:space="preserve"> (1987), 163 Ill. App. 3d 997, 114 Ill. Dec. 919, 516 N.E.2d 1313, this court affirmed a circuit court’s order denying a preliminary injunction which, </w:t>
      </w:r>
      <w:r w:rsidRPr="006532A6">
        <w:rPr>
          <w:rFonts w:ascii="Baskerville Old Face" w:hAnsi="Baskerville Old Face" w:cs="Times New Roman"/>
          <w:i/>
          <w:iCs/>
        </w:rPr>
        <w:t>inter alia</w:t>
      </w:r>
      <w:r w:rsidRPr="006532A6">
        <w:rPr>
          <w:rFonts w:ascii="Baskerville Old Face" w:hAnsi="Baskerville Old Face" w:cs="Times New Roman"/>
        </w:rPr>
        <w:t xml:space="preserve">, would have prohibited a former employee of an insurance agency from competing with a former employer within a 100-mile radius of the former employer’s place of business. The covenant against competition for which enforcement was sought would have prohibited competition by the former employee for a period of five years within the 100-mile radius. The </w:t>
      </w:r>
      <w:r w:rsidRPr="006532A6">
        <w:rPr>
          <w:rFonts w:ascii="Baskerville Old Face" w:hAnsi="Baskerville Old Face" w:cs="Times New Roman"/>
          <w:i/>
          <w:iCs/>
        </w:rPr>
        <w:t>Ferega</w:t>
      </w:r>
      <w:r w:rsidRPr="006532A6">
        <w:rPr>
          <w:rFonts w:ascii="Baskerville Old Face" w:hAnsi="Baskerville Old Face" w:cs="Times New Roman"/>
        </w:rPr>
        <w:t xml:space="preserve"> court also af</w:t>
      </w:r>
      <w:r w:rsidRPr="006532A6">
        <w:rPr>
          <w:rFonts w:ascii="Baskerville Old Face" w:hAnsi="Baskerville Old Face" w:cs="Times New Roman"/>
        </w:rPr>
        <w:lastRenderedPageBreak/>
        <w:t>firmed a denial of a preliminary injunction to enforce an additional covenant against use or disclosure of the list of the former employer’s customers.</w:t>
      </w:r>
    </w:p>
    <w:p w14:paraId="03CF3B2A" w14:textId="77777777" w:rsidR="00020BD9" w:rsidRPr="006532A6" w:rsidRDefault="00020BD9" w:rsidP="00020BD9">
      <w:pPr>
        <w:pStyle w:val="block-p--"/>
        <w:rPr>
          <w:rFonts w:ascii="Baskerville Old Face" w:hAnsi="Baskerville Old Face" w:cs="Times New Roman"/>
        </w:rPr>
      </w:pPr>
      <w:r w:rsidRPr="006532A6">
        <w:rPr>
          <w:rFonts w:ascii="Baskerville Old Face" w:hAnsi="Baskerville Old Face" w:cs="Times New Roman"/>
        </w:rPr>
        <w:t xml:space="preserve">In </w:t>
      </w:r>
      <w:r w:rsidRPr="006532A6">
        <w:rPr>
          <w:rFonts w:ascii="Baskerville Old Face" w:hAnsi="Baskerville Old Face" w:cs="Times New Roman"/>
          <w:i/>
          <w:iCs/>
        </w:rPr>
        <w:t>Ferega,</w:t>
      </w:r>
      <w:r w:rsidRPr="006532A6">
        <w:rPr>
          <w:rFonts w:ascii="Baskerville Old Face" w:hAnsi="Baskerville Old Face" w:cs="Times New Roman"/>
        </w:rPr>
        <w:t xml:space="preserve"> the principal reason for the affirmance in regard to the denial of injunctive relief as to the covenant against competition was that the 100-mile radius and five-year term were unreasonable. (</w:t>
      </w:r>
      <w:r w:rsidRPr="006532A6">
        <w:rPr>
          <w:rFonts w:ascii="Baskerville Old Face" w:hAnsi="Baskerville Old Face" w:cs="Times New Roman"/>
          <w:i/>
          <w:iCs/>
        </w:rPr>
        <w:t>House of Vision, Inc. v. Hiyane</w:t>
      </w:r>
      <w:r w:rsidRPr="006532A6">
        <w:rPr>
          <w:rFonts w:ascii="Baskerville Old Face" w:hAnsi="Baskerville Old Face" w:cs="Times New Roman"/>
        </w:rPr>
        <w:t xml:space="preserve"> (1967), 37 Ill. 2d 32, 225 N.E.2d 21.) However, citing </w:t>
      </w:r>
      <w:r w:rsidRPr="006532A6">
        <w:rPr>
          <w:rFonts w:ascii="Baskerville Old Face" w:hAnsi="Baskerville Old Face" w:cs="Times New Roman"/>
          <w:i/>
          <w:iCs/>
        </w:rPr>
        <w:t>Image Supplies, Inc. v. Hilmert</w:t>
      </w:r>
      <w:r w:rsidRPr="006532A6">
        <w:rPr>
          <w:rFonts w:ascii="Baskerville Old Face" w:hAnsi="Baskerville Old Face" w:cs="Times New Roman"/>
        </w:rPr>
        <w:t xml:space="preserve"> (1979), 71 Ill. App. 3d 710, 28 Ill. Dec. 86, 390 N.E.2d 68, this court also stated: “A restrictive covenant may be held enforceable only if the time limit and geographic scope are reasonable, trade secrets or confidential information are involved, and the restriction is reasonably necessary for the protection of a legitimate business interest.” [Emphasis deleted.] </w:t>
      </w:r>
      <w:r w:rsidRPr="006532A6">
        <w:rPr>
          <w:rFonts w:ascii="Baskerville Old Face" w:hAnsi="Baskerville Old Face" w:cs="Times New Roman"/>
          <w:i/>
          <w:iCs/>
        </w:rPr>
        <w:t>Ferega,</w:t>
      </w:r>
      <w:r w:rsidRPr="006532A6">
        <w:rPr>
          <w:rFonts w:ascii="Baskerville Old Face" w:hAnsi="Baskerville Old Face" w:cs="Times New Roman"/>
        </w:rPr>
        <w:t xml:space="preserve"> 163 Ill. App. 3d at 1006, 114 Ill. Dec. at 925, 516 N.E.2d at 1319.</w:t>
      </w:r>
    </w:p>
    <w:p w14:paraId="401D7321" w14:textId="77777777" w:rsidR="00020BD9" w:rsidRPr="006532A6" w:rsidRDefault="00020BD9" w:rsidP="00020BD9">
      <w:pPr>
        <w:pStyle w:val="block-p--"/>
        <w:rPr>
          <w:rFonts w:ascii="Baskerville Old Face" w:hAnsi="Baskerville Old Face" w:cs="Times New Roman"/>
        </w:rPr>
      </w:pPr>
      <w:r w:rsidRPr="006532A6">
        <w:rPr>
          <w:rFonts w:ascii="Baskerville Old Face" w:hAnsi="Baskerville Old Face" w:cs="Times New Roman"/>
        </w:rPr>
        <w:t xml:space="preserve">In </w:t>
      </w:r>
      <w:r w:rsidRPr="006532A6">
        <w:rPr>
          <w:rFonts w:ascii="Baskerville Old Face" w:hAnsi="Baskerville Old Face" w:cs="Times New Roman"/>
          <w:i/>
          <w:iCs/>
        </w:rPr>
        <w:t>Image Supplies, Inc.</w:t>
      </w:r>
      <w:r w:rsidRPr="006532A6">
        <w:rPr>
          <w:rFonts w:ascii="Baskerville Old Face" w:hAnsi="Baskerville Old Face" w:cs="Times New Roman"/>
        </w:rPr>
        <w:t xml:space="preserve"> (71 Ill. App. 3d at 713, 28 Ill. Dec. at 89, 390 N.E.2d at 71), that court distinguished the proof necessary to show a sufficient interest protected by a restrictive covenant, in an ordinary case, where the employee is in such a position as a salesman, from that necessary in cases such as </w:t>
      </w:r>
      <w:r w:rsidRPr="006532A6">
        <w:rPr>
          <w:rFonts w:ascii="Baskerville Old Face" w:hAnsi="Baskerville Old Face" w:cs="Times New Roman"/>
          <w:i/>
          <w:iCs/>
        </w:rPr>
        <w:t>Cockerill v. Wilson</w:t>
      </w:r>
      <w:r w:rsidRPr="006532A6">
        <w:rPr>
          <w:rFonts w:ascii="Baskerville Old Face" w:hAnsi="Baskerville Old Face" w:cs="Times New Roman"/>
        </w:rPr>
        <w:t xml:space="preserve"> (1972), 51 Ill. 2d 179, 281 N.E.2d 648, and </w:t>
      </w:r>
      <w:r w:rsidRPr="006532A6">
        <w:rPr>
          <w:rFonts w:ascii="Baskerville Old Face" w:hAnsi="Baskerville Old Face" w:cs="Times New Roman"/>
          <w:i/>
          <w:iCs/>
        </w:rPr>
        <w:t>Canfield v. Spear</w:t>
      </w:r>
      <w:r w:rsidRPr="006532A6">
        <w:rPr>
          <w:rFonts w:ascii="Baskerville Old Face" w:hAnsi="Baskerville Old Face" w:cs="Times New Roman"/>
        </w:rPr>
        <w:t xml:space="preserve"> (1969), 44 Ill. 2d 49, 254 N.E.2d 433, where the employees giving the covenant[s] were a veterinarian and a physician, respectively. In </w:t>
      </w:r>
      <w:r w:rsidRPr="006532A6">
        <w:rPr>
          <w:rFonts w:ascii="Baskerville Old Face" w:hAnsi="Baskerville Old Face" w:cs="Times New Roman"/>
          <w:i/>
          <w:iCs/>
        </w:rPr>
        <w:t>Image Supplies, Inc.,</w:t>
      </w:r>
      <w:r w:rsidRPr="006532A6">
        <w:rPr>
          <w:rFonts w:ascii="Baskerville Old Face" w:hAnsi="Baskerville Old Face" w:cs="Times New Roman"/>
        </w:rPr>
        <w:t xml:space="preserve"> the court pointed out that in </w:t>
      </w:r>
      <w:r w:rsidRPr="006532A6">
        <w:rPr>
          <w:rFonts w:ascii="Baskerville Old Face" w:hAnsi="Baskerville Old Face" w:cs="Times New Roman"/>
          <w:i/>
          <w:iCs/>
        </w:rPr>
        <w:t>Nationwide Advertising Service, Inc. v. Kolar</w:t>
      </w:r>
      <w:r w:rsidRPr="006532A6">
        <w:rPr>
          <w:rFonts w:ascii="Baskerville Old Face" w:hAnsi="Baskerville Old Face" w:cs="Times New Roman"/>
        </w:rPr>
        <w:t xml:space="preserve"> (1973), 14 Ill. App. 3d 522, 528, 302 N.E.2d 734, 738, it had stated: “‘The very nature of the professions in which [the plaintiffs in </w:t>
      </w:r>
      <w:r w:rsidRPr="006532A6">
        <w:rPr>
          <w:rFonts w:ascii="Baskerville Old Face" w:hAnsi="Baskerville Old Face" w:cs="Times New Roman"/>
          <w:i/>
          <w:iCs/>
        </w:rPr>
        <w:t>Cockerill</w:t>
      </w:r>
      <w:r w:rsidRPr="006532A6">
        <w:rPr>
          <w:rFonts w:ascii="Baskerville Old Face" w:hAnsi="Baskerville Old Face" w:cs="Times New Roman"/>
        </w:rPr>
        <w:t xml:space="preserve"> and </w:t>
      </w:r>
      <w:r w:rsidRPr="006532A6">
        <w:rPr>
          <w:rFonts w:ascii="Baskerville Old Face" w:hAnsi="Baskerville Old Face" w:cs="Times New Roman"/>
          <w:i/>
          <w:iCs/>
        </w:rPr>
        <w:t>Canfield</w:t>
      </w:r>
      <w:r w:rsidRPr="006532A6">
        <w:rPr>
          <w:rFonts w:ascii="Baskerville Old Face" w:hAnsi="Baskerville Old Face" w:cs="Times New Roman"/>
        </w:rPr>
        <w:t xml:space="preserve">] were engaged indicates that they could justifiably anticipate a permanent or near-permanent relationship with the clientele.”’ The </w:t>
      </w:r>
      <w:r w:rsidRPr="006532A6">
        <w:rPr>
          <w:rFonts w:ascii="Baskerville Old Face" w:hAnsi="Baskerville Old Face" w:cs="Times New Roman"/>
          <w:i/>
          <w:iCs/>
        </w:rPr>
        <w:t>Cockerill</w:t>
      </w:r>
      <w:r w:rsidRPr="006532A6">
        <w:rPr>
          <w:rFonts w:ascii="Baskerville Old Face" w:hAnsi="Baskerville Old Face" w:cs="Times New Roman"/>
        </w:rPr>
        <w:t xml:space="preserve"> court made short work of deciding whether a protectable interest was shown by the employer. It stated:</w:t>
      </w:r>
    </w:p>
    <w:p w14:paraId="44D68DA8" w14:textId="77777777" w:rsidR="00020BD9" w:rsidRPr="006A121F" w:rsidRDefault="00020BD9" w:rsidP="00020BD9">
      <w:pPr>
        <w:pStyle w:val="block-f2ndindent"/>
        <w:rPr>
          <w:rFonts w:ascii="Baskerville Old Face" w:hAnsi="Baskerville Old Face"/>
        </w:rPr>
      </w:pPr>
      <w:r w:rsidRPr="006A121F">
        <w:rPr>
          <w:rFonts w:ascii="Baskerville Old Face" w:hAnsi="Baskerville Old Face"/>
        </w:rPr>
        <w:t>“In considering this issue we must consider that the interest plaintiff sought to protect by the covenant was his interest in his clients. (</w:t>
      </w:r>
      <w:r w:rsidRPr="006A121F">
        <w:rPr>
          <w:rFonts w:ascii="Baskerville Old Face" w:hAnsi="Baskerville Old Face"/>
          <w:i/>
        </w:rPr>
        <w:t>House of Vision, Inc. v. Hiyane</w:t>
      </w:r>
      <w:r w:rsidRPr="006A121F">
        <w:rPr>
          <w:rFonts w:ascii="Baskerville Old Face" w:hAnsi="Baskerville Old Face"/>
        </w:rPr>
        <w:t xml:space="preserve"> (1967), 37 Ill. 2d 32[, 225 N.E.2d 21].) In bringing defendant into the association plaintiff was thereby bringing him in contact with a clientele which plaintiff has established over a period of years. Plaintiff was naturally interested in protecting his clients from being taken over by defendant as a result of these contacts.” (</w:t>
      </w:r>
      <w:r w:rsidRPr="006A121F">
        <w:rPr>
          <w:rFonts w:ascii="Baskerville Old Face" w:hAnsi="Baskerville Old Face"/>
          <w:i/>
        </w:rPr>
        <w:t>Cockerill,</w:t>
      </w:r>
      <w:r w:rsidRPr="006A121F">
        <w:rPr>
          <w:rFonts w:ascii="Baskerville Old Face" w:hAnsi="Baskerville Old Face"/>
        </w:rPr>
        <w:t xml:space="preserve"> 51 Ill. 2d at 184, 281 N.E.2d at 651.)</w:t>
      </w:r>
    </w:p>
    <w:p w14:paraId="7605499C" w14:textId="77777777" w:rsidR="00020BD9" w:rsidRPr="006532A6" w:rsidRDefault="00020BD9" w:rsidP="00020BD9">
      <w:pPr>
        <w:pStyle w:val="block-p-"/>
        <w:rPr>
          <w:rFonts w:ascii="Baskerville Old Face" w:hAnsi="Baskerville Old Face" w:cs="Times New Roman"/>
        </w:rPr>
      </w:pPr>
      <w:r w:rsidRPr="006532A6">
        <w:rPr>
          <w:rFonts w:ascii="Baskerville Old Face" w:hAnsi="Baskerville Old Face" w:cs="Times New Roman"/>
        </w:rPr>
        <w:t xml:space="preserve">The situation of the defendant here was more nearly like that of the professionals in </w:t>
      </w:r>
      <w:r w:rsidRPr="006532A6">
        <w:rPr>
          <w:rFonts w:ascii="Baskerville Old Face" w:hAnsi="Baskerville Old Face" w:cs="Times New Roman"/>
          <w:i/>
          <w:iCs/>
        </w:rPr>
        <w:t>Cockerill</w:t>
      </w:r>
      <w:r w:rsidRPr="006532A6">
        <w:rPr>
          <w:rFonts w:ascii="Baskerville Old Face" w:hAnsi="Baskerville Old Face" w:cs="Times New Roman"/>
        </w:rPr>
        <w:t xml:space="preserve"> and </w:t>
      </w:r>
      <w:r w:rsidRPr="006532A6">
        <w:rPr>
          <w:rFonts w:ascii="Baskerville Old Face" w:hAnsi="Baskerville Old Face" w:cs="Times New Roman"/>
          <w:i/>
          <w:iCs/>
        </w:rPr>
        <w:t>Canfield</w:t>
      </w:r>
      <w:r w:rsidRPr="006532A6">
        <w:rPr>
          <w:rFonts w:ascii="Baskerville Old Face" w:hAnsi="Baskerville Old Face" w:cs="Times New Roman"/>
        </w:rPr>
        <w:t xml:space="preserve"> and the showing of a proper protectable interest was inherent in the relationships alleged in the complaint.</w:t>
      </w:r>
    </w:p>
    <w:p w14:paraId="43E5CEDF" w14:textId="77777777" w:rsidR="00020BD9" w:rsidRPr="006532A6" w:rsidRDefault="00020BD9" w:rsidP="00020BD9">
      <w:pPr>
        <w:pStyle w:val="textflush"/>
        <w:rPr>
          <w:rFonts w:ascii="Baskerville Old Face" w:hAnsi="Baskerville Old Face" w:cs="Times New Roman"/>
        </w:rPr>
      </w:pPr>
      <w:r w:rsidRPr="006532A6">
        <w:rPr>
          <w:rFonts w:ascii="Baskerville Old Face" w:hAnsi="Baskerville Old Face" w:cs="Times New Roman"/>
          <w:i/>
          <w:iCs/>
        </w:rPr>
        <w:t xml:space="preserve">Sarah Bush, </w:t>
      </w:r>
      <w:r w:rsidRPr="006532A6">
        <w:rPr>
          <w:rFonts w:ascii="Baskerville Old Face" w:hAnsi="Baskerville Old Face" w:cs="Times New Roman"/>
        </w:rPr>
        <w:t>605 N.E.2d at 617.</w:t>
      </w:r>
    </w:p>
    <w:p w14:paraId="623E1BC0"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On authority of </w:t>
      </w:r>
      <w:r w:rsidRPr="006A121F">
        <w:rPr>
          <w:rFonts w:ascii="Baskerville Old Face" w:hAnsi="Baskerville Old Face"/>
          <w:i/>
        </w:rPr>
        <w:t>Canfield</w:t>
      </w:r>
      <w:r w:rsidRPr="006A121F">
        <w:rPr>
          <w:rFonts w:ascii="Baskerville Old Face" w:hAnsi="Baskerville Old Face"/>
        </w:rPr>
        <w:t xml:space="preserve"> and </w:t>
      </w:r>
      <w:r w:rsidRPr="006A121F">
        <w:rPr>
          <w:rFonts w:ascii="Baskerville Old Face" w:hAnsi="Baskerville Old Face"/>
          <w:i/>
        </w:rPr>
        <w:t>Spear,</w:t>
      </w:r>
      <w:r w:rsidRPr="006A121F">
        <w:rPr>
          <w:rFonts w:ascii="Baskerville Old Face" w:hAnsi="Baskerville Old Face"/>
        </w:rPr>
        <w:t xml:space="preserve"> and with no mention of </w:t>
      </w:r>
      <w:r w:rsidRPr="006A121F">
        <w:rPr>
          <w:rFonts w:ascii="Baskerville Old Face" w:hAnsi="Baskerville Old Face"/>
          <w:i/>
        </w:rPr>
        <w:t>Retina Servs.,</w:t>
      </w:r>
      <w:r w:rsidRPr="006A121F">
        <w:rPr>
          <w:rFonts w:ascii="Baskerville Old Face" w:hAnsi="Baskerville Old Face"/>
        </w:rPr>
        <w:t xml:space="preserve"> the court in </w:t>
      </w:r>
      <w:r w:rsidRPr="006A121F">
        <w:rPr>
          <w:rFonts w:ascii="Baskerville Old Face" w:hAnsi="Baskerville Old Face"/>
          <w:i/>
        </w:rPr>
        <w:t>Williams &amp; Montgomery, Ltd. v. Stellato,</w:t>
      </w:r>
      <w:r w:rsidRPr="006A121F">
        <w:rPr>
          <w:rFonts w:ascii="Baskerville Old Face" w:hAnsi="Baskerville Old Face"/>
        </w:rPr>
        <w:t xml:space="preserve"> </w:t>
      </w:r>
      <w:r w:rsidRPr="006A121F">
        <w:rPr>
          <w:rFonts w:ascii="Baskerville Old Face" w:hAnsi="Baskerville Old Face"/>
        </w:rPr>
        <w:lastRenderedPageBreak/>
        <w:t>195 Ill. App. 3d 544, 142 Ill. Dec. 359, 522 N.E.2d 1100, 1107 (1st Dist. 1990), applied the “near permanent relationships” test in analyzing a noncompete agreement between a law firm and certain former partners. Thus, the rule that applies to medical professional practices—that is, that the near-permanency of customer relationships (or “patient” or “client” relationships, depending on the industry involved)—does not apply to legal professional practices.</w:t>
      </w:r>
    </w:p>
    <w:p w14:paraId="03BB6D52"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The second part of the first alternative test for the existence of a protectable employer interest (i.e., the “but for his employment, the employee would not have had contact with the employer’s customers” prong) is not satisfied where “most of the customers were brought in [to the employer’s clientele] via ‘cold calls,’ since most of these customers could be found in the phone book and randomly contacted by any [employee of the type at issue].” </w:t>
      </w:r>
      <w:r w:rsidRPr="006A121F">
        <w:rPr>
          <w:rFonts w:ascii="Baskerville Old Face" w:hAnsi="Baskerville Old Face"/>
          <w:i/>
        </w:rPr>
        <w:t xml:space="preserve">Rapp Ins., </w:t>
      </w:r>
      <w:r w:rsidRPr="006A121F">
        <w:rPr>
          <w:rFonts w:ascii="Baskerville Old Face" w:hAnsi="Baskerville Old Face"/>
        </w:rPr>
        <w:t xml:space="preserve">597 N.E.2d at 939. </w:t>
      </w:r>
      <w:r w:rsidRPr="006A121F">
        <w:rPr>
          <w:rFonts w:ascii="Baskerville Old Face" w:hAnsi="Baskerville Old Face"/>
          <w:i/>
        </w:rPr>
        <w:t>See also Springfield Rare Coin,</w:t>
      </w:r>
      <w:r w:rsidRPr="006A121F">
        <w:rPr>
          <w:rFonts w:ascii="Baskerville Old Face" w:hAnsi="Baskerville Old Face"/>
        </w:rPr>
        <w:t xml:space="preserve"> 620 N.E.2d at 490. </w:t>
      </w:r>
      <w:r w:rsidRPr="006A121F">
        <w:rPr>
          <w:rFonts w:ascii="Baskerville Old Face" w:hAnsi="Baskerville Old Face"/>
          <w:i/>
        </w:rPr>
        <w:t>But see</w:t>
      </w:r>
      <w:r w:rsidRPr="006A121F">
        <w:rPr>
          <w:rFonts w:ascii="Baskerville Old Face" w:hAnsi="Baskerville Old Face"/>
        </w:rPr>
        <w:t xml:space="preserve"> </w:t>
      </w:r>
      <w:r w:rsidRPr="006A121F">
        <w:rPr>
          <w:rFonts w:ascii="Baskerville Old Face" w:hAnsi="Baskerville Old Face"/>
          <w:i/>
        </w:rPr>
        <w:t xml:space="preserve">Rapp, </w:t>
      </w:r>
      <w:r w:rsidRPr="006A121F">
        <w:rPr>
          <w:rFonts w:ascii="Baskerville Old Face" w:hAnsi="Baskerville Old Face"/>
        </w:rPr>
        <w:t>597 N.E.2d at 940 (Welch, J., dissenting).</w:t>
      </w:r>
    </w:p>
    <w:p w14:paraId="485D8ABA"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In </w:t>
      </w:r>
      <w:r w:rsidRPr="006A121F">
        <w:rPr>
          <w:rFonts w:ascii="Baskerville Old Face" w:hAnsi="Baskerville Old Face"/>
          <w:i/>
        </w:rPr>
        <w:t>Lawrence &amp; Allen</w:t>
      </w:r>
      <w:r w:rsidRPr="006A121F">
        <w:rPr>
          <w:rFonts w:ascii="Baskerville Old Face" w:hAnsi="Baskerville Old Face"/>
        </w:rPr>
        <w:t xml:space="preserve">, the court of appeals determined that, for the covenants at issue there, “the ‘nature of the business’ test is more appropriate” to determine whether the former employer—a corporate employee outplacement firm—enjoyed a near-permanent relationship with its customers. 226 Ill. Dec. at 340–41, 685 N.E.2d at 443–44 (citing </w:t>
      </w:r>
      <w:r w:rsidRPr="006A121F">
        <w:rPr>
          <w:rFonts w:ascii="Baskerville Old Face" w:hAnsi="Baskerville Old Face"/>
          <w:i/>
        </w:rPr>
        <w:t>Springfield Rare Coin</w:t>
      </w:r>
      <w:r w:rsidRPr="006A121F">
        <w:rPr>
          <w:rFonts w:ascii="Baskerville Old Face" w:hAnsi="Baskerville Old Face"/>
        </w:rPr>
        <w:t>, 250 Ill. App. 3d at 937, 189 Ill. Dec. 511, 620 N.E.2d 479 (</w:t>
      </w:r>
      <w:r w:rsidRPr="006A121F">
        <w:rPr>
          <w:rFonts w:ascii="Baskerville Old Face" w:hAnsi="Baskerville Old Face"/>
          <w:i/>
        </w:rPr>
        <w:t>Agrimerica</w:t>
      </w:r>
      <w:r w:rsidRPr="006A121F">
        <w:rPr>
          <w:rFonts w:ascii="Baskerville Old Face" w:hAnsi="Baskerville Old Face"/>
        </w:rPr>
        <w:t xml:space="preserve"> factors need not be applied in all cases)). It explained:</w:t>
      </w:r>
    </w:p>
    <w:p w14:paraId="479FD44A" w14:textId="77777777" w:rsidR="00020BD9" w:rsidRPr="006532A6" w:rsidRDefault="00020BD9" w:rsidP="00020BD9">
      <w:pPr>
        <w:pStyle w:val="block-p-0"/>
        <w:rPr>
          <w:rFonts w:ascii="Baskerville Old Face" w:hAnsi="Baskerville Old Face" w:cs="Times New Roman"/>
        </w:rPr>
      </w:pPr>
      <w:r w:rsidRPr="006532A6">
        <w:rPr>
          <w:rFonts w:ascii="Baskerville Old Face" w:hAnsi="Baskerville Old Face" w:cs="Times New Roman"/>
        </w:rPr>
        <w:t xml:space="preserve">Generally, the near-permanency test turns in large degree on the nature of the business involved, and certain businesses are just more amenable to success under it. </w:t>
      </w:r>
      <w:r w:rsidRPr="006532A6">
        <w:rPr>
          <w:rFonts w:ascii="Baskerville Old Face" w:hAnsi="Baskerville Old Face" w:cs="Times New Roman"/>
          <w:i/>
          <w:iCs/>
        </w:rPr>
        <w:t>Office Mates 5, North Shore</w:t>
      </w:r>
      <w:r w:rsidRPr="006532A6">
        <w:rPr>
          <w:rFonts w:ascii="Baskerville Old Face" w:hAnsi="Baskerville Old Face" w:cs="Times New Roman"/>
        </w:rPr>
        <w:t xml:space="preserve">, 234 Ill. App. 3d at 568, 175 Ill. Dec. 58, 599 N.E.2d 1072. For instance, a near-permanent relationship with clients is inherent in the provision of professional services. </w:t>
      </w:r>
      <w:r w:rsidRPr="006532A6">
        <w:rPr>
          <w:rFonts w:ascii="Baskerville Old Face" w:hAnsi="Baskerville Old Face" w:cs="Times New Roman"/>
          <w:i/>
          <w:iCs/>
        </w:rPr>
        <w:t>Springfield Rare Coin Galleries</w:t>
      </w:r>
      <w:r w:rsidRPr="006532A6">
        <w:rPr>
          <w:rFonts w:ascii="Baskerville Old Face" w:hAnsi="Baskerville Old Face" w:cs="Times New Roman"/>
        </w:rPr>
        <w:t xml:space="preserve">, 250 Ill. App. 3d at 935, 189 Ill. Dec. 511, 620 N.E.2d 479; </w:t>
      </w:r>
      <w:r w:rsidRPr="006532A6">
        <w:rPr>
          <w:rFonts w:ascii="Baskerville Old Face" w:hAnsi="Baskerville Old Face" w:cs="Times New Roman"/>
          <w:i/>
          <w:iCs/>
        </w:rPr>
        <w:t>see also Office Mates 5, North Shore</w:t>
      </w:r>
      <w:r w:rsidRPr="006532A6">
        <w:rPr>
          <w:rFonts w:ascii="Baskerville Old Face" w:hAnsi="Baskerville Old Face" w:cs="Times New Roman"/>
        </w:rPr>
        <w:t xml:space="preserve">, 234 Ill. App. 3d at 571, 175 Ill. Dec. 58, 599 N.E.2d 1072 (and cases cited therein). On the other hand, a near-permanent relationship with customers is generally absent from businesses engaged in sales. </w:t>
      </w:r>
      <w:r w:rsidRPr="006532A6">
        <w:rPr>
          <w:rFonts w:ascii="Baskerville Old Face" w:hAnsi="Baskerville Old Face" w:cs="Times New Roman"/>
          <w:i/>
          <w:iCs/>
        </w:rPr>
        <w:t>Springfield Rare Coin Galleries</w:t>
      </w:r>
      <w:r w:rsidRPr="006532A6">
        <w:rPr>
          <w:rFonts w:ascii="Baskerville Old Face" w:hAnsi="Baskerville Old Face" w:cs="Times New Roman"/>
        </w:rPr>
        <w:t xml:space="preserve">, 250 Ill. App. 3d at 935, 189 Ill. Dec. 511, 620 N.E.2d 479. Moreover, a near-permanent relationship is generally absent where the nature of the plaintiff’s business does not engender customer loyalty by providing a unique product or personal service and customers utilize many suppliers simultaneously to meet their needs. </w:t>
      </w:r>
      <w:r w:rsidRPr="006532A6">
        <w:rPr>
          <w:rFonts w:ascii="Baskerville Old Face" w:hAnsi="Baskerville Old Face" w:cs="Times New Roman"/>
          <w:i/>
          <w:iCs/>
        </w:rPr>
        <w:t>Office Mates 5, North Shore</w:t>
      </w:r>
      <w:r w:rsidRPr="006532A6">
        <w:rPr>
          <w:rFonts w:ascii="Baskerville Old Face" w:hAnsi="Baskerville Old Face" w:cs="Times New Roman"/>
        </w:rPr>
        <w:t xml:space="preserve">, 234 Ill. App. 3d at 571, 175 Ill. Dec. 58, 599 </w:t>
      </w:r>
      <w:r w:rsidRPr="006532A6">
        <w:rPr>
          <w:rFonts w:ascii="Baskerville Old Face" w:hAnsi="Baskerville Old Face" w:cs="Times New Roman"/>
        </w:rPr>
        <w:lastRenderedPageBreak/>
        <w:t xml:space="preserve">N.E.2d 1072. In this type of situation, the industry is highly competitive, the identity of customers or clients is well known in the industry, employers rely heavily on their sales force, and customers satisfy their needs through cross-purchasing. </w:t>
      </w:r>
      <w:r w:rsidRPr="006532A6">
        <w:rPr>
          <w:rFonts w:ascii="Baskerville Old Face" w:hAnsi="Baskerville Old Face" w:cs="Times New Roman"/>
          <w:i/>
          <w:iCs/>
        </w:rPr>
        <w:t>Office Mates 5, North Shore</w:t>
      </w:r>
      <w:r w:rsidRPr="006532A6">
        <w:rPr>
          <w:rFonts w:ascii="Baskerville Old Face" w:hAnsi="Baskerville Old Face" w:cs="Times New Roman"/>
        </w:rPr>
        <w:t>, 234 Ill. App. 3d at 572, 175 Ill. Dec. 58, 599 N.E.2d 1072.</w:t>
      </w:r>
    </w:p>
    <w:p w14:paraId="59A0091A" w14:textId="77777777" w:rsidR="00020BD9" w:rsidRPr="006532A6" w:rsidRDefault="00020BD9" w:rsidP="00020BD9">
      <w:pPr>
        <w:pStyle w:val="block-p--"/>
        <w:rPr>
          <w:rFonts w:ascii="Baskerville Old Face" w:hAnsi="Baskerville Old Face" w:cs="Times New Roman"/>
        </w:rPr>
      </w:pPr>
      <w:r w:rsidRPr="006532A6">
        <w:rPr>
          <w:rFonts w:ascii="Baskerville Old Face" w:hAnsi="Baskerville Old Face" w:cs="Times New Roman"/>
        </w:rPr>
        <w:t xml:space="preserve">In </w:t>
      </w:r>
      <w:r w:rsidRPr="006532A6">
        <w:rPr>
          <w:rFonts w:ascii="Baskerville Old Face" w:hAnsi="Baskerville Old Face" w:cs="Times New Roman"/>
          <w:i/>
          <w:iCs/>
        </w:rPr>
        <w:t>Williams &amp; Montgomery, Ltd. v. Stellato</w:t>
      </w:r>
      <w:r w:rsidRPr="006532A6">
        <w:rPr>
          <w:rFonts w:ascii="Baskerville Old Face" w:hAnsi="Baskerville Old Face" w:cs="Times New Roman"/>
        </w:rPr>
        <w:t xml:space="preserve">, 195 Ill. App. 3d 544, 554, 142 Ill. Dec. 359, 552 N.E.2d 1100 (1990), the court found that a law firm lacked a near-permanent relationship with its </w:t>
      </w:r>
      <w:r w:rsidRPr="006532A6">
        <w:rPr>
          <w:rFonts w:ascii="Baskerville Old Face" w:hAnsi="Baskerville Old Face" w:cs="Times New Roman"/>
        </w:rPr>
        <w:br/>
        <w:t>clients because its clients were well known to other law firms, the names of its clients were published in directories, and its clients also retained other law firms.</w:t>
      </w:r>
    </w:p>
    <w:p w14:paraId="6B8A0BB3" w14:textId="77777777" w:rsidR="00020BD9" w:rsidRPr="006532A6" w:rsidRDefault="00020BD9" w:rsidP="00020BD9">
      <w:pPr>
        <w:pStyle w:val="block-p--"/>
        <w:rPr>
          <w:rFonts w:ascii="Baskerville Old Face" w:hAnsi="Baskerville Old Face" w:cs="Times New Roman"/>
        </w:rPr>
      </w:pPr>
      <w:r w:rsidRPr="006532A6">
        <w:rPr>
          <w:rFonts w:ascii="Baskerville Old Face" w:hAnsi="Baskerville Old Face" w:cs="Times New Roman"/>
        </w:rPr>
        <w:t xml:space="preserve">The court in </w:t>
      </w:r>
      <w:r w:rsidRPr="006532A6">
        <w:rPr>
          <w:rFonts w:ascii="Baskerville Old Face" w:hAnsi="Baskerville Old Face" w:cs="Times New Roman"/>
          <w:i/>
          <w:iCs/>
        </w:rPr>
        <w:t>Office Mates 5, North Shore</w:t>
      </w:r>
      <w:r w:rsidRPr="006532A6">
        <w:rPr>
          <w:rFonts w:ascii="Baskerville Old Face" w:hAnsi="Baskerville Old Face" w:cs="Times New Roman"/>
        </w:rPr>
        <w:t xml:space="preserve"> found that the plaintiff’s office support personnel placement agency, an industry with many characteristics similar to the corporate employee outplacement industry, lacked a near-permanent relationship where the businesses that needed such support were well known and listed in directories, information about the businesses was only a phone call away, and these businesses filled their hiring needs from more than one placement agency and plaintiff was not that agency every time. </w:t>
      </w:r>
      <w:r w:rsidRPr="006532A6">
        <w:rPr>
          <w:rFonts w:ascii="Baskerville Old Face" w:hAnsi="Baskerville Old Face" w:cs="Times New Roman"/>
          <w:i/>
          <w:iCs/>
        </w:rPr>
        <w:t>Office Mates 5, North Shore</w:t>
      </w:r>
      <w:r w:rsidRPr="006532A6">
        <w:rPr>
          <w:rFonts w:ascii="Baskerville Old Face" w:hAnsi="Baskerville Old Face" w:cs="Times New Roman"/>
        </w:rPr>
        <w:t>, 234 Ill. App. 3d at 572, 175 Ill. Dec. 58, 599 N.E.2d 1072.</w:t>
      </w:r>
    </w:p>
    <w:p w14:paraId="29EFC964" w14:textId="77777777" w:rsidR="00020BD9" w:rsidRPr="006532A6" w:rsidRDefault="00020BD9" w:rsidP="00020BD9">
      <w:pPr>
        <w:pStyle w:val="block-p--"/>
        <w:rPr>
          <w:rFonts w:ascii="Baskerville Old Face" w:hAnsi="Baskerville Old Face" w:cs="Times New Roman"/>
        </w:rPr>
      </w:pPr>
      <w:r w:rsidRPr="006532A6">
        <w:rPr>
          <w:rFonts w:ascii="Baskerville Old Face" w:hAnsi="Baskerville Old Face" w:cs="Times New Roman"/>
        </w:rPr>
        <w:t xml:space="preserve">In the present case, the corporate employee outplacement industry is highly competitive. Businesses in need of outplacement services are well known in the industry. Contracts are generally awarded through a bidding process or according to an employee’s choice of several recommended outplacement firms. Success on one project does not guarantee success on the next project. Mr. Stuenkel [the plaintiff former employer’s senior partner and president] even admitted that plaintiff has lost contracts on projects with clients and is not chosen every time. Businesses use many different outplacement firms, on the same project or on different projects. Many factors determine which outplacement firm is used. The names of human resource directors are easily ascertainable. In other words, the corporate employee outplacement industry “does not engender customer loyalty [by providing] a unique product or personal service, and customers utilize many suppliers simultaneously to meet their needs.” </w:t>
      </w:r>
      <w:r w:rsidRPr="006532A6">
        <w:rPr>
          <w:rFonts w:ascii="Baskerville Old Face" w:hAnsi="Baskerville Old Face" w:cs="Times New Roman"/>
          <w:i/>
          <w:iCs/>
        </w:rPr>
        <w:t>Office Mates 5, North Shore</w:t>
      </w:r>
      <w:r w:rsidRPr="006532A6">
        <w:rPr>
          <w:rFonts w:ascii="Baskerville Old Face" w:hAnsi="Baskerville Old Face" w:cs="Times New Roman"/>
        </w:rPr>
        <w:t>, 234 Ill. App. 3d at 571, 175 Ill. Dec. 58, 599 N.E.2d 1072.</w:t>
      </w:r>
    </w:p>
    <w:p w14:paraId="6F0DC270" w14:textId="77777777" w:rsidR="00020BD9" w:rsidRPr="006532A6" w:rsidRDefault="00020BD9" w:rsidP="00020BD9">
      <w:pPr>
        <w:pStyle w:val="block-p-"/>
        <w:rPr>
          <w:rFonts w:ascii="Baskerville Old Face" w:hAnsi="Baskerville Old Face" w:cs="Times New Roman"/>
        </w:rPr>
      </w:pPr>
      <w:r w:rsidRPr="006532A6">
        <w:rPr>
          <w:rFonts w:ascii="Baskerville Old Face" w:hAnsi="Baskerville Old Face" w:cs="Times New Roman"/>
        </w:rPr>
        <w:t xml:space="preserve">In addition, plaintiff is unable to satisfy the “but for” portion of the near-permanent test. When the names of an employer’s customers are easily ascertainable from telephone and professional directories or are generally well known by an employer’s competitors, the employer will generally be unable to satisfy that the employee would not have had contact with the customers but for the employee’s employment with the employer. </w:t>
      </w:r>
      <w:r w:rsidRPr="006532A6">
        <w:rPr>
          <w:rFonts w:ascii="Baskerville Old Face" w:hAnsi="Baskerville Old Face" w:cs="Times New Roman"/>
          <w:i/>
          <w:iCs/>
        </w:rPr>
        <w:t>Springfield Rare Coin Galleries</w:t>
      </w:r>
      <w:r w:rsidRPr="006532A6">
        <w:rPr>
          <w:rFonts w:ascii="Baskerville Old Face" w:hAnsi="Baskerville Old Face" w:cs="Times New Roman"/>
        </w:rPr>
        <w:t xml:space="preserve">, 250 Ill. App. 3d at 935–36, 189 Ill. Dec. 511, 620 N.E.2d 479. In this case, the human resource directors at businesses in need of outplacement services are common knowledge in the industry and are easily ascertained from business and </w:t>
      </w:r>
      <w:r w:rsidRPr="006532A6">
        <w:rPr>
          <w:rFonts w:ascii="Baskerville Old Face" w:hAnsi="Baskerville Old Face" w:cs="Times New Roman"/>
        </w:rPr>
        <w:lastRenderedPageBreak/>
        <w:t>professional directories. Accordingly, plaintiff does not enjoy a near-permanent relationship with its clients.</w:t>
      </w:r>
    </w:p>
    <w:p w14:paraId="7DE93CF8" w14:textId="77777777" w:rsidR="00020BD9" w:rsidRPr="006532A6" w:rsidRDefault="00020BD9" w:rsidP="00020BD9">
      <w:pPr>
        <w:pStyle w:val="textflush"/>
        <w:rPr>
          <w:rFonts w:ascii="Baskerville Old Face" w:hAnsi="Baskerville Old Face" w:cs="Times New Roman"/>
        </w:rPr>
      </w:pPr>
      <w:r w:rsidRPr="006532A6">
        <w:rPr>
          <w:rFonts w:ascii="Baskerville Old Face" w:hAnsi="Baskerville Old Face" w:cs="Times New Roman"/>
          <w:i/>
          <w:iCs/>
        </w:rPr>
        <w:t>Id.</w:t>
      </w:r>
      <w:r w:rsidRPr="006532A6">
        <w:rPr>
          <w:rFonts w:ascii="Baskerville Old Face" w:hAnsi="Baskerville Old Face" w:cs="Times New Roman"/>
        </w:rPr>
        <w:t xml:space="preserve"> at 341–42, 685 N.E.2d at 444–45. </w:t>
      </w:r>
      <w:r w:rsidRPr="006532A6">
        <w:rPr>
          <w:rFonts w:ascii="Baskerville Old Face" w:hAnsi="Baskerville Old Face" w:cs="Times New Roman"/>
          <w:i/>
          <w:iCs/>
        </w:rPr>
        <w:t>See also</w:t>
      </w:r>
      <w:r w:rsidRPr="006532A6">
        <w:rPr>
          <w:rFonts w:ascii="Baskerville Old Face" w:hAnsi="Baskerville Old Face" w:cs="Times New Roman"/>
        </w:rPr>
        <w:t xml:space="preserve"> </w:t>
      </w:r>
      <w:r w:rsidRPr="006532A6">
        <w:rPr>
          <w:rFonts w:ascii="Baskerville Old Face" w:hAnsi="Baskerville Old Face" w:cs="Times New Roman"/>
          <w:i/>
          <w:iCs/>
        </w:rPr>
        <w:t>Midwest Tel., Inc. v. Oloffson</w:t>
      </w:r>
      <w:r w:rsidRPr="006532A6">
        <w:rPr>
          <w:rFonts w:ascii="Baskerville Old Face" w:hAnsi="Baskerville Old Face" w:cs="Times New Roman"/>
        </w:rPr>
        <w:t>, 298 Ill. App. 3d 548, 555, 232 Ill. Dec. 783, 787, 699 N.E.2d 230, 234 (3d Dist. 1998) (finding that, under nature-of-business near-permanency test, former employer had shown protectable business interest in radio station listeners and advertiser customers sufficient to justify issuance of preliminary injunction enforcing restrictive covenant);</w:t>
      </w:r>
      <w:r w:rsidRPr="006532A6">
        <w:rPr>
          <w:rFonts w:ascii="Baskerville Old Face" w:hAnsi="Baskerville Old Face" w:cs="Times New Roman"/>
          <w:i/>
          <w:iCs/>
        </w:rPr>
        <w:t xml:space="preserve"> Outsource Int’l, Inc. v. Barton</w:t>
      </w:r>
      <w:r w:rsidRPr="006532A6">
        <w:rPr>
          <w:rFonts w:ascii="Baskerville Old Face" w:hAnsi="Baskerville Old Face" w:cs="Times New Roman"/>
        </w:rPr>
        <w:t xml:space="preserve">, 192 F.3d 662, 667–68, 15 IER Cases 977, 52 USPQ2d 1085 (7th Cir. 1999) (maj. op.; finding that near-permanent relationship existed between employer and its customers); </w:t>
      </w:r>
      <w:r w:rsidRPr="006532A6">
        <w:rPr>
          <w:rFonts w:ascii="Baskerville Old Face" w:hAnsi="Baskerville Old Face" w:cs="Times New Roman"/>
          <w:i/>
          <w:iCs/>
        </w:rPr>
        <w:t>Instant Tech., LLC v. DeFazio</w:t>
      </w:r>
      <w:r w:rsidRPr="006532A6">
        <w:rPr>
          <w:rFonts w:ascii="Baskerville Old Face" w:hAnsi="Baskerville Old Face" w:cs="Times New Roman"/>
        </w:rPr>
        <w:t>, No. 1:12-cv-00491, 2014 BL 126166, 38 IER Cases 427 (N.D. Ill. May 2, 2014) (holding that employer “does not enjoy a near-permanent relationship with any of its clients. The IT staffing market is highly competitive. By nature and practice it is non-exclusive. [The employer’s] own business documents reflect the fact that the companies [the employer] considers its clients typically use between five and ten different staffing firms simultaneously to fill their employment needs.”).</w:t>
      </w:r>
    </w:p>
    <w:p w14:paraId="77D4E0B7" w14:textId="77777777" w:rsidR="00020BD9" w:rsidRPr="006532A6" w:rsidRDefault="00020BD9" w:rsidP="00020BD9">
      <w:pPr>
        <w:pStyle w:val="HeadingCenter11Underscore"/>
        <w:rPr>
          <w:rFonts w:ascii="Baskerville Old Face" w:hAnsi="Baskerville Old Face" w:cs="Times New Roman"/>
        </w:rPr>
      </w:pPr>
      <w:r w:rsidRPr="006532A6">
        <w:rPr>
          <w:rFonts w:ascii="Baskerville Old Face" w:hAnsi="Baskerville Old Face" w:cs="Times New Roman"/>
        </w:rPr>
        <w:t>Ordinary Competition (Not a Covenant-Protectable Interest)</w:t>
      </w:r>
    </w:p>
    <w:p w14:paraId="3CBDB89A"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Under Illinois law, prevention of ordinary competition by a former employee is not a legitimate employer interest that may be protected by a restrictive covenant. </w:t>
      </w:r>
      <w:r w:rsidRPr="006A121F">
        <w:rPr>
          <w:rFonts w:ascii="Baskerville Old Face" w:hAnsi="Baskerville Old Face"/>
          <w:i/>
        </w:rPr>
        <w:t>Carter-Shields v. Alton Health Instit</w:t>
      </w:r>
      <w:r w:rsidRPr="006A121F">
        <w:rPr>
          <w:rFonts w:ascii="Baskerville Old Face" w:hAnsi="Baskerville Old Face"/>
        </w:rPr>
        <w:t xml:space="preserve">., 317 Ill. App. 3d 260, 268, 250 Ill. Dec. 806, 812, 739 N.E.2d 569, 575 (5th Dist. 2000), </w:t>
      </w:r>
      <w:r w:rsidRPr="006A121F">
        <w:rPr>
          <w:rFonts w:ascii="Baskerville Old Face" w:hAnsi="Baskerville Old Face"/>
          <w:i/>
        </w:rPr>
        <w:t>aff’d in part and vacated in</w:t>
      </w:r>
      <w:r w:rsidRPr="006A121F">
        <w:rPr>
          <w:rFonts w:ascii="Baskerville Old Face" w:hAnsi="Baskerville Old Face"/>
        </w:rPr>
        <w:t xml:space="preserve"> </w:t>
      </w:r>
      <w:r w:rsidRPr="006A121F">
        <w:rPr>
          <w:rFonts w:ascii="Baskerville Old Face" w:hAnsi="Baskerville Old Face"/>
          <w:i/>
        </w:rPr>
        <w:t>part by</w:t>
      </w:r>
      <w:r w:rsidRPr="006A121F">
        <w:rPr>
          <w:rFonts w:ascii="Baskerville Old Face" w:hAnsi="Baskerville Old Face"/>
        </w:rPr>
        <w:t xml:space="preserve"> 201 Ill. 2d 441 (2002). “The law will not enforce a contract merely to prohibit ordinary competition.” </w:t>
      </w:r>
      <w:r w:rsidRPr="006A121F">
        <w:rPr>
          <w:rFonts w:ascii="Baskerville Old Face" w:hAnsi="Baskerville Old Face"/>
          <w:i/>
        </w:rPr>
        <w:t>Id.</w:t>
      </w:r>
      <w:r w:rsidRPr="006A121F">
        <w:rPr>
          <w:rFonts w:ascii="Baskerville Old Face" w:hAnsi="Baskerville Old Face"/>
        </w:rPr>
        <w:t xml:space="preserve"> (citing </w:t>
      </w:r>
      <w:r w:rsidRPr="006A121F">
        <w:rPr>
          <w:rFonts w:ascii="Baskerville Old Face" w:hAnsi="Baskerville Old Face"/>
          <w:i/>
        </w:rPr>
        <w:t>Reinhardt Printing Co. v. Feld</w:t>
      </w:r>
      <w:r w:rsidRPr="006A121F">
        <w:rPr>
          <w:rFonts w:ascii="Baskerville Old Face" w:hAnsi="Baskerville Old Face"/>
        </w:rPr>
        <w:t xml:space="preserve">, 142 Ill. App. 3d 9, 15, 96 Ill. Dec. 97, 490 N.E.2d 1302, 1307 (1st Dist. 1986); finding that the covenant in question restricts ordinary competition rather than protects any legitimate business interest). </w:t>
      </w:r>
      <w:r w:rsidRPr="006A121F">
        <w:rPr>
          <w:rFonts w:ascii="Baskerville Old Face" w:hAnsi="Baskerville Old Face"/>
          <w:i/>
        </w:rPr>
        <w:t>See also Millard Maint</w:t>
      </w:r>
      <w:r w:rsidRPr="006A121F">
        <w:rPr>
          <w:rFonts w:ascii="Baskerville Old Face" w:hAnsi="Baskerville Old Face"/>
        </w:rPr>
        <w:t>., 566 N.E.2d at 383.</w:t>
      </w:r>
    </w:p>
    <w:p w14:paraId="555FC9FB" w14:textId="77777777" w:rsidR="00020BD9" w:rsidRPr="006532A6" w:rsidRDefault="00020BD9" w:rsidP="00020BD9">
      <w:pPr>
        <w:pStyle w:val="HeadingCenter11Underscore"/>
        <w:rPr>
          <w:rFonts w:ascii="Baskerville Old Face" w:hAnsi="Baskerville Old Face" w:cs="Times New Roman"/>
        </w:rPr>
      </w:pPr>
      <w:r w:rsidRPr="006532A6">
        <w:rPr>
          <w:rFonts w:ascii="Baskerville Old Face" w:hAnsi="Baskerville Old Face" w:cs="Times New Roman"/>
        </w:rPr>
        <w:t>Patient Relationships</w:t>
      </w:r>
    </w:p>
    <w:p w14:paraId="56D47A73"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An ophthalmology clinic has a protectable interest in patients its employee ophthalmologist treats and develops prior to joining the employer clinic’s practice where it negotiates for that interest. </w:t>
      </w:r>
      <w:r w:rsidRPr="006A121F">
        <w:rPr>
          <w:rFonts w:ascii="Baskerville Old Face" w:hAnsi="Baskerville Old Face"/>
          <w:i/>
        </w:rPr>
        <w:lastRenderedPageBreak/>
        <w:t>Prairie Eye Ctr., Ltd. v. Butler</w:t>
      </w:r>
      <w:r w:rsidRPr="006A121F">
        <w:rPr>
          <w:rFonts w:ascii="Baskerville Old Face" w:hAnsi="Baskerville Old Face"/>
        </w:rPr>
        <w:t>, 329 Ill. App. 3d 293, 300–02, 263 Ill. Dec. 654, 661–62, 768 N.E.2d 414, 421–22 (4th Dist. 2002) (“</w:t>
      </w:r>
      <w:r w:rsidRPr="006A121F">
        <w:rPr>
          <w:rFonts w:ascii="Baskerville Old Face" w:hAnsi="Baskerville Old Face"/>
          <w:i/>
        </w:rPr>
        <w:t>Prairie II</w:t>
      </w:r>
      <w:r w:rsidRPr="006A121F">
        <w:rPr>
          <w:rFonts w:ascii="Baskerville Old Face" w:hAnsi="Baskerville Old Face"/>
        </w:rPr>
        <w:t xml:space="preserve">”) (employer was not required to present evidence of protectable interest in former employee’s patients as it had negotiated for this interest when it entered into employment agreement; relying on </w:t>
      </w:r>
      <w:r w:rsidRPr="006A121F">
        <w:rPr>
          <w:rFonts w:ascii="Baskerville Old Face" w:hAnsi="Baskerville Old Face"/>
          <w:i/>
        </w:rPr>
        <w:t xml:space="preserve">Prairie Eye Ctr., Ltd v. Butler, </w:t>
      </w:r>
      <w:r w:rsidRPr="006A121F">
        <w:rPr>
          <w:rFonts w:ascii="Baskerville Old Face" w:hAnsi="Baskerville Old Face"/>
        </w:rPr>
        <w:t>305 Ill. App. 3d 442, 447–48, 239 Ill. Dec. 79, 83–84, 713 N.E.2d 610, 614–15 (4th Dist. 1999) (“</w:t>
      </w:r>
      <w:r w:rsidRPr="006A121F">
        <w:rPr>
          <w:rFonts w:ascii="Baskerville Old Face" w:hAnsi="Baskerville Old Face"/>
          <w:i/>
        </w:rPr>
        <w:t>Prairie</w:t>
      </w:r>
      <w:r w:rsidRPr="006A121F">
        <w:rPr>
          <w:rFonts w:ascii="Baskerville Old Face" w:hAnsi="Baskerville Old Face"/>
        </w:rPr>
        <w:t xml:space="preserve"> </w:t>
      </w:r>
      <w:r w:rsidRPr="006A121F">
        <w:rPr>
          <w:rFonts w:ascii="Baskerville Old Face" w:hAnsi="Baskerville Old Face"/>
          <w:i/>
        </w:rPr>
        <w:t>I</w:t>
      </w:r>
      <w:r w:rsidRPr="006A121F">
        <w:rPr>
          <w:rFonts w:ascii="Baskerville Old Face" w:hAnsi="Baskerville Old Face"/>
        </w:rPr>
        <w:t xml:space="preserve">”) (in deciding propriety of preliminary injunction, for which eye clinic needed only to make prima facie showing, court held that eye clinic has protectable interest in patients treated by its employee ophthalmologist regardless of whether employee came to clinic as newcomer or, instead, as established physician with patient base)), </w:t>
      </w:r>
      <w:r w:rsidRPr="006A121F">
        <w:rPr>
          <w:rFonts w:ascii="Baskerville Old Face" w:hAnsi="Baskerville Old Face"/>
          <w:i/>
        </w:rPr>
        <w:t>appeal denied by Prairie Eye Ctr., Ltd. v. Butler</w:t>
      </w:r>
      <w:r w:rsidRPr="006A121F">
        <w:rPr>
          <w:rFonts w:ascii="Baskerville Old Face" w:hAnsi="Baskerville Old Face"/>
        </w:rPr>
        <w:t xml:space="preserve">, 202 Ill. 2d 661, 272 Ill. Dec. 354, 787 N.E.2d 169 (2002). </w:t>
      </w:r>
    </w:p>
    <w:p w14:paraId="306A6692"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In </w:t>
      </w:r>
      <w:r w:rsidRPr="006A121F">
        <w:rPr>
          <w:rFonts w:ascii="Baskerville Old Face" w:hAnsi="Baskerville Old Face"/>
          <w:i/>
        </w:rPr>
        <w:t>Prairie Eye I</w:t>
      </w:r>
      <w:r w:rsidRPr="006A121F">
        <w:rPr>
          <w:rFonts w:ascii="Baskerville Old Face" w:hAnsi="Baskerville Old Face"/>
        </w:rPr>
        <w:t xml:space="preserve">, the court of appeals observed that </w:t>
      </w:r>
    </w:p>
    <w:p w14:paraId="7CEDABE1" w14:textId="77777777" w:rsidR="00020BD9" w:rsidRPr="006532A6" w:rsidRDefault="00020BD9" w:rsidP="00020BD9">
      <w:pPr>
        <w:pStyle w:val="block-f-"/>
        <w:rPr>
          <w:rFonts w:ascii="Baskerville Old Face" w:hAnsi="Baskerville Old Face" w:cs="Times New Roman"/>
        </w:rPr>
      </w:pPr>
      <w:r w:rsidRPr="006532A6">
        <w:rPr>
          <w:rFonts w:ascii="Baskerville Old Face" w:hAnsi="Baskerville Old Face" w:cs="Times New Roman"/>
        </w:rPr>
        <w:t xml:space="preserve">[former employee] Butler contends his situation is unique and </w:t>
      </w:r>
      <w:r w:rsidRPr="006532A6">
        <w:rPr>
          <w:rFonts w:ascii="Baskerville Old Face" w:hAnsi="Baskerville Old Face" w:cs="Times New Roman"/>
        </w:rPr>
        <w:br/>
        <w:t>distinguishable from the line of cases upholding restrictive covenants between medical professionals when the time restriction and geographic scope are reasonable. According to Butler’s affidavit, as of January 1999, 60% of the patients he was treating at [former employer clinic] Prairie had been his patients at [Southern Illinois University School of Medicine, where he had earlier maintained a clinical practice], and he contends Prairie has no protectible interest in those patients. Butler cites no authority to support his position but argues the existing case law should not apply to him. Butler contends the existing case law developed to protect established physician employers from newcomers to the profession who, upon joining the practice, could build a relationship with the existing patient base, and then usurp those patients upon leaving the practice. Ergo, because Butler was not a newcomer to the profession or a “potential usurper” when he was hired by Prairie, these cases are inapplicable and we should consider his as a case of first impression. We are not persuaded. While the facts of this case are unique, analogous cases do exist.</w:t>
      </w:r>
    </w:p>
    <w:p w14:paraId="44E7C376" w14:textId="77777777" w:rsidR="00020BD9" w:rsidRPr="006532A6" w:rsidRDefault="00020BD9" w:rsidP="00020BD9">
      <w:pPr>
        <w:pStyle w:val="block-p--"/>
        <w:rPr>
          <w:rFonts w:ascii="Baskerville Old Face" w:hAnsi="Baskerville Old Face" w:cs="Times New Roman"/>
        </w:rPr>
      </w:pPr>
      <w:r w:rsidRPr="006532A6">
        <w:rPr>
          <w:rFonts w:ascii="Baskerville Old Face" w:hAnsi="Baskerville Old Face" w:cs="Times New Roman"/>
        </w:rPr>
        <w:t xml:space="preserve">As Butler suggests, most recent published cases involve an employer suing to enforce a restrictive covenant to prevent a newcomer to an existing and established practice from raiding that practice’s client base upon his or her eventual departure. However, in </w:t>
      </w:r>
      <w:r w:rsidRPr="006532A6">
        <w:rPr>
          <w:rFonts w:ascii="Baskerville Old Face" w:hAnsi="Baskerville Old Face" w:cs="Times New Roman"/>
          <w:i/>
          <w:iCs/>
        </w:rPr>
        <w:t>Bauer v. Sawyer</w:t>
      </w:r>
      <w:r w:rsidRPr="006532A6">
        <w:rPr>
          <w:rFonts w:ascii="Baskerville Old Face" w:hAnsi="Baskerville Old Face" w:cs="Times New Roman"/>
        </w:rPr>
        <w:t xml:space="preserve">, 8 Ill. 2d 351, 134 N.E.2d 329 (1956), the circumstances of the departing physician’s employment were similar to Butler’s. In </w:t>
      </w:r>
      <w:r w:rsidRPr="006532A6">
        <w:rPr>
          <w:rFonts w:ascii="Baskerville Old Face" w:hAnsi="Baskerville Old Face" w:cs="Times New Roman"/>
          <w:i/>
          <w:iCs/>
        </w:rPr>
        <w:t>Bauer</w:t>
      </w:r>
      <w:r w:rsidRPr="006532A6">
        <w:rPr>
          <w:rFonts w:ascii="Baskerville Old Face" w:hAnsi="Baskerville Old Face" w:cs="Times New Roman"/>
        </w:rPr>
        <w:t xml:space="preserve">, the dispute arose between a professional partnership and Sawyer, an original founding member of the partnership, when Sawyer left the practice and the partnership sought to enforce the covenant-not-to-compete provision of the partnership agreement. Sawyer argued [that] because he was not a </w:t>
      </w:r>
      <w:r w:rsidRPr="006532A6">
        <w:rPr>
          <w:rFonts w:ascii="Baskerville Old Face" w:hAnsi="Baskerville Old Face" w:cs="Times New Roman"/>
        </w:rPr>
        <w:lastRenderedPageBreak/>
        <w:t xml:space="preserve">newcomer to the practice or a potential usurper of the partnership’s patients, the restrictive covenant should not be enforced [against him]. </w:t>
      </w:r>
      <w:r w:rsidRPr="006532A6">
        <w:rPr>
          <w:rFonts w:ascii="Baskerville Old Face" w:hAnsi="Baskerville Old Face" w:cs="Times New Roman"/>
          <w:i/>
          <w:iCs/>
        </w:rPr>
        <w:t>Bauer</w:t>
      </w:r>
      <w:r w:rsidRPr="006532A6">
        <w:rPr>
          <w:rFonts w:ascii="Baskerville Old Face" w:hAnsi="Baskerville Old Face" w:cs="Times New Roman"/>
        </w:rPr>
        <w:t xml:space="preserve">, 8 Ill. 2d at 356, 134 N.E.2d at 332. The Supreme Court of Illinois rejected this argument and held: </w:t>
      </w:r>
    </w:p>
    <w:p w14:paraId="0A424EED" w14:textId="77777777" w:rsidR="00020BD9" w:rsidRPr="006A121F" w:rsidRDefault="00020BD9" w:rsidP="00020BD9">
      <w:pPr>
        <w:pStyle w:val="block-f2ndindent"/>
        <w:rPr>
          <w:rFonts w:ascii="Baskerville Old Face" w:hAnsi="Baskerville Old Face"/>
        </w:rPr>
      </w:pPr>
      <w:r w:rsidRPr="006A121F">
        <w:rPr>
          <w:rFonts w:ascii="Baskerville Old Face" w:hAnsi="Baskerville Old Face"/>
        </w:rPr>
        <w:t>“No case is cited which holds that the members of a partnership may not by their agreement reasonably protect themselves against the competition of an outgoing partner. Indeed such agreements are classic illustrations of reasonable restraints of trade. ‘A legitimate method of enhancing the good will of continuing partners in professional, as well as commercial, partnerships is to secure forbearance from competition by a retired partner.’</w:t>
      </w:r>
      <w:r w:rsidRPr="00020BD9">
        <w:rPr>
          <w:rFonts w:cs="Times New Roman"/>
        </w:rPr>
        <w:t> </w:t>
      </w:r>
      <w:r w:rsidRPr="006A121F">
        <w:rPr>
          <w:rFonts w:ascii="Baskerville Old Face" w:hAnsi="Baskerville Old Face"/>
        </w:rPr>
        <w:t>”</w:t>
      </w:r>
    </w:p>
    <w:p w14:paraId="2CDA9165" w14:textId="77777777" w:rsidR="00020BD9" w:rsidRPr="006532A6" w:rsidRDefault="00020BD9" w:rsidP="00020BD9">
      <w:pPr>
        <w:pStyle w:val="block-f-"/>
        <w:spacing w:before="0"/>
        <w:rPr>
          <w:rFonts w:ascii="Baskerville Old Face" w:hAnsi="Baskerville Old Face" w:cs="Times New Roman"/>
        </w:rPr>
      </w:pPr>
      <w:r w:rsidRPr="006532A6">
        <w:rPr>
          <w:rFonts w:ascii="Baskerville Old Face" w:hAnsi="Baskerville Old Face" w:cs="Times New Roman"/>
        </w:rPr>
        <w:t>[</w:t>
      </w:r>
      <w:r w:rsidRPr="006532A6">
        <w:rPr>
          <w:rFonts w:ascii="Baskerville Old Face" w:hAnsi="Baskerville Old Face" w:cs="Times New Roman"/>
          <w:i/>
          <w:iCs/>
        </w:rPr>
        <w:t>Bauer</w:t>
      </w:r>
      <w:r w:rsidRPr="006532A6">
        <w:rPr>
          <w:rFonts w:ascii="Baskerville Old Face" w:hAnsi="Baskerville Old Face" w:cs="Times New Roman"/>
        </w:rPr>
        <w:t>, 8 Ill. 2d at 356, 134 N.E.2d at 332 (quoting J. Crane, Partnerships §84 (1952)).]</w:t>
      </w:r>
    </w:p>
    <w:p w14:paraId="5808AB7A" w14:textId="77777777" w:rsidR="00020BD9" w:rsidRPr="006532A6" w:rsidRDefault="00020BD9" w:rsidP="00020BD9">
      <w:pPr>
        <w:pStyle w:val="block-p--"/>
        <w:rPr>
          <w:rFonts w:ascii="Baskerville Old Face" w:hAnsi="Baskerville Old Face" w:cs="Times New Roman"/>
        </w:rPr>
      </w:pPr>
      <w:r w:rsidRPr="006532A6">
        <w:rPr>
          <w:rFonts w:ascii="Baskerville Old Face" w:hAnsi="Baskerville Old Face" w:cs="Times New Roman"/>
        </w:rPr>
        <w:t xml:space="preserve">Butler suggests </w:t>
      </w:r>
      <w:r w:rsidRPr="006532A6">
        <w:rPr>
          <w:rFonts w:ascii="Baskerville Old Face" w:hAnsi="Baskerville Old Face" w:cs="Times New Roman"/>
          <w:i/>
          <w:iCs/>
        </w:rPr>
        <w:t>Bauer</w:t>
      </w:r>
      <w:r w:rsidRPr="006532A6">
        <w:rPr>
          <w:rFonts w:ascii="Baskerville Old Face" w:hAnsi="Baskerville Old Face" w:cs="Times New Roman"/>
        </w:rPr>
        <w:t xml:space="preserve"> is outdated and inapplicable because courts apply a less restrictive test of reasonableness to covenants entered into by business associates than to agreements between employers and employees. We disagree. The difference in the degree of scrutiny derives from the assumption that business associates negotiate their agreements from positions of relatively equal bargaining power, while an employer generally has greater bargaining power than a potential employee. </w:t>
      </w:r>
      <w:r w:rsidRPr="006532A6">
        <w:rPr>
          <w:rFonts w:ascii="Baskerville Old Face" w:hAnsi="Baskerville Old Face" w:cs="Times New Roman"/>
          <w:i/>
          <w:iCs/>
        </w:rPr>
        <w:t>Weitekamp</w:t>
      </w:r>
      <w:r w:rsidRPr="006532A6">
        <w:rPr>
          <w:rFonts w:ascii="Baskerville Old Face" w:hAnsi="Baskerville Old Face" w:cs="Times New Roman"/>
        </w:rPr>
        <w:t xml:space="preserve"> [</w:t>
      </w:r>
      <w:r w:rsidRPr="006532A6">
        <w:rPr>
          <w:rFonts w:ascii="Baskerville Old Face" w:hAnsi="Baskerville Old Face" w:cs="Times New Roman"/>
          <w:i/>
          <w:iCs/>
        </w:rPr>
        <w:t>v. Lane</w:t>
      </w:r>
      <w:r w:rsidRPr="006532A6">
        <w:rPr>
          <w:rFonts w:ascii="Baskerville Old Face" w:hAnsi="Baskerville Old Face" w:cs="Times New Roman"/>
        </w:rPr>
        <w:t xml:space="preserve">, 250 Ill. App. 3d [1017,] 1023, 189 Ill. Dec. 486, 620 N.E.2d [454,] 459 [(4th Dist. 1993)]. In the absence of a disparity in bargaining power, the formalistic definition of the parties’ relationship is irrelevant. In this case, by his own admission, Butler came to the table an established physician with a substantial patient base. Moreover, restrictive covenants in medical practice cases have long been treated by courts as a distinct class. </w:t>
      </w:r>
      <w:r w:rsidRPr="006532A6">
        <w:rPr>
          <w:rFonts w:ascii="Baskerville Old Face" w:hAnsi="Baskerville Old Face" w:cs="Times New Roman"/>
          <w:i/>
          <w:iCs/>
        </w:rPr>
        <w:t>See Retina Services, Ltd.</w:t>
      </w:r>
      <w:r w:rsidRPr="006532A6">
        <w:rPr>
          <w:rFonts w:ascii="Baskerville Old Face" w:hAnsi="Baskerville Old Face" w:cs="Times New Roman"/>
        </w:rPr>
        <w:t xml:space="preserve"> [</w:t>
      </w:r>
      <w:r w:rsidRPr="006532A6">
        <w:rPr>
          <w:rFonts w:ascii="Baskerville Old Face" w:hAnsi="Baskerville Old Face" w:cs="Times New Roman"/>
          <w:i/>
          <w:iCs/>
        </w:rPr>
        <w:t>v. Garoon</w:t>
      </w:r>
      <w:r w:rsidRPr="006532A6">
        <w:rPr>
          <w:rFonts w:ascii="Baskerville Old Face" w:hAnsi="Baskerville Old Face" w:cs="Times New Roman"/>
        </w:rPr>
        <w:t xml:space="preserve">], 182 Ill. App. 3d [851,] 856, 131 Ill. Dec. 276, 538 N.E.2d [651,] 653 [(1989)]; </w:t>
      </w:r>
      <w:r w:rsidRPr="006532A6">
        <w:rPr>
          <w:rFonts w:ascii="Baskerville Old Face" w:hAnsi="Baskerville Old Face" w:cs="Times New Roman"/>
          <w:i/>
          <w:iCs/>
        </w:rPr>
        <w:t>Danville</w:t>
      </w:r>
      <w:r w:rsidRPr="006532A6">
        <w:rPr>
          <w:rFonts w:ascii="Baskerville Old Face" w:hAnsi="Baskerville Old Face" w:cs="Times New Roman"/>
        </w:rPr>
        <w:t xml:space="preserve"> [</w:t>
      </w:r>
      <w:r w:rsidRPr="006532A6">
        <w:rPr>
          <w:rFonts w:ascii="Baskerville Old Face" w:hAnsi="Baskerville Old Face" w:cs="Times New Roman"/>
          <w:i/>
          <w:iCs/>
        </w:rPr>
        <w:t>Polyclinic, Ltd. v. Dethmers</w:t>
      </w:r>
      <w:r w:rsidRPr="006532A6">
        <w:rPr>
          <w:rFonts w:ascii="Baskerville Old Face" w:hAnsi="Baskerville Old Face" w:cs="Times New Roman"/>
        </w:rPr>
        <w:t>], 260 Ill. App. 3d [108,] 111, 197 Ill. Dec. 620, 631 N.E.2d [842,] 845 [(1994)].</w:t>
      </w:r>
    </w:p>
    <w:p w14:paraId="5FA754B7" w14:textId="77777777" w:rsidR="00020BD9" w:rsidRPr="006532A6" w:rsidRDefault="00020BD9" w:rsidP="00020BD9">
      <w:pPr>
        <w:pStyle w:val="block-p--"/>
        <w:rPr>
          <w:rFonts w:ascii="Baskerville Old Face" w:hAnsi="Baskerville Old Face" w:cs="Times New Roman"/>
        </w:rPr>
      </w:pPr>
      <w:r w:rsidRPr="006532A6">
        <w:rPr>
          <w:rFonts w:ascii="Baskerville Old Face" w:hAnsi="Baskerville Old Face" w:cs="Times New Roman"/>
        </w:rPr>
        <w:t xml:space="preserve">In cases following </w:t>
      </w:r>
      <w:r w:rsidRPr="006532A6">
        <w:rPr>
          <w:rFonts w:ascii="Baskerville Old Face" w:hAnsi="Baskerville Old Face" w:cs="Times New Roman"/>
          <w:i/>
          <w:iCs/>
        </w:rPr>
        <w:t>Bauer</w:t>
      </w:r>
      <w:r w:rsidRPr="006532A6">
        <w:rPr>
          <w:rFonts w:ascii="Baskerville Old Face" w:hAnsi="Baskerville Old Face" w:cs="Times New Roman"/>
        </w:rPr>
        <w:t xml:space="preserve">, courts have found medical practices have a protectible business interest in the patients of their physicians, the existence of which is inferred from the nature of the profession. In </w:t>
      </w:r>
      <w:r w:rsidRPr="006532A6">
        <w:rPr>
          <w:rFonts w:ascii="Baskerville Old Face" w:hAnsi="Baskerville Old Face" w:cs="Times New Roman"/>
          <w:i/>
          <w:iCs/>
        </w:rPr>
        <w:t>Sarah Bush</w:t>
      </w:r>
      <w:r w:rsidRPr="006532A6">
        <w:rPr>
          <w:rFonts w:ascii="Baskerville Old Face" w:hAnsi="Baskerville Old Face" w:cs="Times New Roman"/>
        </w:rPr>
        <w:t xml:space="preserve"> [</w:t>
      </w:r>
      <w:r w:rsidRPr="006532A6">
        <w:rPr>
          <w:rFonts w:ascii="Baskerville Old Face" w:hAnsi="Baskerville Old Face" w:cs="Times New Roman"/>
          <w:i/>
          <w:iCs/>
        </w:rPr>
        <w:t>Lincoln Health Center v. Perket</w:t>
      </w:r>
      <w:r w:rsidRPr="006532A6">
        <w:rPr>
          <w:rFonts w:ascii="Baskerville Old Face" w:hAnsi="Baskerville Old Face" w:cs="Times New Roman"/>
        </w:rPr>
        <w:t xml:space="preserve">], 238 Ill. App. 3d [958,] 963, 178 Ill. Dec. 819, 605 N.E.2d [613,] 617 [(1992)], this court held [that] the existence of a protectible interest was inherent in the relationship between a director of physical therapy and her employer, a not-for-profit hospital, because the relationship between the parties was closely analogous to the relationships of the parties in </w:t>
      </w:r>
      <w:r w:rsidRPr="006532A6">
        <w:rPr>
          <w:rFonts w:ascii="Baskerville Old Face" w:hAnsi="Baskerville Old Face" w:cs="Times New Roman"/>
          <w:i/>
          <w:iCs/>
        </w:rPr>
        <w:t>Cockerill v. Wilson</w:t>
      </w:r>
      <w:r w:rsidRPr="006532A6">
        <w:rPr>
          <w:rFonts w:ascii="Baskerville Old Face" w:hAnsi="Baskerville Old Face" w:cs="Times New Roman"/>
        </w:rPr>
        <w:t xml:space="preserve">, 51 Ill. 2d 179, 281 N.E.2d 648 (1972), involving two veterinarians, and </w:t>
      </w:r>
      <w:r w:rsidRPr="006532A6">
        <w:rPr>
          <w:rFonts w:ascii="Baskerville Old Face" w:hAnsi="Baskerville Old Face" w:cs="Times New Roman"/>
          <w:i/>
          <w:iCs/>
        </w:rPr>
        <w:t>Canfield</w:t>
      </w:r>
      <w:r w:rsidRPr="006532A6">
        <w:rPr>
          <w:rFonts w:ascii="Baskerville Old Face" w:hAnsi="Baskerville Old Face" w:cs="Times New Roman"/>
        </w:rPr>
        <w:t xml:space="preserve"> [</w:t>
      </w:r>
      <w:r w:rsidRPr="006532A6">
        <w:rPr>
          <w:rFonts w:ascii="Baskerville Old Face" w:hAnsi="Baskerville Old Face" w:cs="Times New Roman"/>
          <w:i/>
          <w:iCs/>
        </w:rPr>
        <w:t>v. Spear</w:t>
      </w:r>
      <w:r w:rsidRPr="006532A6">
        <w:rPr>
          <w:rFonts w:ascii="Baskerville Old Face" w:hAnsi="Baskerville Old Face" w:cs="Times New Roman"/>
        </w:rPr>
        <w:t xml:space="preserve">], 44 Ill. 2d 49, 254 N.E.2d 433 [(1969)], involving two physicians. In </w:t>
      </w:r>
      <w:r w:rsidRPr="006532A6">
        <w:rPr>
          <w:rFonts w:ascii="Baskerville Old Face" w:hAnsi="Baskerville Old Face" w:cs="Times New Roman"/>
          <w:i/>
          <w:iCs/>
        </w:rPr>
        <w:t>Sarah Bush</w:t>
      </w:r>
      <w:r w:rsidRPr="006532A6">
        <w:rPr>
          <w:rFonts w:ascii="Baskerville Old Face" w:hAnsi="Baskerville Old Face" w:cs="Times New Roman"/>
        </w:rPr>
        <w:t xml:space="preserve">, we acknowledged [that the] the Supreme Court of Illinois had not in the previous 20 years considered the question of whether an employer held a proprietary interest in its clients or patients. </w:t>
      </w:r>
      <w:r w:rsidRPr="006532A6">
        <w:rPr>
          <w:rFonts w:ascii="Baskerville Old Face" w:hAnsi="Baskerville Old Face" w:cs="Times New Roman"/>
          <w:i/>
          <w:iCs/>
        </w:rPr>
        <w:t>Sarah Bush</w:t>
      </w:r>
      <w:r w:rsidRPr="006532A6">
        <w:rPr>
          <w:rFonts w:ascii="Baskerville Old Face" w:hAnsi="Baskerville Old Face" w:cs="Times New Roman"/>
        </w:rPr>
        <w:t xml:space="preserve">, </w:t>
      </w:r>
      <w:r w:rsidRPr="006532A6">
        <w:rPr>
          <w:rFonts w:ascii="Baskerville Old Face" w:hAnsi="Baskerville Old Face" w:cs="Times New Roman"/>
        </w:rPr>
        <w:lastRenderedPageBreak/>
        <w:t xml:space="preserve">238 Ill. App. 3d at 962, 178 Ill. Dec. 819, 605 N.E.2d at 616. We further noted that even in </w:t>
      </w:r>
      <w:r w:rsidRPr="006532A6">
        <w:rPr>
          <w:rFonts w:ascii="Baskerville Old Face" w:hAnsi="Baskerville Old Face" w:cs="Times New Roman"/>
          <w:i/>
          <w:iCs/>
        </w:rPr>
        <w:t>Cockerill</w:t>
      </w:r>
      <w:r w:rsidRPr="006532A6">
        <w:rPr>
          <w:rFonts w:ascii="Baskerville Old Face" w:hAnsi="Baskerville Old Face" w:cs="Times New Roman"/>
        </w:rPr>
        <w:t xml:space="preserve">, the court made short shrift of the question by simply stating that the interest the plaintiff sought to protect was the interest in his clients. </w:t>
      </w:r>
      <w:r w:rsidRPr="006532A6">
        <w:rPr>
          <w:rFonts w:ascii="Baskerville Old Face" w:hAnsi="Baskerville Old Face" w:cs="Times New Roman"/>
          <w:i/>
          <w:iCs/>
        </w:rPr>
        <w:t>Sarah Bush</w:t>
      </w:r>
      <w:r w:rsidRPr="006532A6">
        <w:rPr>
          <w:rFonts w:ascii="Baskerville Old Face" w:hAnsi="Baskerville Old Face" w:cs="Times New Roman"/>
        </w:rPr>
        <w:t>, 238 Ill. App. 3d at 963, 178 Ill. Dec. 819, 605 N.E.2d at 617. Butler’s argument suggests a deeper inquiry is required.</w:t>
      </w:r>
    </w:p>
    <w:p w14:paraId="3169D1D0" w14:textId="77777777" w:rsidR="00020BD9" w:rsidRPr="00592E67" w:rsidRDefault="00020BD9" w:rsidP="00020BD9">
      <w:pPr>
        <w:pStyle w:val="block-p--"/>
        <w:rPr>
          <w:rFonts w:ascii="Baskerville Old Face" w:hAnsi="Baskerville Old Face" w:cs="Times New Roman"/>
          <w:lang w:val="nb-NO"/>
        </w:rPr>
      </w:pPr>
      <w:r w:rsidRPr="006532A6">
        <w:rPr>
          <w:rFonts w:ascii="Baskerville Old Face" w:hAnsi="Baskerville Old Face" w:cs="Times New Roman"/>
        </w:rPr>
        <w:t xml:space="preserve">Butler contends Prairie must show a “near permanent relationship” exists between it and Butler’s patients in order to show it has a protectible interest in them. Butler cites </w:t>
      </w:r>
      <w:r w:rsidRPr="006532A6">
        <w:rPr>
          <w:rFonts w:ascii="Baskerville Old Face" w:hAnsi="Baskerville Old Face" w:cs="Times New Roman"/>
          <w:i/>
          <w:iCs/>
        </w:rPr>
        <w:t>Danville</w:t>
      </w:r>
      <w:r w:rsidRPr="006532A6">
        <w:rPr>
          <w:rFonts w:ascii="Baskerville Old Face" w:hAnsi="Baskerville Old Face" w:cs="Times New Roman"/>
        </w:rPr>
        <w:t xml:space="preserve">, 260 Ill. App. 3d 108, 197 Ill. Dec. 620, 631 N.E.2d 842, in which this court affirmed a trial court’s refusal to grant a preliminary injunction enforcing a restrictive covenant between a doctor and his partners in practice. We disagree with Butler’s interpretation of </w:t>
      </w:r>
      <w:r w:rsidRPr="006532A6">
        <w:rPr>
          <w:rFonts w:ascii="Baskerville Old Face" w:hAnsi="Baskerville Old Face" w:cs="Times New Roman"/>
          <w:i/>
          <w:iCs/>
        </w:rPr>
        <w:t>Danville</w:t>
      </w:r>
      <w:r w:rsidRPr="006532A6">
        <w:rPr>
          <w:rFonts w:ascii="Baskerville Old Face" w:hAnsi="Baskerville Old Face" w:cs="Times New Roman"/>
        </w:rPr>
        <w:t xml:space="preserve">. In </w:t>
      </w:r>
      <w:r w:rsidRPr="006532A6">
        <w:rPr>
          <w:rFonts w:ascii="Baskerville Old Face" w:hAnsi="Baskerville Old Face" w:cs="Times New Roman"/>
          <w:i/>
          <w:iCs/>
        </w:rPr>
        <w:t>Danville</w:t>
      </w:r>
      <w:r w:rsidRPr="006532A6">
        <w:rPr>
          <w:rFonts w:ascii="Baskerville Old Face" w:hAnsi="Baskerville Old Face" w:cs="Times New Roman"/>
        </w:rPr>
        <w:t xml:space="preserve">, the trial court found [that] Polyclinic had no protectible interest in Dethmer’s patients because (1) plaintiff offered no proof of a near-permanent relationship between Polyclinic and Dethmer’s patients, and (2) the restrictive covenant was not intended to protect an interest in Dethmer’s patients, but to retain a sufficient number of partners so as to finance construction of a new building. </w:t>
      </w:r>
      <w:r w:rsidRPr="00592E67">
        <w:rPr>
          <w:rFonts w:ascii="Baskerville Old Face" w:hAnsi="Baskerville Old Face" w:cs="Times New Roman"/>
          <w:i/>
          <w:iCs/>
          <w:lang w:val="nb-NO"/>
        </w:rPr>
        <w:t>Danville</w:t>
      </w:r>
      <w:r w:rsidRPr="00592E67">
        <w:rPr>
          <w:rFonts w:ascii="Baskerville Old Face" w:hAnsi="Baskerville Old Face" w:cs="Times New Roman"/>
          <w:lang w:val="nb-NO"/>
        </w:rPr>
        <w:t xml:space="preserve">, 260 Ill. App. 3d at 113, 197 Ill. Dec. 620, 631 N.E.2d at 845–46. </w:t>
      </w:r>
      <w:r w:rsidRPr="006532A6">
        <w:rPr>
          <w:rFonts w:ascii="Baskerville Old Face" w:hAnsi="Baskerville Old Face" w:cs="Times New Roman"/>
        </w:rPr>
        <w:t>The trial court also found [that] the physicians practicing at Polyclinic operated with a notable degree of independence from Polyclinic, and Dethmer’s contract emphasized services Polyclinic would provide to him, which distinguished it from a typical employment agreement.</w:t>
      </w:r>
      <w:r w:rsidRPr="006532A6">
        <w:rPr>
          <w:rFonts w:ascii="Baskerville Old Face" w:hAnsi="Baskerville Old Face" w:cs="Times New Roman"/>
          <w:i/>
          <w:iCs/>
        </w:rPr>
        <w:t xml:space="preserve"> </w:t>
      </w:r>
      <w:r w:rsidRPr="00592E67">
        <w:rPr>
          <w:rFonts w:ascii="Baskerville Old Face" w:hAnsi="Baskerville Old Face" w:cs="Times New Roman"/>
          <w:i/>
          <w:iCs/>
          <w:lang w:val="nb-NO"/>
        </w:rPr>
        <w:t>Danville</w:t>
      </w:r>
      <w:r w:rsidRPr="00592E67">
        <w:rPr>
          <w:rFonts w:ascii="Baskerville Old Face" w:hAnsi="Baskerville Old Face" w:cs="Times New Roman"/>
          <w:lang w:val="nb-NO"/>
        </w:rPr>
        <w:t>, 260 Ill. App. 3d at 112, 197 Ill. Dec. 620, 631 N.E.2d at 845.</w:t>
      </w:r>
    </w:p>
    <w:p w14:paraId="43A2F087" w14:textId="77777777" w:rsidR="00020BD9" w:rsidRPr="006532A6" w:rsidRDefault="00020BD9" w:rsidP="00020BD9">
      <w:pPr>
        <w:pStyle w:val="block-p--"/>
        <w:rPr>
          <w:rFonts w:ascii="Baskerville Old Face" w:hAnsi="Baskerville Old Face" w:cs="Times New Roman"/>
        </w:rPr>
      </w:pPr>
      <w:r w:rsidRPr="006532A6">
        <w:rPr>
          <w:rFonts w:ascii="Baskerville Old Face" w:hAnsi="Baskerville Old Face" w:cs="Times New Roman"/>
        </w:rPr>
        <w:t xml:space="preserve">We noted two factors were “very significant” to the holding in </w:t>
      </w:r>
      <w:r w:rsidRPr="006532A6">
        <w:rPr>
          <w:rFonts w:ascii="Baskerville Old Face" w:hAnsi="Baskerville Old Face" w:cs="Times New Roman"/>
          <w:i/>
          <w:iCs/>
        </w:rPr>
        <w:t>Danville</w:t>
      </w:r>
      <w:r w:rsidRPr="006532A6">
        <w:rPr>
          <w:rFonts w:ascii="Baskerville Old Face" w:hAnsi="Baskerville Old Face" w:cs="Times New Roman"/>
        </w:rPr>
        <w:t xml:space="preserve">: the trial court’s substantial discretion and the unusual nature of the agreement between the parties. </w:t>
      </w:r>
      <w:r w:rsidRPr="00592E67">
        <w:rPr>
          <w:rFonts w:ascii="Baskerville Old Face" w:hAnsi="Baskerville Old Face" w:cs="Times New Roman"/>
          <w:i/>
          <w:iCs/>
          <w:lang w:val="nb-NO"/>
        </w:rPr>
        <w:t>Danville</w:t>
      </w:r>
      <w:r w:rsidRPr="00592E67">
        <w:rPr>
          <w:rFonts w:ascii="Baskerville Old Face" w:hAnsi="Baskerville Old Face" w:cs="Times New Roman"/>
          <w:lang w:val="nb-NO"/>
        </w:rPr>
        <w:t xml:space="preserve">, 260 Ill. App. 3d at 109, 197 Ill. Dec. 620, 631 N.E.2d at 843. </w:t>
      </w:r>
      <w:r w:rsidRPr="006532A6">
        <w:rPr>
          <w:rFonts w:ascii="Baskerville Old Face" w:hAnsi="Baskerville Old Face" w:cs="Times New Roman"/>
        </w:rPr>
        <w:t>We do not construe</w:t>
      </w:r>
      <w:r w:rsidRPr="006532A6">
        <w:rPr>
          <w:rFonts w:ascii="Baskerville Old Face" w:hAnsi="Baskerville Old Face" w:cs="Times New Roman"/>
          <w:i/>
          <w:iCs/>
        </w:rPr>
        <w:t xml:space="preserve"> Danville</w:t>
      </w:r>
      <w:r w:rsidRPr="006532A6">
        <w:rPr>
          <w:rFonts w:ascii="Baskerville Old Face" w:hAnsi="Baskerville Old Face" w:cs="Times New Roman"/>
        </w:rPr>
        <w:t xml:space="preserve"> as holding evidence of a near-permanent relationship between an employer and a physician’s patients is required to prove the employer has a protectible interest in those patients. The precedential scope of a decision is limited to the facts before the court. </w:t>
      </w:r>
      <w:r w:rsidRPr="006532A6">
        <w:rPr>
          <w:rFonts w:ascii="Baskerville Old Face" w:hAnsi="Baskerville Old Face" w:cs="Times New Roman"/>
          <w:i/>
          <w:iCs/>
        </w:rPr>
        <w:t>People v. Flatt</w:t>
      </w:r>
      <w:r w:rsidRPr="006532A6">
        <w:rPr>
          <w:rFonts w:ascii="Baskerville Old Face" w:hAnsi="Baskerville Old Face" w:cs="Times New Roman"/>
        </w:rPr>
        <w:t xml:space="preserve">, 82 Ill. 2d 250, 261, 45 Ill. Dec. 158, 412 N.E.2d 509, 515 (1980). </w:t>
      </w:r>
      <w:r w:rsidRPr="006532A6">
        <w:rPr>
          <w:rFonts w:ascii="Baskerville Old Face" w:hAnsi="Baskerville Old Face" w:cs="Times New Roman"/>
          <w:i/>
          <w:iCs/>
        </w:rPr>
        <w:t>Danville</w:t>
      </w:r>
      <w:r w:rsidRPr="006532A6">
        <w:rPr>
          <w:rFonts w:ascii="Baskerville Old Face" w:hAnsi="Baskerville Old Face" w:cs="Times New Roman"/>
        </w:rPr>
        <w:t xml:space="preserve"> merely holds the trial court’s denial of the injunction was not an abuse of discretion or against the manifest weight of the evidence under the facts and circumstances particular to the case.</w:t>
      </w:r>
    </w:p>
    <w:p w14:paraId="5CF24E52" w14:textId="77777777" w:rsidR="00020BD9" w:rsidRPr="006532A6" w:rsidRDefault="00020BD9" w:rsidP="00020BD9">
      <w:pPr>
        <w:pStyle w:val="block-p--"/>
        <w:rPr>
          <w:rFonts w:ascii="Baskerville Old Face" w:hAnsi="Baskerville Old Face" w:cs="Times New Roman"/>
        </w:rPr>
      </w:pPr>
      <w:r w:rsidRPr="006532A6">
        <w:rPr>
          <w:rFonts w:ascii="Baskerville Old Face" w:hAnsi="Baskerville Old Face" w:cs="Times New Roman"/>
        </w:rPr>
        <w:t xml:space="preserve">In </w:t>
      </w:r>
      <w:r w:rsidRPr="006532A6">
        <w:rPr>
          <w:rFonts w:ascii="Baskerville Old Face" w:hAnsi="Baskerville Old Face" w:cs="Times New Roman"/>
          <w:i/>
          <w:iCs/>
        </w:rPr>
        <w:t>Gillespie</w:t>
      </w:r>
      <w:r w:rsidRPr="006532A6">
        <w:rPr>
          <w:rFonts w:ascii="Baskerville Old Face" w:hAnsi="Baskerville Old Face" w:cs="Times New Roman"/>
        </w:rPr>
        <w:t xml:space="preserve"> [</w:t>
      </w:r>
      <w:r w:rsidRPr="006532A6">
        <w:rPr>
          <w:rFonts w:ascii="Baskerville Old Face" w:hAnsi="Baskerville Old Face" w:cs="Times New Roman"/>
          <w:i/>
          <w:iCs/>
        </w:rPr>
        <w:t>v. Carbondale &amp; Marion Eye Centers, Ltd.</w:t>
      </w:r>
      <w:r w:rsidRPr="006532A6">
        <w:rPr>
          <w:rFonts w:ascii="Baskerville Old Face" w:hAnsi="Baskerville Old Face" w:cs="Times New Roman"/>
        </w:rPr>
        <w:t xml:space="preserve">], 251 Ill. App. 3d [625,] 626, 190 Ill. Dec. 950, 622 N.E.2d [1267,] 1269 [(1993)], the fifth district found [that] a plaintiff is not required to establish [that] it has a near-permanent relationship with its clientele in order to establish a protectible interest. In so holding, the </w:t>
      </w:r>
      <w:r w:rsidRPr="006532A6">
        <w:rPr>
          <w:rFonts w:ascii="Baskerville Old Face" w:hAnsi="Baskerville Old Face" w:cs="Times New Roman"/>
          <w:i/>
          <w:iCs/>
        </w:rPr>
        <w:t>Gillespie</w:t>
      </w:r>
      <w:r w:rsidRPr="006532A6">
        <w:rPr>
          <w:rFonts w:ascii="Baskerville Old Face" w:hAnsi="Baskerville Old Face" w:cs="Times New Roman"/>
        </w:rPr>
        <w:t xml:space="preserve"> court relied on the first district case, </w:t>
      </w:r>
      <w:r w:rsidRPr="006532A6">
        <w:rPr>
          <w:rFonts w:ascii="Baskerville Old Face" w:hAnsi="Baskerville Old Face" w:cs="Times New Roman"/>
          <w:i/>
          <w:iCs/>
        </w:rPr>
        <w:t>Retina Services, Ltd.</w:t>
      </w:r>
      <w:r w:rsidRPr="006532A6">
        <w:rPr>
          <w:rFonts w:ascii="Baskerville Old Face" w:hAnsi="Baskerville Old Face" w:cs="Times New Roman"/>
        </w:rPr>
        <w:t xml:space="preserve">, which found: </w:t>
      </w:r>
    </w:p>
    <w:p w14:paraId="56B3937A" w14:textId="77777777" w:rsidR="00020BD9" w:rsidRPr="006A121F" w:rsidRDefault="00020BD9" w:rsidP="00020BD9">
      <w:pPr>
        <w:pStyle w:val="block-f2ndindent"/>
        <w:rPr>
          <w:rFonts w:ascii="Baskerville Old Face" w:hAnsi="Baskerville Old Face"/>
        </w:rPr>
      </w:pPr>
      <w:r w:rsidRPr="006A121F">
        <w:rPr>
          <w:rFonts w:ascii="Baskerville Old Face" w:hAnsi="Baskerville Old Face"/>
        </w:rPr>
        <w:t xml:space="preserve">“The Illinois Supreme Court has repeatedly upheld covenants not to compete in medical practice cases without making a specific inquiry into whether the plaintiff has demonstrated a </w:t>
      </w:r>
      <w:r w:rsidRPr="006A121F">
        <w:rPr>
          <w:rFonts w:ascii="Baskerville Old Face" w:hAnsi="Baskerville Old Face"/>
        </w:rPr>
        <w:lastRenderedPageBreak/>
        <w:t>[protectible] business interest. Notwithstanding the appellate court decisions which have carefully scrutinized whether the plaintiff has shown a [protectible] interest in cases outside the medical practice area, the Illinois [S]upreme [C]ourt’s consistent enforcement of such covenants in the medical professional field, where the durational and geographic scope is reasonable, demonstrates its recognition that a professional’s medical practice is a [protectible] business interest.”</w:t>
      </w:r>
    </w:p>
    <w:p w14:paraId="422D9A8B" w14:textId="77777777" w:rsidR="00020BD9" w:rsidRPr="006532A6" w:rsidRDefault="00020BD9" w:rsidP="006532A6">
      <w:pPr>
        <w:pStyle w:val="block-f--"/>
        <w:spacing w:after="0"/>
        <w:rPr>
          <w:rFonts w:ascii="Baskerville Old Face" w:hAnsi="Baskerville Old Face" w:cs="Times New Roman"/>
        </w:rPr>
      </w:pPr>
      <w:r w:rsidRPr="006532A6">
        <w:rPr>
          <w:rFonts w:ascii="Baskerville Old Face" w:hAnsi="Baskerville Old Face" w:cs="Times New Roman"/>
        </w:rPr>
        <w:t>[</w:t>
      </w:r>
      <w:r w:rsidRPr="006532A6">
        <w:rPr>
          <w:rFonts w:ascii="Baskerville Old Face" w:hAnsi="Baskerville Old Face" w:cs="Times New Roman"/>
          <w:i/>
          <w:iCs/>
        </w:rPr>
        <w:t>Retina Services, Ltd.</w:t>
      </w:r>
      <w:r w:rsidRPr="006532A6">
        <w:rPr>
          <w:rFonts w:ascii="Baskerville Old Face" w:hAnsi="Baskerville Old Face" w:cs="Times New Roman"/>
        </w:rPr>
        <w:t>, 182 Ill. App. 3d at 856, 131 Ill. Dec. 276, 538 N.E.2d at 653.]</w:t>
      </w:r>
    </w:p>
    <w:p w14:paraId="6A8E9D8F" w14:textId="77777777" w:rsidR="00020BD9" w:rsidRDefault="00020BD9" w:rsidP="006532A6">
      <w:pPr>
        <w:pStyle w:val="block-p-"/>
        <w:spacing w:after="0"/>
        <w:rPr>
          <w:rFonts w:ascii="Baskerville Old Face" w:hAnsi="Baskerville Old Face" w:cs="Times New Roman"/>
        </w:rPr>
      </w:pPr>
      <w:r w:rsidRPr="006532A6">
        <w:rPr>
          <w:rFonts w:ascii="Baskerville Old Face" w:hAnsi="Baskerville Old Face" w:cs="Times New Roman"/>
        </w:rPr>
        <w:t xml:space="preserve">We find Prairie made a sufficient showing of its protectible interest in Butler’s patients. Prairie’s interest is not merely “inherent” in the relationship between Butler and Prairie; rather, this interest is precisely what Prairie negotiated for when it entered the employment agreement with Butler. As opposed to the circumstances of </w:t>
      </w:r>
      <w:r w:rsidRPr="006532A6">
        <w:rPr>
          <w:rFonts w:ascii="Baskerville Old Face" w:hAnsi="Baskerville Old Face" w:cs="Times New Roman"/>
          <w:i/>
          <w:iCs/>
        </w:rPr>
        <w:t>Danville</w:t>
      </w:r>
      <w:r w:rsidRPr="006532A6">
        <w:rPr>
          <w:rFonts w:ascii="Baskerville Old Face" w:hAnsi="Baskerville Old Face" w:cs="Times New Roman"/>
        </w:rPr>
        <w:t>, the restrictive covenant here was clearly entered for the purpose of protecting Prairie’s interest in Butler’s patients.</w:t>
      </w:r>
    </w:p>
    <w:p w14:paraId="7C3F79B2" w14:textId="77777777" w:rsidR="0016514A" w:rsidRPr="0016514A" w:rsidRDefault="0016514A" w:rsidP="006532A6">
      <w:pPr>
        <w:pStyle w:val="block-p-"/>
        <w:spacing w:after="0"/>
        <w:rPr>
          <w:rFonts w:ascii="Baskerville Old Face" w:hAnsi="Baskerville Old Face" w:cs="Times New Roman"/>
        </w:rPr>
      </w:pPr>
    </w:p>
    <w:p w14:paraId="2A2CA072" w14:textId="77777777" w:rsidR="00020BD9" w:rsidRPr="0016514A" w:rsidRDefault="00020BD9" w:rsidP="00020BD9">
      <w:pPr>
        <w:pStyle w:val="textflush"/>
        <w:rPr>
          <w:rFonts w:ascii="Baskerville Old Face" w:hAnsi="Baskerville Old Face" w:cs="Times New Roman"/>
        </w:rPr>
      </w:pPr>
      <w:r w:rsidRPr="0016514A">
        <w:rPr>
          <w:rFonts w:ascii="Baskerville Old Face" w:hAnsi="Baskerville Old Face" w:cs="Times New Roman"/>
        </w:rPr>
        <w:t>713 N.E.2d at 613–15.</w:t>
      </w:r>
    </w:p>
    <w:p w14:paraId="0D13F5C8"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However, the prevention of ordinary competition for the patronage of patients is not a legitimate covenant-protectable interest. </w:t>
      </w:r>
      <w:r w:rsidRPr="006A121F">
        <w:rPr>
          <w:rFonts w:ascii="Baskerville Old Face" w:hAnsi="Baskerville Old Face"/>
          <w:i/>
        </w:rPr>
        <w:t>Carter-Shields v. Alton Health Instit</w:t>
      </w:r>
      <w:r w:rsidRPr="006A121F">
        <w:rPr>
          <w:rFonts w:ascii="Baskerville Old Face" w:hAnsi="Baskerville Old Face"/>
        </w:rPr>
        <w:t xml:space="preserve">., 317 Ill. App. 3d 260, 268, 250 Ill. Dec. 806, 739 N.E.2d 569, 575 (5th Dist. 2000), </w:t>
      </w:r>
      <w:r w:rsidRPr="006A121F">
        <w:rPr>
          <w:rFonts w:ascii="Baskerville Old Face" w:hAnsi="Baskerville Old Face"/>
          <w:i/>
        </w:rPr>
        <w:t>aff’d in part and vacated in</w:t>
      </w:r>
      <w:r w:rsidRPr="006A121F">
        <w:rPr>
          <w:rFonts w:ascii="Baskerville Old Face" w:hAnsi="Baskerville Old Face"/>
        </w:rPr>
        <w:t xml:space="preserve"> </w:t>
      </w:r>
      <w:r w:rsidRPr="006A121F">
        <w:rPr>
          <w:rFonts w:ascii="Baskerville Old Face" w:hAnsi="Baskerville Old Face"/>
          <w:i/>
        </w:rPr>
        <w:t>part by</w:t>
      </w:r>
      <w:r w:rsidRPr="006A121F">
        <w:rPr>
          <w:rFonts w:ascii="Baskerville Old Face" w:hAnsi="Baskerville Old Face"/>
        </w:rPr>
        <w:t xml:space="preserve"> 201 Ill. 2d 441 (2002). “The law will not enforce a contract merely to prohibit ordinary competition.” </w:t>
      </w:r>
      <w:r w:rsidRPr="006A121F">
        <w:rPr>
          <w:rFonts w:ascii="Baskerville Old Face" w:hAnsi="Baskerville Old Face"/>
          <w:i/>
        </w:rPr>
        <w:t>Id.</w:t>
      </w:r>
      <w:r w:rsidRPr="006A121F">
        <w:rPr>
          <w:rFonts w:ascii="Baskerville Old Face" w:hAnsi="Baskerville Old Face"/>
        </w:rPr>
        <w:t xml:space="preserve"> (citing </w:t>
      </w:r>
      <w:r w:rsidRPr="006A121F">
        <w:rPr>
          <w:rFonts w:ascii="Baskerville Old Face" w:hAnsi="Baskerville Old Face"/>
          <w:i/>
        </w:rPr>
        <w:t>Reinhardt Printing Co. v. Feld</w:t>
      </w:r>
      <w:r w:rsidRPr="006A121F">
        <w:rPr>
          <w:rFonts w:ascii="Baskerville Old Face" w:hAnsi="Baskerville Old Face"/>
        </w:rPr>
        <w:t>, 142 Ill. App. 3d 9, 15, 96 Ill. Dec. 97, 490 N.E.2d 1302, 1307 (1st Dist. 1986); finding that the covenant in question restricts competition rather than protects any legitimate business interest).</w:t>
      </w:r>
    </w:p>
    <w:p w14:paraId="51C8AE41" w14:textId="77777777" w:rsidR="00020BD9" w:rsidRPr="0016514A" w:rsidRDefault="00020BD9" w:rsidP="00020BD9">
      <w:pPr>
        <w:pStyle w:val="HeadingCenter11Underscore"/>
        <w:rPr>
          <w:rFonts w:ascii="Baskerville Old Face" w:hAnsi="Baskerville Old Face" w:cs="Times New Roman"/>
        </w:rPr>
      </w:pPr>
      <w:r w:rsidRPr="0016514A">
        <w:rPr>
          <w:rFonts w:ascii="Baskerville Old Face" w:hAnsi="Baskerville Old Face" w:cs="Times New Roman"/>
        </w:rPr>
        <w:t>Trade Secrets and Other Confidential Information</w:t>
      </w:r>
    </w:p>
    <w:p w14:paraId="1AD1E116"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 customer’s purchase history has been held not to constitute confidential information under Illinois protectable-interest analysis. </w:t>
      </w:r>
      <w:r w:rsidRPr="006A121F">
        <w:rPr>
          <w:rFonts w:ascii="Baskerville Old Face" w:hAnsi="Baskerville Old Face"/>
          <w:i/>
        </w:rPr>
        <w:t>Unisource Worldwide, Inc. v. Carrara</w:t>
      </w:r>
      <w:r w:rsidRPr="006A121F">
        <w:rPr>
          <w:rFonts w:ascii="Baskerville Old Face" w:hAnsi="Baskerville Old Face"/>
        </w:rPr>
        <w:t xml:space="preserve">, 244 F. Supp. 2d 977, 986 (C.D. Ill. 2003). Likewise, a customer list containing the customer number, name, address, key contact person, and telephone number of each specific sales representative’s current customers has been held not to be confidential. </w:t>
      </w:r>
      <w:r w:rsidRPr="006A121F">
        <w:rPr>
          <w:rFonts w:ascii="Baskerville Old Face" w:hAnsi="Baskerville Old Face"/>
          <w:i/>
        </w:rPr>
        <w:t>Id.</w:t>
      </w:r>
      <w:r w:rsidRPr="006A121F">
        <w:rPr>
          <w:rFonts w:ascii="Baskerville Old Face" w:hAnsi="Baskerville Old Face"/>
        </w:rPr>
        <w:t xml:space="preserve"> </w:t>
      </w:r>
    </w:p>
    <w:p w14:paraId="00B4CAEF"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Where a former employer asserts that it has a legitimate business interest in allegedly confidential information—such as its pricing structure, future bids, marketing plans, key contact persons, </w:t>
      </w:r>
      <w:r w:rsidRPr="006A121F">
        <w:rPr>
          <w:rFonts w:ascii="Baskerville Old Face" w:hAnsi="Baskerville Old Face"/>
        </w:rPr>
        <w:lastRenderedPageBreak/>
        <w:t xml:space="preserve">and a computer database—the former employer must be able to offer evidence that the former employee actually tried to use any such confidential information for his own benefit. </w:t>
      </w:r>
      <w:r w:rsidRPr="006A121F">
        <w:rPr>
          <w:rFonts w:ascii="Baskerville Old Face" w:hAnsi="Baskerville Old Face"/>
          <w:i/>
        </w:rPr>
        <w:t>Lawrence &amp; Allen</w:t>
      </w:r>
      <w:r w:rsidRPr="006A121F">
        <w:rPr>
          <w:rFonts w:ascii="Baskerville Old Face" w:hAnsi="Baskerville Old Face"/>
        </w:rPr>
        <w:t xml:space="preserve">, 226 Ill. Dec. at 342, 685 N.E.2d at 445 (“beyond bald conclusions, plaintiff failed to offer any evidence that [the former employee in the instant case] actually tried to use any confidential information for his own benefit”; citing </w:t>
      </w:r>
      <w:r w:rsidRPr="006A121F">
        <w:rPr>
          <w:rFonts w:ascii="Baskerville Old Face" w:hAnsi="Baskerville Old Face"/>
          <w:i/>
        </w:rPr>
        <w:t>Capsonic</w:t>
      </w:r>
      <w:r w:rsidRPr="006A121F">
        <w:rPr>
          <w:rFonts w:ascii="Baskerville Old Face" w:hAnsi="Baskerville Old Face"/>
        </w:rPr>
        <w:t xml:space="preserve">, 181 Ill. App. 3d at 993). </w:t>
      </w:r>
      <w:r w:rsidRPr="006A121F">
        <w:rPr>
          <w:rFonts w:ascii="Baskerville Old Face" w:hAnsi="Baskerville Old Face"/>
          <w:i/>
        </w:rPr>
        <w:t>See also Outsource Int’l, Inc. v. Barton</w:t>
      </w:r>
      <w:r w:rsidRPr="006A121F">
        <w:rPr>
          <w:rFonts w:ascii="Baskerville Old Face" w:hAnsi="Baskerville Old Face"/>
        </w:rPr>
        <w:t>, 192 F.3d 662, 667–68, 15 IER Cases 977, 52 USPQ2d 1085 (7th Cir. 1999) (finding confidential-information test satisfied).</w:t>
      </w:r>
    </w:p>
    <w:p w14:paraId="32D9E04F"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The identity and contact information of potential customers of computer network services have been held not to constitute a trade secret under Illinois law. </w:t>
      </w:r>
      <w:r w:rsidRPr="006A121F">
        <w:rPr>
          <w:rFonts w:ascii="Baskerville Old Face" w:hAnsi="Baskerville Old Face"/>
          <w:i/>
        </w:rPr>
        <w:t>System Dev. Servs., Inc. v. Haarmann</w:t>
      </w:r>
      <w:r w:rsidRPr="006A121F">
        <w:rPr>
          <w:rFonts w:ascii="Baskerville Old Face" w:hAnsi="Baskerville Old Face"/>
        </w:rPr>
        <w:t xml:space="preserve">, 389 Ill. App. 3d 561, 575, 329 Ill. Dec. 744, 756, 907 N.E.2d 63, 75 (5th Dist. 2009) (not a covenant case) (finding that “in today’s modern world, computers and computer networks are common business tools, and all businesses are potential customers of computer network services. Locating potential customers is merely a matter of identifying businesses in a particular town, county or area and looking up their information.”). Where customer information is readily available to competitors through normal competitive means, no trade secret exists. </w:t>
      </w:r>
      <w:r w:rsidRPr="006A121F">
        <w:rPr>
          <w:rFonts w:ascii="Baskerville Old Face" w:hAnsi="Baskerville Old Face"/>
          <w:i/>
        </w:rPr>
        <w:t>Id.</w:t>
      </w:r>
      <w:r w:rsidRPr="006A121F">
        <w:rPr>
          <w:rFonts w:ascii="Baskerville Old Face" w:hAnsi="Baskerville Old Face"/>
        </w:rPr>
        <w:t>, 329 Ill. Dec. at 756, 907 N.E.2d at 75.</w:t>
      </w:r>
    </w:p>
    <w:p w14:paraId="6B7EF3FD"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 “trade secret” protectable by restrictive covenant may be a plan or process, tool, mechanism, compound, or informational data used by a person in his or her business operations and known only to him or her and such other limited persons to whom it may be necessary to confide it. </w:t>
      </w:r>
      <w:r w:rsidRPr="006A121F">
        <w:rPr>
          <w:rFonts w:ascii="Baskerville Old Face" w:hAnsi="Baskerville Old Face"/>
          <w:i/>
        </w:rPr>
        <w:t xml:space="preserve">Label Printers, </w:t>
      </w:r>
      <w:r w:rsidRPr="006A121F">
        <w:rPr>
          <w:rFonts w:ascii="Baskerville Old Face" w:hAnsi="Baskerville Old Face"/>
        </w:rPr>
        <w:t xml:space="preserve">564 N.E.2d at 1389 (citing </w:t>
      </w:r>
      <w:r w:rsidRPr="006A121F">
        <w:rPr>
          <w:rFonts w:ascii="Baskerville Old Face" w:hAnsi="Baskerville Old Face"/>
          <w:i/>
        </w:rPr>
        <w:t>Capsonic</w:t>
      </w:r>
      <w:r w:rsidRPr="006A121F">
        <w:rPr>
          <w:rFonts w:ascii="Baskerville Old Face" w:hAnsi="Baskerville Old Face"/>
        </w:rPr>
        <w:t xml:space="preserve">, 537 N.E.2d at 1383–84). In </w:t>
      </w:r>
      <w:r w:rsidRPr="006A121F">
        <w:rPr>
          <w:rFonts w:ascii="Baskerville Old Face" w:hAnsi="Baskerville Old Face"/>
          <w:i/>
        </w:rPr>
        <w:t>Capsonic</w:t>
      </w:r>
      <w:r w:rsidRPr="006A121F">
        <w:rPr>
          <w:rFonts w:ascii="Baskerville Old Face" w:hAnsi="Baskerville Old Face"/>
        </w:rPr>
        <w:t>, the court held that there was insufficient evidence to establish that the employer’s overall expertise in designing automated systems was a protectable trade secret.</w:t>
      </w:r>
    </w:p>
    <w:p w14:paraId="00632C95"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“Where the parties have a contractual relationship that </w:t>
      </w:r>
      <w:r w:rsidRPr="006A121F">
        <w:rPr>
          <w:rFonts w:ascii="Baskerville Old Face" w:hAnsi="Baskerville Old Face"/>
        </w:rPr>
        <w:br/>
        <w:t xml:space="preserve">defines the duty of nondisclosure, the contract defines that duty for purposes of misappropriation under [the Illinois Trade Secrets Act (ITSA)].” </w:t>
      </w:r>
      <w:r w:rsidRPr="006A121F">
        <w:rPr>
          <w:rFonts w:ascii="Baskerville Old Face" w:hAnsi="Baskerville Old Face"/>
          <w:i/>
        </w:rPr>
        <w:t>Morris Silverman Mgmt. Corp. v. Western Union Fin. Servs. Inc.</w:t>
      </w:r>
      <w:r w:rsidRPr="006A121F">
        <w:rPr>
          <w:rFonts w:ascii="Baskerville Old Face" w:hAnsi="Baskerville Old Face"/>
        </w:rPr>
        <w:t xml:space="preserve">, 284 F. Supp. 2d 964, 992 (N.D. Ill. 2003) (citing </w:t>
      </w:r>
      <w:r w:rsidRPr="006A121F">
        <w:rPr>
          <w:rFonts w:ascii="Baskerville Old Face" w:hAnsi="Baskerville Old Face"/>
          <w:i/>
        </w:rPr>
        <w:t>Nilssen v. Motorola, Inc.</w:t>
      </w:r>
      <w:r w:rsidRPr="006A121F">
        <w:rPr>
          <w:rFonts w:ascii="Baskerville Old Face" w:hAnsi="Baskerville Old Face"/>
        </w:rPr>
        <w:t xml:space="preserve">, 963 F. Supp. 664, 680 (N.D. Ill. 1997); because the court found that the defendant did not breach the parties’ </w:t>
      </w:r>
      <w:r w:rsidRPr="006A121F">
        <w:rPr>
          <w:rFonts w:ascii="Baskerville Old Face" w:hAnsi="Baskerville Old Face"/>
        </w:rPr>
        <w:lastRenderedPageBreak/>
        <w:t xml:space="preserve">nondisclosure agreement in creating a customer list or in disclosing forms, the court explained, </w:t>
      </w:r>
      <w:r w:rsidRPr="006A121F">
        <w:rPr>
          <w:rFonts w:ascii="Baskerville Old Face" w:hAnsi="Baskerville Old Face"/>
          <w:i/>
        </w:rPr>
        <w:t>id.</w:t>
      </w:r>
      <w:r w:rsidRPr="006A121F">
        <w:rPr>
          <w:rFonts w:ascii="Baskerville Old Face" w:hAnsi="Baskerville Old Face"/>
        </w:rPr>
        <w:t xml:space="preserve">, that “[such conduct] cannot constitute misappropriation under ITSA” (citing </w:t>
      </w:r>
      <w:r w:rsidRPr="006A121F">
        <w:rPr>
          <w:rFonts w:ascii="Baskerville Old Face" w:hAnsi="Baskerville Old Face"/>
          <w:i/>
        </w:rPr>
        <w:t>Nilssen</w:t>
      </w:r>
      <w:r w:rsidRPr="006A121F">
        <w:rPr>
          <w:rFonts w:ascii="Baskerville Old Face" w:hAnsi="Baskerville Old Face"/>
        </w:rPr>
        <w:t xml:space="preserve">, 963 F. Supp. at 680; </w:t>
      </w:r>
      <w:r w:rsidRPr="006A121F">
        <w:rPr>
          <w:rFonts w:ascii="Baskerville Old Face" w:hAnsi="Baskerville Old Face"/>
          <w:i/>
        </w:rPr>
        <w:t>Unisource</w:t>
      </w:r>
      <w:r w:rsidRPr="006A121F">
        <w:rPr>
          <w:rFonts w:ascii="Baskerville Old Face" w:hAnsi="Baskerville Old Face"/>
        </w:rPr>
        <w:t>, 244 F. Supp. 2d at 986, 989–90.</w:t>
      </w:r>
    </w:p>
    <w:p w14:paraId="77B20F24" w14:textId="04B6C52B"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However, trade secrets are not necessary to establish a protectable interest in pricing formulae. </w:t>
      </w:r>
      <w:r w:rsidRPr="006A121F">
        <w:rPr>
          <w:rFonts w:ascii="Baskerville Old Face" w:hAnsi="Baskerville Old Face"/>
          <w:i/>
        </w:rPr>
        <w:t xml:space="preserve">Shapiro, </w:t>
      </w:r>
      <w:r w:rsidRPr="006A121F">
        <w:rPr>
          <w:rFonts w:ascii="Baskerville Old Face" w:hAnsi="Baskerville Old Face"/>
        </w:rPr>
        <w:t xml:space="preserve">549 N.E.2d at 796. </w:t>
      </w:r>
      <w:r w:rsidRPr="006A121F">
        <w:rPr>
          <w:rFonts w:ascii="Baskerville Old Face" w:hAnsi="Baskerville Old Face"/>
          <w:i/>
        </w:rPr>
        <w:t xml:space="preserve">See also Millard Maint., </w:t>
      </w:r>
      <w:r w:rsidRPr="006A121F">
        <w:rPr>
          <w:rFonts w:ascii="Baskerville Old Face" w:hAnsi="Baskerville Old Face"/>
        </w:rPr>
        <w:t xml:space="preserve">566 N.E.2d at 385 (holding that former employer’s pricing formula was protectable as confidential information since it was based, in part, on workers’ compensation and public liability insurance, both of which are based on confidential claims history, and in part on overhead and profit margin guidelines which were confidential); </w:t>
      </w:r>
      <w:r w:rsidRPr="006A121F">
        <w:rPr>
          <w:rFonts w:ascii="Baskerville Old Face" w:hAnsi="Baskerville Old Face"/>
          <w:i/>
        </w:rPr>
        <w:t>Donald McElroy, Inc. v. Delaney,</w:t>
      </w:r>
      <w:r w:rsidRPr="006A121F">
        <w:rPr>
          <w:rFonts w:ascii="Baskerville Old Face" w:hAnsi="Baskerville Old Face"/>
        </w:rPr>
        <w:t xml:space="preserve"> 72 Ill. App. 3d 285, 293, 27 Ill. Dec. 892, 899, 389 N.E.2d 1300, 1307 (1979) (holding that knowledge of pricing policy based, in part, on capacity of specially manufactured equipment constituted confidential information to be protected). </w:t>
      </w:r>
      <w:r w:rsidRPr="006A121F">
        <w:rPr>
          <w:rFonts w:ascii="Baskerville Old Face" w:hAnsi="Baskerville Old Face"/>
          <w:i/>
        </w:rPr>
        <w:t>Cf</w:t>
      </w:r>
      <w:r w:rsidRPr="006A121F">
        <w:rPr>
          <w:rFonts w:ascii="Baskerville Old Face" w:hAnsi="Baskerville Old Face"/>
        </w:rPr>
        <w:t xml:space="preserve">. </w:t>
      </w:r>
      <w:r w:rsidRPr="006A121F">
        <w:rPr>
          <w:rFonts w:ascii="Baskerville Old Face" w:hAnsi="Baskerville Old Face"/>
          <w:i/>
        </w:rPr>
        <w:t>Unisource</w:t>
      </w:r>
      <w:r w:rsidRPr="006A121F">
        <w:rPr>
          <w:rFonts w:ascii="Baskerville Old Face" w:hAnsi="Baskerville Old Face"/>
        </w:rPr>
        <w:t xml:space="preserve">, 244 F. Supp. 2d at 987 (“pricing information conveyed to a customer that the customer is at liberty to divulge is not confidential;” likewise, where price information is not confidential, information concerning profit margins, costs and markups cannot not constitute confidential information); </w:t>
      </w:r>
      <w:r w:rsidRPr="006A121F">
        <w:rPr>
          <w:rFonts w:ascii="Baskerville Old Face" w:hAnsi="Baskerville Old Face"/>
          <w:i/>
        </w:rPr>
        <w:t xml:space="preserve">Springfield Rare Coin, </w:t>
      </w:r>
      <w:r w:rsidRPr="006A121F">
        <w:rPr>
          <w:rFonts w:ascii="Baskerville Old Face" w:hAnsi="Baskerville Old Face"/>
        </w:rPr>
        <w:t>620 N.E.2d at 486–88 (holding that former employer’s pricing formula/policy for sales of scrap gold did not constitute protectable confidential information because formula was “not</w:t>
      </w:r>
      <w:r w:rsidRPr="00020BD9">
        <w:t> </w:t>
      </w:r>
      <w:r w:rsidR="00944F63">
        <w:rPr>
          <w:rFonts w:ascii="Baskerville Old Face" w:hAnsi="Baskerville Old Face"/>
        </w:rPr>
        <w:t>…</w:t>
      </w:r>
      <w:r w:rsidRPr="00020BD9">
        <w:t> </w:t>
      </w:r>
      <w:r w:rsidRPr="006A121F">
        <w:rPr>
          <w:rFonts w:ascii="Baskerville Old Face" w:hAnsi="Baskerville Old Face"/>
        </w:rPr>
        <w:t>based on anything other than [employer’s] desired [level of] profits” (</w:t>
      </w:r>
      <w:r w:rsidRPr="006A121F">
        <w:rPr>
          <w:rFonts w:ascii="Baskerville Old Face" w:hAnsi="Baskerville Old Face"/>
          <w:i/>
        </w:rPr>
        <w:t>id.</w:t>
      </w:r>
      <w:r w:rsidRPr="006A121F">
        <w:rPr>
          <w:rFonts w:ascii="Baskerville Old Face" w:hAnsi="Baskerville Old Face"/>
        </w:rPr>
        <w:t xml:space="preserve"> at 487)—under formula, employer simply “deducts the amount of profit it wishes to realize from the large dealers’ publicized prices in order to determine how much to pay the small dealers for scrap gold [which it resells to the large dealers]” (</w:t>
      </w:r>
      <w:r w:rsidRPr="006A121F">
        <w:rPr>
          <w:rFonts w:ascii="Baskerville Old Face" w:hAnsi="Baskerville Old Face"/>
          <w:i/>
        </w:rPr>
        <w:t>id.</w:t>
      </w:r>
      <w:r w:rsidRPr="006A121F">
        <w:rPr>
          <w:rFonts w:ascii="Baskerville Old Face" w:hAnsi="Baskerville Old Face"/>
        </w:rPr>
        <w:t>, at 486–87)—and “mere knowledge of the amount of profit desired by the employer does not mandate</w:t>
      </w:r>
      <w:r w:rsidRPr="00020BD9">
        <w:t> </w:t>
      </w:r>
      <w:r w:rsidR="00944F63">
        <w:rPr>
          <w:rFonts w:ascii="Baskerville Old Face" w:hAnsi="Baskerville Old Face"/>
        </w:rPr>
        <w:t>…</w:t>
      </w:r>
      <w:r w:rsidRPr="00020BD9">
        <w:t> </w:t>
      </w:r>
      <w:r w:rsidRPr="006A121F">
        <w:rPr>
          <w:rFonts w:ascii="Baskerville Old Face" w:hAnsi="Baskerville Old Face"/>
        </w:rPr>
        <w:t>treatment [as confidential information] by the court” (</w:t>
      </w:r>
      <w:r w:rsidRPr="006A121F">
        <w:rPr>
          <w:rFonts w:ascii="Baskerville Old Face" w:hAnsi="Baskerville Old Face"/>
          <w:i/>
        </w:rPr>
        <w:t>id.</w:t>
      </w:r>
      <w:r w:rsidRPr="006A121F">
        <w:rPr>
          <w:rFonts w:ascii="Baskerville Old Face" w:hAnsi="Baskerville Old Face"/>
        </w:rPr>
        <w:t xml:space="preserve"> at 487, distinguishing </w:t>
      </w:r>
      <w:r w:rsidRPr="006A121F">
        <w:rPr>
          <w:rFonts w:ascii="Baskerville Old Face" w:hAnsi="Baskerville Old Face"/>
          <w:i/>
        </w:rPr>
        <w:t>McElroy, supra</w:t>
      </w:r>
      <w:r w:rsidRPr="006A121F">
        <w:rPr>
          <w:rFonts w:ascii="Baskerville Old Face" w:hAnsi="Baskerville Old Face"/>
        </w:rPr>
        <w:t>); also reasoning that dealers in the trade make their prices and pricing policies available to others, and employer did not present evidence regarding how its pricing formula is different from those of its rivals (</w:t>
      </w:r>
      <w:r w:rsidRPr="006A121F">
        <w:rPr>
          <w:rFonts w:ascii="Baskerville Old Face" w:hAnsi="Baskerville Old Face"/>
          <w:i/>
        </w:rPr>
        <w:t>id.</w:t>
      </w:r>
      <w:r w:rsidRPr="006A121F">
        <w:rPr>
          <w:rFonts w:ascii="Baskerville Old Face" w:hAnsi="Baskerville Old Face"/>
        </w:rPr>
        <w:t xml:space="preserve"> at 488, citing </w:t>
      </w:r>
      <w:r w:rsidRPr="006A121F">
        <w:rPr>
          <w:rFonts w:ascii="Baskerville Old Face" w:hAnsi="Baskerville Old Face"/>
          <w:i/>
        </w:rPr>
        <w:t xml:space="preserve">Label Printers, </w:t>
      </w:r>
      <w:r w:rsidRPr="006A121F">
        <w:rPr>
          <w:rFonts w:ascii="Baskerville Old Face" w:hAnsi="Baskerville Old Face"/>
        </w:rPr>
        <w:t xml:space="preserve">206 Ill. App. 3d at 496, 151 Ill. Dec. at 727, 564 N.E.2d at 1389)); </w:t>
      </w:r>
      <w:r w:rsidRPr="006A121F">
        <w:rPr>
          <w:rFonts w:ascii="Baskerville Old Face" w:hAnsi="Baskerville Old Face"/>
          <w:i/>
        </w:rPr>
        <w:t xml:space="preserve">Shapiro, </w:t>
      </w:r>
      <w:r w:rsidRPr="006A121F">
        <w:rPr>
          <w:rFonts w:ascii="Baskerville Old Face" w:hAnsi="Baskerville Old Face"/>
        </w:rPr>
        <w:t xml:space="preserve">549 N.E.2d at 796 (holding that former employer’s pricing formula for printing work did not constitute </w:t>
      </w:r>
      <w:r w:rsidRPr="006A121F">
        <w:rPr>
          <w:rFonts w:ascii="Baskerville Old Face" w:hAnsi="Baskerville Old Face"/>
        </w:rPr>
        <w:lastRenderedPageBreak/>
        <w:t xml:space="preserve">protectable confidential information because former employer took no steps to segregate or restrict access to the pricing methodology; all of its production workers had access to formula and used it in the course of business, and all basic cost components that go into a job are common to the industry and directories are available to guide printers in setting those costs); </w:t>
      </w:r>
      <w:r w:rsidRPr="006A121F">
        <w:rPr>
          <w:rFonts w:ascii="Baskerville Old Face" w:hAnsi="Baskerville Old Face"/>
          <w:i/>
        </w:rPr>
        <w:t>Service Ctrs. of Chicago, Inc. v. Minogue</w:t>
      </w:r>
      <w:r w:rsidRPr="006A121F">
        <w:rPr>
          <w:rFonts w:ascii="Baskerville Old Face" w:hAnsi="Baskerville Old Face"/>
        </w:rPr>
        <w:t>, 180 Ill. App. 3d 447, 129 Ill. Dec. 367, 535 N.E.2d 1132, 1135–37 (1st Dist. 1989) (holding that pricing formula is not a trade secret on the ground that former employer failed to establish that it was the result of information or a price not generally known to others). The Illinois Trade Secret Act is codified at 765 ILCS 1065/1 et seq.</w:t>
      </w:r>
    </w:p>
    <w:p w14:paraId="04FBCF12"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Information regarding key personnel, “including what they do, what they cost, and how effective they are, is not the type of information that Illinois law intends to protect” as confidential. </w:t>
      </w:r>
      <w:r w:rsidRPr="006A121F">
        <w:rPr>
          <w:rFonts w:ascii="Baskerville Old Face" w:hAnsi="Baskerville Old Face"/>
          <w:i/>
        </w:rPr>
        <w:t>Unisource</w:t>
      </w:r>
      <w:r w:rsidRPr="006A121F">
        <w:rPr>
          <w:rFonts w:ascii="Baskerville Old Face" w:hAnsi="Baskerville Old Face"/>
        </w:rPr>
        <w:t xml:space="preserve">, 244 F. Supp. 2d at 988. “General information regarding customer coverage, staffing, and how [a company] conducts its business is not protectable, because ‘one who works for another cannot be compelled to erase from his mind all of the general skills, knowledge, acquaintances and the over-all experience’ that he acquired during the course of his employment.” </w:t>
      </w:r>
      <w:r w:rsidRPr="006A121F">
        <w:rPr>
          <w:rFonts w:ascii="Baskerville Old Face" w:hAnsi="Baskerville Old Face"/>
          <w:i/>
        </w:rPr>
        <w:t>Id.</w:t>
      </w:r>
      <w:r w:rsidRPr="006A121F">
        <w:rPr>
          <w:rFonts w:ascii="Baskerville Old Face" w:hAnsi="Baskerville Old Face"/>
        </w:rPr>
        <w:t xml:space="preserve"> (citing </w:t>
      </w:r>
      <w:r w:rsidRPr="006A121F">
        <w:rPr>
          <w:rFonts w:ascii="Baskerville Old Face" w:hAnsi="Baskerville Old Face"/>
          <w:i/>
        </w:rPr>
        <w:t>Revcor, Inc. v. Fame, Inc.</w:t>
      </w:r>
      <w:r w:rsidRPr="006A121F">
        <w:rPr>
          <w:rFonts w:ascii="Baskerville Old Face" w:hAnsi="Baskerville Old Face"/>
        </w:rPr>
        <w:t>, 85 Ill. App. 2d 350, 228 N.E.2d 742, 746 (1967) (not a covenant case)).</w:t>
      </w:r>
    </w:p>
    <w:p w14:paraId="4B43921F" w14:textId="77777777" w:rsidR="00020BD9" w:rsidRPr="0016514A" w:rsidRDefault="00020BD9" w:rsidP="00020BD9">
      <w:pPr>
        <w:pStyle w:val="block-f"/>
        <w:rPr>
          <w:rFonts w:ascii="Baskerville Old Face" w:hAnsi="Baskerville Old Face" w:cs="Times New Roman"/>
        </w:rPr>
      </w:pPr>
      <w:r w:rsidRPr="0016514A">
        <w:rPr>
          <w:rFonts w:ascii="Baskerville Old Face" w:hAnsi="Baskerville Old Face" w:cs="Times New Roman"/>
        </w:rPr>
        <w:t>Factors to consider in determining the existence of a trade secret include the extent to which the information is known outside of the business, as well as to employees and others involved in the business; the extent of measures taken to guard the secrecy of the information; the value of it to the employer and his competitors; the amount of effort and/or money expended in developing the information; and the ease or difficulty with which it could be acquired or duplicated by others.</w:t>
      </w:r>
    </w:p>
    <w:p w14:paraId="7A498C05" w14:textId="77777777" w:rsidR="00020BD9" w:rsidRPr="0016514A" w:rsidRDefault="00020BD9" w:rsidP="00020BD9">
      <w:pPr>
        <w:pStyle w:val="textflush"/>
        <w:rPr>
          <w:rFonts w:ascii="Baskerville Old Face" w:hAnsi="Baskerville Old Face" w:cs="Times New Roman"/>
        </w:rPr>
      </w:pPr>
      <w:r w:rsidRPr="0016514A">
        <w:rPr>
          <w:rFonts w:ascii="Baskerville Old Face" w:hAnsi="Baskerville Old Face" w:cs="Times New Roman"/>
          <w:i/>
          <w:iCs/>
        </w:rPr>
        <w:t xml:space="preserve">Label Printers, </w:t>
      </w:r>
      <w:r w:rsidRPr="0016514A">
        <w:rPr>
          <w:rFonts w:ascii="Baskerville Old Face" w:hAnsi="Baskerville Old Face" w:cs="Times New Roman"/>
        </w:rPr>
        <w:t>564 N.E.2d at 1389.</w:t>
      </w:r>
    </w:p>
    <w:p w14:paraId="728D9712"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Where the interest the employer seeks to protect through a nondisclosure covenant is a trade secret or other confidential information, the covenant need not contain a geographic or temporal limit to be enforceable. </w:t>
      </w:r>
      <w:r w:rsidRPr="006A121F">
        <w:rPr>
          <w:rFonts w:ascii="Baskerville Old Face" w:hAnsi="Baskerville Old Face"/>
          <w:i/>
        </w:rPr>
        <w:t>First Health Grp. Corp. v. National Prescription Adm’rs, Inc.</w:t>
      </w:r>
      <w:r w:rsidRPr="006A121F">
        <w:rPr>
          <w:rFonts w:ascii="Baskerville Old Face" w:hAnsi="Baskerville Old Face"/>
        </w:rPr>
        <w:t xml:space="preserve">, 155 F. Supp. 2d 194, 229 (M.D. Pa. 2001) (“Normally, confidentiality agreements lacking geographic or time limitations will be found invalid. The exception to the rule is </w:t>
      </w:r>
      <w:r w:rsidRPr="006A121F">
        <w:rPr>
          <w:rFonts w:ascii="Baskerville Old Face" w:hAnsi="Baskerville Old Face"/>
        </w:rPr>
        <w:lastRenderedPageBreak/>
        <w:t>where, as here, trade secrets and confidential information are involved.”).</w:t>
      </w:r>
    </w:p>
    <w:p w14:paraId="3CE98619" w14:textId="4F5D9DB3"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For a complete examination of the law of trade secrets in Illinois, see </w:t>
      </w:r>
      <w:r w:rsidRPr="006A121F">
        <w:rPr>
          <w:rFonts w:ascii="Baskerville Old Face" w:hAnsi="Baskerville Old Face"/>
          <w:smallCaps/>
        </w:rPr>
        <w:t>Brian M. Malsberger</w:t>
      </w:r>
      <w:r w:rsidRPr="006A121F">
        <w:rPr>
          <w:rFonts w:ascii="Baskerville Old Face" w:hAnsi="Baskerville Old Face"/>
        </w:rPr>
        <w:t xml:space="preserve">, </w:t>
      </w:r>
      <w:r w:rsidRPr="006A121F">
        <w:rPr>
          <w:rFonts w:ascii="Baskerville Old Face" w:hAnsi="Baskerville Old Face"/>
          <w:smallCaps/>
        </w:rPr>
        <w:t>Trade Secrets: A State-by-State Survey</w:t>
      </w:r>
      <w:r w:rsidRPr="006A121F">
        <w:rPr>
          <w:rFonts w:ascii="Baskerville Old Face" w:hAnsi="Baskerville Old Face"/>
        </w:rPr>
        <w:t xml:space="preserve"> (Arlington, Va.: Bloomberg Law, </w:t>
      </w:r>
      <w:r w:rsidR="004A3D31">
        <w:rPr>
          <w:rFonts w:ascii="Baskerville Old Face" w:hAnsi="Baskerville Old Face"/>
        </w:rPr>
        <w:t>2023</w:t>
      </w:r>
      <w:r w:rsidR="009060B6" w:rsidRPr="006A121F">
        <w:rPr>
          <w:rFonts w:ascii="Baskerville Old Face" w:hAnsi="Baskerville Old Face"/>
        </w:rPr>
        <w:t xml:space="preserve"> </w:t>
      </w:r>
      <w:r w:rsidRPr="006A121F">
        <w:rPr>
          <w:rFonts w:ascii="Baskerville Old Face" w:hAnsi="Baskerville Old Face"/>
        </w:rPr>
        <w:t>ed.)</w:t>
      </w:r>
      <w:r w:rsidR="009060B6" w:rsidRPr="006A121F">
        <w:rPr>
          <w:rFonts w:ascii="Baskerville Old Face" w:hAnsi="Baskerville Old Face"/>
        </w:rPr>
        <w:t xml:space="preserve"> </w:t>
      </w:r>
      <w:r w:rsidR="003207CE" w:rsidRPr="006A121F">
        <w:rPr>
          <w:rFonts w:ascii="Baskerville Old Face" w:hAnsi="Baskerville Old Face"/>
        </w:rPr>
        <w:t>(</w:t>
      </w:r>
      <w:r w:rsidR="003207CE">
        <w:rPr>
          <w:rFonts w:ascii="Baskerville Old Face" w:hAnsi="Baskerville Old Face"/>
        </w:rPr>
        <w:t>ebook</w:t>
      </w:r>
      <w:r w:rsidR="003207CE" w:rsidRPr="006A121F">
        <w:rPr>
          <w:rFonts w:ascii="Baskerville Old Face" w:hAnsi="Baskerville Old Face"/>
        </w:rPr>
        <w:t>)</w:t>
      </w:r>
      <w:r w:rsidRPr="006A121F">
        <w:rPr>
          <w:rFonts w:ascii="Baskerville Old Face" w:hAnsi="Baskerville Old Face"/>
        </w:rPr>
        <w:t xml:space="preserve">. For an in-depth discussion of the protection of confidential information not rising to the level of a trade secret where no restrictive covenant is involved, see </w:t>
      </w:r>
      <w:r w:rsidRPr="006A121F">
        <w:rPr>
          <w:rFonts w:ascii="Baskerville Old Face" w:hAnsi="Baskerville Old Face"/>
          <w:smallCaps/>
        </w:rPr>
        <w:t>Brian M. Malsberger</w:t>
      </w:r>
      <w:r w:rsidRPr="006A121F">
        <w:rPr>
          <w:rFonts w:ascii="Baskerville Old Face" w:hAnsi="Baskerville Old Face"/>
        </w:rPr>
        <w:t xml:space="preserve">, </w:t>
      </w:r>
      <w:r w:rsidRPr="006A121F">
        <w:rPr>
          <w:rFonts w:ascii="Baskerville Old Face" w:hAnsi="Baskerville Old Face"/>
          <w:smallCaps/>
        </w:rPr>
        <w:t>Employee Duty of Loyalty: A State-by-State Survey</w:t>
      </w:r>
      <w:r w:rsidRPr="006A121F">
        <w:rPr>
          <w:rFonts w:ascii="Baskerville Old Face" w:hAnsi="Baskerville Old Face"/>
        </w:rPr>
        <w:t xml:space="preserve"> (Arlington, Va.: Bloomberg Law, </w:t>
      </w:r>
      <w:r w:rsidR="004A3D31">
        <w:rPr>
          <w:rFonts w:ascii="Baskerville Old Face" w:hAnsi="Baskerville Old Face"/>
        </w:rPr>
        <w:t>2023</w:t>
      </w:r>
      <w:r w:rsidR="009060B6" w:rsidRPr="006A121F">
        <w:rPr>
          <w:rFonts w:ascii="Baskerville Old Face" w:hAnsi="Baskerville Old Face"/>
        </w:rPr>
        <w:t xml:space="preserve"> </w:t>
      </w:r>
      <w:r w:rsidRPr="006A121F">
        <w:rPr>
          <w:rFonts w:ascii="Baskerville Old Face" w:hAnsi="Baskerville Old Face"/>
        </w:rPr>
        <w:t>ed.</w:t>
      </w:r>
      <w:r w:rsidR="009060B6" w:rsidRPr="006A121F">
        <w:rPr>
          <w:rFonts w:ascii="Baskerville Old Face" w:hAnsi="Baskerville Old Face"/>
        </w:rPr>
        <w:t xml:space="preserve">) </w:t>
      </w:r>
      <w:r w:rsidR="003207CE" w:rsidRPr="006A121F">
        <w:rPr>
          <w:rFonts w:ascii="Baskerville Old Face" w:hAnsi="Baskerville Old Face"/>
        </w:rPr>
        <w:t>(</w:t>
      </w:r>
      <w:r w:rsidR="003207CE">
        <w:rPr>
          <w:rFonts w:ascii="Baskerville Old Face" w:hAnsi="Baskerville Old Face"/>
        </w:rPr>
        <w:t>ebook</w:t>
      </w:r>
      <w:r w:rsidR="003207CE" w:rsidRPr="006A121F">
        <w:rPr>
          <w:rFonts w:ascii="Baskerville Old Face" w:hAnsi="Baskerville Old Face"/>
        </w:rPr>
        <w:t>)</w:t>
      </w:r>
      <w:r w:rsidR="005F2515" w:rsidRPr="006A121F">
        <w:rPr>
          <w:rFonts w:ascii="Baskerville Old Face" w:hAnsi="Baskerville Old Face"/>
        </w:rPr>
        <w:t>.</w:t>
      </w:r>
    </w:p>
    <w:p w14:paraId="65CA50F6" w14:textId="77777777" w:rsidR="00020BD9" w:rsidRPr="0016514A" w:rsidRDefault="00020BD9" w:rsidP="00020BD9">
      <w:pPr>
        <w:pStyle w:val="HeadingCenter11Underscore"/>
        <w:rPr>
          <w:rFonts w:ascii="Baskerville Old Face" w:hAnsi="Baskerville Old Face" w:cs="Times New Roman"/>
        </w:rPr>
      </w:pPr>
      <w:r w:rsidRPr="0016514A">
        <w:rPr>
          <w:rFonts w:ascii="Baskerville Old Face" w:hAnsi="Baskerville Old Face" w:cs="Times New Roman"/>
        </w:rPr>
        <w:t>Supplier Relationships</w:t>
      </w:r>
    </w:p>
    <w:p w14:paraId="1D90CC14"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In </w:t>
      </w:r>
      <w:r w:rsidRPr="006A121F">
        <w:rPr>
          <w:rFonts w:ascii="Baskerville Old Face" w:hAnsi="Baskerville Old Face"/>
          <w:i/>
        </w:rPr>
        <w:t>J.D. Marshall International v. Fradkin</w:t>
      </w:r>
      <w:r w:rsidRPr="006A121F">
        <w:rPr>
          <w:rFonts w:ascii="Baskerville Old Face" w:hAnsi="Baskerville Old Face"/>
        </w:rPr>
        <w:t>, 87 Ill. App. 3d 118, 42 Ill. Dec. 509, 409 N.E.2d 4 (1st Dist. 1980), the court determined that an exporting company had a legitimate interest in its relationships with its suppliers, protectable by activity covenants.</w:t>
      </w:r>
    </w:p>
    <w:p w14:paraId="56F1E585"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As to former employers’ interests in customers:</w:t>
      </w:r>
    </w:p>
    <w:p w14:paraId="18FEF962" w14:textId="77777777" w:rsidR="00020BD9" w:rsidRPr="0016514A" w:rsidRDefault="00020BD9" w:rsidP="00020BD9">
      <w:pPr>
        <w:pStyle w:val="block-f"/>
        <w:rPr>
          <w:rFonts w:ascii="Baskerville Old Face" w:hAnsi="Baskerville Old Face" w:cs="Times New Roman"/>
        </w:rPr>
      </w:pPr>
      <w:r w:rsidRPr="0016514A">
        <w:rPr>
          <w:rFonts w:ascii="Baskerville Old Face" w:hAnsi="Baskerville Old Face" w:cs="Times New Roman"/>
        </w:rPr>
        <w:t xml:space="preserve">The First District has been the leader in developing the law concerning whether an employer has any proprietary interest in his customers warranting the imposition of restrictive covenants in an employment contract. [The Illinois] supreme court has not yet decided this issue, but has given us general guidance in this area of the law. In </w:t>
      </w:r>
      <w:r w:rsidRPr="0016514A">
        <w:rPr>
          <w:rFonts w:ascii="Baskerville Old Face" w:hAnsi="Baskerville Old Face" w:cs="Times New Roman"/>
          <w:i/>
          <w:iCs/>
        </w:rPr>
        <w:t>Canfield v. Spear</w:t>
      </w:r>
      <w:r w:rsidRPr="0016514A">
        <w:rPr>
          <w:rFonts w:ascii="Baskerville Old Face" w:hAnsi="Baskerville Old Face" w:cs="Times New Roman"/>
        </w:rPr>
        <w:t xml:space="preserve"> (1969), 44 Ill. 2d 49, 254 N.E.2d 433, the supreme court stated that in considering business relationships, a court should consider the question of injurious effect to the public in restricting the delivery of a service. In </w:t>
      </w:r>
      <w:r w:rsidRPr="0016514A">
        <w:rPr>
          <w:rFonts w:ascii="Baskerville Old Face" w:hAnsi="Baskerville Old Face" w:cs="Times New Roman"/>
          <w:i/>
          <w:iCs/>
        </w:rPr>
        <w:t>House of Vision, Inc. v. Hiyane</w:t>
      </w:r>
      <w:r w:rsidRPr="0016514A">
        <w:rPr>
          <w:rFonts w:ascii="Baskerville Old Face" w:hAnsi="Baskerville Old Face" w:cs="Times New Roman"/>
        </w:rPr>
        <w:t xml:space="preserve"> (1967), 37 Ill. 2d 32, 225 N.E.2d 21, our supreme court held that the enforceability of a restrictive agreement depends on the reasonableness of the agreement in terms of its effect on the parties to the agreement and on the public in general. Both the First and Fourth Districts have found that an employer may have a proprietary interest in its customers sufficient to warrant enforcement of noncompetition clauses between an employer and an employee. (See the First District cases of </w:t>
      </w:r>
      <w:r w:rsidRPr="0016514A">
        <w:rPr>
          <w:rFonts w:ascii="Baskerville Old Face" w:hAnsi="Baskerville Old Face" w:cs="Times New Roman"/>
          <w:i/>
          <w:iCs/>
        </w:rPr>
        <w:t>A.B. Dick Co. v. American Pro-Tech</w:t>
      </w:r>
      <w:r w:rsidRPr="0016514A">
        <w:rPr>
          <w:rFonts w:ascii="Baskerville Old Face" w:hAnsi="Baskerville Old Face" w:cs="Times New Roman"/>
        </w:rPr>
        <w:t xml:space="preserve"> (1987) 159 Ill. App. 3d 786, 112 Ill. Dec. 649, 514 N.E.2d 45, 2 IER Cases 600; </w:t>
      </w:r>
      <w:r w:rsidRPr="0016514A">
        <w:rPr>
          <w:rFonts w:ascii="Baskerville Old Face" w:hAnsi="Baskerville Old Face" w:cs="Times New Roman"/>
          <w:i/>
          <w:iCs/>
        </w:rPr>
        <w:t>Reinhardt Printing Co. v. Feld</w:t>
      </w:r>
      <w:r w:rsidRPr="0016514A">
        <w:rPr>
          <w:rFonts w:ascii="Baskerville Old Face" w:hAnsi="Baskerville Old Face" w:cs="Times New Roman"/>
        </w:rPr>
        <w:t xml:space="preserve"> (1986), 142 Ill. App. 3d 9, 16, 96 Ill. Dec. 97, 102, 490 N.E.2d 1302, 1307; </w:t>
      </w:r>
      <w:r w:rsidRPr="0016514A">
        <w:rPr>
          <w:rFonts w:ascii="Baskerville Old Face" w:hAnsi="Baskerville Old Face" w:cs="Times New Roman"/>
          <w:i/>
          <w:iCs/>
        </w:rPr>
        <w:t>McRand, Inc. v. van Beelen</w:t>
      </w:r>
      <w:r w:rsidRPr="0016514A">
        <w:rPr>
          <w:rFonts w:ascii="Baskerville Old Face" w:hAnsi="Baskerville Old Face" w:cs="Times New Roman"/>
        </w:rPr>
        <w:t xml:space="preserve"> (1985), 138 Ill. App. 3d 1045, 93 Ill. Dec. 471, 486 N.E.2d 1306; </w:t>
      </w:r>
      <w:r w:rsidRPr="0016514A">
        <w:rPr>
          <w:rFonts w:ascii="Baskerville Old Face" w:hAnsi="Baskerville Old Face" w:cs="Times New Roman"/>
          <w:i/>
          <w:iCs/>
        </w:rPr>
        <w:t>Jefco Laboratories, Inc. v. Carroo</w:t>
      </w:r>
      <w:r w:rsidRPr="0016514A">
        <w:rPr>
          <w:rFonts w:ascii="Baskerville Old Face" w:hAnsi="Baskerville Old Face" w:cs="Times New Roman"/>
        </w:rPr>
        <w:t xml:space="preserve">, (1985), 136 Ill. App. 3d 793, 91 Ill. Dec. 513, 483 N.E.2d 999; </w:t>
      </w:r>
      <w:r w:rsidRPr="0016514A">
        <w:rPr>
          <w:rFonts w:ascii="Baskerville Old Face" w:hAnsi="Baskerville Old Face" w:cs="Times New Roman"/>
          <w:i/>
          <w:iCs/>
        </w:rPr>
        <w:t>Instrumentalist Co. v. Band, Inc.</w:t>
      </w:r>
      <w:r w:rsidRPr="0016514A">
        <w:rPr>
          <w:rFonts w:ascii="Baskerville Old Face" w:hAnsi="Baskerville Old Face" w:cs="Times New Roman"/>
        </w:rPr>
        <w:t xml:space="preserve"> (1985), 134 Ill. App. 3d 884, 89 Ill. Dec. 530, 480 N.E.2d 1273, and the Fourth District case of </w:t>
      </w:r>
      <w:r w:rsidRPr="0016514A">
        <w:rPr>
          <w:rFonts w:ascii="Baskerville Old Face" w:hAnsi="Baskerville Old Face" w:cs="Times New Roman"/>
          <w:i/>
          <w:iCs/>
        </w:rPr>
        <w:t>Lee/O’Keefe Insurance Agency, Inc. v. Ferega</w:t>
      </w:r>
      <w:r w:rsidRPr="0016514A">
        <w:rPr>
          <w:rFonts w:ascii="Baskerville Old Face" w:hAnsi="Baskerville Old Face" w:cs="Times New Roman"/>
        </w:rPr>
        <w:t xml:space="preserve"> (1987), 163 Ill. App. 3d 997, 114 Ill. Dec. 919, 516 N.E.2d 1313).</w:t>
      </w:r>
    </w:p>
    <w:p w14:paraId="08B1E4D2" w14:textId="77777777" w:rsidR="00020BD9" w:rsidRPr="0016514A" w:rsidRDefault="00020BD9" w:rsidP="00020BD9">
      <w:pPr>
        <w:pStyle w:val="textflush"/>
        <w:rPr>
          <w:rFonts w:ascii="Baskerville Old Face" w:hAnsi="Baskerville Old Face" w:cs="Times New Roman"/>
        </w:rPr>
      </w:pPr>
      <w:r w:rsidRPr="0016514A">
        <w:rPr>
          <w:rFonts w:ascii="Baskerville Old Face" w:hAnsi="Baskerville Old Face" w:cs="Times New Roman"/>
          <w:i/>
          <w:iCs/>
        </w:rPr>
        <w:lastRenderedPageBreak/>
        <w:t>Southern Ill. Med. Bus. Assocs. v. Camillo</w:t>
      </w:r>
      <w:r w:rsidRPr="0016514A">
        <w:rPr>
          <w:rFonts w:ascii="Baskerville Old Face" w:hAnsi="Baskerville Old Face" w:cs="Times New Roman"/>
        </w:rPr>
        <w:t>, 190 Ill. App. 3d 664, 138 Ill. Dec. 4, 546 N.E.2d 1059, 1064 (5th Dist. 1989).</w:t>
      </w:r>
    </w:p>
    <w:p w14:paraId="2BA3F2F4"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The </w:t>
      </w:r>
      <w:r w:rsidRPr="006A121F">
        <w:rPr>
          <w:rFonts w:ascii="Baskerville Old Face" w:hAnsi="Baskerville Old Face"/>
          <w:i/>
        </w:rPr>
        <w:t>Southern</w:t>
      </w:r>
      <w:r w:rsidRPr="006A121F">
        <w:rPr>
          <w:rFonts w:ascii="Baskerville Old Face" w:hAnsi="Baskerville Old Face"/>
        </w:rPr>
        <w:t xml:space="preserve"> court went on to discuss the factors courts may consider in determining the existence of near-permanent customer relationships for purposes of establishing a protectable interest.</w:t>
      </w:r>
    </w:p>
    <w:p w14:paraId="4BAC49FD" w14:textId="55BA2788" w:rsidR="00020BD9" w:rsidRPr="0016514A" w:rsidRDefault="00020BD9" w:rsidP="00020BD9">
      <w:pPr>
        <w:pStyle w:val="block-f-"/>
        <w:rPr>
          <w:rFonts w:ascii="Baskerville Old Face" w:hAnsi="Baskerville Old Face" w:cs="Times New Roman"/>
        </w:rPr>
      </w:pPr>
      <w:r w:rsidRPr="0016514A">
        <w:rPr>
          <w:rFonts w:ascii="Baskerville Old Face" w:hAnsi="Baskerville Old Face" w:cs="Times New Roman"/>
        </w:rPr>
        <w:t>These factors include the time, cost, and difficulty involved in developing and maintaining clientele, the parties’ intention to remain affiliated for an indefinite period, and the continuity as well as the duration of the relationship.</w:t>
      </w:r>
      <w:r w:rsidRPr="00020BD9">
        <w:rPr>
          <w:rFonts w:cs="Times New Roman"/>
        </w:rPr>
        <w:t> </w:t>
      </w:r>
      <w:r w:rsidR="00944F63">
        <w:rPr>
          <w:rFonts w:ascii="Baskerville Old Face" w:hAnsi="Baskerville Old Face" w:cs="Times New Roman"/>
        </w:rPr>
        <w:t>…</w:t>
      </w:r>
      <w:r w:rsidRPr="00020BD9">
        <w:rPr>
          <w:rFonts w:cs="Times New Roman"/>
        </w:rPr>
        <w:t> </w:t>
      </w:r>
      <w:r w:rsidRPr="006532A6">
        <w:rPr>
          <w:rFonts w:ascii="Baskerville Old Face" w:hAnsi="Baskerville Old Face" w:cs="Times New Roman"/>
        </w:rPr>
        <w:t>We must also ask the question, but for the job with the employer, would the employee have come into contact with the customers.</w:t>
      </w:r>
      <w:r w:rsidRPr="00020BD9">
        <w:rPr>
          <w:rFonts w:cs="Times New Roman"/>
        </w:rPr>
        <w:t> </w:t>
      </w:r>
      <w:r w:rsidR="00944F63">
        <w:rPr>
          <w:rFonts w:ascii="Baskerville Old Face" w:hAnsi="Baskerville Old Face" w:cs="Times New Roman"/>
        </w:rPr>
        <w:t>…</w:t>
      </w:r>
      <w:r w:rsidRPr="00020BD9">
        <w:rPr>
          <w:rFonts w:cs="Times New Roman"/>
        </w:rPr>
        <w:t> </w:t>
      </w:r>
      <w:r w:rsidRPr="0016514A">
        <w:rPr>
          <w:rFonts w:ascii="Baskerville Old Face" w:hAnsi="Baskerville Old Face" w:cs="Times New Roman"/>
        </w:rPr>
        <w:t>We find these factors to be particularly realistic, as they can be adapted to even an inherently unstable industry.</w:t>
      </w:r>
      <w:r w:rsidRPr="00020BD9">
        <w:rPr>
          <w:rFonts w:cs="Times New Roman"/>
        </w:rPr>
        <w:t> </w:t>
      </w:r>
      <w:r w:rsidR="00944F63">
        <w:rPr>
          <w:rFonts w:ascii="Baskerville Old Face" w:hAnsi="Baskerville Old Face" w:cs="Times New Roman"/>
        </w:rPr>
        <w:t>…</w:t>
      </w:r>
      <w:r w:rsidRPr="00020BD9">
        <w:rPr>
          <w:rFonts w:cs="Times New Roman"/>
        </w:rPr>
        <w:t> </w:t>
      </w:r>
      <w:r w:rsidRPr="0016514A">
        <w:rPr>
          <w:rFonts w:ascii="Baskerville Old Face" w:hAnsi="Baskerville Old Face" w:cs="Times New Roman"/>
        </w:rPr>
        <w:t>We note that no one factor is to be given greater weight, but that these factors must be balanced.</w:t>
      </w:r>
      <w:r w:rsidRPr="00020BD9">
        <w:rPr>
          <w:rFonts w:cs="Times New Roman"/>
        </w:rPr>
        <w:t> </w:t>
      </w:r>
      <w:r w:rsidR="00944F63">
        <w:rPr>
          <w:rFonts w:ascii="Baskerville Old Face" w:hAnsi="Baskerville Old Face" w:cs="Times New Roman"/>
        </w:rPr>
        <w:t>…</w:t>
      </w:r>
    </w:p>
    <w:p w14:paraId="2B9F5676" w14:textId="7568A4E7" w:rsidR="00020BD9" w:rsidRPr="0016514A" w:rsidRDefault="00020BD9" w:rsidP="00020BD9">
      <w:pPr>
        <w:pStyle w:val="block-p-"/>
        <w:rPr>
          <w:rFonts w:ascii="Baskerville Old Face" w:hAnsi="Baskerville Old Face" w:cs="Times New Roman"/>
        </w:rPr>
      </w:pPr>
      <w:r w:rsidRPr="0016514A">
        <w:rPr>
          <w:rFonts w:ascii="Baskerville Old Face" w:hAnsi="Baskerville Old Face" w:cs="Times New Roman"/>
        </w:rPr>
        <w:t>The number of years it takes to develop the clientele indicates the parties’ intention to remain affiliated for long periods of time.</w:t>
      </w:r>
      <w:r w:rsidRPr="00020BD9">
        <w:rPr>
          <w:rFonts w:cs="Times New Roman"/>
        </w:rPr>
        <w:t> </w:t>
      </w:r>
      <w:r w:rsidR="00944F63">
        <w:rPr>
          <w:rFonts w:ascii="Baskerville Old Face" w:hAnsi="Baskerville Old Face" w:cs="Times New Roman"/>
        </w:rPr>
        <w:t>…</w:t>
      </w:r>
    </w:p>
    <w:p w14:paraId="1AC4C7C2" w14:textId="77777777" w:rsidR="00020BD9" w:rsidRPr="0016514A" w:rsidRDefault="00020BD9" w:rsidP="00020BD9">
      <w:pPr>
        <w:pStyle w:val="textflush"/>
        <w:rPr>
          <w:rFonts w:ascii="Baskerville Old Face" w:hAnsi="Baskerville Old Face" w:cs="Times New Roman"/>
        </w:rPr>
      </w:pPr>
      <w:r w:rsidRPr="0016514A">
        <w:rPr>
          <w:rFonts w:ascii="Baskerville Old Face" w:hAnsi="Baskerville Old Face" w:cs="Times New Roman"/>
          <w:i/>
          <w:iCs/>
        </w:rPr>
        <w:t>Id.</w:t>
      </w:r>
      <w:r w:rsidRPr="0016514A">
        <w:rPr>
          <w:rFonts w:ascii="Baskerville Old Face" w:hAnsi="Baskerville Old Face" w:cs="Times New Roman"/>
        </w:rPr>
        <w:t>, 546 N.E.2d at 1065–66 (citations omitted).</w:t>
      </w:r>
    </w:p>
    <w:p w14:paraId="0A301D9E"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Applying those factors, the court determined that the former employer, a firm providing clinical and anatomical laboratory </w:t>
      </w:r>
      <w:r w:rsidRPr="006A121F">
        <w:rPr>
          <w:rFonts w:ascii="Baskerville Old Face" w:hAnsi="Baskerville Old Face"/>
        </w:rPr>
        <w:br/>
        <w:t>services, had no near-permanent relationship with 20 nursing home-customers that the former employee, a phlebotomist, “brought over” with him to his new employer. The court reasoned:</w:t>
      </w:r>
    </w:p>
    <w:p w14:paraId="72ECFC74" w14:textId="47D93282" w:rsidR="00020BD9" w:rsidRPr="0016514A" w:rsidRDefault="00020BD9" w:rsidP="00020BD9">
      <w:pPr>
        <w:pStyle w:val="block-f"/>
        <w:rPr>
          <w:rFonts w:ascii="Baskerville Old Face" w:hAnsi="Baskerville Old Face" w:cs="Times New Roman"/>
        </w:rPr>
      </w:pPr>
      <w:r w:rsidRPr="0016514A">
        <w:rPr>
          <w:rFonts w:ascii="Baskerville Old Face" w:hAnsi="Baskerville Old Face" w:cs="Times New Roman"/>
        </w:rPr>
        <w:t xml:space="preserve">[T]here was no specific time period offered to indicate how long it took to develop a client, but the tone of the testimony suggested that clients could be developed after only one, or more likely, a few meetings. Moreover, there was no specific testimony to indicate the amount of money it took to develop a client. There was testimony that [the former employee] had an expense account which we presume was used to develop and maintain client relationships, but there was no indication of a large pecuniary interest in [the former employer’s] clients. We note, however, that three of [the former employer’s] clients had been using [the former employer’s] services since 1977. Obviously, much more time and money went into retaining these clients over the years. [The former employee] points out in his brief: “The only thing resembling a near-permanent relationship with [the former employer’s] nursing home clientele are the original four homes with which it started in 1977.” We agree. But not even these homes attained a near-permanent status. The only factors balancing in [the former employer’s] favor are the continuity as well as the duration of the relationship. We agree that 12 years is a great deal of time to have kept a relationship; however, any one of these </w:t>
      </w:r>
      <w:r w:rsidRPr="0016514A">
        <w:rPr>
          <w:rFonts w:ascii="Baskerville Old Face" w:hAnsi="Baskerville Old Face" w:cs="Times New Roman"/>
        </w:rPr>
        <w:lastRenderedPageBreak/>
        <w:t>homes could cancel their contract with [the former employer] with 30 days’ notice. One home that had been using [the former employer’s] services since 1977 did just that in 1986. Moreover, all parties agreed that this was a highly competitive business and customers were changing providers constantly. In contrast to the three remaining original homes, all the testimony indicated that [the former employee] had brought 20 homes over from [a previous employer] within six months of his employment with [the former employer]. These 20 homes that [the former employee] convinced to use [its] services were the reason [the former employee] had a job with [the former employer], and they remained with [the former employer] throughout the [former employee’s] employment. The other 11 accounts [the former employee] serviced while with [the former employer] were ones whose business [the former employee] had solicited during his years with [the former employer], having done so by making cold calls on homes whose names he obtained through the “yellow pages” and through a list [the former employer] obtained from the Illinois Health Care Association.</w:t>
      </w:r>
      <w:r w:rsidRPr="00020BD9">
        <w:rPr>
          <w:rFonts w:cs="Times New Roman"/>
        </w:rPr>
        <w:t> </w:t>
      </w:r>
      <w:r w:rsidR="00944F63">
        <w:rPr>
          <w:rFonts w:ascii="Baskerville Old Face" w:hAnsi="Baskerville Old Face" w:cs="Times New Roman"/>
        </w:rPr>
        <w:t>…</w:t>
      </w:r>
      <w:r w:rsidRPr="00020BD9">
        <w:rPr>
          <w:rFonts w:cs="Times New Roman"/>
        </w:rPr>
        <w:t> </w:t>
      </w:r>
      <w:r w:rsidRPr="0016514A">
        <w:rPr>
          <w:rFonts w:ascii="Baskerville Old Face" w:hAnsi="Baskerville Old Face" w:cs="Times New Roman"/>
        </w:rPr>
        <w:t>In our view, the evidence clearly established the 20 nursing homes brought over with [the former employee] were short-term, impermanent customers whose business [the former employee] was able to [successfully] solicit not because of his association with [the former employer], but rather, through [the former employee’s] own efforts on [the former employer’s] behalf and in furtherance of [the former employee’s] association with [the former employer].</w:t>
      </w:r>
      <w:r w:rsidRPr="00020BD9">
        <w:rPr>
          <w:rFonts w:cs="Times New Roman"/>
        </w:rPr>
        <w:t> </w:t>
      </w:r>
      <w:r w:rsidR="00944F63">
        <w:rPr>
          <w:rFonts w:ascii="Baskerville Old Face" w:hAnsi="Baskerville Old Face" w:cs="Times New Roman"/>
        </w:rPr>
        <w:t>…</w:t>
      </w:r>
    </w:p>
    <w:p w14:paraId="089DE7FA" w14:textId="77777777" w:rsidR="00020BD9" w:rsidRPr="0016514A" w:rsidRDefault="00020BD9" w:rsidP="00020BD9">
      <w:pPr>
        <w:pStyle w:val="textflush"/>
        <w:rPr>
          <w:rFonts w:ascii="Baskerville Old Face" w:hAnsi="Baskerville Old Face" w:cs="Times New Roman"/>
        </w:rPr>
      </w:pPr>
      <w:r w:rsidRPr="0016514A">
        <w:rPr>
          <w:rFonts w:ascii="Baskerville Old Face" w:hAnsi="Baskerville Old Face" w:cs="Times New Roman"/>
          <w:i/>
          <w:iCs/>
        </w:rPr>
        <w:t>Id.</w:t>
      </w:r>
      <w:r w:rsidRPr="0016514A">
        <w:rPr>
          <w:rFonts w:ascii="Baskerville Old Face" w:hAnsi="Baskerville Old Face" w:cs="Times New Roman"/>
        </w:rPr>
        <w:t>, 546 N.E.2d at 1066 (citations omitted).</w:t>
      </w:r>
    </w:p>
    <w:p w14:paraId="2CD922C9" w14:textId="77777777" w:rsidR="00020BD9" w:rsidRPr="006A121F" w:rsidRDefault="00020BD9" w:rsidP="00204FD8">
      <w:pPr>
        <w:pStyle w:val="text"/>
        <w:tabs>
          <w:tab w:val="clear" w:pos="2880"/>
        </w:tabs>
        <w:rPr>
          <w:rFonts w:ascii="Baskerville Old Face" w:hAnsi="Baskerville Old Face"/>
          <w:i/>
        </w:rPr>
      </w:pPr>
      <w:r w:rsidRPr="006A121F">
        <w:rPr>
          <w:rFonts w:ascii="Baskerville Old Face" w:hAnsi="Baskerville Old Face"/>
        </w:rPr>
        <w:t xml:space="preserve">Citing </w:t>
      </w:r>
      <w:r w:rsidRPr="006A121F">
        <w:rPr>
          <w:rFonts w:ascii="Baskerville Old Face" w:hAnsi="Baskerville Old Face"/>
          <w:i/>
        </w:rPr>
        <w:t>Murphy v. Murphy</w:t>
      </w:r>
      <w:r w:rsidRPr="006A121F">
        <w:rPr>
          <w:rFonts w:ascii="Baskerville Old Face" w:hAnsi="Baskerville Old Face"/>
        </w:rPr>
        <w:t xml:space="preserve">, 28 Ill. App. 3d 475, 328 N.E.2d 642 (1975), the </w:t>
      </w:r>
      <w:r w:rsidRPr="006A121F">
        <w:rPr>
          <w:rFonts w:ascii="Baskerville Old Face" w:hAnsi="Baskerville Old Face"/>
          <w:i/>
        </w:rPr>
        <w:t xml:space="preserve">Southern </w:t>
      </w:r>
      <w:r w:rsidRPr="006A121F">
        <w:rPr>
          <w:rFonts w:ascii="Baskerville Old Face" w:hAnsi="Baskerville Old Face"/>
        </w:rPr>
        <w:t xml:space="preserve">court insisted that a former employer has no protectable interest in customers a former employee knew prior to beginning employment and who are readily available to him, as through directories. </w:t>
      </w:r>
      <w:r w:rsidRPr="006A121F">
        <w:rPr>
          <w:rFonts w:ascii="Baskerville Old Face" w:hAnsi="Baskerville Old Face"/>
          <w:i/>
        </w:rPr>
        <w:t>Id.</w:t>
      </w:r>
    </w:p>
    <w:p w14:paraId="21183F01" w14:textId="77777777" w:rsidR="00020BD9" w:rsidRPr="0016514A" w:rsidRDefault="00020BD9" w:rsidP="00020BD9">
      <w:pPr>
        <w:pStyle w:val="HeadingCenter11Underscore"/>
        <w:rPr>
          <w:rFonts w:ascii="Baskerville Old Face" w:hAnsi="Baskerville Old Face" w:cs="Times New Roman"/>
        </w:rPr>
      </w:pPr>
      <w:r w:rsidRPr="0016514A">
        <w:rPr>
          <w:rFonts w:ascii="Baskerville Old Face" w:hAnsi="Baskerville Old Face" w:cs="Times New Roman"/>
        </w:rPr>
        <w:t>Maintaining Stable Workforce</w:t>
      </w:r>
    </w:p>
    <w:p w14:paraId="3A35D5DE"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An employer’s protectable “interest in maintaining a stable work force” justifies an anti-employee-raiding clause (i.e., a clause prohibiting a former employee from “inducing” former co-workers to also leave the employer) and such a clause is enforceable where “reasonably calculated” to protect that interest. </w:t>
      </w:r>
      <w:r w:rsidRPr="006A121F">
        <w:rPr>
          <w:rFonts w:ascii="Baskerville Old Face" w:hAnsi="Baskerville Old Face"/>
          <w:i/>
        </w:rPr>
        <w:t xml:space="preserve">Arpac Corp., </w:t>
      </w:r>
      <w:r w:rsidRPr="006A121F">
        <w:rPr>
          <w:rFonts w:ascii="Baskerville Old Face" w:hAnsi="Baskerville Old Face"/>
        </w:rPr>
        <w:t xml:space="preserve">589 N.E.2d at 650 (noting that trial court had found fact that two other employees also quit at time former employee left to be “more than a coincidence” and that there was a “‘flurry of activity”’ between the former employee’s phone and those of the other two individuals </w:t>
      </w:r>
      <w:r w:rsidRPr="006A121F">
        <w:rPr>
          <w:rFonts w:ascii="Baskerville Old Face" w:hAnsi="Baskerville Old Face"/>
        </w:rPr>
        <w:lastRenderedPageBreak/>
        <w:t xml:space="preserve">during the 2 months subsequent to the former employee’s resignation. </w:t>
      </w:r>
      <w:r w:rsidRPr="006A121F">
        <w:rPr>
          <w:rFonts w:ascii="Baskerville Old Face" w:hAnsi="Baskerville Old Face"/>
          <w:i/>
        </w:rPr>
        <w:t>Id.</w:t>
      </w:r>
      <w:r w:rsidRPr="006A121F">
        <w:rPr>
          <w:rFonts w:ascii="Baskerville Old Face" w:hAnsi="Baskerville Old Face"/>
        </w:rPr>
        <w:t xml:space="preserve"> (citing </w:t>
      </w:r>
      <w:r w:rsidRPr="006A121F">
        <w:rPr>
          <w:rFonts w:ascii="Baskerville Old Face" w:hAnsi="Baskerville Old Face"/>
          <w:i/>
        </w:rPr>
        <w:t>Torrence v. Hewitt Assocs.,</w:t>
      </w:r>
      <w:r w:rsidRPr="006A121F">
        <w:rPr>
          <w:rFonts w:ascii="Baskerville Old Face" w:hAnsi="Baskerville Old Face"/>
        </w:rPr>
        <w:t xml:space="preserve"> 143 Ill. App. 3d 520, 97 Ill. Dec. 592, 493 N.E.2d 74 (1986); </w:t>
      </w:r>
      <w:r w:rsidRPr="006A121F">
        <w:rPr>
          <w:rFonts w:ascii="Baskerville Old Face" w:hAnsi="Baskerville Old Face"/>
          <w:i/>
        </w:rPr>
        <w:t>Frank B. Hall &amp; Co. v. Payseur,</w:t>
      </w:r>
      <w:r w:rsidRPr="006A121F">
        <w:rPr>
          <w:rFonts w:ascii="Baskerville Old Face" w:hAnsi="Baskerville Old Face"/>
        </w:rPr>
        <w:t xml:space="preserve"> 78 Ill. App. 3d 230, 33 Ill. Dec. 522, 396 N.E.2d 1246 (1979)).</w:t>
      </w:r>
    </w:p>
    <w:p w14:paraId="3E5A6A95" w14:textId="77777777" w:rsidR="00020BD9" w:rsidRPr="006A121F" w:rsidRDefault="00020BD9" w:rsidP="00020BD9">
      <w:pPr>
        <w:pStyle w:val="bulletedparagraph-"/>
        <w:rPr>
          <w:rFonts w:ascii="Baskerville Old Face" w:hAnsi="Baskerville Old Face"/>
        </w:rPr>
      </w:pPr>
      <w:r w:rsidRPr="006A121F">
        <w:rPr>
          <w:rFonts w:ascii="Baskerville Old Face" w:hAnsi="Baskerville Old Face"/>
        </w:rPr>
        <w:t xml:space="preserve">• </w:t>
      </w:r>
      <w:r w:rsidRPr="006A121F">
        <w:rPr>
          <w:rFonts w:ascii="Baskerville Old Face" w:hAnsi="Baskerville Old Face"/>
          <w:i/>
        </w:rPr>
        <w:t>Characterization as a covenant or not</w:t>
      </w:r>
      <w:r w:rsidRPr="006A121F">
        <w:rPr>
          <w:rFonts w:ascii="Baskerville Old Face" w:hAnsi="Baskerville Old Face"/>
        </w:rPr>
        <w:t xml:space="preserve">. The court in </w:t>
      </w:r>
      <w:r w:rsidRPr="006A121F">
        <w:rPr>
          <w:rFonts w:ascii="Baskerville Old Face" w:hAnsi="Baskerville Old Face"/>
          <w:i/>
        </w:rPr>
        <w:t>H&amp;M Commercial Driver Leasing, Inc. v. Fox Valley Containers, Inc</w:t>
      </w:r>
      <w:r w:rsidRPr="006A121F">
        <w:rPr>
          <w:rFonts w:ascii="Baskerville Old Face" w:hAnsi="Baskerville Old Face"/>
        </w:rPr>
        <w:t xml:space="preserve">., 209 Ill. 2d 52, 805 N.E.2d 1177 (2004), addressed the question whether a contractual provision prohibiting one party from hiring any truck drivers and other personnel furnished to it by another party for a period of 1 year from the termination of the agreement constitutes a covenant not to compete under Illinois law. The majority found the provision at issue simply restricted a customer’s ability to hire former employees of its supplier of drivers; according to the court, it was simply a contract provision to be analyzed in terms of whether it acted as a restraint of trade. </w:t>
      </w:r>
      <w:r w:rsidRPr="006A121F">
        <w:rPr>
          <w:rFonts w:ascii="Baskerville Old Face" w:hAnsi="Baskerville Old Face"/>
          <w:i/>
        </w:rPr>
        <w:t>Id</w:t>
      </w:r>
      <w:r w:rsidRPr="006A121F">
        <w:rPr>
          <w:rFonts w:ascii="Baskerville Old Face" w:hAnsi="Baskerville Old Face"/>
        </w:rPr>
        <w:t xml:space="preserve">., 209 Ill. 2d at 63. The court found the restriction was reasonable and enforceable because it protected H&amp;M’s sole business asset, its drivers, from being hired away by its customers. “If customers could hire H&amp;M’s drivers on a permanent basis, then they would no longer need H&amp;M’s services.” </w:t>
      </w:r>
      <w:r w:rsidRPr="006A121F">
        <w:rPr>
          <w:rFonts w:ascii="Baskerville Old Face" w:hAnsi="Baskerville Old Face"/>
          <w:i/>
        </w:rPr>
        <w:t>Id</w:t>
      </w:r>
      <w:r w:rsidRPr="006A121F">
        <w:rPr>
          <w:rFonts w:ascii="Baskerville Old Face" w:hAnsi="Baskerville Old Face"/>
        </w:rPr>
        <w:t xml:space="preserve">. at 64. The dissent, however, likened the provision to a restrictive covenant, which would require the time limit and geographic scope of the restriction to be reasonable, that trade secrets or confidential information be involved, and that the restriction be reasonably necessary for the protection of a legitimate business interest. </w:t>
      </w:r>
      <w:r w:rsidRPr="006A121F">
        <w:rPr>
          <w:rFonts w:ascii="Baskerville Old Face" w:hAnsi="Baskerville Old Face"/>
          <w:i/>
        </w:rPr>
        <w:t>Id</w:t>
      </w:r>
      <w:r w:rsidRPr="006A121F">
        <w:rPr>
          <w:rFonts w:ascii="Baskerville Old Face" w:hAnsi="Baskerville Old Face"/>
        </w:rPr>
        <w:t xml:space="preserve">. at 69 (Rarick, J., dissenting). The dissent found the drivers to lack the requisite unique characteristics to differentiate them from the general pool of drivers, to lack specialized skill or training from the employer, and not to be in possession of trade secrets, customer lists, or other confidential business information belonging to H&amp;M. </w:t>
      </w:r>
      <w:r w:rsidRPr="006A121F">
        <w:rPr>
          <w:rFonts w:ascii="Baskerville Old Face" w:hAnsi="Baskerville Old Face"/>
          <w:i/>
        </w:rPr>
        <w:t>Id</w:t>
      </w:r>
      <w:r w:rsidRPr="006A121F">
        <w:rPr>
          <w:rFonts w:ascii="Baskerville Old Face" w:hAnsi="Baskerville Old Face"/>
        </w:rPr>
        <w:t>. at 70.</w:t>
      </w:r>
    </w:p>
    <w:p w14:paraId="2DB7B42A" w14:textId="77777777" w:rsidR="00020BD9" w:rsidRPr="0016514A" w:rsidRDefault="00020BD9" w:rsidP="00020BD9">
      <w:pPr>
        <w:pStyle w:val="HeadingCenter11Underscore"/>
        <w:rPr>
          <w:rFonts w:ascii="Baskerville Old Face" w:hAnsi="Baskerville Old Face" w:cs="Times New Roman"/>
        </w:rPr>
      </w:pPr>
      <w:r w:rsidRPr="0016514A">
        <w:rPr>
          <w:rFonts w:ascii="Baskerville Old Face" w:hAnsi="Baskerville Old Face" w:cs="Times New Roman"/>
        </w:rPr>
        <w:t>Instruction and Training</w:t>
      </w:r>
    </w:p>
    <w:p w14:paraId="7B878785"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Instruction or training which an employee receives regarding nonconfidential, non-trade secret information is not protectable as confidential information. </w:t>
      </w:r>
      <w:r w:rsidRPr="006A121F">
        <w:rPr>
          <w:rFonts w:ascii="Baskerville Old Face" w:hAnsi="Baskerville Old Face"/>
          <w:i/>
        </w:rPr>
        <w:t xml:space="preserve">Springfield Rare Coin, </w:t>
      </w:r>
      <w:r w:rsidRPr="006A121F">
        <w:rPr>
          <w:rFonts w:ascii="Baskerville Old Face" w:hAnsi="Baskerville Old Face"/>
        </w:rPr>
        <w:t xml:space="preserve">620 N.E.2d at 486 (instruction employee received regarding authentication and </w:t>
      </w:r>
      <w:r w:rsidRPr="006A121F">
        <w:rPr>
          <w:rFonts w:ascii="Baskerville Old Face" w:hAnsi="Baskerville Old Face"/>
        </w:rPr>
        <w:lastRenderedPageBreak/>
        <w:t xml:space="preserve">valuation of rare coins and collectibles held not confidential information). Moreover, “when the employee merely learns the trade </w:t>
      </w:r>
      <w:r w:rsidRPr="006A121F">
        <w:rPr>
          <w:rFonts w:ascii="Baskerville Old Face" w:hAnsi="Baskerville Old Face"/>
        </w:rPr>
        <w:br/>
        <w:t xml:space="preserve">during his term of employment, the employee has not learned </w:t>
      </w:r>
      <w:r w:rsidRPr="006A121F">
        <w:rPr>
          <w:rFonts w:ascii="Baskerville Old Face" w:hAnsi="Baskerville Old Face"/>
        </w:rPr>
        <w:br/>
        <w:t xml:space="preserve">confidential information.” </w:t>
      </w:r>
      <w:r w:rsidRPr="006A121F">
        <w:rPr>
          <w:rFonts w:ascii="Baskerville Old Face" w:hAnsi="Baskerville Old Face"/>
          <w:i/>
        </w:rPr>
        <w:t>Id.</w:t>
      </w:r>
      <w:r w:rsidRPr="006A121F">
        <w:rPr>
          <w:rFonts w:ascii="Baskerville Old Face" w:hAnsi="Baskerville Old Face"/>
        </w:rPr>
        <w:t xml:space="preserve"> (citing </w:t>
      </w:r>
      <w:r w:rsidRPr="006A121F">
        <w:rPr>
          <w:rFonts w:ascii="Baskerville Old Face" w:hAnsi="Baskerville Old Face"/>
          <w:i/>
        </w:rPr>
        <w:t>ILG Indus., Inc. v. Scott,</w:t>
      </w:r>
      <w:r w:rsidRPr="006A121F">
        <w:rPr>
          <w:rFonts w:ascii="Baskerville Old Face" w:hAnsi="Baskerville Old Face"/>
        </w:rPr>
        <w:t xml:space="preserve"> 49 Ill. 2d 88, 93–94, 273 N.E.2d 393, 396 (1971)).</w:t>
      </w:r>
    </w:p>
    <w:p w14:paraId="1966F879" w14:textId="77777777" w:rsidR="00020BD9" w:rsidRPr="0016514A" w:rsidRDefault="00020BD9" w:rsidP="00020BD9">
      <w:pPr>
        <w:pStyle w:val="block-p"/>
        <w:rPr>
          <w:rFonts w:ascii="Baskerville Old Face" w:hAnsi="Baskerville Old Face"/>
        </w:rPr>
      </w:pPr>
      <w:r w:rsidRPr="0016514A">
        <w:rPr>
          <w:rFonts w:ascii="Baskerville Old Face" w:hAnsi="Baskerville Old Face"/>
        </w:rPr>
        <w:t>“Conflicting social and economic policy considerations are present in each trade secret case. A business which may invest substantial time, money and manpower to develop secret advantages over its competitors, must be afforded protection against the wrongful appropriation of confidential information by a prior employee, who was in a position of confidence and trust. At the same time, the right of an individual to follow and pursue the particular occupation for which he is best trained is a most fundamental right. Our society is extremely mobile and our free economy is based upon competition. One who has worked in a particular field cannot be compelled to erase from his mind all of the general skills, knowledge and expertise acquired through his experience. These skills are valuable to such employee in the market place for his services. Restraints cannot be lightly placed upon his right to compete in the area of his greatest worth.”</w:t>
      </w:r>
    </w:p>
    <w:p w14:paraId="1E56F6E0" w14:textId="77777777" w:rsidR="00020BD9" w:rsidRPr="0016514A" w:rsidRDefault="00020BD9" w:rsidP="00020BD9">
      <w:pPr>
        <w:pStyle w:val="textflush"/>
        <w:rPr>
          <w:rFonts w:ascii="Baskerville Old Face" w:hAnsi="Baskerville Old Face" w:cs="Times New Roman"/>
        </w:rPr>
      </w:pPr>
      <w:r w:rsidRPr="0016514A">
        <w:rPr>
          <w:rFonts w:ascii="Baskerville Old Face" w:hAnsi="Baskerville Old Face" w:cs="Times New Roman"/>
          <w:i/>
          <w:iCs/>
        </w:rPr>
        <w:t>Id.</w:t>
      </w:r>
      <w:r w:rsidRPr="0016514A">
        <w:rPr>
          <w:rFonts w:ascii="Baskerville Old Face" w:hAnsi="Baskerville Old Face" w:cs="Times New Roman"/>
        </w:rPr>
        <w:t xml:space="preserve"> (quoting </w:t>
      </w:r>
      <w:r w:rsidRPr="0016514A">
        <w:rPr>
          <w:rFonts w:ascii="Baskerville Old Face" w:hAnsi="Baskerville Old Face" w:cs="Times New Roman"/>
          <w:i/>
          <w:iCs/>
        </w:rPr>
        <w:t xml:space="preserve">ILG Indus., </w:t>
      </w:r>
      <w:r w:rsidRPr="0016514A">
        <w:rPr>
          <w:rFonts w:ascii="Baskerville Old Face" w:hAnsi="Baskerville Old Face" w:cs="Times New Roman"/>
        </w:rPr>
        <w:t xml:space="preserve">273 N.E.2d at 396). </w:t>
      </w:r>
      <w:r w:rsidRPr="0016514A">
        <w:rPr>
          <w:rFonts w:ascii="Baskerville Old Face" w:hAnsi="Baskerville Old Face" w:cs="Times New Roman"/>
          <w:i/>
          <w:iCs/>
        </w:rPr>
        <w:t>See also Millard Maint</w:t>
      </w:r>
      <w:r w:rsidRPr="0016514A">
        <w:rPr>
          <w:rFonts w:ascii="Baskerville Old Face" w:hAnsi="Baskerville Old Face" w:cs="Times New Roman"/>
        </w:rPr>
        <w:t>., 566 N.E.2d at 383–84.</w:t>
      </w:r>
    </w:p>
    <w:p w14:paraId="0949BCB4" w14:textId="77777777" w:rsidR="00655396" w:rsidRDefault="00655396" w:rsidP="0016514A">
      <w:pPr>
        <w:pStyle w:val="BodyText"/>
        <w:spacing w:line="240" w:lineRule="auto"/>
      </w:pPr>
    </w:p>
    <w:p w14:paraId="6CD90A3F" w14:textId="77777777" w:rsidR="00655396" w:rsidRDefault="00655396" w:rsidP="008B512B">
      <w:pPr>
        <w:pStyle w:val="BodyText"/>
        <w:spacing w:line="240" w:lineRule="auto"/>
      </w:pPr>
    </w:p>
    <w:p w14:paraId="5D6B1051" w14:textId="77777777" w:rsidR="00655396" w:rsidRDefault="00655396" w:rsidP="008B512B">
      <w:pPr>
        <w:pStyle w:val="BodyText"/>
        <w:spacing w:line="240" w:lineRule="auto"/>
      </w:pPr>
    </w:p>
    <w:p w14:paraId="6F5DCFF6" w14:textId="77777777" w:rsidR="00655396" w:rsidRDefault="00655396" w:rsidP="008B512B">
      <w:pPr>
        <w:pStyle w:val="Question"/>
        <w:spacing w:line="240" w:lineRule="auto"/>
      </w:pPr>
      <w:r>
        <w:t>3.</w:t>
      </w:r>
      <w:r>
        <w:tab/>
        <w:t>What must the plaintiff be able to show to prove the existence of an enforceable covenant not to compete?</w:t>
      </w:r>
    </w:p>
    <w:p w14:paraId="7CFFF6B7" w14:textId="77777777" w:rsidR="00655396" w:rsidRDefault="00655396" w:rsidP="008B512B">
      <w:pPr>
        <w:pStyle w:val="BodyText"/>
        <w:spacing w:line="240" w:lineRule="auto"/>
      </w:pPr>
    </w:p>
    <w:p w14:paraId="02A8CF7B" w14:textId="77777777" w:rsidR="00020BD9" w:rsidRPr="00DA4A8D" w:rsidRDefault="00655396" w:rsidP="00020BD9">
      <w:pPr>
        <w:pStyle w:val="text"/>
      </w:pPr>
      <w:r>
        <w:tab/>
      </w:r>
    </w:p>
    <w:p w14:paraId="212C650C"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Under a 2011 Illinois Supreme Court case, </w:t>
      </w:r>
      <w:r w:rsidRPr="006A121F">
        <w:rPr>
          <w:rFonts w:ascii="Baskerville Old Face" w:hAnsi="Baskerville Old Face"/>
          <w:i/>
        </w:rPr>
        <w:t>Reliable Fire Equipment Co. v. Arredondo</w:t>
      </w:r>
      <w:r w:rsidRPr="006A121F">
        <w:rPr>
          <w:rFonts w:ascii="Baskerville Old Face" w:hAnsi="Baskerville Old Face"/>
        </w:rPr>
        <w:t xml:space="preserve">, 358 Ill. Dec. 322, 965 N.E.2d 393 (2011), covenant enforceability should be evaluated under a “three dimensional rule of reason” under which a covenant is reasonable if it “(1) is no greater than is required for the protection of a legitimate business interest of the employer-promisee; (2) does not impose undue hardship on the employee-promissor; and (3) is not injurious to the public.” </w:t>
      </w:r>
      <w:r w:rsidRPr="006A121F">
        <w:rPr>
          <w:rFonts w:ascii="Baskerville Old Face" w:hAnsi="Baskerville Old Face"/>
          <w:i/>
        </w:rPr>
        <w:t>Id</w:t>
      </w:r>
      <w:r w:rsidRPr="006A121F">
        <w:rPr>
          <w:rFonts w:ascii="Baskerville Old Face" w:hAnsi="Baskerville Old Face"/>
        </w:rPr>
        <w:t xml:space="preserve">., 965 N.E.2d at 396 (citations omitted). </w:t>
      </w:r>
    </w:p>
    <w:p w14:paraId="3F2D3C27"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“The inquiry is fact-specific and intensive”</w:t>
      </w:r>
      <w:r w:rsidRPr="006A121F">
        <w:rPr>
          <w:rFonts w:ascii="Baskerville Old Face" w:hAnsi="Baskerville Old Face"/>
          <w:i/>
        </w:rPr>
        <w:t xml:space="preserve"> </w:t>
      </w:r>
      <w:r w:rsidRPr="006A121F">
        <w:rPr>
          <w:rFonts w:ascii="Baskerville Old Face" w:hAnsi="Baskerville Old Face"/>
        </w:rPr>
        <w:t>(</w:t>
      </w:r>
      <w:r w:rsidRPr="006A121F">
        <w:rPr>
          <w:rFonts w:ascii="Baskerville Old Face" w:hAnsi="Baskerville Old Face"/>
          <w:i/>
        </w:rPr>
        <w:t>Instant Tech., LLC v. DeFazio</w:t>
      </w:r>
      <w:r w:rsidRPr="006A121F">
        <w:rPr>
          <w:rFonts w:ascii="Baskerville Old Face" w:hAnsi="Baskerville Old Face"/>
        </w:rPr>
        <w:t xml:space="preserve">, 2012 WL 2567033, at *6 (N.D. Ill. June 26, 2012) </w:t>
      </w:r>
      <w:r w:rsidRPr="006A121F">
        <w:rPr>
          <w:rFonts w:ascii="Baskerville Old Face" w:hAnsi="Baskerville Old Face"/>
        </w:rPr>
        <w:lastRenderedPageBreak/>
        <w:t xml:space="preserve">(collecting cases), </w:t>
      </w:r>
      <w:r w:rsidRPr="006A121F">
        <w:rPr>
          <w:rFonts w:ascii="Baskerville Old Face" w:hAnsi="Baskerville Old Face"/>
          <w:i/>
        </w:rPr>
        <w:t>aff’d,</w:t>
      </w:r>
      <w:r w:rsidRPr="006A121F">
        <w:rPr>
          <w:rFonts w:ascii="Baskerville Old Face" w:hAnsi="Baskerville Old Face"/>
        </w:rPr>
        <w:t xml:space="preserve"> 793 F.3d 748 (7th Cir. 2015)), and this “makes dismissal at the pleading stage inappropriate.” </w:t>
      </w:r>
      <w:r w:rsidRPr="006A121F">
        <w:rPr>
          <w:rFonts w:ascii="Baskerville Old Face" w:hAnsi="Baskerville Old Face"/>
          <w:i/>
        </w:rPr>
        <w:t>Multimedia Sales &amp; Mktg., Inc v. Marzullo</w:t>
      </w:r>
      <w:r w:rsidRPr="006A121F">
        <w:rPr>
          <w:rFonts w:ascii="Baskerville Old Face" w:hAnsi="Baskerville Old Face"/>
        </w:rPr>
        <w:t>, 2012 WL 5894340 (Ill. Cir. Ct. (Cook Cnty.) Oct. 5, 2012).</w:t>
      </w:r>
    </w:p>
    <w:p w14:paraId="456976E4"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The standard of enforceability for a noncompete agreement articulated in </w:t>
      </w:r>
      <w:r w:rsidRPr="006A121F">
        <w:rPr>
          <w:rFonts w:ascii="Baskerville Old Face" w:hAnsi="Baskerville Old Face"/>
          <w:i/>
        </w:rPr>
        <w:t>Reliable Fire</w:t>
      </w:r>
      <w:r w:rsidRPr="006A121F">
        <w:rPr>
          <w:rFonts w:ascii="Baskerville Old Face" w:hAnsi="Baskerville Old Face"/>
        </w:rPr>
        <w:t xml:space="preserve"> is the same standard for “</w:t>
      </w:r>
      <w:r w:rsidRPr="006A121F">
        <w:rPr>
          <w:rFonts w:ascii="Baskerville Old Face" w:hAnsi="Baskerville Old Face"/>
          <w:i/>
        </w:rPr>
        <w:t>all</w:t>
      </w:r>
      <w:r w:rsidRPr="006A121F">
        <w:rPr>
          <w:rFonts w:ascii="Baskerville Old Face" w:hAnsi="Baskerville Old Face"/>
        </w:rPr>
        <w:t xml:space="preserve"> post-employment restrictive covenants,” including a key employee incentive bonus agreement. </w:t>
      </w:r>
      <w:r w:rsidRPr="006A121F">
        <w:rPr>
          <w:rFonts w:ascii="Baskerville Old Face" w:hAnsi="Baskerville Old Face"/>
          <w:i/>
        </w:rPr>
        <w:t>Act II Jewelry, LLC v. Wooten</w:t>
      </w:r>
      <w:r w:rsidRPr="006A121F">
        <w:rPr>
          <w:rFonts w:ascii="Baskerville Old Face" w:hAnsi="Baskerville Old Face"/>
        </w:rPr>
        <w:t>, 318 F. Supp. 3d 1073, 1092 (N.D. Ill. 2018) (emphasis added; citing, inter alia</w:t>
      </w:r>
      <w:r w:rsidRPr="006A121F">
        <w:rPr>
          <w:rFonts w:ascii="Baskerville Old Face" w:hAnsi="Baskerville Old Face"/>
          <w:i/>
        </w:rPr>
        <w:t>, Reliable Fire</w:t>
      </w:r>
      <w:r w:rsidRPr="006A121F">
        <w:rPr>
          <w:rFonts w:ascii="Baskerville Old Face" w:hAnsi="Baskerville Old Face"/>
        </w:rPr>
        <w:t>,</w:t>
      </w:r>
      <w:r w:rsidRPr="006A121F">
        <w:rPr>
          <w:rFonts w:ascii="Baskerville Old Face" w:hAnsi="Baskerville Old Face"/>
          <w:i/>
        </w:rPr>
        <w:t xml:space="preserve"> supra</w:t>
      </w:r>
      <w:r w:rsidRPr="006A121F">
        <w:rPr>
          <w:rFonts w:ascii="Baskerville Old Face" w:hAnsi="Baskerville Old Face"/>
        </w:rPr>
        <w:t xml:space="preserve">, and </w:t>
      </w:r>
      <w:r w:rsidRPr="006A121F">
        <w:rPr>
          <w:rFonts w:ascii="Baskerville Old Face" w:hAnsi="Baskerville Old Face"/>
          <w:i/>
        </w:rPr>
        <w:t>Carlson Grp., Inc. v. Davenport</w:t>
      </w:r>
      <w:r w:rsidRPr="006A121F">
        <w:rPr>
          <w:rFonts w:ascii="Baskerville Old Face" w:hAnsi="Baskerville Old Face"/>
        </w:rPr>
        <w:t xml:space="preserve">, 2016 BL 413648, 2016 U.S. Dist. LEXIS 171915, at *9 (N.D. Ill. Dec. 13, 2016) (analyzing nondisclosure and nonsolicitation covenant as a noncompetition covenant)). </w:t>
      </w:r>
    </w:p>
    <w:p w14:paraId="7A02D0AE" w14:textId="77777777" w:rsidR="00020BD9" w:rsidRPr="006A121F" w:rsidRDefault="00020BD9" w:rsidP="00020BD9">
      <w:pPr>
        <w:pStyle w:val="bulletedparagraph-"/>
        <w:rPr>
          <w:rFonts w:ascii="Baskerville Old Face" w:hAnsi="Baskerville Old Face"/>
        </w:rPr>
      </w:pPr>
      <w:r w:rsidRPr="006A121F">
        <w:rPr>
          <w:rFonts w:ascii="Baskerville Old Face" w:hAnsi="Baskerville Old Face"/>
        </w:rPr>
        <w:t xml:space="preserve">• </w:t>
      </w:r>
      <w:r w:rsidRPr="006A121F">
        <w:rPr>
          <w:rFonts w:ascii="Baskerville Old Face" w:hAnsi="Baskerville Old Face"/>
          <w:i/>
        </w:rPr>
        <w:t>Analysis prior to</w:t>
      </w:r>
      <w:r w:rsidRPr="006A121F">
        <w:rPr>
          <w:rFonts w:ascii="Baskerville Old Face" w:hAnsi="Baskerville Old Face"/>
        </w:rPr>
        <w:t xml:space="preserve"> Reliable Fire. </w:t>
      </w:r>
    </w:p>
    <w:p w14:paraId="590CAAD4" w14:textId="77777777" w:rsidR="00020BD9" w:rsidRPr="0016514A" w:rsidRDefault="00020BD9" w:rsidP="00020BD9">
      <w:pPr>
        <w:pStyle w:val="block-f"/>
        <w:rPr>
          <w:rFonts w:ascii="Baskerville Old Face" w:hAnsi="Baskerville Old Face" w:cs="Times New Roman"/>
        </w:rPr>
      </w:pPr>
      <w:r w:rsidRPr="0016514A">
        <w:rPr>
          <w:rFonts w:ascii="Baskerville Old Face" w:hAnsi="Baskerville Old Face" w:cs="Times New Roman"/>
        </w:rPr>
        <w:t xml:space="preserve">Prior to </w:t>
      </w:r>
      <w:r w:rsidRPr="0016514A">
        <w:rPr>
          <w:rFonts w:ascii="Baskerville Old Face" w:hAnsi="Baskerville Old Face" w:cs="Times New Roman"/>
          <w:i/>
          <w:iCs/>
        </w:rPr>
        <w:t>Reliable Fire</w:t>
      </w:r>
      <w:r w:rsidRPr="0016514A">
        <w:rPr>
          <w:rFonts w:ascii="Baskerville Old Face" w:hAnsi="Baskerville Old Face" w:cs="Times New Roman"/>
        </w:rPr>
        <w:t xml:space="preserve">, courts sometimes applied the analytical structure of the legitimate-business-interest test (LBI test) rather than concentrating on the reasonableness of the limitations. The LBI test as utilized by the appellate court for the past 30-plus years developed into the </w:t>
      </w:r>
      <w:r w:rsidRPr="0016514A">
        <w:rPr>
          <w:rFonts w:ascii="Baskerville Old Face" w:hAnsi="Baskerville Old Face" w:cs="Times New Roman"/>
          <w:i/>
          <w:iCs/>
        </w:rPr>
        <w:t xml:space="preserve">sine qua non </w:t>
      </w:r>
      <w:r w:rsidRPr="0016514A">
        <w:rPr>
          <w:rFonts w:ascii="Baskerville Old Face" w:hAnsi="Baskerville Old Face" w:cs="Times New Roman"/>
        </w:rPr>
        <w:t xml:space="preserve">to determine the enforceability of a covenant nor to compete. </w:t>
      </w:r>
      <w:r w:rsidRPr="0016514A">
        <w:rPr>
          <w:rFonts w:ascii="Baskerville Old Face" w:hAnsi="Baskerville Old Face" w:cs="Times New Roman"/>
          <w:i/>
          <w:iCs/>
        </w:rPr>
        <w:t>Reliable Fire</w:t>
      </w:r>
      <w:r w:rsidRPr="0016514A">
        <w:rPr>
          <w:rFonts w:ascii="Baskerville Old Face" w:hAnsi="Baskerville Old Face" w:cs="Times New Roman"/>
        </w:rPr>
        <w:t>, 2011 IL 111871, ¶¶16–18, 358 Ill. Dec. 322, 965 N.E.2d 393 [(2011)]. The LBI test held that an employer had a protectable interest that could be safeguarded by a restrictive covenant in only two circum-</w:t>
      </w:r>
      <w:r w:rsidRPr="0016514A">
        <w:rPr>
          <w:rFonts w:ascii="Baskerville Old Face" w:hAnsi="Baskerville Old Face" w:cs="Times New Roman"/>
        </w:rPr>
        <w:br/>
        <w:t xml:space="preserve">stances: (1) where the employee acquired confidential information from the employer during his or her tenure, or (2) where the employer had near-permanent customer relationships. </w:t>
      </w:r>
      <w:r w:rsidRPr="0016514A">
        <w:rPr>
          <w:rFonts w:ascii="Baskerville Old Face" w:hAnsi="Baskerville Old Face" w:cs="Times New Roman"/>
          <w:i/>
          <w:iCs/>
        </w:rPr>
        <w:t>Nationwide Advertising Service, Inc. v. Kolar</w:t>
      </w:r>
      <w:r w:rsidRPr="0016514A">
        <w:rPr>
          <w:rFonts w:ascii="Baskerville Old Face" w:hAnsi="Baskerville Old Face" w:cs="Times New Roman"/>
        </w:rPr>
        <w:t xml:space="preserve">, 28 Ill. App. 3d 671, 673, 329 N.E.2d 300 (1975). As part of the second factor of the LBI test, a seven-factor subtest emerged, which provided factors that a court could analyze to determine whether the employer possessed a near-permanent relationship with its customers. </w:t>
      </w:r>
      <w:r w:rsidRPr="0016514A">
        <w:rPr>
          <w:rFonts w:ascii="Baskerville Old Face" w:hAnsi="Baskerville Old Face" w:cs="Times New Roman"/>
          <w:i/>
          <w:iCs/>
        </w:rPr>
        <w:t xml:space="preserve">See, e.g., Hanchett Paper Co. v. Melchiorrre, </w:t>
      </w:r>
      <w:r w:rsidRPr="0016514A">
        <w:rPr>
          <w:rFonts w:ascii="Baskerville Old Face" w:hAnsi="Baskerville Old Face" w:cs="Times New Roman"/>
        </w:rPr>
        <w:t xml:space="preserve">341 Ill. App. 3d 345, 352, 275 Ill. Dec. 164, 792 N.E.2d 395 (2003). It is this rigid, factor-driven structure that [the Illinois Supreme Court] rejected in </w:t>
      </w:r>
      <w:r w:rsidRPr="0016514A">
        <w:rPr>
          <w:rFonts w:ascii="Baskerville Old Face" w:hAnsi="Baskerville Old Face" w:cs="Times New Roman"/>
          <w:i/>
          <w:iCs/>
        </w:rPr>
        <w:t>Reliable Fire</w:t>
      </w:r>
      <w:r w:rsidRPr="0016514A">
        <w:rPr>
          <w:rFonts w:ascii="Baskerville Old Face" w:hAnsi="Baskerville Old Face" w:cs="Times New Roman"/>
        </w:rPr>
        <w:t>.</w:t>
      </w:r>
    </w:p>
    <w:p w14:paraId="56027E86" w14:textId="77777777" w:rsidR="00020BD9" w:rsidRPr="0016514A" w:rsidRDefault="00020BD9" w:rsidP="00020BD9">
      <w:pPr>
        <w:pStyle w:val="textflush"/>
        <w:rPr>
          <w:rFonts w:ascii="Baskerville Old Face" w:hAnsi="Baskerville Old Face" w:cs="Times New Roman"/>
        </w:rPr>
      </w:pPr>
      <w:r w:rsidRPr="0016514A">
        <w:rPr>
          <w:rFonts w:ascii="Baskerville Old Face" w:hAnsi="Baskerville Old Face" w:cs="Times New Roman"/>
          <w:i/>
          <w:iCs/>
        </w:rPr>
        <w:t>Zabaneh Franchises, LLC v. Walker</w:t>
      </w:r>
      <w:r w:rsidRPr="0016514A">
        <w:rPr>
          <w:rFonts w:ascii="Baskerville Old Face" w:hAnsi="Baskerville Old Face" w:cs="Times New Roman"/>
        </w:rPr>
        <w:t>, 972 N.E.2d 344, 349 (Ill. Ct. App. 2012).</w:t>
      </w:r>
    </w:p>
    <w:p w14:paraId="38BCD005"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“Under Illinois law, a legally enforceable contract is an exchange, and the elements of a contract include offer, acceptance, </w:t>
      </w:r>
      <w:r w:rsidRPr="006A121F">
        <w:rPr>
          <w:rFonts w:ascii="Baskerville Old Face" w:hAnsi="Baskerville Old Face"/>
        </w:rPr>
        <w:lastRenderedPageBreak/>
        <w:t>and consideration.”</w:t>
      </w:r>
      <w:r w:rsidRPr="006A121F">
        <w:rPr>
          <w:rFonts w:ascii="Baskerville Old Face" w:hAnsi="Baskerville Old Face"/>
          <w:i/>
        </w:rPr>
        <w:t xml:space="preserve"> LKQ Corp. v. Thrasher</w:t>
      </w:r>
      <w:r w:rsidRPr="006A121F">
        <w:rPr>
          <w:rFonts w:ascii="Baskerville Old Face" w:hAnsi="Baskerville Old Face"/>
        </w:rPr>
        <w:t>, 785 F. Supp. 2d 737, 742 (N.D. Ill. 2011).</w:t>
      </w:r>
    </w:p>
    <w:p w14:paraId="3E851487"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Courts applying Illinois law generally apply the “legitimate business interest test” of covenant enforceability, the essential question of which “is whether the covenant was designed to protect a legitimate business interest.” </w:t>
      </w:r>
      <w:r w:rsidRPr="006A121F">
        <w:rPr>
          <w:rFonts w:ascii="Baskerville Old Face" w:hAnsi="Baskerville Old Face"/>
          <w:i/>
        </w:rPr>
        <w:t>Aspen Mktg. Servs., Inc. v. Russell</w:t>
      </w:r>
      <w:r w:rsidRPr="006A121F">
        <w:rPr>
          <w:rFonts w:ascii="Baskerville Old Face" w:hAnsi="Baskerville Old Face"/>
        </w:rPr>
        <w:t>, 2009 U.S. Dist. LEXIS 112982, at *12 (N.D. Ill. Dec. 3, 2009).</w:t>
      </w:r>
    </w:p>
    <w:p w14:paraId="1271482D" w14:textId="77777777" w:rsidR="00020BD9" w:rsidRPr="00221624" w:rsidRDefault="00020BD9" w:rsidP="00020BD9">
      <w:pPr>
        <w:pStyle w:val="block-f"/>
        <w:rPr>
          <w:rFonts w:ascii="Baskerville Old Face" w:hAnsi="Baskerville Old Face" w:cs="Times New Roman"/>
          <w:lang w:val="sv-SE"/>
        </w:rPr>
      </w:pPr>
      <w:r w:rsidRPr="0016514A">
        <w:rPr>
          <w:rFonts w:ascii="Baskerville Old Face" w:hAnsi="Baskerville Old Face" w:cs="Times New Roman"/>
        </w:rPr>
        <w:t>A restrictive covenant is enforceable if the terms of the agreement are reasonable and necessary to protect a legitimate business interest of the employer (</w:t>
      </w:r>
      <w:r w:rsidRPr="0016514A">
        <w:rPr>
          <w:rFonts w:ascii="Baskerville Old Face" w:hAnsi="Baskerville Old Face" w:cs="Times New Roman"/>
          <w:i/>
          <w:iCs/>
        </w:rPr>
        <w:t>Capsonic Group v. Swick</w:t>
      </w:r>
      <w:r w:rsidRPr="0016514A">
        <w:rPr>
          <w:rFonts w:ascii="Baskerville Old Face" w:hAnsi="Baskerville Old Face" w:cs="Times New Roman"/>
        </w:rPr>
        <w:t xml:space="preserve">, 181 Ill. App. 3d 988, 992–93, 130 Ill. Dec. 909, 537 N.E.2d 1378 ([2d Dist.] 1989)), a determination that necessarily turns on the facts and circumstances of each case. </w:t>
      </w:r>
      <w:r w:rsidRPr="0016514A">
        <w:rPr>
          <w:rFonts w:ascii="Baskerville Old Face" w:hAnsi="Baskerville Old Face" w:cs="Times New Roman"/>
          <w:i/>
          <w:iCs/>
        </w:rPr>
        <w:t>Office Mates 5, North Shore, Inc. v. Hazen</w:t>
      </w:r>
      <w:r w:rsidRPr="0016514A">
        <w:rPr>
          <w:rFonts w:ascii="Baskerville Old Face" w:hAnsi="Baskerville Old Face" w:cs="Times New Roman"/>
        </w:rPr>
        <w:t xml:space="preserve">, 234 Ill. App. 3d 557, 568, 175 Ill. Dec. 58, 599 N.E.2d 1072 ([1st Dist.] 1992). A restrictive covenant’s reasonableness is measured by its hardship to the employee, its effect upon the general public, and the reasonableness of the time, territory, and activity restrictions. </w:t>
      </w:r>
      <w:r w:rsidRPr="00221624">
        <w:rPr>
          <w:rFonts w:ascii="Baskerville Old Face" w:hAnsi="Baskerville Old Face" w:cs="Times New Roman"/>
          <w:i/>
          <w:iCs/>
          <w:lang w:val="sv-SE"/>
        </w:rPr>
        <w:t>Abbott-Interfast Corp. v. Harkabus</w:t>
      </w:r>
      <w:r w:rsidRPr="00221624">
        <w:rPr>
          <w:rFonts w:ascii="Baskerville Old Face" w:hAnsi="Baskerville Old Face" w:cs="Times New Roman"/>
          <w:lang w:val="sv-SE"/>
        </w:rPr>
        <w:t>, 250 Ill. App. 3d 13, 17, 189 Ill. Dec. 288, 619 N.E.2d 1337 (1993).</w:t>
      </w:r>
    </w:p>
    <w:p w14:paraId="1EEAA49E" w14:textId="77777777" w:rsidR="00020BD9" w:rsidRPr="0016514A" w:rsidRDefault="00020BD9" w:rsidP="00020BD9">
      <w:pPr>
        <w:pStyle w:val="textflush"/>
        <w:rPr>
          <w:rFonts w:ascii="Baskerville Old Face" w:hAnsi="Baskerville Old Face" w:cs="Times New Roman"/>
        </w:rPr>
      </w:pPr>
      <w:r w:rsidRPr="00221624">
        <w:rPr>
          <w:rFonts w:ascii="Baskerville Old Face" w:hAnsi="Baskerville Old Face" w:cs="Times New Roman"/>
          <w:i/>
          <w:iCs/>
          <w:lang w:val="sv-SE"/>
        </w:rPr>
        <w:t>Lawrence &amp; Allen, Inc. v. Cambridge Human Res. Grp., Inc.</w:t>
      </w:r>
      <w:r w:rsidRPr="00221624">
        <w:rPr>
          <w:rFonts w:ascii="Baskerville Old Face" w:hAnsi="Baskerville Old Face" w:cs="Times New Roman"/>
          <w:lang w:val="sv-SE"/>
        </w:rPr>
        <w:t xml:space="preserve">, 226 Ill. Dec. 331, 338, 685 N.E.2d 434, 441 (2d Dist. 1997). </w:t>
      </w:r>
      <w:r w:rsidRPr="0016514A">
        <w:rPr>
          <w:rFonts w:ascii="Baskerville Old Face" w:hAnsi="Baskerville Old Face" w:cs="Times New Roman"/>
          <w:i/>
          <w:iCs/>
        </w:rPr>
        <w:t>See also First Health Grp. Corp. v. National Prescription Adm’rs, Inc</w:t>
      </w:r>
      <w:r w:rsidRPr="0016514A">
        <w:rPr>
          <w:rFonts w:ascii="Baskerville Old Face" w:hAnsi="Baskerville Old Face" w:cs="Times New Roman"/>
        </w:rPr>
        <w:t xml:space="preserve">., 155 F. Supp. 2d 194, 228 (M.D. Pa. 2001) (applying Illinois law to covenant issues; “[t]o determine the reasonableness of a restrictive covenant, it is necessary to consider whether enforcement of the covenant will injure the public, whether enforcement will cause undue hardship to the promisor and whether the restraint imposed by the covenant is greater than is necessary to protect the interests of the employer” (punctuation omitted); quoting </w:t>
      </w:r>
      <w:r w:rsidRPr="0016514A">
        <w:rPr>
          <w:rFonts w:ascii="Baskerville Old Face" w:hAnsi="Baskerville Old Face" w:cs="Times New Roman"/>
          <w:i/>
          <w:iCs/>
        </w:rPr>
        <w:t>Tower Oil &amp; Tech. Co. v. Buckley</w:t>
      </w:r>
      <w:r w:rsidRPr="0016514A">
        <w:rPr>
          <w:rFonts w:ascii="Baskerville Old Face" w:hAnsi="Baskerville Old Face" w:cs="Times New Roman"/>
        </w:rPr>
        <w:t xml:space="preserve">, 99 Ill. App. 3d 637, 54 Ill. Dec. 843, 425 N.E.2d 1060, 1065 (1981)); </w:t>
      </w:r>
      <w:r w:rsidRPr="0016514A">
        <w:rPr>
          <w:rFonts w:ascii="Baskerville Old Face" w:hAnsi="Baskerville Old Face" w:cs="Times New Roman"/>
          <w:i/>
          <w:iCs/>
        </w:rPr>
        <w:t>Millard Maint. Serv. Co. v. Bernero</w:t>
      </w:r>
      <w:r w:rsidRPr="0016514A">
        <w:rPr>
          <w:rFonts w:ascii="Baskerville Old Face" w:hAnsi="Baskerville Old Face" w:cs="Times New Roman"/>
        </w:rPr>
        <w:t>, 207 Ill. App. 3d 736, 152 Ill. Dec. 692, 566 N.E.2d 379 (1st Dist. 1990).</w:t>
      </w:r>
    </w:p>
    <w:p w14:paraId="2AB9F2B4" w14:textId="77777777" w:rsidR="00020BD9" w:rsidRPr="006A121F" w:rsidRDefault="00020BD9" w:rsidP="006A121F">
      <w:pPr>
        <w:pStyle w:val="text"/>
        <w:spacing w:before="240"/>
        <w:rPr>
          <w:rFonts w:ascii="Baskerville Old Face" w:hAnsi="Baskerville Old Face"/>
        </w:rPr>
      </w:pPr>
      <w:r w:rsidRPr="006A121F">
        <w:rPr>
          <w:rFonts w:ascii="Baskerville Old Face" w:hAnsi="Baskerville Old Face"/>
          <w:b/>
        </w:rPr>
        <w:t>[</w:t>
      </w:r>
      <w:r w:rsidRPr="006A121F">
        <w:rPr>
          <w:rFonts w:ascii="Baskerville Old Face" w:hAnsi="Baskerville Old Face"/>
          <w:i/>
        </w:rPr>
        <w:t>Editor’s note:</w:t>
      </w:r>
      <w:r w:rsidRPr="006A121F">
        <w:rPr>
          <w:rFonts w:ascii="Baskerville Old Face" w:hAnsi="Baskerville Old Face"/>
        </w:rPr>
        <w:t xml:space="preserve"> The Illinois Court of Appeals for the Fourth District rejected the legitimate business interest test in </w:t>
      </w:r>
      <w:r w:rsidRPr="006A121F">
        <w:rPr>
          <w:rFonts w:ascii="Baskerville Old Face" w:hAnsi="Baskerville Old Face"/>
          <w:i/>
        </w:rPr>
        <w:t>Sunbelt Rentals, Inc. v. Ehlers,</w:t>
      </w:r>
      <w:r w:rsidRPr="006A121F">
        <w:rPr>
          <w:rFonts w:ascii="Baskerville Old Face" w:hAnsi="Baskerville Old Face"/>
        </w:rPr>
        <w:t xml:space="preserve"> 915 N.E.2d 862, 869–70 (Ill. Ct. App. 4th Dist. 2009) (Steigmann, J.), </w:t>
      </w:r>
      <w:r w:rsidRPr="006A121F">
        <w:rPr>
          <w:rFonts w:ascii="Baskerville Old Face" w:hAnsi="Baskerville Old Face"/>
          <w:i/>
        </w:rPr>
        <w:t>overruled by</w:t>
      </w:r>
      <w:r w:rsidRPr="006A121F">
        <w:rPr>
          <w:rFonts w:ascii="Baskerville Old Face" w:hAnsi="Baskerville Old Face"/>
        </w:rPr>
        <w:t xml:space="preserve"> </w:t>
      </w:r>
      <w:r w:rsidRPr="006A121F">
        <w:rPr>
          <w:rFonts w:ascii="Baskerville Old Face" w:hAnsi="Baskerville Old Face"/>
          <w:i/>
        </w:rPr>
        <w:t>Reliable Fire Equip. Co. v. Arredondo</w:t>
      </w:r>
      <w:r w:rsidRPr="006A121F">
        <w:rPr>
          <w:rFonts w:ascii="Baskerville Old Face" w:hAnsi="Baskerville Old Face"/>
        </w:rPr>
        <w:t xml:space="preserve">, 358 Ill. Dec. 322, 965 N.E.2d 393, 403 (2011) (overruling </w:t>
      </w:r>
      <w:r w:rsidRPr="006A121F">
        <w:rPr>
          <w:rFonts w:ascii="Baskerville Old Face" w:hAnsi="Baskerville Old Face"/>
          <w:i/>
        </w:rPr>
        <w:t>Sunbelt Rental</w:t>
      </w:r>
      <w:r w:rsidRPr="006A121F">
        <w:rPr>
          <w:rFonts w:ascii="Baskerville Old Face" w:hAnsi="Baskerville Old Face"/>
        </w:rPr>
        <w:t xml:space="preserve"> holding that courts should evaluate only the time-and-territory restrictions contained in restrictive covenants; </w:t>
      </w:r>
      <w:r w:rsidRPr="006A121F">
        <w:rPr>
          <w:rFonts w:ascii="Baskerville Old Face" w:hAnsi="Baskerville Old Face"/>
        </w:rPr>
        <w:lastRenderedPageBreak/>
        <w:t>ruling in</w:t>
      </w:r>
      <w:r w:rsidRPr="006A121F">
        <w:rPr>
          <w:rFonts w:ascii="Baskerville Old Face" w:hAnsi="Baskerville Old Face"/>
          <w:i/>
        </w:rPr>
        <w:t xml:space="preserve"> Reliable Fire </w:t>
      </w:r>
      <w:r w:rsidRPr="006A121F">
        <w:rPr>
          <w:rFonts w:ascii="Baskerville Old Face" w:hAnsi="Baskerville Old Face"/>
        </w:rPr>
        <w:t xml:space="preserve">that the employer should still be required to demonstrate a protectable interest). According to Justice Steigmann in </w:t>
      </w:r>
      <w:r w:rsidRPr="006A121F">
        <w:rPr>
          <w:rFonts w:ascii="Baskerville Old Face" w:hAnsi="Baskerville Old Face"/>
          <w:i/>
        </w:rPr>
        <w:t>Sunbelt Rentals</w:t>
      </w:r>
      <w:r w:rsidRPr="006A121F">
        <w:rPr>
          <w:rFonts w:ascii="Baskerville Old Face" w:hAnsi="Baskerville Old Face"/>
        </w:rPr>
        <w:t xml:space="preserve">, the lesson of the supreme court’s decisions in </w:t>
      </w:r>
      <w:r w:rsidRPr="006A121F">
        <w:rPr>
          <w:rFonts w:ascii="Baskerville Old Face" w:hAnsi="Baskerville Old Face"/>
          <w:i/>
        </w:rPr>
        <w:t>Cockerill v. Wilson</w:t>
      </w:r>
      <w:r w:rsidRPr="006A121F">
        <w:rPr>
          <w:rFonts w:ascii="Baskerville Old Face" w:hAnsi="Baskerville Old Face"/>
        </w:rPr>
        <w:t xml:space="preserve">, 51 Ill. 2d 179, 281 N.E.2d 648 (1972), </w:t>
      </w:r>
      <w:r w:rsidRPr="006A121F">
        <w:rPr>
          <w:rFonts w:ascii="Baskerville Old Face" w:hAnsi="Baskerville Old Face"/>
          <w:i/>
        </w:rPr>
        <w:t>Canfield v. Spear</w:t>
      </w:r>
      <w:r w:rsidRPr="006A121F">
        <w:rPr>
          <w:rFonts w:ascii="Baskerville Old Face" w:hAnsi="Baskerville Old Face"/>
        </w:rPr>
        <w:t xml:space="preserve">, 44 Ill. 2d 49, 254 N.E.2d 433 (1969), </w:t>
      </w:r>
      <w:r w:rsidRPr="006A121F">
        <w:rPr>
          <w:rFonts w:ascii="Baskerville Old Face" w:hAnsi="Baskerville Old Face"/>
          <w:i/>
        </w:rPr>
        <w:t>Bauer v. Sawyer</w:t>
      </w:r>
      <w:r w:rsidRPr="006A121F">
        <w:rPr>
          <w:rFonts w:ascii="Baskerville Old Face" w:hAnsi="Baskerville Old Face"/>
        </w:rPr>
        <w:t xml:space="preserve">, 8 Ill. 2d 351, 134 N.E.2d 329 (1956), </w:t>
      </w:r>
      <w:r w:rsidRPr="006A121F">
        <w:rPr>
          <w:rFonts w:ascii="Baskerville Old Face" w:hAnsi="Baskerville Old Face"/>
          <w:i/>
        </w:rPr>
        <w:t>Ryan v. Hamilton</w:t>
      </w:r>
      <w:r w:rsidRPr="006A121F">
        <w:rPr>
          <w:rFonts w:ascii="Baskerville Old Face" w:hAnsi="Baskerville Old Face"/>
        </w:rPr>
        <w:t xml:space="preserve">, 205 Ill. 191, 68 N.E. 781 (1903), </w:t>
      </w:r>
      <w:r w:rsidRPr="006A121F">
        <w:rPr>
          <w:rFonts w:ascii="Baskerville Old Face" w:hAnsi="Baskerville Old Face"/>
          <w:i/>
        </w:rPr>
        <w:t>Hursen v. Gavin</w:t>
      </w:r>
      <w:r w:rsidRPr="006A121F">
        <w:rPr>
          <w:rFonts w:ascii="Baskerville Old Face" w:hAnsi="Baskerville Old Face"/>
        </w:rPr>
        <w:t>, 162 Ill. 377, 44 N.E. 735 (1896) (the earliest Illinois Supreme Court case dealing with restrictive covenants),</w:t>
      </w:r>
    </w:p>
    <w:p w14:paraId="3AA0AACC" w14:textId="77777777" w:rsidR="00020BD9" w:rsidRPr="0016514A" w:rsidRDefault="00020BD9" w:rsidP="00020BD9">
      <w:pPr>
        <w:pStyle w:val="block-f-"/>
        <w:rPr>
          <w:rFonts w:ascii="Baskerville Old Face" w:hAnsi="Baskerville Old Face" w:cs="Times New Roman"/>
        </w:rPr>
      </w:pPr>
      <w:r w:rsidRPr="0016514A">
        <w:rPr>
          <w:rFonts w:ascii="Baskerville Old Face" w:hAnsi="Baskerville Old Face" w:cs="Times New Roman"/>
        </w:rPr>
        <w:t>and most recently in [</w:t>
      </w:r>
      <w:r w:rsidRPr="0016514A">
        <w:rPr>
          <w:rFonts w:ascii="Baskerville Old Face" w:hAnsi="Baskerville Old Face" w:cs="Times New Roman"/>
          <w:i/>
          <w:iCs/>
        </w:rPr>
        <w:t>Mohanty v. St. John Heart Clinic, S.C</w:t>
      </w:r>
      <w:r w:rsidRPr="0016514A">
        <w:rPr>
          <w:rFonts w:ascii="Baskerville Old Face" w:hAnsi="Baskerville Old Face" w:cs="Times New Roman"/>
        </w:rPr>
        <w:t>., 225 Ill. 2d 52, 866 N.E.2d 85 (2006)], is that courts at any level, when presented with the issue of whether a restrictive covenant should be enforced, should evaluate only the time-and-territory restrictions contained therein. If the court determines that they are not unreasonable, then the restrictive covenant should be enforced. Thus, this court need not engage in an additional discussion regarding the application of the “legitimate-business-interest” test because that test constitutes nothing more than a judicial gloss incorrectly applied to this area of law by the appellate court.</w:t>
      </w:r>
    </w:p>
    <w:p w14:paraId="40C531EB" w14:textId="77777777" w:rsidR="00020BD9" w:rsidRPr="0016514A" w:rsidRDefault="00020BD9" w:rsidP="00020BD9">
      <w:pPr>
        <w:pStyle w:val="block-p-"/>
        <w:rPr>
          <w:rFonts w:ascii="Baskerville Old Face" w:hAnsi="Baskerville Old Face" w:cs="Times New Roman"/>
        </w:rPr>
      </w:pPr>
      <w:r w:rsidRPr="0016514A">
        <w:rPr>
          <w:rFonts w:ascii="Baskerville Old Face" w:hAnsi="Baskerville Old Face" w:cs="Times New Roman"/>
        </w:rPr>
        <w:t>Accordingly, because (1) the Supreme Court of Illinois has never embraced the “legitimate-business-interest” test and (2) its application is inconsistent with the supreme court’s long history of analysis in restrictive covenant cases, we reject the “legitimate-business-interest” test.</w:t>
      </w:r>
    </w:p>
    <w:p w14:paraId="6818EE18" w14:textId="77777777" w:rsidR="00020BD9" w:rsidRPr="0016514A" w:rsidRDefault="00020BD9" w:rsidP="00020BD9">
      <w:pPr>
        <w:pStyle w:val="textflush"/>
        <w:rPr>
          <w:rFonts w:ascii="Baskerville Old Face" w:hAnsi="Baskerville Old Face" w:cs="Times New Roman"/>
        </w:rPr>
      </w:pPr>
      <w:r w:rsidRPr="0016514A">
        <w:rPr>
          <w:rFonts w:ascii="Baskerville Old Face" w:hAnsi="Baskerville Old Face" w:cs="Times New Roman"/>
          <w:i/>
          <w:iCs/>
        </w:rPr>
        <w:t>Sunbelt,</w:t>
      </w:r>
      <w:r w:rsidRPr="0016514A">
        <w:rPr>
          <w:rFonts w:ascii="Baskerville Old Face" w:hAnsi="Baskerville Old Face" w:cs="Times New Roman"/>
        </w:rPr>
        <w:t xml:space="preserve"> 915 N.E.2d at 869–70. </w:t>
      </w:r>
      <w:r w:rsidRPr="0016514A">
        <w:rPr>
          <w:rFonts w:ascii="Baskerville Old Face" w:hAnsi="Baskerville Old Face" w:cs="Times New Roman"/>
          <w:i/>
          <w:iCs/>
        </w:rPr>
        <w:t xml:space="preserve">See also id. </w:t>
      </w:r>
      <w:r w:rsidRPr="0016514A">
        <w:rPr>
          <w:rFonts w:ascii="Baskerville Old Face" w:hAnsi="Baskerville Old Face" w:cs="Times New Roman"/>
        </w:rPr>
        <w:t xml:space="preserve">at 869 (citing </w:t>
      </w:r>
      <w:r w:rsidRPr="0016514A">
        <w:rPr>
          <w:rFonts w:ascii="Baskerville Old Face" w:hAnsi="Baskerville Old Face" w:cs="Times New Roman"/>
          <w:i/>
          <w:iCs/>
        </w:rPr>
        <w:t>Lifetec, Inc. v. Edwards</w:t>
      </w:r>
      <w:r w:rsidRPr="0016514A">
        <w:rPr>
          <w:rFonts w:ascii="Baskerville Old Face" w:hAnsi="Baskerville Old Face" w:cs="Times New Roman"/>
        </w:rPr>
        <w:t xml:space="preserve">, 377 Ill. App. 3d 260, 268, 277–80, 880 N.E.2d 188, 200–04 (2007) (Steigmann, P.J., specially concurring) (questioning the validity of the “legitimate business interest” test and urging its abandonment by the appellate court); </w:t>
      </w:r>
      <w:r w:rsidRPr="0016514A">
        <w:rPr>
          <w:rFonts w:ascii="Baskerville Old Face" w:hAnsi="Baskerville Old Face" w:cs="Times New Roman"/>
          <w:i/>
          <w:iCs/>
        </w:rPr>
        <w:t>SKF USA, Inc. v. Bjerkness</w:t>
      </w:r>
      <w:r w:rsidRPr="0016514A">
        <w:rPr>
          <w:rFonts w:ascii="Baskerville Old Face" w:hAnsi="Baskerville Old Face" w:cs="Times New Roman"/>
        </w:rPr>
        <w:t xml:space="preserve">, 636 F. Supp. 2d 696, 2009 U.S. Dist. LEXIS 34781, *24 n.7, 2009 WL 1108494 (N.D. Ill. Apr. 24, 2009) (noting Justice Steigmann’s special concurrence in </w:t>
      </w:r>
      <w:r w:rsidRPr="0016514A">
        <w:rPr>
          <w:rFonts w:ascii="Baskerville Old Face" w:hAnsi="Baskerville Old Face" w:cs="Times New Roman"/>
          <w:i/>
          <w:iCs/>
        </w:rPr>
        <w:t>Lifetec</w:t>
      </w:r>
      <w:r w:rsidRPr="0016514A">
        <w:rPr>
          <w:rFonts w:ascii="Baskerville Old Face" w:hAnsi="Baskerville Old Face" w:cs="Times New Roman"/>
        </w:rPr>
        <w:t xml:space="preserve">, which called into question the validity of the “legitimate business interest” test); </w:t>
      </w:r>
      <w:r w:rsidRPr="0016514A">
        <w:rPr>
          <w:rFonts w:ascii="Baskerville Old Face" w:hAnsi="Baskerville Old Face" w:cs="Times New Roman"/>
          <w:i/>
          <w:iCs/>
        </w:rPr>
        <w:t>AMFM Broad., Inc. v. Osowiec</w:t>
      </w:r>
      <w:r w:rsidRPr="0016514A">
        <w:rPr>
          <w:rFonts w:ascii="Baskerville Old Face" w:hAnsi="Baskerville Old Face" w:cs="Times New Roman"/>
        </w:rPr>
        <w:t xml:space="preserve">, 2008 U.S. Dist. LEXIS 31700, at *5 n.2, 2008 WL 4542969 (N.D. Ill. Apr. 11, 2008) (not reported) (applying the “legitimate business interest” test to a restrictive covenant case because Illinois courts had yet to act on Justice Steigmann’s “well-reasoned approach” urging rejection of the test); </w:t>
      </w:r>
      <w:r w:rsidRPr="0016514A">
        <w:rPr>
          <w:rFonts w:ascii="Baskerville Old Face" w:hAnsi="Baskerville Old Face" w:cs="Times New Roman"/>
          <w:i/>
          <w:iCs/>
        </w:rPr>
        <w:t>Brown &amp; Brown, Inc. v. Mudron</w:t>
      </w:r>
      <w:r w:rsidRPr="0016514A">
        <w:rPr>
          <w:rFonts w:ascii="Baskerville Old Face" w:hAnsi="Baskerville Old Face" w:cs="Times New Roman"/>
        </w:rPr>
        <w:t xml:space="preserve">, 379 Ill. App. 3d 724, 731, 887 </w:t>
      </w:r>
      <w:r w:rsidRPr="0016514A">
        <w:rPr>
          <w:rFonts w:ascii="Baskerville Old Face" w:hAnsi="Baskerville Old Face" w:cs="Times New Roman"/>
        </w:rPr>
        <w:lastRenderedPageBreak/>
        <w:t>N.E.2d 437, 443 (2008) (Schmidt, J. dissenting) (where Justice Schmidt agreed with Justice Steigmann’s analysis that the “legitimate business interest test” “‘is no longer valid, if it ever was’”).</w:t>
      </w:r>
    </w:p>
    <w:p w14:paraId="1F72F3E0" w14:textId="77777777" w:rsidR="00020BD9" w:rsidRPr="006A121F" w:rsidRDefault="00020BD9" w:rsidP="00020BD9">
      <w:pPr>
        <w:pStyle w:val="text"/>
        <w:rPr>
          <w:rFonts w:ascii="Baskerville Old Face" w:hAnsi="Baskerville Old Face"/>
        </w:rPr>
      </w:pPr>
      <w:r w:rsidRPr="006A121F">
        <w:rPr>
          <w:rFonts w:ascii="Baskerville Old Face" w:hAnsi="Baskerville Old Face"/>
          <w:i/>
        </w:rPr>
        <w:t>Significantly, however</w:t>
      </w:r>
      <w:r w:rsidRPr="006A121F">
        <w:rPr>
          <w:rFonts w:ascii="Baskerville Old Face" w:hAnsi="Baskerville Old Face"/>
        </w:rPr>
        <w:t>, the U.S. District Court for the Northern District of Illinois pointed out in 2009 that the Illinois Supreme Court, the United States Court of Appeals for the Seventh Circuit, and the U.S. District Court for the Northern District of Illinois, for their part, “</w:t>
      </w:r>
      <w:r w:rsidRPr="006A121F">
        <w:rPr>
          <w:rFonts w:ascii="Baskerville Old Face" w:hAnsi="Baskerville Old Face"/>
          <w:i/>
        </w:rPr>
        <w:t>have</w:t>
      </w:r>
      <w:r w:rsidRPr="006A121F">
        <w:rPr>
          <w:rFonts w:ascii="Baskerville Old Face" w:hAnsi="Baskerville Old Face"/>
        </w:rPr>
        <w:t xml:space="preserve"> </w:t>
      </w:r>
      <w:r w:rsidRPr="006A121F">
        <w:rPr>
          <w:rFonts w:ascii="Baskerville Old Face" w:hAnsi="Baskerville Old Face"/>
          <w:i/>
        </w:rPr>
        <w:t>not rejected</w:t>
      </w:r>
      <w:r w:rsidRPr="006A121F">
        <w:rPr>
          <w:rFonts w:ascii="Baskerville Old Face" w:hAnsi="Baskerville Old Face"/>
        </w:rPr>
        <w:t xml:space="preserve"> the application of the legitimate business interest test.” </w:t>
      </w:r>
      <w:r w:rsidRPr="006A121F">
        <w:rPr>
          <w:rFonts w:ascii="Baskerville Old Face" w:hAnsi="Baskerville Old Face"/>
          <w:i/>
        </w:rPr>
        <w:t>Aspen Mktg. Servs.</w:t>
      </w:r>
      <w:r w:rsidRPr="006A121F">
        <w:rPr>
          <w:rFonts w:ascii="Baskerville Old Face" w:hAnsi="Baskerville Old Face"/>
        </w:rPr>
        <w:t xml:space="preserve">, 2009 U.S. Dist. LEXIS 112982, at *12 n.6 (emphasis added; disagreeing with </w:t>
      </w:r>
      <w:r w:rsidRPr="006A121F">
        <w:rPr>
          <w:rFonts w:ascii="Baskerville Old Face" w:hAnsi="Baskerville Old Face"/>
          <w:i/>
        </w:rPr>
        <w:t>Sunbelt Rentals</w:t>
      </w:r>
      <w:r w:rsidRPr="006A121F">
        <w:rPr>
          <w:rFonts w:ascii="Baskerville Old Face" w:hAnsi="Baskerville Old Face"/>
        </w:rPr>
        <w:t>).</w:t>
      </w:r>
    </w:p>
    <w:p w14:paraId="18029418" w14:textId="77777777" w:rsidR="00020BD9" w:rsidRPr="006A121F" w:rsidRDefault="00020BD9" w:rsidP="00020BD9">
      <w:pPr>
        <w:pStyle w:val="text"/>
        <w:rPr>
          <w:rFonts w:ascii="Baskerville Old Face" w:hAnsi="Baskerville Old Face"/>
        </w:rPr>
      </w:pPr>
      <w:r w:rsidRPr="006A121F">
        <w:rPr>
          <w:rFonts w:ascii="Baskerville Old Face" w:hAnsi="Baskerville Old Face"/>
          <w:i/>
        </w:rPr>
        <w:t>Moreover</w:t>
      </w:r>
      <w:r w:rsidRPr="006A121F">
        <w:rPr>
          <w:rFonts w:ascii="Baskerville Old Face" w:hAnsi="Baskerville Old Face"/>
        </w:rPr>
        <w:t xml:space="preserve">, as the U.S. District Court for the Northern District of Illinois in </w:t>
      </w:r>
      <w:r w:rsidRPr="006A121F">
        <w:rPr>
          <w:rFonts w:ascii="Baskerville Old Face" w:hAnsi="Baskerville Old Face"/>
          <w:i/>
        </w:rPr>
        <w:t>SKF USA</w:t>
      </w:r>
      <w:r w:rsidRPr="006A121F">
        <w:rPr>
          <w:rFonts w:ascii="Baskerville Old Face" w:hAnsi="Baskerville Old Face"/>
        </w:rPr>
        <w:t xml:space="preserve"> pointed out in 2009:</w:t>
      </w:r>
    </w:p>
    <w:p w14:paraId="35F82DA4" w14:textId="78695D4A" w:rsidR="00020BD9" w:rsidRPr="0016514A" w:rsidRDefault="00020BD9" w:rsidP="00020BD9">
      <w:pPr>
        <w:pStyle w:val="block-f"/>
        <w:rPr>
          <w:rFonts w:ascii="Baskerville Old Face" w:hAnsi="Baskerville Old Face" w:cs="Times New Roman"/>
        </w:rPr>
      </w:pPr>
      <w:r w:rsidRPr="0016514A">
        <w:rPr>
          <w:rFonts w:ascii="Baskerville Old Face" w:hAnsi="Baskerville Old Face" w:cs="Times New Roman"/>
        </w:rPr>
        <w:t>Every appellate district in the state [other than the Fourth District] continues to use the [legitimate business interest] test,</w:t>
      </w:r>
      <w:r w:rsidRPr="00020BD9">
        <w:rPr>
          <w:rFonts w:cs="Times New Roman"/>
        </w:rPr>
        <w:t> </w:t>
      </w:r>
      <w:r w:rsidR="00944F63">
        <w:rPr>
          <w:rFonts w:ascii="Baskerville Old Face" w:hAnsi="Baskerville Old Face" w:cs="Times New Roman"/>
        </w:rPr>
        <w:t>…</w:t>
      </w:r>
      <w:r w:rsidRPr="00020BD9">
        <w:rPr>
          <w:rFonts w:cs="Times New Roman"/>
        </w:rPr>
        <w:t> </w:t>
      </w:r>
      <w:r w:rsidRPr="0016514A">
        <w:rPr>
          <w:rFonts w:ascii="Baskerville Old Face" w:hAnsi="Baskerville Old Face" w:cs="Times New Roman"/>
        </w:rPr>
        <w:t>and</w:t>
      </w:r>
      <w:r w:rsidRPr="00020BD9">
        <w:rPr>
          <w:rFonts w:cs="Times New Roman"/>
        </w:rPr>
        <w:t> </w:t>
      </w:r>
      <w:r w:rsidR="00944F63">
        <w:rPr>
          <w:rFonts w:ascii="Baskerville Old Face" w:hAnsi="Baskerville Old Face" w:cs="Times New Roman"/>
        </w:rPr>
        <w:t>…</w:t>
      </w:r>
      <w:r w:rsidRPr="00020BD9">
        <w:rPr>
          <w:rFonts w:cs="Times New Roman"/>
        </w:rPr>
        <w:t> </w:t>
      </w:r>
      <w:r w:rsidRPr="0016514A">
        <w:rPr>
          <w:rFonts w:ascii="Baskerville Old Face" w:hAnsi="Baskerville Old Face" w:cs="Times New Roman"/>
        </w:rPr>
        <w:t>the test still applies in Illinois state courts.</w:t>
      </w:r>
    </w:p>
    <w:p w14:paraId="0CFBCD04" w14:textId="77777777" w:rsidR="00020BD9" w:rsidRPr="0016514A" w:rsidRDefault="00020BD9" w:rsidP="00020BD9">
      <w:pPr>
        <w:pStyle w:val="textflush"/>
        <w:rPr>
          <w:rFonts w:ascii="Baskerville Old Face" w:hAnsi="Baskerville Old Face" w:cs="Times New Roman"/>
          <w:b/>
          <w:bCs/>
        </w:rPr>
      </w:pPr>
      <w:r w:rsidRPr="0016514A">
        <w:rPr>
          <w:rFonts w:ascii="Baskerville Old Face" w:hAnsi="Baskerville Old Face" w:cs="Times New Roman"/>
        </w:rPr>
        <w:t xml:space="preserve">636 F. Supp. 2d at 710 (citing, as in accord, </w:t>
      </w:r>
      <w:r w:rsidRPr="0016514A">
        <w:rPr>
          <w:rFonts w:ascii="Baskerville Old Face" w:hAnsi="Baskerville Old Face" w:cs="Times New Roman"/>
          <w:i/>
          <w:iCs/>
        </w:rPr>
        <w:t>Giffney Perret, Inc. v. Matthews,</w:t>
      </w:r>
      <w:r w:rsidRPr="0016514A">
        <w:rPr>
          <w:rFonts w:ascii="Baskerville Old Face" w:hAnsi="Baskerville Old Face" w:cs="Times New Roman"/>
        </w:rPr>
        <w:t xml:space="preserve"> 2009 U.S. Dist. LEXIS 23531, 2009 WL 792484, at *6 (N.D. Ill. Mar. 24, 2009); </w:t>
      </w:r>
      <w:r w:rsidRPr="0016514A">
        <w:rPr>
          <w:rFonts w:ascii="Baskerville Old Face" w:hAnsi="Baskerville Old Face" w:cs="Times New Roman"/>
          <w:i/>
          <w:iCs/>
        </w:rPr>
        <w:t>AMFM Broad.</w:t>
      </w:r>
      <w:r w:rsidRPr="0016514A">
        <w:rPr>
          <w:rFonts w:ascii="Baskerville Old Face" w:hAnsi="Baskerville Old Face" w:cs="Times New Roman"/>
        </w:rPr>
        <w:t>, 2008 U.S. Dist. LEXIS 31700, 2008 WL 4542969, at *1 n.2 (stating that “I hesitate to predict that the Supreme Court of Illinois would abandon the test used by every district of the appellate court in Illinois for decades.”)).</w:t>
      </w:r>
      <w:r w:rsidRPr="0016514A">
        <w:rPr>
          <w:rFonts w:ascii="Baskerville Old Face" w:hAnsi="Baskerville Old Face" w:cs="Times New Roman"/>
          <w:b/>
          <w:bCs/>
        </w:rPr>
        <w:t>]</w:t>
      </w:r>
    </w:p>
    <w:p w14:paraId="32F4BD2A"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The former employer, as plaintiff, must be able to show that the covenant is reasonable in geographic and temporal scope and necessary to protect the former employer’s legitimate business interests. </w:t>
      </w:r>
      <w:r w:rsidRPr="006A121F">
        <w:rPr>
          <w:rFonts w:ascii="Baskerville Old Face" w:hAnsi="Baskerville Old Face"/>
          <w:i/>
        </w:rPr>
        <w:t>Applied Micro, Inc. v. SJI Fulfillment, Inc.</w:t>
      </w:r>
      <w:r w:rsidRPr="006A121F">
        <w:rPr>
          <w:rFonts w:ascii="Baskerville Old Face" w:hAnsi="Baskerville Old Face"/>
        </w:rPr>
        <w:t xml:space="preserve">, 941 F. Supp. 750, 753 (N.D. Ill. 1996) (citing </w:t>
      </w:r>
      <w:r w:rsidRPr="006A121F">
        <w:rPr>
          <w:rFonts w:ascii="Baskerville Old Face" w:hAnsi="Baskerville Old Face"/>
          <w:i/>
        </w:rPr>
        <w:t>Abel v. Fox</w:t>
      </w:r>
      <w:r w:rsidRPr="006A121F">
        <w:rPr>
          <w:rFonts w:ascii="Baskerville Old Face" w:hAnsi="Baskerville Old Face"/>
        </w:rPr>
        <w:t xml:space="preserve">, 274 Ill. App. 3d 811, 813, 211 Ill. Dec. 129, 131, 654 N.E.2d 591, 593 (4th Dist. 1995); </w:t>
      </w:r>
      <w:r w:rsidRPr="006A121F">
        <w:rPr>
          <w:rFonts w:ascii="Baskerville Old Face" w:hAnsi="Baskerville Old Face"/>
          <w:i/>
        </w:rPr>
        <w:t>Millard</w:t>
      </w:r>
      <w:r w:rsidRPr="006A121F">
        <w:rPr>
          <w:rFonts w:ascii="Baskerville Old Face" w:hAnsi="Baskerville Old Face"/>
        </w:rPr>
        <w:t xml:space="preserve">, 566 N.E.2d at 384). </w:t>
      </w:r>
      <w:r w:rsidRPr="006A121F">
        <w:rPr>
          <w:rFonts w:ascii="Baskerville Old Face" w:hAnsi="Baskerville Old Face"/>
          <w:i/>
        </w:rPr>
        <w:t>See also Arpac Corp. v. Murray</w:t>
      </w:r>
      <w:r w:rsidRPr="006A121F">
        <w:rPr>
          <w:rFonts w:ascii="Baskerville Old Face" w:hAnsi="Baskerville Old Face"/>
        </w:rPr>
        <w:t xml:space="preserve">, 226 Ill. App. 3d 65, 75, 168 Ill. Dec. 240, 589 N.E.2d 640 (1st Dist. 1992) (disagreed with by </w:t>
      </w:r>
      <w:r w:rsidRPr="006A121F">
        <w:rPr>
          <w:rFonts w:ascii="Baskerville Old Face" w:hAnsi="Baskerville Old Face"/>
          <w:i/>
        </w:rPr>
        <w:t>Unisource Worldwide, Inc. v. Carrar</w:t>
      </w:r>
      <w:r w:rsidRPr="006A121F">
        <w:rPr>
          <w:rFonts w:ascii="Baskerville Old Face" w:hAnsi="Baskerville Old Face"/>
        </w:rPr>
        <w:t>a, 244 F. Supp. 2d 977, 983 (C.D. Ill. 2003), and distinguished by</w:t>
      </w:r>
      <w:r w:rsidRPr="006A121F">
        <w:rPr>
          <w:rFonts w:ascii="Baskerville Old Face" w:hAnsi="Baskerville Old Face"/>
          <w:i/>
        </w:rPr>
        <w:t xml:space="preserve"> Cambridge Eng’g, Inc. v. Mercury Partners 90 BI, Inc</w:t>
      </w:r>
      <w:r w:rsidRPr="006A121F">
        <w:rPr>
          <w:rFonts w:ascii="Baskerville Old Face" w:hAnsi="Baskerville Old Face"/>
        </w:rPr>
        <w:t xml:space="preserve">., 378 Ill. App. 3d 437, 447, 316 Ill. Dec. 445, 455, 879 N.E.2d 512, 522 (1st Dist. 2007)); </w:t>
      </w:r>
      <w:r w:rsidRPr="006A121F">
        <w:rPr>
          <w:rFonts w:ascii="Baskerville Old Face" w:hAnsi="Baskerville Old Face"/>
          <w:i/>
        </w:rPr>
        <w:t>Label Printers v. Pflug</w:t>
      </w:r>
      <w:r w:rsidRPr="006A121F">
        <w:rPr>
          <w:rFonts w:ascii="Baskerville Old Face" w:hAnsi="Baskerville Old Face"/>
        </w:rPr>
        <w:t>, 206 Ill. App. 3d 483, 491, 151 Ill. Dec. 720, 564 N.E.2d 1382 (2d Dist. 1991).</w:t>
      </w:r>
    </w:p>
    <w:p w14:paraId="7209BC43" w14:textId="4FEDD87E" w:rsidR="00020BD9" w:rsidRPr="0016514A" w:rsidRDefault="00020BD9" w:rsidP="00020BD9">
      <w:pPr>
        <w:pStyle w:val="block-f-"/>
        <w:rPr>
          <w:rFonts w:ascii="Baskerville Old Face" w:hAnsi="Baskerville Old Face" w:cs="Times New Roman"/>
        </w:rPr>
      </w:pPr>
      <w:r w:rsidRPr="0016514A">
        <w:rPr>
          <w:rFonts w:ascii="Baskerville Old Face" w:hAnsi="Baskerville Old Face" w:cs="Times New Roman"/>
        </w:rPr>
        <w:lastRenderedPageBreak/>
        <w:t>Under Illinois law,</w:t>
      </w:r>
      <w:r w:rsidRPr="00020BD9">
        <w:rPr>
          <w:rFonts w:cs="Times New Roman"/>
        </w:rPr>
        <w:t> </w:t>
      </w:r>
      <w:r w:rsidR="00944F63">
        <w:rPr>
          <w:rFonts w:ascii="Baskerville Old Face" w:hAnsi="Baskerville Old Face" w:cs="Times New Roman"/>
        </w:rPr>
        <w:t>…</w:t>
      </w:r>
      <w:r w:rsidRPr="00020BD9">
        <w:rPr>
          <w:rFonts w:cs="Times New Roman"/>
        </w:rPr>
        <w:t> </w:t>
      </w:r>
      <w:r w:rsidRPr="0016514A">
        <w:rPr>
          <w:rFonts w:ascii="Baskerville Old Face" w:hAnsi="Baskerville Old Face" w:cs="Times New Roman"/>
        </w:rPr>
        <w:t xml:space="preserve">non-competition clauses are disfavored. </w:t>
      </w:r>
      <w:r w:rsidRPr="0016514A">
        <w:rPr>
          <w:rFonts w:ascii="Baskerville Old Face" w:hAnsi="Baskerville Old Face" w:cs="Times New Roman"/>
          <w:i/>
          <w:iCs/>
        </w:rPr>
        <w:t>Sarnoff v. American Home Products Corp.</w:t>
      </w:r>
      <w:r w:rsidRPr="0016514A">
        <w:rPr>
          <w:rFonts w:ascii="Baskerville Old Face" w:hAnsi="Baskerville Old Face" w:cs="Times New Roman"/>
        </w:rPr>
        <w:t xml:space="preserve">, 607 F. Supp. 77, 79 (N.D. Ill. 1985), </w:t>
      </w:r>
      <w:r w:rsidRPr="0016514A">
        <w:rPr>
          <w:rFonts w:ascii="Baskerville Old Face" w:hAnsi="Baskerville Old Face" w:cs="Times New Roman"/>
          <w:i/>
          <w:iCs/>
        </w:rPr>
        <w:t>aff’d and rev’d in part on other grounds</w:t>
      </w:r>
      <w:r w:rsidRPr="0016514A">
        <w:rPr>
          <w:rFonts w:ascii="Baskerville Old Face" w:hAnsi="Baskerville Old Face" w:cs="Times New Roman"/>
        </w:rPr>
        <w:t xml:space="preserve">, 798 F.2d 1075 (7th Cir. 1986). A court will only enforce provisions which are “reasonably necessary to protect a </w:t>
      </w:r>
      <w:r w:rsidRPr="0016514A">
        <w:rPr>
          <w:rFonts w:ascii="Baskerville Old Face" w:hAnsi="Baskerville Old Face" w:cs="Times New Roman"/>
          <w:i/>
          <w:iCs/>
        </w:rPr>
        <w:t>legitimate business</w:t>
      </w:r>
      <w:r w:rsidRPr="0016514A">
        <w:rPr>
          <w:rFonts w:ascii="Baskerville Old Face" w:hAnsi="Baskerville Old Face" w:cs="Times New Roman"/>
        </w:rPr>
        <w:t xml:space="preserve"> interest or to prevent </w:t>
      </w:r>
      <w:r w:rsidRPr="0016514A">
        <w:rPr>
          <w:rFonts w:ascii="Baskerville Old Face" w:hAnsi="Baskerville Old Face" w:cs="Times New Roman"/>
        </w:rPr>
        <w:br/>
        <w:t xml:space="preserve">improper and unfair competition.” </w:t>
      </w:r>
      <w:r w:rsidRPr="0016514A">
        <w:rPr>
          <w:rFonts w:ascii="Baskerville Old Face" w:hAnsi="Baskerville Old Face" w:cs="Times New Roman"/>
          <w:i/>
          <w:iCs/>
        </w:rPr>
        <w:t>Rao v. Rao</w:t>
      </w:r>
      <w:r w:rsidRPr="0016514A">
        <w:rPr>
          <w:rFonts w:ascii="Baskerville Old Face" w:hAnsi="Baskerville Old Face" w:cs="Times New Roman"/>
        </w:rPr>
        <w:t>, 718 F.2d 219, 223 (7th Cir. 1983).</w:t>
      </w:r>
    </w:p>
    <w:p w14:paraId="7A884588" w14:textId="53B98E4E" w:rsidR="00020BD9" w:rsidRPr="0016514A" w:rsidRDefault="00944F63" w:rsidP="00020BD9">
      <w:pPr>
        <w:pStyle w:val="block-p-"/>
        <w:rPr>
          <w:rFonts w:ascii="Baskerville Old Face" w:hAnsi="Baskerville Old Face" w:cs="Times New Roman"/>
        </w:rPr>
      </w:pPr>
      <w:r>
        <w:rPr>
          <w:rFonts w:ascii="Baskerville Old Face" w:hAnsi="Baskerville Old Face" w:cs="Times New Roman"/>
        </w:rPr>
        <w:t>…</w:t>
      </w:r>
      <w:r w:rsidR="00020BD9" w:rsidRPr="00020BD9">
        <w:rPr>
          <w:rFonts w:cs="Times New Roman"/>
        </w:rPr>
        <w:t>  </w:t>
      </w:r>
      <w:r w:rsidR="00020BD9" w:rsidRPr="0016514A">
        <w:rPr>
          <w:rFonts w:ascii="Baskerville Old Face" w:hAnsi="Baskerville Old Face" w:cs="Times New Roman"/>
        </w:rPr>
        <w:t>It is improper under Illinois law to enforce a non-</w:t>
      </w:r>
      <w:r w:rsidR="00020BD9" w:rsidRPr="0016514A">
        <w:rPr>
          <w:rFonts w:ascii="Baskerville Old Face" w:hAnsi="Baskerville Old Face" w:cs="Times New Roman"/>
        </w:rPr>
        <w:br/>
        <w:t xml:space="preserve">competition clause merely because the parties agreed to such an </w:t>
      </w:r>
      <w:r w:rsidR="00020BD9" w:rsidRPr="0016514A">
        <w:rPr>
          <w:rFonts w:ascii="Baskerville Old Face" w:hAnsi="Baskerville Old Face" w:cs="Times New Roman"/>
        </w:rPr>
        <w:br/>
        <w:t>arrangement.</w:t>
      </w:r>
    </w:p>
    <w:p w14:paraId="58E06186" w14:textId="77777777" w:rsidR="00020BD9" w:rsidRPr="0016514A" w:rsidRDefault="00020BD9" w:rsidP="00020BD9">
      <w:pPr>
        <w:pStyle w:val="textflush"/>
        <w:rPr>
          <w:rFonts w:ascii="Baskerville Old Face" w:hAnsi="Baskerville Old Face" w:cs="Times New Roman"/>
        </w:rPr>
      </w:pPr>
      <w:r w:rsidRPr="0016514A">
        <w:rPr>
          <w:rFonts w:ascii="Baskerville Old Face" w:hAnsi="Baskerville Old Face" w:cs="Times New Roman"/>
          <w:i/>
          <w:iCs/>
        </w:rPr>
        <w:t>Advent Elecs., Inc. v. Buckman</w:t>
      </w:r>
      <w:r w:rsidRPr="0016514A">
        <w:rPr>
          <w:rFonts w:ascii="Baskerville Old Face" w:hAnsi="Baskerville Old Face" w:cs="Times New Roman"/>
        </w:rPr>
        <w:t xml:space="preserve">, 112 F.3d 267, 274 (7th Cir. 1997) (emphasis added; footnote omitted; reversing and remanding preliminary injunction order on finding district court failed to determine whether party in whose favor covenant was drawn had legitimate business interest that would be protected by injunction enforcing noncompetition covenant). </w:t>
      </w:r>
      <w:r w:rsidRPr="0016514A">
        <w:rPr>
          <w:rFonts w:ascii="Baskerville Old Face" w:hAnsi="Baskerville Old Face" w:cs="Times New Roman"/>
          <w:i/>
          <w:iCs/>
        </w:rPr>
        <w:t>See also Abbott-Interfast Corp. v. Harkabus,</w:t>
      </w:r>
      <w:r w:rsidRPr="0016514A">
        <w:rPr>
          <w:rFonts w:ascii="Baskerville Old Face" w:hAnsi="Baskerville Old Face" w:cs="Times New Roman"/>
        </w:rPr>
        <w:t xml:space="preserve"> 250 Ill. App. 3d 13, 189 Ill. Dec. 288, 619 N.E.2d 1337, 1340–41 (2d Dist. 1993); </w:t>
      </w:r>
      <w:r w:rsidRPr="0016514A">
        <w:rPr>
          <w:rFonts w:ascii="Baskerville Old Face" w:hAnsi="Baskerville Old Face" w:cs="Times New Roman"/>
          <w:i/>
          <w:iCs/>
        </w:rPr>
        <w:t>LSBZ Inc. v. Brokis</w:t>
      </w:r>
      <w:r w:rsidRPr="0016514A">
        <w:rPr>
          <w:rFonts w:ascii="Baskerville Old Face" w:hAnsi="Baskerville Old Face" w:cs="Times New Roman"/>
        </w:rPr>
        <w:t xml:space="preserve">, 237 Ill. App. 3d 415, 425, 117 Ill. Dec. 866, 603 N.E.2d 1240 (2d Dist. 1992). </w:t>
      </w:r>
    </w:p>
    <w:p w14:paraId="330A39E8" w14:textId="3E2D3646" w:rsidR="00020BD9" w:rsidRPr="0016514A" w:rsidRDefault="00020BD9" w:rsidP="00020BD9">
      <w:pPr>
        <w:pStyle w:val="block-f"/>
        <w:rPr>
          <w:rFonts w:ascii="Baskerville Old Face" w:hAnsi="Baskerville Old Face" w:cs="Times New Roman"/>
        </w:rPr>
      </w:pPr>
      <w:r w:rsidRPr="0016514A">
        <w:rPr>
          <w:rFonts w:ascii="Baskerville Old Face" w:hAnsi="Baskerville Old Face" w:cs="Times New Roman"/>
        </w:rPr>
        <w:t>Illinois courts encourage fair competition in business and abhor restraint on trade and covenants in employment contracts not to compete are carefully scrutinized. A restrictive covenant may be held enforceable if the time limit and geographical scope are reasonable, if confidential information or trade secrets are involved, and if the restriction is reasonably necessary for the protection of a legitimate business interest.</w:t>
      </w:r>
      <w:r w:rsidRPr="00020BD9">
        <w:rPr>
          <w:rFonts w:cs="Times New Roman"/>
        </w:rPr>
        <w:t> </w:t>
      </w:r>
      <w:r w:rsidR="00944F63">
        <w:rPr>
          <w:rFonts w:ascii="Baskerville Old Face" w:hAnsi="Baskerville Old Face" w:cs="Times New Roman"/>
        </w:rPr>
        <w:t>…</w:t>
      </w:r>
      <w:r w:rsidRPr="00020BD9">
        <w:rPr>
          <w:rFonts w:cs="Times New Roman"/>
        </w:rPr>
        <w:t> </w:t>
      </w:r>
      <w:r w:rsidRPr="0016514A">
        <w:rPr>
          <w:rFonts w:ascii="Baskerville Old Face" w:hAnsi="Baskerville Old Face" w:cs="Times New Roman"/>
        </w:rPr>
        <w:t>Only two such business interests have been recognized by the courts, a near permanent customer relationship and confidential information.</w:t>
      </w:r>
      <w:r w:rsidRPr="00020BD9">
        <w:rPr>
          <w:rFonts w:cs="Times New Roman"/>
        </w:rPr>
        <w:t>  </w:t>
      </w:r>
      <w:r w:rsidR="00944F63">
        <w:rPr>
          <w:rFonts w:ascii="Baskerville Old Face" w:hAnsi="Baskerville Old Face" w:cs="Times New Roman"/>
        </w:rPr>
        <w:t>…</w:t>
      </w:r>
    </w:p>
    <w:p w14:paraId="2A5C4629" w14:textId="77777777" w:rsidR="00020BD9" w:rsidRPr="0016514A" w:rsidRDefault="00020BD9" w:rsidP="00020BD9">
      <w:pPr>
        <w:pStyle w:val="textflush"/>
        <w:rPr>
          <w:rFonts w:ascii="Baskerville Old Face" w:hAnsi="Baskerville Old Face" w:cs="Times New Roman"/>
        </w:rPr>
      </w:pPr>
      <w:r w:rsidRPr="0016514A">
        <w:rPr>
          <w:rFonts w:ascii="Baskerville Old Face" w:hAnsi="Baskerville Old Face" w:cs="Times New Roman"/>
          <w:i/>
          <w:iCs/>
        </w:rPr>
        <w:t>Callahan v. L.G. Balfour</w:t>
      </w:r>
      <w:r w:rsidRPr="0016514A">
        <w:rPr>
          <w:rFonts w:ascii="Baskerville Old Face" w:hAnsi="Baskerville Old Face" w:cs="Times New Roman"/>
        </w:rPr>
        <w:t>, 179 Ill. App. 3d 372, 387, 534 N.E.2d 565, 569 (1st Dist. 1989) (citations omitted).</w:t>
      </w:r>
    </w:p>
    <w:p w14:paraId="30FC544F"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As to the public-interest prong, Illinois courts and federal courts applying Illinois law have generally found the public interest to be served by enforcement of restrictive covenants</w:t>
      </w:r>
    </w:p>
    <w:p w14:paraId="5B3B2421" w14:textId="77777777" w:rsidR="00020BD9" w:rsidRPr="0016514A" w:rsidRDefault="00020BD9" w:rsidP="00020BD9">
      <w:pPr>
        <w:pStyle w:val="block-f"/>
        <w:rPr>
          <w:rFonts w:ascii="Baskerville Old Face" w:hAnsi="Baskerville Old Face" w:cs="Times New Roman"/>
        </w:rPr>
      </w:pPr>
      <w:r w:rsidRPr="0016514A">
        <w:rPr>
          <w:rFonts w:ascii="Baskerville Old Face" w:hAnsi="Baskerville Old Face" w:cs="Times New Roman"/>
        </w:rPr>
        <w:t>where the restriction is auxiliary to the main purpose of the contract, and is “necessary to protect one party from injury by the unfair use of the subject-matter of the contract by the other party.”</w:t>
      </w:r>
      <w:r w:rsidRPr="0016514A">
        <w:rPr>
          <w:rFonts w:ascii="Baskerville Old Face" w:hAnsi="Baskerville Old Face" w:cs="Times New Roman"/>
          <w:i/>
          <w:iCs/>
        </w:rPr>
        <w:t xml:space="preserve"> Union Trust &amp; Sav. Bank of East St. Louis v. Kinloch Long-Distance Tel. Co. of Missouri</w:t>
      </w:r>
      <w:r w:rsidRPr="0016514A">
        <w:rPr>
          <w:rFonts w:ascii="Baskerville Old Face" w:hAnsi="Baskerville Old Face" w:cs="Times New Roman"/>
        </w:rPr>
        <w:t xml:space="preserve">, 258 Ill. 202, 101 N.E. 535, 537 (1913). </w:t>
      </w:r>
      <w:r w:rsidRPr="0016514A">
        <w:rPr>
          <w:rFonts w:ascii="Baskerville Old Face" w:hAnsi="Baskerville Old Face" w:cs="Times New Roman"/>
          <w:i/>
          <w:iCs/>
        </w:rPr>
        <w:t>See also</w:t>
      </w:r>
      <w:r w:rsidRPr="0016514A">
        <w:rPr>
          <w:rFonts w:ascii="Baskerville Old Face" w:hAnsi="Baskerville Old Face" w:cs="Times New Roman"/>
        </w:rPr>
        <w:t xml:space="preserve"> [</w:t>
      </w:r>
      <w:r w:rsidRPr="0016514A">
        <w:rPr>
          <w:rFonts w:ascii="Baskerville Old Face" w:hAnsi="Baskerville Old Face" w:cs="Times New Roman"/>
          <w:i/>
          <w:iCs/>
        </w:rPr>
        <w:t xml:space="preserve">Applied Micro, Inc. v. </w:t>
      </w:r>
      <w:r w:rsidRPr="0016514A">
        <w:rPr>
          <w:rFonts w:ascii="Baskerville Old Face" w:hAnsi="Baskerville Old Face" w:cs="Times New Roman"/>
          <w:i/>
          <w:iCs/>
        </w:rPr>
        <w:lastRenderedPageBreak/>
        <w:t>SJI Fulfillment, Inc.</w:t>
      </w:r>
      <w:r w:rsidRPr="0016514A">
        <w:rPr>
          <w:rFonts w:ascii="Baskerville Old Face" w:hAnsi="Baskerville Old Face" w:cs="Times New Roman"/>
        </w:rPr>
        <w:t xml:space="preserve">, 941 F. Supp. 750, 756–57 (N.D. Ill.1996)] (discussing Illinois law). However, this must be balanced with [the former employee’s] fundamental right to pursue employment in his area of expertise. </w:t>
      </w:r>
      <w:r w:rsidRPr="0016514A">
        <w:rPr>
          <w:rFonts w:ascii="Baskerville Old Face" w:hAnsi="Baskerville Old Face" w:cs="Times New Roman"/>
          <w:i/>
          <w:iCs/>
        </w:rPr>
        <w:t>See Disher v. Fulgoni</w:t>
      </w:r>
      <w:r w:rsidRPr="0016514A">
        <w:rPr>
          <w:rFonts w:ascii="Baskerville Old Face" w:hAnsi="Baskerville Old Face" w:cs="Times New Roman"/>
        </w:rPr>
        <w:t xml:space="preserve">, 124 Ill. App. 3d 257, 79 Ill. Dec. 735, 464 N.E.2d 639 (1984). </w:t>
      </w:r>
      <w:r w:rsidRPr="0016514A">
        <w:rPr>
          <w:rFonts w:ascii="Baskerville Old Face" w:hAnsi="Baskerville Old Face" w:cs="Times New Roman"/>
          <w:i/>
          <w:iCs/>
        </w:rPr>
        <w:t>See also George S. May Int’l Co. v. International Profit Assocs.</w:t>
      </w:r>
      <w:r w:rsidRPr="0016514A">
        <w:rPr>
          <w:rFonts w:ascii="Baskerville Old Face" w:hAnsi="Baskerville Old Face" w:cs="Times New Roman"/>
        </w:rPr>
        <w:t>, 256 Ill. App. 3d 779, 195 Ill. Dec. 183, 628 N.E.2d 647, 653 (1993) (“An individual has a fundamental right to use his general knowledge and skills to pursue the occupation for which he is best suited.” (citation omitted)).</w:t>
      </w:r>
    </w:p>
    <w:p w14:paraId="06E5E021" w14:textId="77777777" w:rsidR="00020BD9" w:rsidRPr="0016514A" w:rsidRDefault="00020BD9" w:rsidP="00020BD9">
      <w:pPr>
        <w:pStyle w:val="textflush"/>
        <w:rPr>
          <w:rFonts w:ascii="Baskerville Old Face" w:hAnsi="Baskerville Old Face" w:cs="Times New Roman"/>
        </w:rPr>
      </w:pPr>
      <w:r w:rsidRPr="0016514A">
        <w:rPr>
          <w:rFonts w:ascii="Baskerville Old Face" w:hAnsi="Baskerville Old Face" w:cs="Times New Roman"/>
          <w:i/>
          <w:iCs/>
        </w:rPr>
        <w:t>First Health Grp. Corp</w:t>
      </w:r>
      <w:r w:rsidRPr="0016514A">
        <w:rPr>
          <w:rFonts w:ascii="Baskerville Old Face" w:hAnsi="Baskerville Old Face" w:cs="Times New Roman"/>
        </w:rPr>
        <w:t xml:space="preserve">., 155 F. Supp. 2d at 229 (“Weighing these competing interests, this Court finds that [the former employee] is fully able to pursue employment in his field while continuing to honor his nondisclosure agreement with [the former employer].”). </w:t>
      </w:r>
      <w:r w:rsidRPr="0016514A">
        <w:rPr>
          <w:rFonts w:ascii="Baskerville Old Face" w:hAnsi="Baskerville Old Face" w:cs="Times New Roman"/>
          <w:i/>
          <w:iCs/>
        </w:rPr>
        <w:t>See Mazak Optonics Corp. v. Marlette</w:t>
      </w:r>
      <w:r w:rsidRPr="0016514A">
        <w:rPr>
          <w:rFonts w:ascii="Baskerville Old Face" w:hAnsi="Baskerville Old Face" w:cs="Times New Roman"/>
        </w:rPr>
        <w:t>, 2017 BL 275921, at *5 (N.D. Ill. Aug. 8, 2017) (en route to issuing preliminary injunction enforcing noncompetition covenants against former employee who allegedly took employer’s trade secrets and used them to compete against it, pointing out that “[t]he public interest is supported by upholding the sanctity of confidential information such as trade secrets and preventing others from the unauthorized use of such confidential information for their own benefit. There is little incentive in our capitalist system for business to strive to develop trade secrets in order to excel if such secrets can be stolen at will without repercussions and without the protection of the legal system. The public interest is also supported by requiring parties to honor their promises in agreements rather than later avoiding such obligations based on perceived technicalities. [The former employee defendant] worked for [the plaintiff employer] and was paid and received the benefits accorded to him under the Agreements. Without legal justification, he cannot now avoid his own obligations. The court concludes that the public interest factor favors entry of the preliminary injunction.”).</w:t>
      </w:r>
    </w:p>
    <w:p w14:paraId="3BD4192C"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Also in connection with the public-interest prong of the test, note that a 1-year, 1-county noncompete covenant against a hospital’s former director for physical medicine and rehabilitation has been held to be not a restriction of trade violative of public policy. </w:t>
      </w:r>
      <w:r w:rsidRPr="006A121F">
        <w:rPr>
          <w:rFonts w:ascii="Baskerville Old Face" w:hAnsi="Baskerville Old Face"/>
          <w:i/>
        </w:rPr>
        <w:t>Sarah Bush Lincoln Health Ctr. v. Perket,</w:t>
      </w:r>
      <w:r w:rsidRPr="006A121F">
        <w:rPr>
          <w:rFonts w:ascii="Baskerville Old Face" w:hAnsi="Baskerville Old Face"/>
        </w:rPr>
        <w:t xml:space="preserve"> 238 Ill. App. 3d 958, 964, 178 Ill. Dec. 819, 824, 605 N.E.2d 613, 618 (4th Dist. 1992) (“[T]he doctrine of the supreme court cases of </w:t>
      </w:r>
      <w:r w:rsidRPr="006A121F">
        <w:rPr>
          <w:rFonts w:ascii="Baskerville Old Face" w:hAnsi="Baskerville Old Face"/>
          <w:i/>
        </w:rPr>
        <w:t xml:space="preserve">Cockerill </w:t>
      </w:r>
      <w:r w:rsidRPr="006A121F">
        <w:rPr>
          <w:rFonts w:ascii="Baskerville Old Face" w:hAnsi="Baskerville Old Face"/>
        </w:rPr>
        <w:t>[</w:t>
      </w:r>
      <w:r w:rsidRPr="006A121F">
        <w:rPr>
          <w:rFonts w:ascii="Baskerville Old Face" w:hAnsi="Baskerville Old Face"/>
          <w:i/>
        </w:rPr>
        <w:t xml:space="preserve">v. </w:t>
      </w:r>
      <w:r w:rsidRPr="006A121F">
        <w:rPr>
          <w:rFonts w:ascii="Baskerville Old Face" w:hAnsi="Baskerville Old Face"/>
          <w:i/>
        </w:rPr>
        <w:lastRenderedPageBreak/>
        <w:t>Wilson,</w:t>
      </w:r>
      <w:r w:rsidRPr="006A121F">
        <w:rPr>
          <w:rFonts w:ascii="Baskerville Old Face" w:hAnsi="Baskerville Old Face"/>
        </w:rPr>
        <w:t xml:space="preserve"> 51 Ill. 2d 179, 281 N.E.2d 648 (1972) (veterinarian)] and </w:t>
      </w:r>
      <w:r w:rsidRPr="006A121F">
        <w:rPr>
          <w:rFonts w:ascii="Baskerville Old Face" w:hAnsi="Baskerville Old Face"/>
          <w:i/>
        </w:rPr>
        <w:t xml:space="preserve">Canfield </w:t>
      </w:r>
      <w:r w:rsidRPr="006A121F">
        <w:rPr>
          <w:rFonts w:ascii="Baskerville Old Face" w:hAnsi="Baskerville Old Face"/>
        </w:rPr>
        <w:t>[</w:t>
      </w:r>
      <w:r w:rsidRPr="006A121F">
        <w:rPr>
          <w:rFonts w:ascii="Baskerville Old Face" w:hAnsi="Baskerville Old Face"/>
          <w:i/>
        </w:rPr>
        <w:t>v. Spear,</w:t>
      </w:r>
      <w:r w:rsidRPr="006A121F">
        <w:rPr>
          <w:rFonts w:ascii="Baskerville Old Face" w:hAnsi="Baskerville Old Face"/>
        </w:rPr>
        <w:t xml:space="preserve"> 44 Ill. 2d 49, 254 N.E.2d 433 (1969) (physician)] justifies” an injunction enforcing a 1-year, 1-county noncompete covenant against a hospital’s former director for physical medicine and rehabilitation, “and [</w:t>
      </w:r>
      <w:r w:rsidRPr="006A121F">
        <w:rPr>
          <w:rFonts w:ascii="Baskerville Old Face" w:hAnsi="Baskerville Old Face"/>
          <w:i/>
        </w:rPr>
        <w:t>Frazier &amp; Dallas v. Dettman,</w:t>
      </w:r>
      <w:r w:rsidRPr="006A121F">
        <w:rPr>
          <w:rFonts w:ascii="Baskerville Old Face" w:hAnsi="Baskerville Old Face"/>
        </w:rPr>
        <w:t xml:space="preserve"> 212 Ill. App. 3d 139, 155 Ill. Dec. 771, 569 N.E.2d 1382 (2d Dist. 1991), and </w:t>
      </w:r>
      <w:r w:rsidRPr="006A121F">
        <w:rPr>
          <w:rFonts w:ascii="Baskerville Old Face" w:hAnsi="Baskerville Old Face"/>
          <w:i/>
        </w:rPr>
        <w:t>Tyler Enters. of Elwood v. Shafer,</w:t>
      </w:r>
      <w:r w:rsidRPr="006A121F">
        <w:rPr>
          <w:rFonts w:ascii="Baskerville Old Face" w:hAnsi="Baskerville Old Face"/>
        </w:rPr>
        <w:t xml:space="preserve"> 214 Ill. App. 3d 145, 158 Ill. Dec. 50, 573 N.E.2d 863 (3d Dist. 1991),] make no inroads on that precedent.”).</w:t>
      </w:r>
    </w:p>
    <w:p w14:paraId="52D675E4"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Similarly, in </w:t>
      </w:r>
      <w:r w:rsidRPr="006A121F">
        <w:rPr>
          <w:rFonts w:ascii="Baskerville Old Face" w:hAnsi="Baskerville Old Face"/>
          <w:i/>
        </w:rPr>
        <w:t>Gillespie v. Carbondale &amp; Marion Eye Centers, Ltd.,</w:t>
      </w:r>
      <w:r w:rsidRPr="006A121F">
        <w:rPr>
          <w:rFonts w:ascii="Baskerville Old Face" w:hAnsi="Baskerville Old Face"/>
        </w:rPr>
        <w:t xml:space="preserve"> 251 Ill. App. 3d 625, 190 Ill. Dec. 950, 622 N.E.2d 1267 (5th Dist. 1993), the court held that a covenant, as modified by the trial court, prohibiting an ophthalmologist from practicing for 2 years within 50 miles of 5 clinic-employer offices where the ophthalmologist had actually practiced “was not void or unenforceable as injurious to the public interest.” </w:t>
      </w:r>
      <w:r w:rsidRPr="006A121F">
        <w:rPr>
          <w:rFonts w:ascii="Baskerville Old Face" w:hAnsi="Baskerville Old Face"/>
          <w:i/>
        </w:rPr>
        <w:t>Id.,</w:t>
      </w:r>
      <w:r w:rsidRPr="006A121F">
        <w:rPr>
          <w:rFonts w:ascii="Baskerville Old Face" w:hAnsi="Baskerville Old Face"/>
        </w:rPr>
        <w:t xml:space="preserve"> 622 N.E.2d at 1270.</w:t>
      </w:r>
    </w:p>
    <w:p w14:paraId="08757B8E" w14:textId="77777777" w:rsidR="00020BD9" w:rsidRPr="006A121F" w:rsidRDefault="00020BD9" w:rsidP="00204FD8">
      <w:pPr>
        <w:pStyle w:val="text"/>
        <w:tabs>
          <w:tab w:val="clear" w:pos="2880"/>
        </w:tabs>
        <w:rPr>
          <w:rFonts w:ascii="Baskerville Old Face" w:hAnsi="Baskerville Old Face"/>
          <w:i/>
        </w:rPr>
      </w:pPr>
      <w:r w:rsidRPr="006A121F">
        <w:rPr>
          <w:rFonts w:ascii="Baskerville Old Face" w:hAnsi="Baskerville Old Face"/>
        </w:rPr>
        <w:t xml:space="preserve">The </w:t>
      </w:r>
      <w:r w:rsidRPr="006A121F">
        <w:rPr>
          <w:rFonts w:ascii="Baskerville Old Face" w:hAnsi="Baskerville Old Face"/>
          <w:i/>
        </w:rPr>
        <w:t>Gillespie</w:t>
      </w:r>
      <w:r w:rsidRPr="006A121F">
        <w:rPr>
          <w:rFonts w:ascii="Baskerville Old Face" w:hAnsi="Baskerville Old Face"/>
        </w:rPr>
        <w:t xml:space="preserve"> court acknowledged that the southern Illinois region from which the ophthalmologist was barred from practicing “is generally a rural area with few ophthalmology specialists” (</w:t>
      </w:r>
      <w:r w:rsidRPr="006A121F">
        <w:rPr>
          <w:rFonts w:ascii="Baskerville Old Face" w:hAnsi="Baskerville Old Face"/>
          <w:i/>
        </w:rPr>
        <w:t>id.,</w:t>
      </w:r>
      <w:r w:rsidRPr="006A121F">
        <w:rPr>
          <w:rFonts w:ascii="Baskerville Old Face" w:hAnsi="Baskerville Old Face"/>
        </w:rPr>
        <w:t xml:space="preserve"> 622 N.E.2d at 1269), that hospitals that relied</w:t>
      </w:r>
      <w:r w:rsidRPr="006A121F">
        <w:rPr>
          <w:rFonts w:ascii="Baskerville Old Face" w:hAnsi="Baskerville Old Face"/>
          <w:spacing w:val="-2"/>
        </w:rPr>
        <w:t xml:space="preserve"> on the ophthalmologist to treat their patients with eye problems “would face the possibility of being unable to provide adequate medical care at a reasonable cost” (</w:t>
      </w:r>
      <w:r w:rsidRPr="006A121F">
        <w:rPr>
          <w:rFonts w:ascii="Baskerville Old Face" w:hAnsi="Baskerville Old Face"/>
          <w:i/>
          <w:spacing w:val="-2"/>
        </w:rPr>
        <w:t>id.</w:t>
      </w:r>
      <w:r w:rsidRPr="006A121F">
        <w:rPr>
          <w:rFonts w:ascii="Baskerville Old Face" w:hAnsi="Baskerville Old Face"/>
          <w:spacing w:val="-2"/>
        </w:rPr>
        <w:t xml:space="preserve">), and that “[e]nforcing the restrictive </w:t>
      </w:r>
      <w:r w:rsidR="001A419C" w:rsidRPr="006A121F">
        <w:rPr>
          <w:rFonts w:ascii="Baskerville Old Face" w:hAnsi="Baskerville Old Face"/>
          <w:spacing w:val="-2"/>
        </w:rPr>
        <w:t>covenant</w:t>
      </w:r>
      <w:r w:rsidRPr="006A121F">
        <w:rPr>
          <w:rFonts w:ascii="Baskerville Old Face" w:hAnsi="Baskerville Old Face"/>
          <w:spacing w:val="-2"/>
        </w:rPr>
        <w:t xml:space="preserve"> could create a shortage of eye specialists in the restricted area and pose a threat of potential harm to the public health” (</w:t>
      </w:r>
      <w:r w:rsidRPr="006A121F">
        <w:rPr>
          <w:rFonts w:ascii="Baskerville Old Face" w:hAnsi="Baskerville Old Face"/>
          <w:i/>
          <w:spacing w:val="-2"/>
        </w:rPr>
        <w:t>id.</w:t>
      </w:r>
      <w:r w:rsidRPr="006A121F">
        <w:rPr>
          <w:rFonts w:ascii="Baskerville Old Face" w:hAnsi="Baskerville Old Face"/>
          <w:spacing w:val="-2"/>
        </w:rPr>
        <w:t xml:space="preserve">), which shortage “could also </w:t>
      </w:r>
      <w:r w:rsidRPr="006A121F">
        <w:rPr>
          <w:rFonts w:ascii="Baskerville Old Face" w:hAnsi="Baskerville Old Face"/>
        </w:rPr>
        <w:t xml:space="preserve">result in a monopoly for the [former employer] in the restricted area.” </w:t>
      </w:r>
      <w:r w:rsidRPr="006A121F">
        <w:rPr>
          <w:rFonts w:ascii="Baskerville Old Face" w:hAnsi="Baskerville Old Face"/>
          <w:i/>
        </w:rPr>
        <w:t>Id.</w:t>
      </w:r>
    </w:p>
    <w:p w14:paraId="1E11B441"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“[D]espite these possible harmful results” (</w:t>
      </w:r>
      <w:r w:rsidRPr="006A121F">
        <w:rPr>
          <w:rFonts w:ascii="Baskerville Old Face" w:hAnsi="Baskerville Old Face"/>
          <w:i/>
        </w:rPr>
        <w:t>id.,</w:t>
      </w:r>
      <w:r w:rsidRPr="006A121F">
        <w:rPr>
          <w:rFonts w:ascii="Baskerville Old Face" w:hAnsi="Baskerville Old Face"/>
        </w:rPr>
        <w:t xml:space="preserve"> 622 N.E.2d at 1270), the </w:t>
      </w:r>
      <w:r w:rsidRPr="006A121F">
        <w:rPr>
          <w:rFonts w:ascii="Baskerville Old Face" w:hAnsi="Baskerville Old Face"/>
          <w:i/>
        </w:rPr>
        <w:t>Gillespie</w:t>
      </w:r>
      <w:r w:rsidRPr="006A121F">
        <w:rPr>
          <w:rFonts w:ascii="Baskerville Old Face" w:hAnsi="Baskerville Old Face"/>
        </w:rPr>
        <w:t xml:space="preserve"> court upheld the trial court’s finding that the covenant was not injurious to the public interest. It explained:</w:t>
      </w:r>
    </w:p>
    <w:p w14:paraId="283CE7E6" w14:textId="77777777" w:rsidR="00020BD9" w:rsidRPr="0016514A" w:rsidRDefault="00020BD9" w:rsidP="00020BD9">
      <w:pPr>
        <w:pStyle w:val="block-f"/>
        <w:rPr>
          <w:rFonts w:ascii="Baskerville Old Face" w:hAnsi="Baskerville Old Face" w:cs="Times New Roman"/>
        </w:rPr>
      </w:pPr>
      <w:r w:rsidRPr="0016514A">
        <w:rPr>
          <w:rFonts w:ascii="Baskerville Old Face" w:hAnsi="Baskerville Old Face" w:cs="Times New Roman"/>
        </w:rPr>
        <w:t>[T]he Illinois Supreme Court has held that such restrictive covenants between medical doctors are not detrimental to the public interest because the restricted doctor can be just as useful to the public in another location outside the restricted area; and the physician can always resume his practice in the restricted zone once the time duration of the covenant not to compete has expired. (</w:t>
      </w:r>
      <w:r w:rsidRPr="0016514A">
        <w:rPr>
          <w:rFonts w:ascii="Baskerville Old Face" w:hAnsi="Baskerville Old Face" w:cs="Times New Roman"/>
          <w:i/>
          <w:iCs/>
        </w:rPr>
        <w:t>Canfield v. Spear</w:t>
      </w:r>
      <w:r w:rsidRPr="0016514A">
        <w:rPr>
          <w:rFonts w:ascii="Baskerville Old Face" w:hAnsi="Baskerville Old Face" w:cs="Times New Roman"/>
        </w:rPr>
        <w:t xml:space="preserve"> (1969), 44 Ill. 2d 49, 254 N.E.2d 433; see also </w:t>
      </w:r>
      <w:r w:rsidRPr="0016514A">
        <w:rPr>
          <w:rFonts w:ascii="Baskerville Old Face" w:hAnsi="Baskerville Old Face" w:cs="Times New Roman"/>
          <w:i/>
          <w:iCs/>
        </w:rPr>
        <w:t>Vascular &amp; General Surgical Associates, Ltd. v. Loiterman</w:t>
      </w:r>
      <w:r w:rsidRPr="0016514A">
        <w:rPr>
          <w:rFonts w:ascii="Baskerville Old Face" w:hAnsi="Baskerville Old Face" w:cs="Times New Roman"/>
        </w:rPr>
        <w:t xml:space="preserve"> (1992), 234 Ill. App. 3d 1, 175 Ill. Dec. 232, 599 </w:t>
      </w:r>
      <w:r w:rsidRPr="0016514A">
        <w:rPr>
          <w:rFonts w:ascii="Baskerville Old Face" w:hAnsi="Baskerville Old Face" w:cs="Times New Roman"/>
        </w:rPr>
        <w:lastRenderedPageBreak/>
        <w:t>N.E.2d 1246.) Further, the Illinois Supreme Court has suggested that where there is a shortage of medical professionals, young doctors will migrate to that area to alleviate the shortage. (</w:t>
      </w:r>
      <w:r w:rsidRPr="0016514A">
        <w:rPr>
          <w:rFonts w:ascii="Baskerville Old Face" w:hAnsi="Baskerville Old Face" w:cs="Times New Roman"/>
          <w:i/>
          <w:iCs/>
        </w:rPr>
        <w:t>Canfield v. Spear</w:t>
      </w:r>
      <w:r w:rsidRPr="0016514A">
        <w:rPr>
          <w:rFonts w:ascii="Baskerville Old Face" w:hAnsi="Baskerville Old Face" w:cs="Times New Roman"/>
        </w:rPr>
        <w:t xml:space="preserve"> (1969), 44 Ill. 2d 49, 254 N.E.2d 433.)</w:t>
      </w:r>
    </w:p>
    <w:p w14:paraId="43992491" w14:textId="77777777" w:rsidR="00020BD9" w:rsidRPr="0016514A" w:rsidRDefault="00020BD9" w:rsidP="00020BD9">
      <w:pPr>
        <w:pStyle w:val="textflush"/>
        <w:rPr>
          <w:rFonts w:ascii="Baskerville Old Face" w:hAnsi="Baskerville Old Face" w:cs="Times New Roman"/>
        </w:rPr>
      </w:pPr>
      <w:r w:rsidRPr="0016514A">
        <w:rPr>
          <w:rFonts w:ascii="Baskerville Old Face" w:hAnsi="Baskerville Old Face" w:cs="Times New Roman"/>
          <w:i/>
          <w:iCs/>
        </w:rPr>
        <w:t>Id</w:t>
      </w:r>
      <w:r w:rsidRPr="0016514A">
        <w:rPr>
          <w:rFonts w:ascii="Baskerville Old Face" w:hAnsi="Baskerville Old Face" w:cs="Times New Roman"/>
        </w:rPr>
        <w:t>.</w:t>
      </w:r>
    </w:p>
    <w:p w14:paraId="651CA97D"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Note that, in light of the public-interest prong of the reasonableness test, “it is more difficult for an employer to justify prohibiting its former employees from </w:t>
      </w:r>
      <w:r w:rsidRPr="006A121F">
        <w:rPr>
          <w:rFonts w:ascii="Baskerville Old Face" w:hAnsi="Baskerville Old Face"/>
          <w:i/>
        </w:rPr>
        <w:t>accepting</w:t>
      </w:r>
      <w:r w:rsidRPr="006A121F">
        <w:rPr>
          <w:rFonts w:ascii="Baskerville Old Face" w:hAnsi="Baskerville Old Face"/>
        </w:rPr>
        <w:t xml:space="preserve"> orders from the employer’s clients than merely prohibiting the employee[s] from </w:t>
      </w:r>
      <w:r w:rsidRPr="006A121F">
        <w:rPr>
          <w:rFonts w:ascii="Baskerville Old Face" w:hAnsi="Baskerville Old Face"/>
          <w:i/>
        </w:rPr>
        <w:t>soliciting</w:t>
      </w:r>
      <w:r w:rsidRPr="006A121F">
        <w:rPr>
          <w:rFonts w:ascii="Baskerville Old Face" w:hAnsi="Baskerville Old Face"/>
        </w:rPr>
        <w:t xml:space="preserve"> such clients. </w:t>
      </w:r>
      <w:r w:rsidRPr="006A121F">
        <w:rPr>
          <w:rFonts w:ascii="Baskerville Old Face" w:hAnsi="Baskerville Old Face"/>
          <w:i/>
        </w:rPr>
        <w:t>Prohibiting a former employee from accepting orders or doing business with a customer places restrictions on that customer even though it is not a party to the noncompetition agreement.” Abbott-Interfast,</w:t>
      </w:r>
      <w:r w:rsidRPr="006A121F">
        <w:rPr>
          <w:rFonts w:ascii="Baskerville Old Face" w:hAnsi="Baskerville Old Face"/>
        </w:rPr>
        <w:t xml:space="preserve"> 619 N.E.2d at 1343 (emphasis added; citing </w:t>
      </w:r>
      <w:r w:rsidRPr="006A121F">
        <w:rPr>
          <w:rFonts w:ascii="Baskerville Old Face" w:hAnsi="Baskerville Old Face"/>
          <w:i/>
        </w:rPr>
        <w:t xml:space="preserve">Millard Maint., </w:t>
      </w:r>
      <w:r w:rsidRPr="006A121F">
        <w:rPr>
          <w:rFonts w:ascii="Baskerville Old Face" w:hAnsi="Baskerville Old Face"/>
        </w:rPr>
        <w:t>207 Ill. App. 3d at 750).</w:t>
      </w:r>
    </w:p>
    <w:p w14:paraId="179EFFF2"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Nonetheless, even a nonacceptance covenant “can be reasonable where there are a large number of other competitors with which the general public is free to do business.” </w:t>
      </w:r>
      <w:r w:rsidRPr="006A121F">
        <w:rPr>
          <w:rFonts w:ascii="Baskerville Old Face" w:hAnsi="Baskerville Old Face"/>
          <w:i/>
        </w:rPr>
        <w:t>Id.</w:t>
      </w:r>
      <w:r w:rsidRPr="006A121F">
        <w:rPr>
          <w:rFonts w:ascii="Baskerville Old Face" w:hAnsi="Baskerville Old Face"/>
        </w:rPr>
        <w:t xml:space="preserve"> at 1343 (citing </w:t>
      </w:r>
      <w:r w:rsidRPr="006A121F">
        <w:rPr>
          <w:rFonts w:ascii="Baskerville Old Face" w:hAnsi="Baskerville Old Face"/>
          <w:i/>
        </w:rPr>
        <w:t>McRand, supra,</w:t>
      </w:r>
      <w:r w:rsidRPr="006A121F">
        <w:rPr>
          <w:rFonts w:ascii="Baskerville Old Face" w:hAnsi="Baskerville Old Face"/>
        </w:rPr>
        <w:t xml:space="preserve"> 138 Ill. App. 3d at 1057, and </w:t>
      </w:r>
      <w:r w:rsidRPr="006A121F">
        <w:rPr>
          <w:rFonts w:ascii="Baskerville Old Face" w:hAnsi="Baskerville Old Face"/>
          <w:i/>
        </w:rPr>
        <w:t>Howard Johnson &amp; Co. v. Feinstein,</w:t>
      </w:r>
      <w:r w:rsidRPr="006A121F">
        <w:rPr>
          <w:rFonts w:ascii="Baskerville Old Face" w:hAnsi="Baskerville Old Face"/>
        </w:rPr>
        <w:t xml:space="preserve"> 241 Ill. App. 3d 828, 837, 182 Ill. Dec. 396, 609 N.E.2d 930 (1st Dist. 1993) (sale of business context; noncompetition agreements barring members of merged actuarial firm from soliciting or accepting business of kind engaged in by merged company from former clients of merged company for 3 years or from any person who was being actively solicited as potential client during 1-year period prior to termination of employment were not unreasonable; rejecting claim that enforcement would have adverse effect on public, court reasoned that there were 10 or 12 significant firms and several smaller firms in the area which did same kind of work as performed by merged company (609 N.E.2d at 935–36); noting that “[t]he rationale for upholding a restriction on the acceptance of business from former clients is even greater where it is ancillary to the sale of a business. Without the protection of such a restriction, the buyer would face the possibility of losing to the seller the main asset of the sale, </w:t>
      </w:r>
      <w:r w:rsidRPr="006A121F">
        <w:rPr>
          <w:rFonts w:ascii="Baskerville Old Face" w:hAnsi="Baskerville Old Face"/>
          <w:i/>
        </w:rPr>
        <w:t>i.e.,</w:t>
      </w:r>
      <w:r w:rsidRPr="006A121F">
        <w:rPr>
          <w:rFonts w:ascii="Baskerville Old Face" w:hAnsi="Baskerville Old Face"/>
        </w:rPr>
        <w:t xml:space="preserve"> the seller’s client base.” (</w:t>
      </w:r>
      <w:r w:rsidRPr="006A121F">
        <w:rPr>
          <w:rFonts w:ascii="Baskerville Old Face" w:hAnsi="Baskerville Old Face"/>
          <w:i/>
        </w:rPr>
        <w:t>Id.</w:t>
      </w:r>
      <w:r w:rsidRPr="006A121F">
        <w:rPr>
          <w:rFonts w:ascii="Baskerville Old Face" w:hAnsi="Baskerville Old Face"/>
        </w:rPr>
        <w:t xml:space="preserve"> at 935)).</w:t>
      </w:r>
    </w:p>
    <w:p w14:paraId="49CDB118"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One of the factors to consider in determining whether a contractual restriction upon an individual’s right to practice a profession is reasonable is whether the restraint imposed is partial or </w:t>
      </w:r>
      <w:r w:rsidRPr="006A121F">
        <w:rPr>
          <w:rFonts w:ascii="Baskerville Old Face" w:hAnsi="Baskerville Old Face"/>
        </w:rPr>
        <w:lastRenderedPageBreak/>
        <w:t xml:space="preserve">limited, as opposed to total. </w:t>
      </w:r>
      <w:r w:rsidRPr="006A121F">
        <w:rPr>
          <w:rFonts w:ascii="Baskerville Old Face" w:hAnsi="Baskerville Old Face"/>
          <w:i/>
        </w:rPr>
        <w:t>Akhter v. Shah</w:t>
      </w:r>
      <w:r w:rsidRPr="006A121F">
        <w:rPr>
          <w:rFonts w:ascii="Baskerville Old Face" w:hAnsi="Baskerville Old Face"/>
        </w:rPr>
        <w:t>, 119 Ill. App. 3d 131, 74 Ill. Dec. 730, 456 N.E.2d 232 (1st Dist. 1983).</w:t>
      </w:r>
    </w:p>
    <w:p w14:paraId="730FB8D0"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i/>
        </w:rPr>
        <w:t>See also Agrimerica v. Mathes</w:t>
      </w:r>
      <w:r w:rsidRPr="006A121F">
        <w:rPr>
          <w:rFonts w:ascii="Baskerville Old Face" w:hAnsi="Baskerville Old Face"/>
        </w:rPr>
        <w:t xml:space="preserve">, 170 Ill. App. 3d 1025, 120 Ill. Dec. 765, 524 N.E.2d 947 (1st Dist. 1988) (an “activity covenant” does not require geographic limitations but must be related reasonably to former employer’s interest in protecting customer relations that its employees developed as direct result of their employment; an “activity” covenant is one designed not to restrict competition, but, rather, to protect Agrimerica’s relationship with its customers; the covenant clearly restricted nonsolicitation as to only those entities in former employee’s sales region that were actual customers of former employer within 2 years preceding former employee’s termination); </w:t>
      </w:r>
      <w:r w:rsidRPr="006A121F">
        <w:rPr>
          <w:rFonts w:ascii="Baskerville Old Face" w:hAnsi="Baskerville Old Face"/>
          <w:i/>
        </w:rPr>
        <w:t>PCx Corp. v. Ross</w:t>
      </w:r>
      <w:r w:rsidRPr="006A121F">
        <w:rPr>
          <w:rFonts w:ascii="Baskerville Old Face" w:hAnsi="Baskerville Old Face"/>
        </w:rPr>
        <w:t xml:space="preserve">, 168 Ill. App. 3d 1047, 119 Ill. Dec. 474, 522 N.E.2d 1333, 1340–41 (1st Dist. 1988) (covenants not to compete designed to protect nationwide firm/employer’s relationships with customers need not contain territorial limitations to be enforceable); </w:t>
      </w:r>
      <w:r w:rsidRPr="006A121F">
        <w:rPr>
          <w:rFonts w:ascii="Baskerville Old Face" w:hAnsi="Baskerville Old Face"/>
          <w:i/>
        </w:rPr>
        <w:t>Corroon &amp; Black of Ill. v. Magner</w:t>
      </w:r>
      <w:r w:rsidRPr="006A121F">
        <w:rPr>
          <w:rFonts w:ascii="Baskerville Old Face" w:hAnsi="Baskerville Old Face"/>
        </w:rPr>
        <w:t xml:space="preserve">, 145 Ill. App. 3d 151, 165, 98 Ill. Dec. 663, 494 N.E.2d 785 (1st Dist. 1986); </w:t>
      </w:r>
      <w:r w:rsidRPr="006A121F">
        <w:rPr>
          <w:rFonts w:ascii="Baskerville Old Face" w:hAnsi="Baskerville Old Face"/>
          <w:i/>
        </w:rPr>
        <w:t>McRand, Inc. v. van Beelen</w:t>
      </w:r>
      <w:r w:rsidRPr="006A121F">
        <w:rPr>
          <w:rFonts w:ascii="Baskerville Old Face" w:hAnsi="Baskerville Old Face"/>
        </w:rPr>
        <w:t xml:space="preserve">, 138 Ill. App. 3d 1045, 93 Ill. Dec. 471, 486 N.E.2d 1306 (1st Dist. 1985); </w:t>
      </w:r>
      <w:r w:rsidRPr="006A121F">
        <w:rPr>
          <w:rFonts w:ascii="Baskerville Old Face" w:hAnsi="Baskerville Old Face"/>
          <w:i/>
        </w:rPr>
        <w:t>Morrison Metalweld Process Corp. v. Valent</w:t>
      </w:r>
      <w:r w:rsidRPr="006A121F">
        <w:rPr>
          <w:rFonts w:ascii="Baskerville Old Face" w:hAnsi="Baskerville Old Face"/>
        </w:rPr>
        <w:t xml:space="preserve">, 97 Ill. App. 3d 373, 52 Ill. Dec. 825, 422 N.E.2d 1034 (1st Dist. 1981); </w:t>
      </w:r>
      <w:r w:rsidRPr="006A121F">
        <w:rPr>
          <w:rFonts w:ascii="Baskerville Old Face" w:hAnsi="Baskerville Old Face"/>
          <w:i/>
        </w:rPr>
        <w:t>J.D. Marshall Int’l v. Fradkin</w:t>
      </w:r>
      <w:r w:rsidRPr="006A121F">
        <w:rPr>
          <w:rFonts w:ascii="Baskerville Old Face" w:hAnsi="Baskerville Old Face"/>
        </w:rPr>
        <w:t xml:space="preserve">, 87 Ill. App. 3d 118, 42 Ill. Dec. 509, 409 N.E.2d 4 (1st Dist. 1980). </w:t>
      </w:r>
      <w:r w:rsidRPr="006A121F">
        <w:rPr>
          <w:rFonts w:ascii="Baskerville Old Face" w:hAnsi="Baskerville Old Face"/>
          <w:i/>
        </w:rPr>
        <w:t>But see Perman v. ArcVentures, Inc.</w:t>
      </w:r>
      <w:r w:rsidRPr="006A121F">
        <w:rPr>
          <w:rFonts w:ascii="Baskerville Old Face" w:hAnsi="Baskerville Old Face"/>
        </w:rPr>
        <w:t xml:space="preserve"> 196 Ill. App. 3d 768, 143 Ill. Dec. 910, 554 N.E.2d 982, 5 IER Cases 338 (1st Dist. 1990) (nondisclosure/confidentiality agreement unlimited as to time and area is patently unreasonable and unenforceable); </w:t>
      </w:r>
      <w:r w:rsidRPr="006A121F">
        <w:rPr>
          <w:rFonts w:ascii="Baskerville Old Face" w:hAnsi="Baskerville Old Face"/>
          <w:i/>
        </w:rPr>
        <w:t>North Am. Paper Co. v. Unterberger</w:t>
      </w:r>
      <w:r w:rsidRPr="006A121F">
        <w:rPr>
          <w:rFonts w:ascii="Baskerville Old Face" w:hAnsi="Baskerville Old Face"/>
        </w:rPr>
        <w:t xml:space="preserve">, 172 Ill. App. 3d 410, 122 Ill. Dec. 362, 526 N.E.2d 621, 624–25, 3 IER Cases 1057 (1st Dist. 1988) (nondisclosure clause was void as a matter of law because it had no chronological or geographic limitations of any kind); </w:t>
      </w:r>
      <w:r w:rsidRPr="006A121F">
        <w:rPr>
          <w:rFonts w:ascii="Baskerville Old Face" w:hAnsi="Baskerville Old Face"/>
          <w:i/>
        </w:rPr>
        <w:t>Prudential Ins. Co. of Am. v. Sempetrean</w:t>
      </w:r>
      <w:r w:rsidRPr="006A121F">
        <w:rPr>
          <w:rFonts w:ascii="Baskerville Old Face" w:hAnsi="Baskerville Old Face"/>
        </w:rPr>
        <w:t xml:space="preserve">, 171 Ill. App. 3d 810, 121 Ill. Dec. 709, 525 N.E.2d 1016, 1020 (1st Dist. 1988) (a covenant that lacks both temporal </w:t>
      </w:r>
      <w:r w:rsidRPr="006A121F">
        <w:rPr>
          <w:rFonts w:ascii="Baskerville Old Face" w:hAnsi="Baskerville Old Face"/>
          <w:i/>
        </w:rPr>
        <w:t>and</w:t>
      </w:r>
      <w:r w:rsidRPr="006A121F">
        <w:rPr>
          <w:rFonts w:ascii="Baskerville Old Face" w:hAnsi="Baskerville Old Face"/>
        </w:rPr>
        <w:t xml:space="preserve"> geographic limitations as to activity sought to be prohibited should not take place, restriction is too vague and ambiguous to be enforced, and court should not rewrite it); </w:t>
      </w:r>
      <w:r w:rsidRPr="006A121F">
        <w:rPr>
          <w:rFonts w:ascii="Baskerville Old Face" w:hAnsi="Baskerville Old Face"/>
          <w:i/>
        </w:rPr>
        <w:t>Jefco Labs. v. Carroo</w:t>
      </w:r>
      <w:r w:rsidRPr="006A121F">
        <w:rPr>
          <w:rFonts w:ascii="Baskerville Old Face" w:hAnsi="Baskerville Old Face"/>
        </w:rPr>
        <w:t xml:space="preserve">, 136 Ill. App. 3d 793, 91 Ill. Dec. 513, 483 N.E.2d 999 (1st Dist. 1985) (unlimited geographic restraint is patently </w:t>
      </w:r>
      <w:r w:rsidRPr="006A121F">
        <w:rPr>
          <w:rFonts w:ascii="Baskerville Old Face" w:hAnsi="Baskerville Old Face"/>
        </w:rPr>
        <w:lastRenderedPageBreak/>
        <w:t xml:space="preserve">unreasonable); </w:t>
      </w:r>
      <w:r w:rsidRPr="006A121F">
        <w:rPr>
          <w:rFonts w:ascii="Baskerville Old Face" w:hAnsi="Baskerville Old Face"/>
          <w:i/>
        </w:rPr>
        <w:t>Akhter v. Shah</w:t>
      </w:r>
      <w:r w:rsidRPr="006A121F">
        <w:rPr>
          <w:rFonts w:ascii="Baskerville Old Face" w:hAnsi="Baskerville Old Face"/>
        </w:rPr>
        <w:t>, 119 Ill. App. 3d at 135, 74 Ill. Dec. at 733, 456 N.E.2d at 235.</w:t>
      </w:r>
    </w:p>
    <w:p w14:paraId="3D31EE43" w14:textId="77777777" w:rsidR="00020BD9" w:rsidRPr="006A121F" w:rsidRDefault="00020BD9" w:rsidP="006A121F">
      <w:pPr>
        <w:pStyle w:val="text"/>
        <w:tabs>
          <w:tab w:val="clear" w:pos="2880"/>
        </w:tabs>
        <w:spacing w:before="240"/>
        <w:rPr>
          <w:rFonts w:ascii="Baskerville Old Face" w:hAnsi="Baskerville Old Face"/>
          <w:b/>
        </w:rPr>
      </w:pPr>
      <w:r w:rsidRPr="006A121F">
        <w:rPr>
          <w:rFonts w:ascii="Baskerville Old Face" w:hAnsi="Baskerville Old Face"/>
          <w:b/>
        </w:rPr>
        <w:t>[</w:t>
      </w:r>
      <w:r w:rsidRPr="006A121F">
        <w:rPr>
          <w:rFonts w:ascii="Baskerville Old Face" w:hAnsi="Baskerville Old Face"/>
          <w:i/>
        </w:rPr>
        <w:t>Editor’s note:</w:t>
      </w:r>
      <w:r w:rsidRPr="006A121F">
        <w:rPr>
          <w:rFonts w:ascii="Baskerville Old Face" w:hAnsi="Baskerville Old Face"/>
        </w:rPr>
        <w:t xml:space="preserve"> An employer may be collaterally estopped from relitigating the enforceability of a covenant not to compete, which is precisely what happened in </w:t>
      </w:r>
      <w:r w:rsidRPr="006A121F">
        <w:rPr>
          <w:rFonts w:ascii="Baskerville Old Face" w:hAnsi="Baskerville Old Face"/>
          <w:i/>
        </w:rPr>
        <w:t>Service Systems Corp. v. Van Bortel</w:t>
      </w:r>
      <w:r w:rsidRPr="006A121F">
        <w:rPr>
          <w:rFonts w:ascii="Baskerville Old Face" w:hAnsi="Baskerville Old Face"/>
        </w:rPr>
        <w:t>, 174 Ill. App. 3d 412, 528 N.E.2d 378 (1st Dist. 1988). There, a declaratory judgment was entered in a previous case in federal court, involving another employee, holding that a certain covenant not to compete was void and unenforceable and that the employer did not have a legally protectable business interest. That federal judgment was found by the Illinois Appellate Court to collaterally estop the employer from relitigating against another employee the issue of whether that same covenant not to compete was enforceable. The covenant was identical in both lawsuits, and the employees involved in both suits had virtually the same position with the same employer.</w:t>
      </w:r>
      <w:r w:rsidRPr="006A121F">
        <w:rPr>
          <w:rFonts w:ascii="Baskerville Old Face" w:hAnsi="Baskerville Old Face"/>
          <w:b/>
        </w:rPr>
        <w:t>]</w:t>
      </w:r>
    </w:p>
    <w:p w14:paraId="3F8E4CFE" w14:textId="77777777" w:rsidR="00020BD9" w:rsidRPr="006A121F" w:rsidRDefault="00020BD9" w:rsidP="00204FD8">
      <w:pPr>
        <w:pStyle w:val="text"/>
        <w:tabs>
          <w:tab w:val="clear" w:pos="2880"/>
        </w:tabs>
        <w:rPr>
          <w:rFonts w:ascii="Baskerville Old Face" w:hAnsi="Baskerville Old Face"/>
          <w:spacing w:val="-1"/>
        </w:rPr>
      </w:pPr>
      <w:r w:rsidRPr="006A121F">
        <w:rPr>
          <w:rFonts w:ascii="Baskerville Old Face" w:hAnsi="Baskerville Old Face"/>
          <w:spacing w:val="-1"/>
        </w:rPr>
        <w:t xml:space="preserve">Before engaging in the reasonableness analysis, however, “the court must make a threshold determination: it must find 1) that the covenant is </w:t>
      </w:r>
      <w:r w:rsidRPr="006A121F">
        <w:rPr>
          <w:rFonts w:ascii="Baskerville Old Face" w:hAnsi="Baskerville Old Face"/>
          <w:i/>
          <w:spacing w:val="-1"/>
        </w:rPr>
        <w:t>ancillary</w:t>
      </w:r>
      <w:r w:rsidRPr="006A121F">
        <w:rPr>
          <w:rFonts w:ascii="Baskerville Old Face" w:hAnsi="Baskerville Old Face"/>
          <w:spacing w:val="-1"/>
        </w:rPr>
        <w:t xml:space="preserve"> to a valid </w:t>
      </w:r>
      <w:r w:rsidRPr="006A121F">
        <w:rPr>
          <w:rFonts w:ascii="Baskerville Old Face" w:hAnsi="Baskerville Old Face"/>
          <w:i/>
          <w:spacing w:val="-1"/>
        </w:rPr>
        <w:t>employment contract</w:t>
      </w:r>
      <w:r w:rsidRPr="006A121F">
        <w:rPr>
          <w:rFonts w:ascii="Baskerville Old Face" w:hAnsi="Baskerville Old Face"/>
          <w:spacing w:val="-1"/>
        </w:rPr>
        <w:t xml:space="preserve"> </w:t>
      </w:r>
      <w:r w:rsidRPr="006A121F">
        <w:rPr>
          <w:rFonts w:ascii="Baskerville Old Face" w:hAnsi="Baskerville Old Face"/>
          <w:i/>
          <w:spacing w:val="-1"/>
        </w:rPr>
        <w:t>and</w:t>
      </w:r>
      <w:r w:rsidRPr="006A121F">
        <w:rPr>
          <w:rFonts w:ascii="Baskerville Old Face" w:hAnsi="Baskerville Old Face"/>
          <w:spacing w:val="-1"/>
        </w:rPr>
        <w:t xml:space="preserve"> 2) that it is </w:t>
      </w:r>
      <w:r w:rsidRPr="006A121F">
        <w:rPr>
          <w:rFonts w:ascii="Baskerville Old Face" w:hAnsi="Baskerville Old Face"/>
          <w:i/>
          <w:spacing w:val="-1"/>
        </w:rPr>
        <w:t>supported by adequate consideration</w:t>
      </w:r>
      <w:r w:rsidRPr="006A121F">
        <w:rPr>
          <w:rFonts w:ascii="Baskerville Old Face" w:hAnsi="Baskerville Old Face"/>
          <w:spacing w:val="-1"/>
        </w:rPr>
        <w:t xml:space="preserve">.” </w:t>
      </w:r>
      <w:r w:rsidRPr="006A121F">
        <w:rPr>
          <w:rFonts w:ascii="Baskerville Old Face" w:hAnsi="Baskerville Old Face"/>
          <w:i/>
          <w:spacing w:val="-1"/>
        </w:rPr>
        <w:t>Applied Micro</w:t>
      </w:r>
      <w:r w:rsidRPr="006A121F">
        <w:rPr>
          <w:rFonts w:ascii="Baskerville Old Face" w:hAnsi="Baskerville Old Face"/>
          <w:spacing w:val="-1"/>
        </w:rPr>
        <w:t xml:space="preserve">, 941 F. Supp. at 753 (emphasis added; citing </w:t>
      </w:r>
      <w:r w:rsidRPr="006A121F">
        <w:rPr>
          <w:rFonts w:ascii="Baskerville Old Face" w:hAnsi="Baskerville Old Face"/>
          <w:i/>
          <w:spacing w:val="-1"/>
        </w:rPr>
        <w:t>Abel</w:t>
      </w:r>
      <w:r w:rsidRPr="006A121F">
        <w:rPr>
          <w:rFonts w:ascii="Baskerville Old Face" w:hAnsi="Baskerville Old Face"/>
          <w:spacing w:val="-1"/>
        </w:rPr>
        <w:t xml:space="preserve">, 274 Ill. App. 3d at 813–14, 211 Ill. Dec. at 131, 654 N.E.2d at 593; </w:t>
      </w:r>
      <w:r w:rsidRPr="006A121F">
        <w:rPr>
          <w:rFonts w:ascii="Baskerville Old Face" w:hAnsi="Baskerville Old Face"/>
          <w:i/>
          <w:spacing w:val="-1"/>
        </w:rPr>
        <w:t>Creative Entm’t, Inc. v. Lorenz</w:t>
      </w:r>
      <w:r w:rsidRPr="006A121F">
        <w:rPr>
          <w:rFonts w:ascii="Baskerville Old Face" w:hAnsi="Baskerville Old Face"/>
          <w:spacing w:val="-1"/>
        </w:rPr>
        <w:t xml:space="preserve">, 265 Ill. App. 3d 343, 346, 202 Ill. Dec. 571, 573, 638 N.E.2d 217, 219 (1st Dist. 1994)). </w:t>
      </w:r>
      <w:r w:rsidRPr="006A121F">
        <w:rPr>
          <w:rFonts w:ascii="Baskerville Old Face" w:hAnsi="Baskerville Old Face"/>
          <w:i/>
          <w:spacing w:val="-1"/>
        </w:rPr>
        <w:t>But see Liautaud v. Liautaud</w:t>
      </w:r>
      <w:r w:rsidRPr="006A121F">
        <w:rPr>
          <w:rFonts w:ascii="Baskerville Old Face" w:hAnsi="Baskerville Old Face"/>
          <w:spacing w:val="-1"/>
        </w:rPr>
        <w:t xml:space="preserve">, 221 F.3d 981, 986 (7th Cir. 2000) (applying Illinois law; “[a] </w:t>
      </w:r>
      <w:r w:rsidRPr="006A121F">
        <w:rPr>
          <w:rFonts w:ascii="Baskerville Old Face" w:hAnsi="Baskerville Old Face"/>
          <w:i/>
          <w:spacing w:val="-1"/>
        </w:rPr>
        <w:t>gift relationship</w:t>
      </w:r>
      <w:r w:rsidRPr="006A121F">
        <w:rPr>
          <w:rFonts w:ascii="Baskerville Old Face" w:hAnsi="Baskerville Old Face"/>
          <w:spacing w:val="-1"/>
        </w:rPr>
        <w:t xml:space="preserve"> is a valid relationship or transaction” to which a noncompetition covenant can be ancillary; emphasis added).</w:t>
      </w:r>
    </w:p>
    <w:p w14:paraId="512C7F25" w14:textId="77777777" w:rsidR="00020BD9" w:rsidRPr="0016514A" w:rsidRDefault="00020BD9" w:rsidP="00020BD9">
      <w:pPr>
        <w:pStyle w:val="block-f-"/>
        <w:rPr>
          <w:rFonts w:ascii="Baskerville Old Face" w:hAnsi="Baskerville Old Face" w:cs="Times New Roman"/>
        </w:rPr>
      </w:pPr>
      <w:r w:rsidRPr="0016514A">
        <w:rPr>
          <w:rFonts w:ascii="Baskerville Old Face" w:hAnsi="Baskerville Old Face" w:cs="Times New Roman"/>
        </w:rPr>
        <w:t xml:space="preserve">To determine whether [the former employer] is able to prove the existence of a valid and enforceable contract, [the court] must determine whether the postemployment restrictive covenant is enforceable. The question of whether a restrictive covenant is enforceable or not is a question of law. </w:t>
      </w:r>
      <w:r w:rsidRPr="0016514A">
        <w:rPr>
          <w:rFonts w:ascii="Baskerville Old Face" w:hAnsi="Baskerville Old Face" w:cs="Times New Roman"/>
          <w:i/>
          <w:iCs/>
        </w:rPr>
        <w:t>Corroon &amp; Black of Illinois, Inc. v. Magner</w:t>
      </w:r>
      <w:r w:rsidRPr="0016514A">
        <w:rPr>
          <w:rFonts w:ascii="Baskerville Old Face" w:hAnsi="Baskerville Old Face" w:cs="Times New Roman"/>
        </w:rPr>
        <w:t>, 145 Ill. App. 3d 151, 162, 98 Ill. Dec. 663, 494 N.E.2d 785 (1986).</w:t>
      </w:r>
    </w:p>
    <w:p w14:paraId="3316843C" w14:textId="77777777" w:rsidR="00020BD9" w:rsidRPr="0016514A" w:rsidRDefault="00020BD9" w:rsidP="00020BD9">
      <w:pPr>
        <w:pStyle w:val="block-p-"/>
        <w:rPr>
          <w:rFonts w:ascii="Baskerville Old Face" w:hAnsi="Baskerville Old Face" w:cs="Times New Roman"/>
        </w:rPr>
      </w:pPr>
      <w:r w:rsidRPr="0016514A">
        <w:rPr>
          <w:rFonts w:ascii="Baskerville Old Face" w:hAnsi="Baskerville Old Face" w:cs="Times New Roman"/>
        </w:rPr>
        <w:t xml:space="preserve">Prior to determining the reasonableness of a restrictive covenant, [the court] must make two determinations. First, [the court] must find that the restrictive covenant is ancillary to a valid contract and subordinate to the contract’s main purpose; second, [the court] must determine whether there is adequate consideration to support the </w:t>
      </w:r>
      <w:r w:rsidRPr="0016514A">
        <w:rPr>
          <w:rFonts w:ascii="Baskerville Old Face" w:hAnsi="Baskerville Old Face" w:cs="Times New Roman"/>
        </w:rPr>
        <w:lastRenderedPageBreak/>
        <w:t xml:space="preserve">restrictive covenant. </w:t>
      </w:r>
      <w:r w:rsidRPr="0016514A">
        <w:rPr>
          <w:rFonts w:ascii="Baskerville Old Face" w:hAnsi="Baskerville Old Face" w:cs="Times New Roman"/>
          <w:i/>
          <w:iCs/>
        </w:rPr>
        <w:t>Millard Maintenance Service Co. v. Bernero</w:t>
      </w:r>
      <w:r w:rsidRPr="0016514A">
        <w:rPr>
          <w:rFonts w:ascii="Baskerville Old Face" w:hAnsi="Baskerville Old Face" w:cs="Times New Roman"/>
        </w:rPr>
        <w:t>, 207 Ill. App. 3d 736, 745, 152 Ill. Dec. 692, 566 N.E.2d 379 (1990).</w:t>
      </w:r>
    </w:p>
    <w:p w14:paraId="01DBCAD1" w14:textId="77777777" w:rsidR="00020BD9" w:rsidRPr="0016514A" w:rsidRDefault="00020BD9" w:rsidP="00020BD9">
      <w:pPr>
        <w:pStyle w:val="textflush"/>
        <w:rPr>
          <w:rFonts w:ascii="Baskerville Old Face" w:hAnsi="Baskerville Old Face" w:cs="Times New Roman"/>
          <w:b/>
          <w:bCs/>
        </w:rPr>
      </w:pPr>
      <w:r w:rsidRPr="0016514A">
        <w:rPr>
          <w:rFonts w:ascii="Baskerville Old Face" w:hAnsi="Baskerville Old Face" w:cs="Times New Roman"/>
          <w:i/>
          <w:iCs/>
        </w:rPr>
        <w:t>Lawrence &amp; Allen</w:t>
      </w:r>
      <w:r w:rsidRPr="0016514A">
        <w:rPr>
          <w:rFonts w:ascii="Baskerville Old Face" w:hAnsi="Baskerville Old Face" w:cs="Times New Roman"/>
        </w:rPr>
        <w:t xml:space="preserve">, 226 Ill. Dec. at 337, 685 N.E.2d at 440. </w:t>
      </w:r>
      <w:r w:rsidRPr="0016514A">
        <w:rPr>
          <w:rFonts w:ascii="Baskerville Old Face" w:hAnsi="Baskerville Old Face" w:cs="Times New Roman"/>
          <w:b/>
          <w:bCs/>
        </w:rPr>
        <w:t>[</w:t>
      </w:r>
      <w:r w:rsidRPr="0016514A">
        <w:rPr>
          <w:rFonts w:ascii="Baskerville Old Face" w:hAnsi="Baskerville Old Face" w:cs="Times New Roman"/>
          <w:i/>
          <w:iCs/>
        </w:rPr>
        <w:t xml:space="preserve">Editor’s note: </w:t>
      </w:r>
      <w:r w:rsidRPr="0016514A">
        <w:rPr>
          <w:rFonts w:ascii="Baskerville Old Face" w:hAnsi="Baskerville Old Face" w:cs="Times New Roman"/>
        </w:rPr>
        <w:t xml:space="preserve">For a full discussion of ancillarity, see the discussion in the </w:t>
      </w:r>
      <w:r w:rsidRPr="0016514A">
        <w:rPr>
          <w:rFonts w:ascii="Baskerville Old Face" w:hAnsi="Baskerville Old Face" w:cs="Times New Roman"/>
          <w:i/>
          <w:iCs/>
        </w:rPr>
        <w:t>Ancillarity</w:t>
      </w:r>
      <w:r w:rsidRPr="0016514A">
        <w:rPr>
          <w:rFonts w:ascii="Baskerville Old Face" w:hAnsi="Baskerville Old Face" w:cs="Times New Roman"/>
        </w:rPr>
        <w:t xml:space="preserve"> entry in the </w:t>
      </w:r>
      <w:r w:rsidRPr="0016514A">
        <w:rPr>
          <w:rFonts w:ascii="Baskerville Old Face" w:hAnsi="Baskerville Old Face" w:cs="Times New Roman"/>
          <w:i/>
          <w:iCs/>
        </w:rPr>
        <w:t>Additional Topics</w:t>
      </w:r>
      <w:r w:rsidRPr="0016514A">
        <w:rPr>
          <w:rFonts w:ascii="Baskerville Old Face" w:hAnsi="Baskerville Old Face" w:cs="Times New Roman"/>
        </w:rPr>
        <w:t xml:space="preserve"> section, </w:t>
      </w:r>
      <w:r w:rsidRPr="0016514A">
        <w:rPr>
          <w:rFonts w:ascii="Baskerville Old Face" w:hAnsi="Baskerville Old Face" w:cs="Times New Roman"/>
          <w:i/>
          <w:iCs/>
        </w:rPr>
        <w:t>infra</w:t>
      </w:r>
      <w:r w:rsidRPr="0016514A">
        <w:rPr>
          <w:rFonts w:ascii="Baskerville Old Face" w:hAnsi="Baskerville Old Face" w:cs="Times New Roman"/>
        </w:rPr>
        <w:t xml:space="preserve">. For a full discussion of consideration, see the answers to Questions 3.a–c, </w:t>
      </w:r>
      <w:r w:rsidRPr="0016514A">
        <w:rPr>
          <w:rFonts w:ascii="Baskerville Old Face" w:hAnsi="Baskerville Old Face" w:cs="Times New Roman"/>
          <w:i/>
          <w:iCs/>
        </w:rPr>
        <w:t>infra</w:t>
      </w:r>
      <w:r w:rsidRPr="0016514A">
        <w:rPr>
          <w:rFonts w:ascii="Baskerville Old Face" w:hAnsi="Baskerville Old Face" w:cs="Times New Roman"/>
        </w:rPr>
        <w:t>.</w:t>
      </w:r>
      <w:r w:rsidRPr="0016514A">
        <w:rPr>
          <w:rFonts w:ascii="Baskerville Old Face" w:hAnsi="Baskerville Old Face" w:cs="Times New Roman"/>
          <w:b/>
          <w:bCs/>
        </w:rPr>
        <w:t>]</w:t>
      </w:r>
    </w:p>
    <w:p w14:paraId="68005F4F"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As to the ancillarity requirement, there is a “split between [the First and Fourth District Courts of Appeal] over what kind of employment relationship is a valid foundation for a covenant not to compete.” </w:t>
      </w:r>
      <w:r w:rsidRPr="006A121F">
        <w:rPr>
          <w:rFonts w:ascii="Baskerville Old Face" w:hAnsi="Baskerville Old Face"/>
          <w:i/>
        </w:rPr>
        <w:t>Applied Micro</w:t>
      </w:r>
      <w:r w:rsidRPr="006A121F">
        <w:rPr>
          <w:rFonts w:ascii="Baskerville Old Face" w:hAnsi="Baskerville Old Face"/>
        </w:rPr>
        <w:t>, 941 F. Supp</w:t>
      </w:r>
      <w:r w:rsidRPr="006A121F">
        <w:rPr>
          <w:rFonts w:ascii="Baskerville Old Face" w:hAnsi="Baskerville Old Face"/>
          <w:i/>
        </w:rPr>
        <w:t xml:space="preserve">. </w:t>
      </w:r>
      <w:r w:rsidRPr="006A121F">
        <w:rPr>
          <w:rFonts w:ascii="Baskerville Old Face" w:hAnsi="Baskerville Old Face"/>
        </w:rPr>
        <w:t xml:space="preserve">at 754. </w:t>
      </w:r>
    </w:p>
    <w:p w14:paraId="71553A0F" w14:textId="77777777" w:rsidR="00020BD9" w:rsidRPr="006A121F" w:rsidRDefault="00020BD9" w:rsidP="00020BD9">
      <w:pPr>
        <w:pStyle w:val="bulletedparagraph-"/>
        <w:rPr>
          <w:rFonts w:ascii="Baskerville Old Face" w:hAnsi="Baskerville Old Face"/>
        </w:rPr>
      </w:pPr>
      <w:r w:rsidRPr="006A121F">
        <w:rPr>
          <w:rFonts w:ascii="Baskerville Old Face" w:hAnsi="Baskerville Old Face"/>
        </w:rPr>
        <w:t xml:space="preserve">• </w:t>
      </w:r>
      <w:r w:rsidRPr="006A121F">
        <w:rPr>
          <w:rFonts w:ascii="Baskerville Old Face" w:hAnsi="Baskerville Old Face"/>
          <w:i/>
        </w:rPr>
        <w:t>Ancillarity analysis</w:t>
      </w:r>
      <w:r w:rsidRPr="006A121F">
        <w:rPr>
          <w:rFonts w:ascii="Baskerville Old Face" w:hAnsi="Baskerville Old Face"/>
        </w:rPr>
        <w:t xml:space="preserve">. As to ancillarity analysis, the Second District Court of Appeals in a 1997 opinion adopted the Fourth District position that a covenant need not be ancillary to an employment </w:t>
      </w:r>
      <w:r w:rsidRPr="006A121F">
        <w:rPr>
          <w:rFonts w:ascii="Baskerville Old Face" w:hAnsi="Baskerville Old Face"/>
          <w:i/>
        </w:rPr>
        <w:t>agreement</w:t>
      </w:r>
      <w:r w:rsidRPr="006A121F">
        <w:rPr>
          <w:rFonts w:ascii="Baskerville Old Face" w:hAnsi="Baskerville Old Face"/>
        </w:rPr>
        <w:t xml:space="preserve">—and need only be ancillary to an at-will employment </w:t>
      </w:r>
      <w:r w:rsidRPr="006A121F">
        <w:rPr>
          <w:rFonts w:ascii="Baskerville Old Face" w:hAnsi="Baskerville Old Face"/>
          <w:i/>
        </w:rPr>
        <w:t>relationship</w:t>
      </w:r>
      <w:r w:rsidRPr="006A121F">
        <w:rPr>
          <w:rFonts w:ascii="Baskerville Old Face" w:hAnsi="Baskerville Old Face"/>
        </w:rPr>
        <w:t xml:space="preserve">—in order to satisfy the ancillarity requirement. </w:t>
      </w:r>
      <w:r w:rsidRPr="006A121F">
        <w:rPr>
          <w:rFonts w:ascii="Baskerville Old Face" w:hAnsi="Baskerville Old Face"/>
          <w:i/>
        </w:rPr>
        <w:t>Lawrence &amp; Allen</w:t>
      </w:r>
      <w:r w:rsidRPr="006A121F">
        <w:rPr>
          <w:rFonts w:ascii="Baskerville Old Face" w:hAnsi="Baskerville Old Face"/>
        </w:rPr>
        <w:t xml:space="preserve">, 226 Ill. Dec. at 337, 685 N.E.2d at 440 (“We decline to follow the holding in </w:t>
      </w:r>
      <w:r w:rsidRPr="006A121F">
        <w:rPr>
          <w:rFonts w:ascii="Baskerville Old Face" w:hAnsi="Baskerville Old Face"/>
          <w:i/>
        </w:rPr>
        <w:t>Creative Entertainment</w:t>
      </w:r>
      <w:r w:rsidRPr="006A121F">
        <w:rPr>
          <w:rFonts w:ascii="Baskerville Old Face" w:hAnsi="Baskerville Old Face"/>
        </w:rPr>
        <w:t xml:space="preserve"> because it is inconsistent with Illinois precedent and persuasive authority. Instead, we follow the well-reasoned decision in </w:t>
      </w:r>
      <w:r w:rsidRPr="006A121F">
        <w:rPr>
          <w:rFonts w:ascii="Baskerville Old Face" w:hAnsi="Baskerville Old Face"/>
          <w:i/>
        </w:rPr>
        <w:t>Abel v. Fox</w:t>
      </w:r>
      <w:r w:rsidRPr="006A121F">
        <w:rPr>
          <w:rFonts w:ascii="Baskerville Old Face" w:hAnsi="Baskerville Old Face"/>
        </w:rPr>
        <w:t xml:space="preserve">, 274 Ill. App. 3d 811, 211 Ill. Dec. 129, 654 N.E.2d 591 ([4th Dist.] 1995).”). </w:t>
      </w:r>
      <w:r w:rsidRPr="006A121F">
        <w:rPr>
          <w:rFonts w:ascii="Baskerville Old Face" w:hAnsi="Baskerville Old Face"/>
          <w:i/>
        </w:rPr>
        <w:t>See also</w:t>
      </w:r>
      <w:r w:rsidRPr="006A121F">
        <w:rPr>
          <w:rFonts w:ascii="Baskerville Old Face" w:hAnsi="Baskerville Old Face"/>
        </w:rPr>
        <w:t xml:space="preserve"> Canafax, </w:t>
      </w:r>
      <w:r w:rsidRPr="006A121F">
        <w:rPr>
          <w:rFonts w:ascii="Baskerville Old Face" w:hAnsi="Baskerville Old Face"/>
          <w:i/>
        </w:rPr>
        <w:t>Are Covenants Not to Compete Enforceable Against At-Will Employees in Illinois?</w:t>
      </w:r>
      <w:r w:rsidRPr="006A121F">
        <w:rPr>
          <w:rFonts w:ascii="Baskerville Old Face" w:hAnsi="Baskerville Old Face"/>
        </w:rPr>
        <w:t xml:space="preserve">, 85 </w:t>
      </w:r>
      <w:r w:rsidRPr="006A121F">
        <w:rPr>
          <w:rFonts w:ascii="Baskerville Old Face" w:hAnsi="Baskerville Old Face"/>
          <w:smallCaps/>
        </w:rPr>
        <w:t>Ill. B.J.</w:t>
      </w:r>
      <w:r w:rsidRPr="006A121F">
        <w:rPr>
          <w:rFonts w:ascii="Baskerville Old Face" w:hAnsi="Baskerville Old Face"/>
        </w:rPr>
        <w:t xml:space="preserve"> 370 (Aug. 1997). That is, there is a split among the district courts of appeal as to whether a covenant need be ancillary to an employment agreement, as opposed to an at-will employment relationship. The </w:t>
      </w:r>
      <w:r w:rsidRPr="006A121F">
        <w:rPr>
          <w:rFonts w:ascii="Baskerville Old Face" w:hAnsi="Baskerville Old Face"/>
          <w:i/>
        </w:rPr>
        <w:t>Applied Micro</w:t>
      </w:r>
      <w:r w:rsidRPr="006A121F">
        <w:rPr>
          <w:rFonts w:ascii="Baskerville Old Face" w:hAnsi="Baskerville Old Face"/>
        </w:rPr>
        <w:t xml:space="preserve"> court explained:</w:t>
      </w:r>
    </w:p>
    <w:p w14:paraId="6DA1328E" w14:textId="77777777" w:rsidR="00020BD9" w:rsidRPr="0016514A" w:rsidRDefault="00020BD9" w:rsidP="00020BD9">
      <w:pPr>
        <w:pStyle w:val="block-p-0"/>
        <w:rPr>
          <w:rFonts w:ascii="Baskerville Old Face" w:hAnsi="Baskerville Old Face" w:cs="Times New Roman"/>
        </w:rPr>
      </w:pPr>
      <w:r w:rsidRPr="0016514A">
        <w:rPr>
          <w:rFonts w:ascii="Baskerville Old Face" w:hAnsi="Baskerville Old Face" w:cs="Times New Roman"/>
        </w:rPr>
        <w:t xml:space="preserve">In </w:t>
      </w:r>
      <w:r w:rsidRPr="0016514A">
        <w:rPr>
          <w:rFonts w:ascii="Baskerville Old Face" w:hAnsi="Baskerville Old Face" w:cs="Times New Roman"/>
          <w:i/>
          <w:iCs/>
        </w:rPr>
        <w:t>Creative Entertainment</w:t>
      </w:r>
      <w:r w:rsidRPr="0016514A">
        <w:rPr>
          <w:rFonts w:ascii="Baskerville Old Face" w:hAnsi="Baskerville Old Face" w:cs="Times New Roman"/>
        </w:rPr>
        <w:t xml:space="preserve">, the First District struck down a noncompete on ancillarity grounds, and dismissed the count on which it was based, because no written contract specified the defendant’s terms and conditions of employment. Defendant Lorenz had been employed at will, and the only written agreement he executed was a noncompete signed eight months after he began working. When Lorenz left to form his own business, and began contacting his former employer’s customers in violation of the agreement’s provisions, the employer sued to enforce the covenant. Finding the noncompete unenforceable as a matter of law, the court stated that to be ancillary to a valid employment contract, the covenant had to be “subordinate to the contract’s main purpose.” </w:t>
      </w:r>
      <w:r w:rsidRPr="00221624">
        <w:rPr>
          <w:rFonts w:ascii="Baskerville Old Face" w:hAnsi="Baskerville Old Face" w:cs="Times New Roman"/>
          <w:lang w:val="nb-NO"/>
        </w:rPr>
        <w:t xml:space="preserve">265 Ill. </w:t>
      </w:r>
      <w:r w:rsidRPr="00221624">
        <w:rPr>
          <w:rFonts w:ascii="Baskerville Old Face" w:hAnsi="Baskerville Old Face" w:cs="Times New Roman"/>
          <w:lang w:val="nb-NO"/>
        </w:rPr>
        <w:lastRenderedPageBreak/>
        <w:t xml:space="preserve">App. 3d at 346, 202 Ill. Dec. at 573, 638 N.E.2d at 219. </w:t>
      </w:r>
      <w:r w:rsidRPr="0016514A">
        <w:rPr>
          <w:rFonts w:ascii="Baskerville Old Face" w:hAnsi="Baskerville Old Face" w:cs="Times New Roman"/>
        </w:rPr>
        <w:t xml:space="preserve">An at-will arrangement, subject to change at the whim of the employer, was not itself a valid employment contract. </w:t>
      </w:r>
      <w:r w:rsidRPr="0016514A">
        <w:rPr>
          <w:rFonts w:ascii="Baskerville Old Face" w:hAnsi="Baskerville Old Face" w:cs="Times New Roman"/>
          <w:i/>
          <w:iCs/>
        </w:rPr>
        <w:t>Id.</w:t>
      </w:r>
      <w:r w:rsidRPr="0016514A">
        <w:rPr>
          <w:rFonts w:ascii="Baskerville Old Face" w:hAnsi="Baskerville Old Face" w:cs="Times New Roman"/>
        </w:rPr>
        <w:t xml:space="preserve"> at 348, 202 Ill. Dec. at 575, 638 N.E.2d at 221. And no separate written provisions covered the grounds for termination, or promised a definite term of employment in exchange for not competing against the company. </w:t>
      </w:r>
      <w:r w:rsidRPr="0016514A">
        <w:rPr>
          <w:rFonts w:ascii="Baskerville Old Face" w:hAnsi="Baskerville Old Face" w:cs="Times New Roman"/>
          <w:i/>
          <w:iCs/>
        </w:rPr>
        <w:t>Id.</w:t>
      </w:r>
      <w:r w:rsidRPr="0016514A">
        <w:rPr>
          <w:rFonts w:ascii="Baskerville Old Face" w:hAnsi="Baskerville Old Face" w:cs="Times New Roman"/>
        </w:rPr>
        <w:t xml:space="preserve"> at 348, 202 Ill. Dec. at 574, 638 N.E.2d at 220. From this, the court concluded, “Clearly, the covenant was not ancillary to an employment contract”; rather, it was a “naked agreement” to restrain trade. </w:t>
      </w:r>
      <w:r w:rsidRPr="0016514A">
        <w:rPr>
          <w:rFonts w:ascii="Baskerville Old Face" w:hAnsi="Baskerville Old Face" w:cs="Times New Roman"/>
          <w:i/>
          <w:iCs/>
        </w:rPr>
        <w:t>Id.</w:t>
      </w:r>
      <w:r w:rsidRPr="0016514A">
        <w:rPr>
          <w:rFonts w:ascii="Baskerville Old Face" w:hAnsi="Baskerville Old Face" w:cs="Times New Roman"/>
        </w:rPr>
        <w:t xml:space="preserve"> at 348–49, 202 Ill. Dec. at 575, 638 N.E.2d at 221.</w:t>
      </w:r>
    </w:p>
    <w:p w14:paraId="5C1D5B02" w14:textId="77777777" w:rsidR="00020BD9" w:rsidRPr="0016514A" w:rsidRDefault="00020BD9" w:rsidP="00020BD9">
      <w:pPr>
        <w:pStyle w:val="block-p-"/>
        <w:rPr>
          <w:rFonts w:ascii="Baskerville Old Face" w:hAnsi="Baskerville Old Face" w:cs="Times New Roman"/>
          <w:i/>
          <w:iCs/>
        </w:rPr>
      </w:pPr>
      <w:r w:rsidRPr="0016514A">
        <w:rPr>
          <w:rFonts w:ascii="Baskerville Old Face" w:hAnsi="Baskerville Old Face" w:cs="Times New Roman"/>
        </w:rPr>
        <w:t xml:space="preserve">In contrast, [the Fourth District in] </w:t>
      </w:r>
      <w:r w:rsidRPr="0016514A">
        <w:rPr>
          <w:rFonts w:ascii="Baskerville Old Face" w:hAnsi="Baskerville Old Face" w:cs="Times New Roman"/>
          <w:i/>
          <w:iCs/>
        </w:rPr>
        <w:t>Abel v. Fox</w:t>
      </w:r>
      <w:r w:rsidRPr="0016514A">
        <w:rPr>
          <w:rFonts w:ascii="Baskerville Old Face" w:hAnsi="Baskerville Old Face" w:cs="Times New Roman"/>
        </w:rPr>
        <w:t xml:space="preserve"> held that an oral at-will arrangement is a valid contract or “relationship” that satisfies the ancillarity requirement. </w:t>
      </w:r>
      <w:r w:rsidRPr="00221624">
        <w:rPr>
          <w:rFonts w:ascii="Baskerville Old Face" w:hAnsi="Baskerville Old Face" w:cs="Times New Roman"/>
          <w:lang w:val="nb-NO"/>
        </w:rPr>
        <w:t xml:space="preserve">274 Ill. App. 3d at 820, 21 Ill. Dec. at 135, 654 N.E.2d at 597. </w:t>
      </w:r>
      <w:r w:rsidRPr="0016514A">
        <w:rPr>
          <w:rFonts w:ascii="Baskerville Old Face" w:hAnsi="Baskerville Old Face" w:cs="Times New Roman"/>
        </w:rPr>
        <w:t xml:space="preserve">Like Lorenz, defendant Fox was employed at will, and signed a covenant not to compete “sometime during her employment.” </w:t>
      </w:r>
      <w:r w:rsidRPr="0016514A">
        <w:rPr>
          <w:rFonts w:ascii="Baskerville Old Face" w:hAnsi="Baskerville Old Face" w:cs="Times New Roman"/>
          <w:i/>
          <w:iCs/>
        </w:rPr>
        <w:t>Id.</w:t>
      </w:r>
      <w:r w:rsidRPr="0016514A">
        <w:rPr>
          <w:rFonts w:ascii="Baskerville Old Face" w:hAnsi="Baskerville Old Face" w:cs="Times New Roman"/>
        </w:rPr>
        <w:t xml:space="preserve"> at 812, 211 Ill. Dec. at 130, 654 N.E.2d at 592. After she left that job, Fox began soliciting her former employer’s customers to patronize her newly formed business, even though the noncompete forbade her from doing so. Reversing the trial court’s dismissal of the employer’s breach of contract claim, the appellate court relied on persuasive authority and older state supreme court precedent to support its holding that courts may enforce noncompetition agreements in at-will relationships. </w:t>
      </w:r>
      <w:r w:rsidRPr="0016514A">
        <w:rPr>
          <w:rFonts w:ascii="Baskerville Old Face" w:hAnsi="Baskerville Old Face" w:cs="Times New Roman"/>
          <w:i/>
          <w:iCs/>
        </w:rPr>
        <w:t>Id.</w:t>
      </w:r>
      <w:r w:rsidRPr="0016514A">
        <w:rPr>
          <w:rFonts w:ascii="Baskerville Old Face" w:hAnsi="Baskerville Old Face" w:cs="Times New Roman"/>
        </w:rPr>
        <w:t xml:space="preserve"> at 816–21, 211 Ill. Dec. at 133–36, 654 N.E.2d at 595­–98. The court roundly criticized </w:t>
      </w:r>
      <w:r w:rsidRPr="0016514A">
        <w:rPr>
          <w:rFonts w:ascii="Baskerville Old Face" w:hAnsi="Baskerville Old Face" w:cs="Times New Roman"/>
          <w:i/>
          <w:iCs/>
        </w:rPr>
        <w:t>Creative Entertainment</w:t>
      </w:r>
      <w:r w:rsidRPr="0016514A">
        <w:rPr>
          <w:rFonts w:ascii="Baskerville Old Face" w:hAnsi="Baskerville Old Face" w:cs="Times New Roman"/>
        </w:rPr>
        <w:t xml:space="preserve"> as contrary to this authority and without basis in law or public policy. </w:t>
      </w:r>
      <w:r w:rsidRPr="0016514A">
        <w:rPr>
          <w:rFonts w:ascii="Baskerville Old Face" w:hAnsi="Baskerville Old Face" w:cs="Times New Roman"/>
          <w:i/>
          <w:iCs/>
        </w:rPr>
        <w:t>Id.</w:t>
      </w:r>
      <w:r w:rsidRPr="0016514A">
        <w:rPr>
          <w:rFonts w:ascii="Baskerville Old Face" w:hAnsi="Baskerville Old Face" w:cs="Times New Roman"/>
        </w:rPr>
        <w:t xml:space="preserve"> at 818, 820, 211 Ill. Dec. at 134–35, 654 N.E.2d at 596–97. Whether written or oral, an at-will arrangement “is nonetheless an agreement and relationship with numerous consequences, imposing rights and obligations on both parties.” </w:t>
      </w:r>
      <w:r w:rsidRPr="0016514A">
        <w:rPr>
          <w:rFonts w:ascii="Baskerville Old Face" w:hAnsi="Baskerville Old Face" w:cs="Times New Roman"/>
          <w:i/>
          <w:iCs/>
        </w:rPr>
        <w:t>Id.</w:t>
      </w:r>
      <w:r w:rsidRPr="0016514A">
        <w:rPr>
          <w:rFonts w:ascii="Baskerville Old Face" w:hAnsi="Baskerville Old Face" w:cs="Times New Roman"/>
        </w:rPr>
        <w:t xml:space="preserve"> at 820, 211 Ill. Dec. at 135, 654 N.E.2d at 597. Even when supplemented by a noncompete, the primary purpose remains, as in term employment, establishing an employee-employer relationship. </w:t>
      </w:r>
      <w:r w:rsidRPr="0016514A">
        <w:rPr>
          <w:rFonts w:ascii="Baskerville Old Face" w:hAnsi="Baskerville Old Face" w:cs="Times New Roman"/>
          <w:i/>
          <w:iCs/>
        </w:rPr>
        <w:t>Id.</w:t>
      </w:r>
    </w:p>
    <w:p w14:paraId="6D394B71" w14:textId="77777777" w:rsidR="00020BD9" w:rsidRPr="0016514A" w:rsidRDefault="00020BD9" w:rsidP="00020BD9">
      <w:pPr>
        <w:pStyle w:val="textflush"/>
        <w:rPr>
          <w:rFonts w:ascii="Baskerville Old Face" w:hAnsi="Baskerville Old Face" w:cs="Times New Roman"/>
        </w:rPr>
      </w:pPr>
      <w:r w:rsidRPr="0016514A">
        <w:rPr>
          <w:rFonts w:ascii="Baskerville Old Face" w:hAnsi="Baskerville Old Face" w:cs="Times New Roman"/>
        </w:rPr>
        <w:t>941 F. Supp. at 754.</w:t>
      </w:r>
    </w:p>
    <w:p w14:paraId="4A102796" w14:textId="77777777" w:rsidR="00020BD9" w:rsidRPr="006A121F" w:rsidRDefault="00020BD9" w:rsidP="00204FD8">
      <w:pPr>
        <w:pStyle w:val="text"/>
        <w:tabs>
          <w:tab w:val="clear" w:pos="2880"/>
        </w:tabs>
        <w:rPr>
          <w:rFonts w:ascii="Baskerville Old Face" w:hAnsi="Baskerville Old Face"/>
          <w:spacing w:val="-1"/>
        </w:rPr>
      </w:pPr>
      <w:r w:rsidRPr="006A121F">
        <w:rPr>
          <w:rFonts w:ascii="Baskerville Old Face" w:hAnsi="Baskerville Old Face"/>
          <w:spacing w:val="-1"/>
        </w:rPr>
        <w:t xml:space="preserve">Because “[t]he Illinois Supreme Court has never addressed” the issue of whether a covenant must be ancillary to an employment </w:t>
      </w:r>
      <w:r w:rsidRPr="006A121F">
        <w:rPr>
          <w:rFonts w:ascii="Baskerville Old Face" w:hAnsi="Baskerville Old Face"/>
          <w:i/>
          <w:spacing w:val="-1"/>
        </w:rPr>
        <w:t>agreement</w:t>
      </w:r>
      <w:r w:rsidRPr="006A121F">
        <w:rPr>
          <w:rFonts w:ascii="Baskerville Old Face" w:hAnsi="Baskerville Old Face"/>
          <w:spacing w:val="-1"/>
        </w:rPr>
        <w:t xml:space="preserve"> as opposed to merely an at-will employment </w:t>
      </w:r>
      <w:r w:rsidRPr="006A121F">
        <w:rPr>
          <w:rFonts w:ascii="Baskerville Old Face" w:hAnsi="Baskerville Old Face"/>
          <w:i/>
          <w:spacing w:val="-1"/>
        </w:rPr>
        <w:t>relationship</w:t>
      </w:r>
      <w:r w:rsidRPr="006A121F">
        <w:rPr>
          <w:rFonts w:ascii="Baskerville Old Face" w:hAnsi="Baskerville Old Face"/>
          <w:spacing w:val="-1"/>
        </w:rPr>
        <w:t xml:space="preserve"> (</w:t>
      </w:r>
      <w:r w:rsidRPr="006A121F">
        <w:rPr>
          <w:rFonts w:ascii="Baskerville Old Face" w:hAnsi="Baskerville Old Face"/>
          <w:i/>
          <w:spacing w:val="-1"/>
        </w:rPr>
        <w:t>id.</w:t>
      </w:r>
      <w:r w:rsidRPr="006A121F">
        <w:rPr>
          <w:rFonts w:ascii="Baskerville Old Face" w:hAnsi="Baskerville Old Face"/>
          <w:spacing w:val="-1"/>
        </w:rPr>
        <w:t xml:space="preserve">), the </w:t>
      </w:r>
      <w:r w:rsidRPr="006A121F">
        <w:rPr>
          <w:rFonts w:ascii="Baskerville Old Face" w:hAnsi="Baskerville Old Face"/>
          <w:i/>
          <w:spacing w:val="-1"/>
        </w:rPr>
        <w:t>Applied Micro</w:t>
      </w:r>
      <w:r w:rsidRPr="006A121F">
        <w:rPr>
          <w:rFonts w:ascii="Baskerville Old Face" w:hAnsi="Baskerville Old Face"/>
          <w:spacing w:val="-1"/>
        </w:rPr>
        <w:t xml:space="preserve"> court was compelled to choose between </w:t>
      </w:r>
      <w:r w:rsidRPr="006A121F">
        <w:rPr>
          <w:rFonts w:ascii="Baskerville Old Face" w:hAnsi="Baskerville Old Face"/>
          <w:i/>
          <w:spacing w:val="-1"/>
        </w:rPr>
        <w:t>Creative Entertainment</w:t>
      </w:r>
      <w:r w:rsidRPr="006A121F">
        <w:rPr>
          <w:rFonts w:ascii="Baskerville Old Face" w:hAnsi="Baskerville Old Face"/>
          <w:spacing w:val="-1"/>
        </w:rPr>
        <w:t xml:space="preserve"> (agreement required) and </w:t>
      </w:r>
      <w:r w:rsidRPr="006A121F">
        <w:rPr>
          <w:rFonts w:ascii="Baskerville Old Face" w:hAnsi="Baskerville Old Face"/>
          <w:i/>
          <w:spacing w:val="-1"/>
        </w:rPr>
        <w:t>Abel</w:t>
      </w:r>
      <w:r w:rsidRPr="006A121F">
        <w:rPr>
          <w:rFonts w:ascii="Baskerville Old Face" w:hAnsi="Baskerville Old Face"/>
          <w:spacing w:val="-1"/>
        </w:rPr>
        <w:t xml:space="preserve"> (at-will relationship suffices). </w:t>
      </w:r>
      <w:r w:rsidRPr="006A121F">
        <w:rPr>
          <w:rFonts w:ascii="Baskerville Old Face" w:hAnsi="Baskerville Old Face"/>
          <w:i/>
          <w:spacing w:val="-1"/>
        </w:rPr>
        <w:t>Id.</w:t>
      </w:r>
      <w:r w:rsidRPr="006A121F">
        <w:rPr>
          <w:rFonts w:ascii="Baskerville Old Face" w:hAnsi="Baskerville Old Face"/>
          <w:spacing w:val="-1"/>
        </w:rPr>
        <w:t xml:space="preserve"> The </w:t>
      </w:r>
      <w:r w:rsidRPr="006A121F">
        <w:rPr>
          <w:rFonts w:ascii="Baskerville Old Face" w:hAnsi="Baskerville Old Face"/>
          <w:i/>
          <w:spacing w:val="-1"/>
        </w:rPr>
        <w:t>Applied Micro</w:t>
      </w:r>
      <w:r w:rsidRPr="006A121F">
        <w:rPr>
          <w:rFonts w:ascii="Baskerville Old Face" w:hAnsi="Baskerville Old Face"/>
          <w:spacing w:val="-1"/>
        </w:rPr>
        <w:t xml:space="preserve"> court predicted that the Illinois Supreme Court would follow </w:t>
      </w:r>
      <w:r w:rsidRPr="006A121F">
        <w:rPr>
          <w:rFonts w:ascii="Baskerville Old Face" w:hAnsi="Baskerville Old Face"/>
          <w:i/>
          <w:spacing w:val="-1"/>
        </w:rPr>
        <w:t>Abel</w:t>
      </w:r>
      <w:r w:rsidRPr="006A121F">
        <w:rPr>
          <w:rFonts w:ascii="Baskerville Old Face" w:hAnsi="Baskerville Old Face"/>
          <w:spacing w:val="-1"/>
        </w:rPr>
        <w:t xml:space="preserve"> and its holding that an at-will relationship can serve as the basis for a covenant not to compete. </w:t>
      </w:r>
      <w:r w:rsidRPr="006A121F">
        <w:rPr>
          <w:rFonts w:ascii="Baskerville Old Face" w:hAnsi="Baskerville Old Face"/>
          <w:i/>
          <w:spacing w:val="-1"/>
        </w:rPr>
        <w:t>Id.</w:t>
      </w:r>
      <w:r w:rsidRPr="006A121F">
        <w:rPr>
          <w:rFonts w:ascii="Baskerville Old Face" w:hAnsi="Baskerville Old Face"/>
          <w:spacing w:val="-1"/>
        </w:rPr>
        <w:t xml:space="preserve"> at 756. In so ruling, the court insisted that covenants need only be ancillary to “employment </w:t>
      </w:r>
      <w:r w:rsidRPr="006A121F">
        <w:rPr>
          <w:rFonts w:ascii="Baskerville Old Face" w:hAnsi="Baskerville Old Face"/>
          <w:i/>
          <w:spacing w:val="-1"/>
        </w:rPr>
        <w:t>relationships</w:t>
      </w:r>
      <w:r w:rsidRPr="006A121F">
        <w:rPr>
          <w:rFonts w:ascii="Baskerville Old Face" w:hAnsi="Baskerville Old Face"/>
          <w:spacing w:val="-1"/>
        </w:rPr>
        <w:t xml:space="preserve">, no matter how configured,” </w:t>
      </w:r>
      <w:r w:rsidRPr="006A121F">
        <w:rPr>
          <w:rFonts w:ascii="Baskerville Old Face" w:hAnsi="Baskerville Old Face"/>
          <w:spacing w:val="-1"/>
        </w:rPr>
        <w:lastRenderedPageBreak/>
        <w:t xml:space="preserve">in order to satisfy the ancillarity requirement. </w:t>
      </w:r>
      <w:r w:rsidRPr="006A121F">
        <w:rPr>
          <w:rFonts w:ascii="Baskerville Old Face" w:hAnsi="Baskerville Old Face"/>
          <w:i/>
          <w:spacing w:val="-1"/>
        </w:rPr>
        <w:t>Id.</w:t>
      </w:r>
      <w:r w:rsidRPr="006A121F">
        <w:rPr>
          <w:rFonts w:ascii="Baskerville Old Face" w:hAnsi="Baskerville Old Face"/>
          <w:spacing w:val="-1"/>
        </w:rPr>
        <w:t xml:space="preserve"> at 757 (emphasis added). The court explained:</w:t>
      </w:r>
    </w:p>
    <w:p w14:paraId="68CB70F1" w14:textId="77777777" w:rsidR="00020BD9" w:rsidRPr="0016514A" w:rsidRDefault="00020BD9" w:rsidP="00020BD9">
      <w:pPr>
        <w:pStyle w:val="block-p-0"/>
        <w:rPr>
          <w:rFonts w:ascii="Baskerville Old Face" w:hAnsi="Baskerville Old Face" w:cs="Times New Roman"/>
        </w:rPr>
      </w:pPr>
      <w:r w:rsidRPr="0016514A">
        <w:rPr>
          <w:rFonts w:ascii="Baskerville Old Face" w:hAnsi="Baskerville Old Face" w:cs="Times New Roman"/>
        </w:rPr>
        <w:t xml:space="preserve">Guidelines do exist to aid the Court in predicting how the state supreme court would rule in this case. We begin with supreme court precedent, and examine authorities on point, analogous cases, the policies and doctrinal trends that influenced those decisions, and the court’s “considered dicta,” in that order. </w:t>
      </w:r>
      <w:r w:rsidRPr="0016514A">
        <w:rPr>
          <w:rFonts w:ascii="Baskerville Old Face" w:hAnsi="Baskerville Old Face" w:cs="Times New Roman"/>
          <w:i/>
          <w:iCs/>
        </w:rPr>
        <w:t>Roberts</w:t>
      </w:r>
      <w:r w:rsidRPr="0016514A">
        <w:rPr>
          <w:rFonts w:ascii="Baskerville Old Face" w:hAnsi="Baskerville Old Face" w:cs="Times New Roman"/>
        </w:rPr>
        <w:t xml:space="preserve"> [</w:t>
      </w:r>
      <w:r w:rsidRPr="0016514A">
        <w:rPr>
          <w:rFonts w:ascii="Baskerville Old Face" w:hAnsi="Baskerville Old Face" w:cs="Times New Roman"/>
          <w:i/>
          <w:iCs/>
        </w:rPr>
        <w:t>v. Western-Southern Life Ins. Co.</w:t>
      </w:r>
      <w:r w:rsidRPr="0016514A">
        <w:rPr>
          <w:rFonts w:ascii="Baskerville Old Face" w:hAnsi="Baskerville Old Face" w:cs="Times New Roman"/>
        </w:rPr>
        <w:t xml:space="preserve">, 568 F. Supp. 536, 544 (N.D. Ill. 1983)] (quoting </w:t>
      </w:r>
      <w:r w:rsidRPr="0016514A">
        <w:rPr>
          <w:rFonts w:ascii="Baskerville Old Face" w:hAnsi="Baskerville Old Face" w:cs="Times New Roman"/>
          <w:i/>
          <w:iCs/>
        </w:rPr>
        <w:t>McKenna v. Ortho Pharmaceutical Corp.</w:t>
      </w:r>
      <w:r w:rsidRPr="0016514A">
        <w:rPr>
          <w:rFonts w:ascii="Baskerville Old Face" w:hAnsi="Baskerville Old Face" w:cs="Times New Roman"/>
        </w:rPr>
        <w:t xml:space="preserve">, 622 F.2d 657, 662 (2d Cir. 1980)). “Of somewhat less importance” are decisions of lower state courts and other federal courts, which “should be accorded proper regard, of course, but not conclusive effect.” </w:t>
      </w:r>
      <w:r w:rsidRPr="0016514A">
        <w:rPr>
          <w:rFonts w:ascii="Baskerville Old Face" w:hAnsi="Baskerville Old Face" w:cs="Times New Roman"/>
          <w:i/>
          <w:iCs/>
        </w:rPr>
        <w:t>Id.</w:t>
      </w:r>
      <w:r w:rsidRPr="0016514A">
        <w:rPr>
          <w:rFonts w:ascii="Baskerville Old Face" w:hAnsi="Baskerville Old Face" w:cs="Times New Roman"/>
        </w:rPr>
        <w:t xml:space="preserve"> (internal quotations omitted). Research has revealed no supreme court decisions on point, but a number of cases evincing policy and doctrine that would inform the court’s decision if faced with the issue before us. Moreover, the [Fourth District’s] opinion in </w:t>
      </w:r>
      <w:r w:rsidRPr="0016514A">
        <w:rPr>
          <w:rFonts w:ascii="Baskerville Old Face" w:hAnsi="Baskerville Old Face" w:cs="Times New Roman"/>
          <w:i/>
          <w:iCs/>
        </w:rPr>
        <w:t>Abel</w:t>
      </w:r>
      <w:r w:rsidRPr="0016514A">
        <w:rPr>
          <w:rFonts w:ascii="Baskerville Old Face" w:hAnsi="Baskerville Old Face" w:cs="Times New Roman"/>
        </w:rPr>
        <w:t xml:space="preserve"> provides a compelling analysis grounded in this precedent and in persuasive authority.</w:t>
      </w:r>
    </w:p>
    <w:p w14:paraId="5FB8CA61" w14:textId="7C4AF090" w:rsidR="00020BD9" w:rsidRPr="0016514A" w:rsidRDefault="00020BD9" w:rsidP="00020BD9">
      <w:pPr>
        <w:pStyle w:val="block-p-"/>
        <w:rPr>
          <w:rFonts w:ascii="Baskerville Old Face" w:hAnsi="Baskerville Old Face" w:cs="Times New Roman"/>
        </w:rPr>
      </w:pPr>
      <w:r w:rsidRPr="0016514A">
        <w:rPr>
          <w:rFonts w:ascii="Baskerville Old Face" w:hAnsi="Baskerville Old Face" w:cs="Times New Roman"/>
        </w:rPr>
        <w:t xml:space="preserve">As discussed in </w:t>
      </w:r>
      <w:r w:rsidRPr="0016514A">
        <w:rPr>
          <w:rFonts w:ascii="Baskerville Old Face" w:hAnsi="Baskerville Old Face" w:cs="Times New Roman"/>
          <w:i/>
          <w:iCs/>
        </w:rPr>
        <w:t>Abel</w:t>
      </w:r>
      <w:r w:rsidRPr="0016514A">
        <w:rPr>
          <w:rFonts w:ascii="Baskerville Old Face" w:hAnsi="Baskerville Old Face" w:cs="Times New Roman"/>
        </w:rPr>
        <w:t>, the Illinois Supreme Court has expressed its approval of restrictive covenants that protect the fruits of one party’s efforts from unjust use by the other party.</w:t>
      </w:r>
      <w:r w:rsidRPr="00020BD9">
        <w:rPr>
          <w:rFonts w:cs="Times New Roman"/>
        </w:rPr>
        <w:t> </w:t>
      </w:r>
      <w:r w:rsidR="00944F63">
        <w:rPr>
          <w:rFonts w:ascii="Baskerville Old Face" w:hAnsi="Baskerville Old Face" w:cs="Times New Roman"/>
        </w:rPr>
        <w:t>…</w:t>
      </w:r>
      <w:r w:rsidRPr="00020BD9">
        <w:rPr>
          <w:rFonts w:cs="Times New Roman"/>
        </w:rPr>
        <w:t> </w:t>
      </w:r>
      <w:r w:rsidRPr="0016514A">
        <w:rPr>
          <w:rFonts w:ascii="Baskerville Old Face" w:hAnsi="Baskerville Old Face" w:cs="Times New Roman"/>
        </w:rPr>
        <w:t xml:space="preserve">[B]road language [in </w:t>
      </w:r>
      <w:r w:rsidRPr="0016514A">
        <w:rPr>
          <w:rFonts w:ascii="Baskerville Old Face" w:hAnsi="Baskerville Old Face" w:cs="Times New Roman"/>
          <w:i/>
          <w:iCs/>
        </w:rPr>
        <w:t>Union Trust &amp; Sav. Bank v. Kinloch Long-Distance Tel. Co.</w:t>
      </w:r>
      <w:r w:rsidRPr="0016514A">
        <w:rPr>
          <w:rFonts w:ascii="Baskerville Old Face" w:hAnsi="Baskerville Old Face" w:cs="Times New Roman"/>
        </w:rPr>
        <w:t xml:space="preserve">, 258 Ill. 202, 207, 101 N.E.2d 535, 537 (1913),] indicates that the supreme court will uphold restrictive covenants to protect an employer’s investments, </w:t>
      </w:r>
      <w:r w:rsidRPr="0016514A">
        <w:rPr>
          <w:rFonts w:ascii="Baskerville Old Face" w:hAnsi="Baskerville Old Face" w:cs="Times New Roman"/>
          <w:i/>
          <w:iCs/>
        </w:rPr>
        <w:t>without regard to the nature of the employer-employee relationship</w:t>
      </w:r>
      <w:r w:rsidRPr="0016514A">
        <w:rPr>
          <w:rFonts w:ascii="Baskerville Old Face" w:hAnsi="Baskerville Old Face" w:cs="Times New Roman"/>
        </w:rPr>
        <w:t>.</w:t>
      </w:r>
    </w:p>
    <w:p w14:paraId="4F38DC9B" w14:textId="77777777" w:rsidR="00020BD9" w:rsidRPr="0016514A" w:rsidRDefault="00020BD9" w:rsidP="00020BD9">
      <w:pPr>
        <w:pStyle w:val="Asterisk"/>
        <w:rPr>
          <w:rFonts w:ascii="Baskerville Old Face" w:hAnsi="Baskerville Old Face" w:cs="Times New Roman"/>
        </w:rPr>
      </w:pPr>
      <w:r w:rsidRPr="0016514A">
        <w:rPr>
          <w:rFonts w:ascii="Baskerville Old Face" w:hAnsi="Baskerville Old Face" w:cs="Times New Roman"/>
        </w:rPr>
        <w:t>* * * *</w:t>
      </w:r>
    </w:p>
    <w:p w14:paraId="5373F954" w14:textId="77777777" w:rsidR="00020BD9" w:rsidRPr="0016514A" w:rsidRDefault="00020BD9" w:rsidP="00020BD9">
      <w:pPr>
        <w:pStyle w:val="block-p-0"/>
        <w:rPr>
          <w:rFonts w:ascii="Baskerville Old Face" w:hAnsi="Baskerville Old Face" w:cs="Times New Roman"/>
        </w:rPr>
      </w:pPr>
      <w:r w:rsidRPr="0016514A">
        <w:rPr>
          <w:rFonts w:ascii="Baskerville Old Face" w:hAnsi="Baskerville Old Face" w:cs="Times New Roman"/>
        </w:rPr>
        <w:t xml:space="preserve">Not only does supreme court precedent support </w:t>
      </w:r>
      <w:r w:rsidRPr="0016514A">
        <w:rPr>
          <w:rFonts w:ascii="Baskerville Old Face" w:hAnsi="Baskerville Old Face" w:cs="Times New Roman"/>
          <w:i/>
          <w:iCs/>
        </w:rPr>
        <w:t>Abel’s</w:t>
      </w:r>
      <w:r w:rsidRPr="0016514A">
        <w:rPr>
          <w:rFonts w:ascii="Baskerville Old Face" w:hAnsi="Baskerville Old Face" w:cs="Times New Roman"/>
        </w:rPr>
        <w:t xml:space="preserve"> conclusion that </w:t>
      </w:r>
      <w:r w:rsidRPr="0016514A">
        <w:rPr>
          <w:rFonts w:ascii="Baskerville Old Face" w:hAnsi="Baskerville Old Face" w:cs="Times New Roman"/>
          <w:i/>
          <w:iCs/>
        </w:rPr>
        <w:t>employment relationships, no matter how configured, may be supplemented by noncompetes</w:t>
      </w:r>
      <w:r w:rsidRPr="0016514A">
        <w:rPr>
          <w:rFonts w:ascii="Baskerville Old Face" w:hAnsi="Baskerville Old Face" w:cs="Times New Roman"/>
        </w:rPr>
        <w:t xml:space="preserve">, but persuasive authority solidifies it. As </w:t>
      </w:r>
      <w:r w:rsidRPr="0016514A">
        <w:rPr>
          <w:rFonts w:ascii="Baskerville Old Face" w:hAnsi="Baskerville Old Face" w:cs="Times New Roman"/>
          <w:i/>
          <w:iCs/>
        </w:rPr>
        <w:t>Abel</w:t>
      </w:r>
      <w:r w:rsidRPr="0016514A">
        <w:rPr>
          <w:rFonts w:ascii="Baskerville Old Face" w:hAnsi="Baskerville Old Face" w:cs="Times New Roman"/>
        </w:rPr>
        <w:t xml:space="preserve"> points out, section 187 of the Restatement (Second) of Contracts directly supports allowing noncompetes despite the absence of a written contract: “A promise to refrain from competition that </w:t>
      </w:r>
      <w:r w:rsidRPr="0016514A">
        <w:rPr>
          <w:rFonts w:ascii="Baskerville Old Face" w:hAnsi="Baskerville Old Face" w:cs="Times New Roman"/>
        </w:rPr>
        <w:br/>
        <w:t xml:space="preserve">imposes a restraint that is not ancillary to an otherwise valid transaction </w:t>
      </w:r>
      <w:r w:rsidRPr="0016514A">
        <w:rPr>
          <w:rFonts w:ascii="Baskerville Old Face" w:hAnsi="Baskerville Old Face" w:cs="Times New Roman"/>
          <w:i/>
          <w:iCs/>
        </w:rPr>
        <w:t>or relationship</w:t>
      </w:r>
      <w:r w:rsidRPr="0016514A">
        <w:rPr>
          <w:rFonts w:ascii="Baskerville Old Face" w:hAnsi="Baskerville Old Face" w:cs="Times New Roman"/>
        </w:rPr>
        <w:t xml:space="preserve"> is unreasonably in restraint of trade.” </w:t>
      </w:r>
      <w:r w:rsidRPr="0016514A">
        <w:rPr>
          <w:rFonts w:ascii="Baskerville Old Face" w:hAnsi="Baskerville Old Face" w:cs="Times New Roman"/>
          <w:smallCaps/>
        </w:rPr>
        <w:t>Restatement (Second) of Contracts</w:t>
      </w:r>
      <w:r w:rsidRPr="0016514A">
        <w:rPr>
          <w:rFonts w:ascii="Baskerville Old Face" w:hAnsi="Baskerville Old Face" w:cs="Times New Roman"/>
        </w:rPr>
        <w:t xml:space="preserve"> §187, at 38 (1979) (emphasis added). Comment b to section 187 explains that the promisee’s interest may arise out of “a relationship between himself as employer or principal and the promisor as employee or agent,” and says nothing about the need for an employment contract setting forth specific terms of employment. Finally, comment g to section 188 is right on point: “A restraint may be ancillary to a relationship although, as in the case of an employment at will, no contract of employment is involved.” </w:t>
      </w:r>
      <w:r w:rsidRPr="0016514A">
        <w:rPr>
          <w:rFonts w:ascii="Baskerville Old Face" w:hAnsi="Baskerville Old Face" w:cs="Times New Roman"/>
          <w:smallCaps/>
        </w:rPr>
        <w:t>Restatement (Second) of Contracts</w:t>
      </w:r>
      <w:r w:rsidRPr="0016514A">
        <w:rPr>
          <w:rFonts w:ascii="Baskerville Old Face" w:hAnsi="Baskerville Old Face" w:cs="Times New Roman"/>
        </w:rPr>
        <w:t xml:space="preserve"> §188 comment g, at 45 (1979).</w:t>
      </w:r>
    </w:p>
    <w:p w14:paraId="2330EF3F" w14:textId="77777777" w:rsidR="00020BD9" w:rsidRPr="00221624" w:rsidRDefault="00020BD9" w:rsidP="00020BD9">
      <w:pPr>
        <w:pStyle w:val="block-p-"/>
        <w:rPr>
          <w:rFonts w:ascii="Baskerville Old Face" w:hAnsi="Baskerville Old Face" w:cs="Times New Roman"/>
          <w:lang w:val="nb-NO"/>
        </w:rPr>
      </w:pPr>
      <w:r w:rsidRPr="0016514A">
        <w:rPr>
          <w:rFonts w:ascii="Baskerville Old Face" w:hAnsi="Baskerville Old Face" w:cs="Times New Roman"/>
        </w:rPr>
        <w:lastRenderedPageBreak/>
        <w:t xml:space="preserve">These authorities, compiled in the </w:t>
      </w:r>
      <w:r w:rsidRPr="0016514A">
        <w:rPr>
          <w:rFonts w:ascii="Baskerville Old Face" w:hAnsi="Baskerville Old Face" w:cs="Times New Roman"/>
          <w:i/>
          <w:iCs/>
        </w:rPr>
        <w:t>Abel</w:t>
      </w:r>
      <w:r w:rsidRPr="0016514A">
        <w:rPr>
          <w:rFonts w:ascii="Baskerville Old Face" w:hAnsi="Baskerville Old Face" w:cs="Times New Roman"/>
        </w:rPr>
        <w:t xml:space="preserve"> decision, recognize that pitting employment by contract against employment at will makes a distinction without a difference. The Seventh Circuit has said as much, noting that “[e]mployment at will is of course a valid contractual relationship.” </w:t>
      </w:r>
      <w:r w:rsidRPr="0016514A">
        <w:rPr>
          <w:rFonts w:ascii="Baskerville Old Face" w:hAnsi="Baskerville Old Face" w:cs="Times New Roman"/>
          <w:i/>
          <w:iCs/>
        </w:rPr>
        <w:t>Curtis</w:t>
      </w:r>
      <w:r w:rsidRPr="0016514A">
        <w:rPr>
          <w:rFonts w:ascii="Baskerville Old Face" w:hAnsi="Baskerville Old Face" w:cs="Times New Roman"/>
        </w:rPr>
        <w:t xml:space="preserve"> [</w:t>
      </w:r>
      <w:r w:rsidRPr="0016514A">
        <w:rPr>
          <w:rFonts w:ascii="Baskerville Old Face" w:hAnsi="Baskerville Old Face" w:cs="Times New Roman"/>
          <w:i/>
          <w:iCs/>
        </w:rPr>
        <w:t>1000, Inc. v. Suess</w:t>
      </w:r>
      <w:r w:rsidRPr="0016514A">
        <w:rPr>
          <w:rFonts w:ascii="Baskerville Old Face" w:hAnsi="Baskerville Old Face" w:cs="Times New Roman"/>
        </w:rPr>
        <w:t xml:space="preserve">, 24 F.3d 941, 943 (7th Cir. 1994)]. </w:t>
      </w:r>
      <w:r w:rsidRPr="0016514A">
        <w:rPr>
          <w:rFonts w:ascii="Baskerville Old Face" w:hAnsi="Baskerville Old Face" w:cs="Times New Roman"/>
          <w:i/>
          <w:iCs/>
        </w:rPr>
        <w:t>What matters in the ancillarity analysis is that</w:t>
      </w:r>
      <w:r w:rsidRPr="0016514A">
        <w:rPr>
          <w:rFonts w:ascii="Baskerville Old Face" w:hAnsi="Baskerville Old Face" w:cs="Times New Roman"/>
        </w:rPr>
        <w:t xml:space="preserve"> [</w:t>
      </w:r>
      <w:r w:rsidRPr="0016514A">
        <w:rPr>
          <w:rFonts w:ascii="Baskerville Old Face" w:hAnsi="Baskerville Old Face" w:cs="Times New Roman"/>
          <w:i/>
          <w:iCs/>
        </w:rPr>
        <w:t>the</w:t>
      </w:r>
      <w:r w:rsidRPr="0016514A">
        <w:rPr>
          <w:rFonts w:ascii="Baskerville Old Face" w:hAnsi="Baskerville Old Face" w:cs="Times New Roman"/>
        </w:rPr>
        <w:t xml:space="preserve">] </w:t>
      </w:r>
      <w:r w:rsidRPr="0016514A">
        <w:rPr>
          <w:rFonts w:ascii="Baskerville Old Face" w:hAnsi="Baskerville Old Face" w:cs="Times New Roman"/>
          <w:i/>
          <w:iCs/>
        </w:rPr>
        <w:t>noncompete be subordinate to the employer-employee relationship, which is no less valid or meaningful simply because it is at-will.</w:t>
      </w:r>
      <w:r w:rsidRPr="0016514A">
        <w:rPr>
          <w:rFonts w:ascii="Baskerville Old Face" w:hAnsi="Baskerville Old Face" w:cs="Times New Roman"/>
        </w:rPr>
        <w:t xml:space="preserve"> As the </w:t>
      </w:r>
      <w:r w:rsidRPr="0016514A">
        <w:rPr>
          <w:rFonts w:ascii="Baskerville Old Face" w:hAnsi="Baskerville Old Face" w:cs="Times New Roman"/>
          <w:i/>
          <w:iCs/>
        </w:rPr>
        <w:t>Abel</w:t>
      </w:r>
      <w:r w:rsidRPr="0016514A">
        <w:rPr>
          <w:rFonts w:ascii="Baskerville Old Face" w:hAnsi="Baskerville Old Face" w:cs="Times New Roman"/>
        </w:rPr>
        <w:t xml:space="preserve"> court correctly observes, at-will employment is a “relationship with numerous legal consequences, imposing rights and obligations on both parties.” </w:t>
      </w:r>
      <w:r w:rsidRPr="00221624">
        <w:rPr>
          <w:rFonts w:ascii="Baskerville Old Face" w:hAnsi="Baskerville Old Face" w:cs="Times New Roman"/>
          <w:lang w:val="nb-NO"/>
        </w:rPr>
        <w:t>274 Ill. App. 3d at 820, 221 Ill. Dec. at 135, 654 N.E.2d at 597.</w:t>
      </w:r>
    </w:p>
    <w:p w14:paraId="275714A9" w14:textId="77777777" w:rsidR="00020BD9" w:rsidRPr="0016514A" w:rsidRDefault="00020BD9" w:rsidP="00020BD9">
      <w:pPr>
        <w:pStyle w:val="Asterisk"/>
        <w:rPr>
          <w:rFonts w:ascii="Baskerville Old Face" w:hAnsi="Baskerville Old Face" w:cs="Times New Roman"/>
        </w:rPr>
      </w:pPr>
      <w:r w:rsidRPr="0016514A">
        <w:rPr>
          <w:rFonts w:ascii="Baskerville Old Face" w:hAnsi="Baskerville Old Face" w:cs="Times New Roman"/>
        </w:rPr>
        <w:t>* * * *</w:t>
      </w:r>
    </w:p>
    <w:p w14:paraId="52C069E4" w14:textId="77777777" w:rsidR="00020BD9" w:rsidRPr="0016514A" w:rsidRDefault="00020BD9" w:rsidP="00020BD9">
      <w:pPr>
        <w:pStyle w:val="block-p-0"/>
        <w:rPr>
          <w:rFonts w:ascii="Baskerville Old Face" w:hAnsi="Baskerville Old Face" w:cs="Times New Roman"/>
        </w:rPr>
      </w:pPr>
      <w:r w:rsidRPr="0016514A">
        <w:rPr>
          <w:rFonts w:ascii="Baskerville Old Face" w:hAnsi="Baskerville Old Face" w:cs="Times New Roman"/>
        </w:rPr>
        <w:t xml:space="preserve">[The former employee in the instant case] argues that if we decline to follow </w:t>
      </w:r>
      <w:r w:rsidRPr="0016514A">
        <w:rPr>
          <w:rFonts w:ascii="Baskerville Old Face" w:hAnsi="Baskerville Old Face" w:cs="Times New Roman"/>
          <w:i/>
          <w:iCs/>
        </w:rPr>
        <w:t>Creative Entertainment</w:t>
      </w:r>
      <w:r w:rsidRPr="0016514A">
        <w:rPr>
          <w:rFonts w:ascii="Baskerville Old Face" w:hAnsi="Baskerville Old Face" w:cs="Times New Roman"/>
        </w:rPr>
        <w:t xml:space="preserve"> and uphold her noncompete, we will be ignoring the “underlying evil” that the case attempts to cure. Def. Reply at 7. Specifically, such a decision would purportedly enable employers to ask an existing at-will employee to sign a restrictive covenant, fire the at-will employee right afterward, and still enforce the restrictive covenant. </w:t>
      </w:r>
      <w:r w:rsidRPr="0016514A">
        <w:rPr>
          <w:rFonts w:ascii="Baskerville Old Face" w:hAnsi="Baskerville Old Face" w:cs="Times New Roman"/>
          <w:i/>
          <w:iCs/>
        </w:rPr>
        <w:t>Id.</w:t>
      </w:r>
      <w:r w:rsidRPr="0016514A">
        <w:rPr>
          <w:rFonts w:ascii="Baskerville Old Face" w:hAnsi="Baskerville Old Face" w:cs="Times New Roman"/>
        </w:rPr>
        <w:t xml:space="preserve"> This argument is without merit. It ignores the long line of cases, which our decision does not disturb, requiring continued employment for a substantial period after the employee signs the noncompete. An employer in the situation posited by [the former employee in the instant case] would clearly be unable to enforce the restrictive covenant for lack of consideration.</w:t>
      </w:r>
    </w:p>
    <w:p w14:paraId="3AAB2925" w14:textId="77777777" w:rsidR="00020BD9" w:rsidRPr="0016514A" w:rsidRDefault="00020BD9" w:rsidP="00020BD9">
      <w:pPr>
        <w:pStyle w:val="block-p--"/>
        <w:rPr>
          <w:rFonts w:ascii="Baskerville Old Face" w:hAnsi="Baskerville Old Face" w:cs="Times New Roman"/>
        </w:rPr>
      </w:pPr>
      <w:r w:rsidRPr="0016514A">
        <w:rPr>
          <w:rFonts w:ascii="Baskerville Old Face" w:hAnsi="Baskerville Old Face" w:cs="Times New Roman"/>
        </w:rPr>
        <w:t xml:space="preserve">Our decision that the supreme court would favor the reasoning and result in </w:t>
      </w:r>
      <w:r w:rsidRPr="0016514A">
        <w:rPr>
          <w:rFonts w:ascii="Baskerville Old Face" w:hAnsi="Baskerville Old Face" w:cs="Times New Roman"/>
          <w:i/>
          <w:iCs/>
        </w:rPr>
        <w:t>Abel</w:t>
      </w:r>
      <w:r w:rsidRPr="0016514A">
        <w:rPr>
          <w:rFonts w:ascii="Baskerville Old Face" w:hAnsi="Baskerville Old Face" w:cs="Times New Roman"/>
        </w:rPr>
        <w:t xml:space="preserve"> over </w:t>
      </w:r>
      <w:r w:rsidRPr="0016514A">
        <w:rPr>
          <w:rFonts w:ascii="Baskerville Old Face" w:hAnsi="Baskerville Old Face" w:cs="Times New Roman"/>
          <w:i/>
          <w:iCs/>
        </w:rPr>
        <w:t>Creative Entertainment</w:t>
      </w:r>
      <w:r w:rsidRPr="0016514A">
        <w:rPr>
          <w:rFonts w:ascii="Baskerville Old Face" w:hAnsi="Baskerville Old Face" w:cs="Times New Roman"/>
        </w:rPr>
        <w:t xml:space="preserve"> is strengthened by the fact that </w:t>
      </w:r>
      <w:r w:rsidRPr="0016514A">
        <w:rPr>
          <w:rFonts w:ascii="Baskerville Old Face" w:hAnsi="Baskerville Old Face" w:cs="Times New Roman"/>
          <w:i/>
          <w:iCs/>
        </w:rPr>
        <w:t>Creative Entertainment</w:t>
      </w:r>
      <w:r w:rsidRPr="0016514A">
        <w:rPr>
          <w:rFonts w:ascii="Baskerville Old Face" w:hAnsi="Baskerville Old Face" w:cs="Times New Roman"/>
        </w:rPr>
        <w:t xml:space="preserve"> cites no supreme court cases or persuasive authority for its conclusion, and is even inconsistent with one of its own earlier decisions. In </w:t>
      </w:r>
      <w:r w:rsidRPr="0016514A">
        <w:rPr>
          <w:rFonts w:ascii="Baskerville Old Face" w:hAnsi="Baskerville Old Face" w:cs="Times New Roman"/>
          <w:i/>
          <w:iCs/>
        </w:rPr>
        <w:t>Agrimerica, Inc. v. Mathes</w:t>
      </w:r>
      <w:r w:rsidRPr="0016514A">
        <w:rPr>
          <w:rFonts w:ascii="Baskerville Old Face" w:hAnsi="Baskerville Old Face" w:cs="Times New Roman"/>
        </w:rPr>
        <w:t xml:space="preserve">[, 199 Ill. App. 3d 435, 145 Ill. Dec. 587, 557 N.E.2d 357 (1st Dist. 1990)], the First District rebuffed challenges to a noncompete’s consideration and ancillarity despite the fact that the challenger was an at-will employee. </w:t>
      </w:r>
      <w:r w:rsidRPr="00221624">
        <w:rPr>
          <w:rFonts w:ascii="Baskerville Old Face" w:hAnsi="Baskerville Old Face" w:cs="Times New Roman"/>
          <w:lang w:val="nb-NO"/>
        </w:rPr>
        <w:t xml:space="preserve">199 Ill. App. 3d at 439, 442, 145 Ill. Dec. at 590, 592, 557 N.E.2d at 360, 362, 366. </w:t>
      </w:r>
      <w:r w:rsidRPr="0016514A">
        <w:rPr>
          <w:rFonts w:ascii="Baskerville Old Face" w:hAnsi="Baskerville Old Face" w:cs="Times New Roman"/>
        </w:rPr>
        <w:t xml:space="preserve">The court made no issue of the fact, as it did in </w:t>
      </w:r>
      <w:r w:rsidRPr="0016514A">
        <w:rPr>
          <w:rFonts w:ascii="Baskerville Old Face" w:hAnsi="Baskerville Old Face" w:cs="Times New Roman"/>
          <w:i/>
          <w:iCs/>
        </w:rPr>
        <w:t>Creative Entertainment</w:t>
      </w:r>
      <w:r w:rsidRPr="0016514A">
        <w:rPr>
          <w:rFonts w:ascii="Baskerville Old Face" w:hAnsi="Baskerville Old Face" w:cs="Times New Roman"/>
        </w:rPr>
        <w:t>, that the relationship was at-will, did not promise a specific period of employment, and was not embodied in a contract setting forth other employment terms and conditions.</w:t>
      </w:r>
    </w:p>
    <w:p w14:paraId="535637B3" w14:textId="77777777" w:rsidR="00020BD9" w:rsidRPr="00221624" w:rsidRDefault="00020BD9" w:rsidP="00020BD9">
      <w:pPr>
        <w:pStyle w:val="block-p-"/>
        <w:rPr>
          <w:rFonts w:ascii="Baskerville Old Face" w:hAnsi="Baskerville Old Face" w:cs="Times New Roman"/>
          <w:lang w:val="nb-NO"/>
        </w:rPr>
      </w:pPr>
      <w:r w:rsidRPr="0016514A">
        <w:rPr>
          <w:rFonts w:ascii="Baskerville Old Face" w:hAnsi="Baskerville Old Face" w:cs="Times New Roman"/>
        </w:rPr>
        <w:t xml:space="preserve">In sum, </w:t>
      </w:r>
      <w:r w:rsidRPr="0016514A">
        <w:rPr>
          <w:rFonts w:ascii="Baskerville Old Face" w:hAnsi="Baskerville Old Face" w:cs="Times New Roman"/>
          <w:i/>
          <w:iCs/>
        </w:rPr>
        <w:t>Creative Entertainment</w:t>
      </w:r>
      <w:r w:rsidRPr="0016514A">
        <w:rPr>
          <w:rFonts w:ascii="Baskerville Old Face" w:hAnsi="Baskerville Old Face" w:cs="Times New Roman"/>
        </w:rPr>
        <w:t xml:space="preserve"> is out of step with precedent, persuasive authority, and policy. Because we have determined that the supreme court would in all likelihood share our view, we decline to accept </w:t>
      </w:r>
      <w:r w:rsidRPr="0016514A">
        <w:rPr>
          <w:rFonts w:ascii="Baskerville Old Face" w:hAnsi="Baskerville Old Face" w:cs="Times New Roman"/>
          <w:i/>
          <w:iCs/>
        </w:rPr>
        <w:t>Creative Entertainment’s</w:t>
      </w:r>
      <w:r w:rsidRPr="0016514A">
        <w:rPr>
          <w:rFonts w:ascii="Baskerville Old Face" w:hAnsi="Baskerville Old Face" w:cs="Times New Roman"/>
        </w:rPr>
        <w:t xml:space="preserve"> invitation to adopt a legal perspective that would strike down all noncompetes in at-will employment relationships. Rather, the enforceability of covenants not to compete in at-will arrangements is “based on the same rules which apply to any other </w:t>
      </w:r>
      <w:r w:rsidRPr="0016514A">
        <w:rPr>
          <w:rFonts w:ascii="Baskerville Old Face" w:hAnsi="Baskerville Old Face" w:cs="Times New Roman"/>
        </w:rPr>
        <w:lastRenderedPageBreak/>
        <w:t xml:space="preserve">post-employment noncompetition covenant made during an employment relationship.” </w:t>
      </w:r>
      <w:r w:rsidRPr="00221624">
        <w:rPr>
          <w:rFonts w:ascii="Baskerville Old Face" w:hAnsi="Baskerville Old Face" w:cs="Times New Roman"/>
          <w:i/>
          <w:iCs/>
          <w:lang w:val="nb-NO"/>
        </w:rPr>
        <w:t>Abel</w:t>
      </w:r>
      <w:r w:rsidRPr="00221624">
        <w:rPr>
          <w:rFonts w:ascii="Baskerville Old Face" w:hAnsi="Baskerville Old Face" w:cs="Times New Roman"/>
          <w:lang w:val="nb-NO"/>
        </w:rPr>
        <w:t>, 274 Ill. App. 3d at 820, 211 Ill. Dec. at 135, 654 N.E.2d at 597.</w:t>
      </w:r>
    </w:p>
    <w:p w14:paraId="2DA39DE7" w14:textId="77777777" w:rsidR="00020BD9" w:rsidRPr="0016514A" w:rsidRDefault="00020BD9" w:rsidP="00020BD9">
      <w:pPr>
        <w:pStyle w:val="textflush"/>
        <w:rPr>
          <w:rFonts w:ascii="Baskerville Old Face" w:hAnsi="Baskerville Old Face" w:cs="Times New Roman"/>
        </w:rPr>
      </w:pPr>
      <w:r w:rsidRPr="0016514A">
        <w:rPr>
          <w:rFonts w:ascii="Baskerville Old Face" w:hAnsi="Baskerville Old Face" w:cs="Times New Roman"/>
        </w:rPr>
        <w:t>941 F. Supp. at 756–58 (emphasis added).</w:t>
      </w:r>
    </w:p>
    <w:p w14:paraId="78ED7284" w14:textId="77777777" w:rsidR="00020BD9" w:rsidRPr="006A121F" w:rsidRDefault="00020BD9" w:rsidP="00020BD9">
      <w:pPr>
        <w:pStyle w:val="text"/>
        <w:rPr>
          <w:rFonts w:ascii="Baskerville Old Face" w:hAnsi="Baskerville Old Face"/>
          <w:spacing w:val="-1"/>
        </w:rPr>
      </w:pPr>
      <w:r w:rsidRPr="006A121F">
        <w:rPr>
          <w:rFonts w:ascii="Baskerville Old Face" w:hAnsi="Baskerville Old Face"/>
          <w:spacing w:val="-1"/>
        </w:rPr>
        <w:t xml:space="preserve">In a case decided earlier in 1996 and not mentioned by the </w:t>
      </w:r>
      <w:r w:rsidRPr="006A121F">
        <w:rPr>
          <w:rFonts w:ascii="Baskerville Old Face" w:hAnsi="Baskerville Old Face"/>
          <w:i/>
          <w:spacing w:val="-1"/>
        </w:rPr>
        <w:t>Applied Micro</w:t>
      </w:r>
      <w:r w:rsidRPr="006A121F">
        <w:rPr>
          <w:rFonts w:ascii="Baskerville Old Face" w:hAnsi="Baskerville Old Face"/>
          <w:spacing w:val="-1"/>
        </w:rPr>
        <w:t xml:space="preserve"> court, or by the </w:t>
      </w:r>
      <w:r w:rsidRPr="006A121F">
        <w:rPr>
          <w:rFonts w:ascii="Baskerville Old Face" w:hAnsi="Baskerville Old Face"/>
          <w:i/>
          <w:spacing w:val="-1"/>
        </w:rPr>
        <w:t>Lawrence &amp; Allen</w:t>
      </w:r>
      <w:r w:rsidRPr="006A121F">
        <w:rPr>
          <w:rFonts w:ascii="Baskerville Old Face" w:hAnsi="Baskerville Old Face"/>
          <w:spacing w:val="-1"/>
        </w:rPr>
        <w:t xml:space="preserve"> court, the U.S. District Court for the Northern District of Illinois had observed that “to be enforceable, a restrictive covenant must be ancillary to either a sales agreement or an employment </w:t>
      </w:r>
      <w:r w:rsidRPr="006A121F">
        <w:rPr>
          <w:rFonts w:ascii="Baskerville Old Face" w:hAnsi="Baskerville Old Face"/>
          <w:i/>
          <w:spacing w:val="-1"/>
        </w:rPr>
        <w:t>agreement</w:t>
      </w:r>
      <w:r w:rsidRPr="006A121F">
        <w:rPr>
          <w:rFonts w:ascii="Baskerville Old Face" w:hAnsi="Baskerville Old Face"/>
          <w:spacing w:val="-1"/>
        </w:rPr>
        <w:t xml:space="preserve">.” </w:t>
      </w:r>
      <w:r w:rsidRPr="006A121F">
        <w:rPr>
          <w:rFonts w:ascii="Baskerville Old Face" w:hAnsi="Baskerville Old Face"/>
          <w:i/>
          <w:spacing w:val="-1"/>
        </w:rPr>
        <w:t>Loewen Grp. Int’l, Inc. v. Haberichter</w:t>
      </w:r>
      <w:r w:rsidRPr="006A121F">
        <w:rPr>
          <w:rFonts w:ascii="Baskerville Old Face" w:hAnsi="Baskerville Old Face"/>
          <w:spacing w:val="-1"/>
        </w:rPr>
        <w:t xml:space="preserve">, 912 F. Supp. 388, 392 (N.D. Ill. 1996) (emphasis added; agreement versus relationship question not addressed; covenant was part of agreement; citing </w:t>
      </w:r>
      <w:r w:rsidRPr="006A121F">
        <w:rPr>
          <w:rFonts w:ascii="Baskerville Old Face" w:hAnsi="Baskerville Old Face"/>
          <w:i/>
          <w:spacing w:val="-1"/>
        </w:rPr>
        <w:t>Business Records Corp. v. Lueth</w:t>
      </w:r>
      <w:r w:rsidRPr="006A121F">
        <w:rPr>
          <w:rFonts w:ascii="Baskerville Old Face" w:hAnsi="Baskerville Old Face"/>
          <w:spacing w:val="-1"/>
        </w:rPr>
        <w:t xml:space="preserve">, 981 F.2d 957, 959 (7th Cir. 1992); </w:t>
      </w:r>
      <w:r w:rsidRPr="006A121F">
        <w:rPr>
          <w:rFonts w:ascii="Baskerville Old Face" w:hAnsi="Baskerville Old Face"/>
          <w:i/>
          <w:spacing w:val="-1"/>
        </w:rPr>
        <w:t>Hamer Holding Grp., Inc. v. Elmore</w:t>
      </w:r>
      <w:r w:rsidRPr="006A121F">
        <w:rPr>
          <w:rFonts w:ascii="Baskerville Old Face" w:hAnsi="Baskerville Old Face"/>
          <w:spacing w:val="-1"/>
        </w:rPr>
        <w:t xml:space="preserve"> (</w:t>
      </w:r>
      <w:r w:rsidRPr="006A121F">
        <w:rPr>
          <w:rFonts w:ascii="Baskerville Old Face" w:hAnsi="Baskerville Old Face"/>
          <w:i/>
          <w:spacing w:val="-1"/>
        </w:rPr>
        <w:t>Hamer I</w:t>
      </w:r>
      <w:r w:rsidRPr="006A121F">
        <w:rPr>
          <w:rFonts w:ascii="Baskerville Old Face" w:hAnsi="Baskerville Old Face"/>
          <w:spacing w:val="-1"/>
        </w:rPr>
        <w:t>), 202 Ill. App. 3d 994, 148 Ill. Dec. 310, 318, 560 N.E.2d 907, 915 (1990)).</w:t>
      </w:r>
    </w:p>
    <w:p w14:paraId="484F3CB8"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In 1998, the Sixth Division of the First District registered its agreement with the Second and Fourth Districts and declined to follow </w:t>
      </w:r>
      <w:r w:rsidRPr="006A121F">
        <w:rPr>
          <w:rFonts w:ascii="Baskerville Old Face" w:hAnsi="Baskerville Old Face"/>
          <w:i/>
        </w:rPr>
        <w:t>Creative Entertainment</w:t>
      </w:r>
      <w:r w:rsidRPr="006A121F">
        <w:rPr>
          <w:rFonts w:ascii="Baskerville Old Face" w:hAnsi="Baskerville Old Face"/>
        </w:rPr>
        <w:t xml:space="preserve"> when it issued </w:t>
      </w:r>
      <w:r w:rsidRPr="006A121F">
        <w:rPr>
          <w:rFonts w:ascii="Baskerville Old Face" w:hAnsi="Baskerville Old Face"/>
          <w:i/>
        </w:rPr>
        <w:t>Woodfield Group, Inc. v. DeLisle</w:t>
      </w:r>
      <w:r w:rsidRPr="006A121F">
        <w:rPr>
          <w:rFonts w:ascii="Baskerville Old Face" w:hAnsi="Baskerville Old Face"/>
        </w:rPr>
        <w:t>, 295 Ill. App. 3d 935, 941, 230 Ill. Dec. 335, 339, 693 N.E.2d 464, 468, 13 IER Cases 1646 (1st Dist. 1998) (“A restrictive covenant agreement may meet the requirements for ancillarity if it is ancillary to an employment relationship even though the employment may lack a written agreement and remain at will.”).</w:t>
      </w:r>
    </w:p>
    <w:p w14:paraId="22D947F8"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In a case of apparent first impression under Illinois law, the U.S. Court of Appeals for the Seventh Circuit predicted that “[a] gift relationship is a valid relationship or transaction” to which a noncompetition covenant can be ancillary. </w:t>
      </w:r>
    </w:p>
    <w:p w14:paraId="04AAC8DE" w14:textId="77777777" w:rsidR="00020BD9" w:rsidRPr="006A121F" w:rsidRDefault="00020BD9" w:rsidP="00020BD9">
      <w:pPr>
        <w:pStyle w:val="text"/>
        <w:rPr>
          <w:rFonts w:ascii="Baskerville Old Face" w:hAnsi="Baskerville Old Face"/>
        </w:rPr>
      </w:pPr>
      <w:r w:rsidRPr="006A121F">
        <w:rPr>
          <w:rFonts w:ascii="Baskerville Old Face" w:hAnsi="Baskerville Old Face"/>
          <w:i/>
        </w:rPr>
        <w:t>Liautaud v. Liautaud</w:t>
      </w:r>
      <w:r w:rsidRPr="006A121F">
        <w:rPr>
          <w:rFonts w:ascii="Baskerville Old Face" w:hAnsi="Baskerville Old Face"/>
        </w:rPr>
        <w:t xml:space="preserve">, 221 F.3d 981, 986 (7th Cir. 2000). In </w:t>
      </w:r>
      <w:r w:rsidRPr="006A121F">
        <w:rPr>
          <w:rFonts w:ascii="Baskerville Old Face" w:hAnsi="Baskerville Old Face"/>
          <w:i/>
        </w:rPr>
        <w:t>Liautaud</w:t>
      </w:r>
      <w:r w:rsidRPr="006A121F">
        <w:rPr>
          <w:rFonts w:ascii="Baskerville Old Face" w:hAnsi="Baskerville Old Face"/>
        </w:rPr>
        <w:t xml:space="preserve">, Jim Liautaud, upon request, provided his cousin, Michael Liautaud, with the secrets behind his successful sandwich shop business. </w:t>
      </w:r>
      <w:r w:rsidRPr="006A121F">
        <w:rPr>
          <w:rFonts w:ascii="Baskerville Old Face" w:hAnsi="Baskerville Old Face"/>
          <w:i/>
        </w:rPr>
        <w:t>Id.</w:t>
      </w:r>
      <w:r w:rsidRPr="006A121F">
        <w:rPr>
          <w:rFonts w:ascii="Baskerville Old Face" w:hAnsi="Baskerville Old Face"/>
        </w:rPr>
        <w:t xml:space="preserve"> at 984. To protect himself, he proffered to Michael a noncompetition agreement that barred Michael from expanding his new business beyond the Madison, Wisconsin, market. </w:t>
      </w:r>
      <w:r w:rsidRPr="006A121F">
        <w:rPr>
          <w:rFonts w:ascii="Baskerville Old Face" w:hAnsi="Baskerville Old Face"/>
          <w:i/>
        </w:rPr>
        <w:t>Id.</w:t>
      </w:r>
      <w:r w:rsidRPr="006A121F">
        <w:rPr>
          <w:rFonts w:ascii="Baskerville Old Face" w:hAnsi="Baskerville Old Face"/>
        </w:rPr>
        <w:t xml:space="preserve"> Michael agreed to the covenant, but later violated it by expanding his business into other parts of Wisconsin. </w:t>
      </w:r>
      <w:r w:rsidRPr="006A121F">
        <w:rPr>
          <w:rFonts w:ascii="Baskerville Old Face" w:hAnsi="Baskerville Old Face"/>
          <w:i/>
        </w:rPr>
        <w:t>Id.</w:t>
      </w:r>
      <w:r w:rsidRPr="006A121F">
        <w:rPr>
          <w:rFonts w:ascii="Baskerville Old Face" w:hAnsi="Baskerville Old Face"/>
        </w:rPr>
        <w:t xml:space="preserve"> Jim then brought suit for breach of the covenant. En route to finding that the covenant was ancillary to a valid transaction—a gift—and, thus, enforceable under </w:t>
      </w:r>
      <w:r w:rsidRPr="006A121F">
        <w:rPr>
          <w:rFonts w:ascii="Baskerville Old Face" w:hAnsi="Baskerville Old Face"/>
        </w:rPr>
        <w:lastRenderedPageBreak/>
        <w:t>Illinois law, the U.S. Court of Appeals for the Seventh Circuit observed:</w:t>
      </w:r>
    </w:p>
    <w:p w14:paraId="26E8A2F9" w14:textId="77777777" w:rsidR="00020BD9" w:rsidRPr="0016514A" w:rsidRDefault="00020BD9" w:rsidP="00020BD9">
      <w:pPr>
        <w:pStyle w:val="block-f-"/>
        <w:rPr>
          <w:rFonts w:ascii="Baskerville Old Face" w:hAnsi="Baskerville Old Face" w:cs="Times New Roman"/>
        </w:rPr>
      </w:pPr>
      <w:r w:rsidRPr="0016514A">
        <w:rPr>
          <w:rFonts w:ascii="Baskerville Old Face" w:hAnsi="Baskerville Old Face" w:cs="Times New Roman"/>
        </w:rPr>
        <w:t xml:space="preserve">In order for a noncompetition agreement to be valid, therefore, it must be ancillary to a valid transaction, such that the covenant not to compete is subordinate to the main purpose of the transaction. </w:t>
      </w:r>
      <w:r w:rsidRPr="0016514A">
        <w:rPr>
          <w:rFonts w:ascii="Baskerville Old Face" w:hAnsi="Baskerville Old Face" w:cs="Times New Roman"/>
          <w:i/>
          <w:iCs/>
        </w:rPr>
        <w:t>See</w:t>
      </w:r>
      <w:r w:rsidRPr="0016514A">
        <w:rPr>
          <w:rFonts w:ascii="Baskerville Old Face" w:hAnsi="Baskerville Old Face" w:cs="Times New Roman"/>
        </w:rPr>
        <w:t xml:space="preserve"> [</w:t>
      </w:r>
      <w:r w:rsidRPr="0016514A">
        <w:rPr>
          <w:rFonts w:ascii="Baskerville Old Face" w:hAnsi="Baskerville Old Face" w:cs="Times New Roman"/>
          <w:i/>
          <w:iCs/>
        </w:rPr>
        <w:t>Abel v. Fox</w:t>
      </w:r>
      <w:r w:rsidRPr="0016514A">
        <w:rPr>
          <w:rFonts w:ascii="Baskerville Old Face" w:hAnsi="Baskerville Old Face" w:cs="Times New Roman"/>
        </w:rPr>
        <w:t xml:space="preserve">, 274 Ill. App. 3d 811, 211 Ill. Dec. 129, 654 N.E.2d 591, 593 (1995)]. Although noncompetition agreements typically stem from an employment relationship or from the sale of a business, another valid transaction may support a covenant not to compete. The Supreme Court of Illinois has stated that a valid restraint on trade may be based on a purchase or sale of a business or “any other analogous circumstance giving one party a just right to be protected against competition from the other.” </w:t>
      </w:r>
      <w:r w:rsidRPr="0016514A">
        <w:rPr>
          <w:rFonts w:ascii="Baskerville Old Face" w:hAnsi="Baskerville Old Face" w:cs="Times New Roman"/>
          <w:i/>
          <w:iCs/>
        </w:rPr>
        <w:t>More v. Bennett</w:t>
      </w:r>
      <w:r w:rsidRPr="0016514A">
        <w:rPr>
          <w:rFonts w:ascii="Baskerville Old Face" w:hAnsi="Baskerville Old Face" w:cs="Times New Roman"/>
        </w:rPr>
        <w:t>, 140 Ill. 69, 29 N.E. 888, 891 (1892).</w:t>
      </w:r>
    </w:p>
    <w:p w14:paraId="45C0F862" w14:textId="77777777" w:rsidR="00020BD9" w:rsidRPr="0016514A" w:rsidRDefault="00020BD9" w:rsidP="00020BD9">
      <w:pPr>
        <w:pStyle w:val="block-p-"/>
        <w:rPr>
          <w:rFonts w:ascii="Baskerville Old Face" w:hAnsi="Baskerville Old Face" w:cs="Times New Roman"/>
        </w:rPr>
      </w:pPr>
      <w:r w:rsidRPr="0016514A">
        <w:rPr>
          <w:rFonts w:ascii="Baskerville Old Face" w:hAnsi="Baskerville Old Face" w:cs="Times New Roman"/>
        </w:rPr>
        <w:t xml:space="preserve">Although Jim urges that we characterize the transaction as a franchise agreement, we believe that the arrangement is more accurately characterized as a gift. “A gift is a voluntary gratuitous transfer of property from donor to donee where the donor manifests an intent to make such a gift and absolutely and irrevocably delivers the property to the donee.” </w:t>
      </w:r>
      <w:r w:rsidRPr="0016514A">
        <w:rPr>
          <w:rFonts w:ascii="Baskerville Old Face" w:hAnsi="Baskerville Old Face" w:cs="Times New Roman"/>
          <w:i/>
          <w:iCs/>
        </w:rPr>
        <w:t>In re Estate of Poliquin</w:t>
      </w:r>
      <w:r w:rsidRPr="0016514A">
        <w:rPr>
          <w:rFonts w:ascii="Baskerville Old Face" w:hAnsi="Baskerville Old Face" w:cs="Times New Roman"/>
        </w:rPr>
        <w:t xml:space="preserve">, 247 Ill. App. 3d 112, 186 Ill. Dec. 801, 617 N.E.2d 40, 42 (1993). We believe that there is no question that Jim intended to provide Michael with the gift of the “secrets of his success.” Also, the parties do not dispute that Jim delivered his gift to Michael and that Michael accepted Jim’s gift. Thus, the parties entered a valid gift relationship. The donor in a gift relationship, when the gift is trade secrets, is providing the donee with valuable advice for free. The donor may wish to protect both his generosity and his business interests from exploitation; therefore, he may desire to impose a covenant not to compete on his donee. </w:t>
      </w:r>
      <w:r w:rsidRPr="0016514A">
        <w:rPr>
          <w:rFonts w:ascii="Baskerville Old Face" w:hAnsi="Baskerville Old Face" w:cs="Times New Roman"/>
          <w:i/>
          <w:iCs/>
        </w:rPr>
        <w:t>See More</w:t>
      </w:r>
      <w:r w:rsidRPr="0016514A">
        <w:rPr>
          <w:rFonts w:ascii="Baskerville Old Face" w:hAnsi="Baskerville Old Face" w:cs="Times New Roman"/>
        </w:rPr>
        <w:t>, 29 N.E. at 891. Here, the covenant not to compete was ancillary to the gift transaction between Jim and Michael: The gift from Jim to Michael was the essential element of the transaction, and the noncompetition agreement was subordinate to the main purpose of that transaction. Thus, because the gift relationship is a valid relationship or transaction and the noncompetition agreement is subordinate to that relationship, the noncompetition ­agreement meets the first requirement that it be ancillary to a valid relationship or transaction.</w:t>
      </w:r>
    </w:p>
    <w:p w14:paraId="17059DD9" w14:textId="77777777" w:rsidR="00020BD9" w:rsidRPr="0016514A" w:rsidRDefault="00020BD9" w:rsidP="00020BD9">
      <w:pPr>
        <w:pStyle w:val="textflush"/>
        <w:rPr>
          <w:rFonts w:ascii="Baskerville Old Face" w:hAnsi="Baskerville Old Face" w:cs="Times New Roman"/>
        </w:rPr>
      </w:pPr>
      <w:r w:rsidRPr="0016514A">
        <w:rPr>
          <w:rFonts w:ascii="Baskerville Old Face" w:hAnsi="Baskerville Old Face" w:cs="Times New Roman"/>
          <w:i/>
          <w:iCs/>
        </w:rPr>
        <w:t>Id.</w:t>
      </w:r>
      <w:r w:rsidRPr="0016514A">
        <w:rPr>
          <w:rFonts w:ascii="Baskerville Old Face" w:hAnsi="Baskerville Old Face" w:cs="Times New Roman"/>
        </w:rPr>
        <w:t xml:space="preserve"> at 986.</w:t>
      </w:r>
    </w:p>
    <w:p w14:paraId="4D8543EE" w14:textId="77777777" w:rsidR="00020BD9" w:rsidRPr="006A121F" w:rsidRDefault="00020BD9" w:rsidP="00020BD9">
      <w:pPr>
        <w:pStyle w:val="bulletedparagraph-"/>
        <w:rPr>
          <w:rFonts w:ascii="Baskerville Old Face" w:hAnsi="Baskerville Old Face"/>
        </w:rPr>
      </w:pPr>
      <w:r w:rsidRPr="006A121F">
        <w:rPr>
          <w:rFonts w:ascii="Baskerville Old Face" w:hAnsi="Baskerville Old Face"/>
        </w:rPr>
        <w:t xml:space="preserve">• </w:t>
      </w:r>
      <w:r w:rsidRPr="006A121F">
        <w:rPr>
          <w:rFonts w:ascii="Baskerville Old Face" w:hAnsi="Baskerville Old Face"/>
          <w:i/>
        </w:rPr>
        <w:t>Standard of review of determinations of issues of law and fact as to the reasonableness of covenants not to compete</w:t>
      </w:r>
      <w:r w:rsidRPr="006A121F">
        <w:rPr>
          <w:rFonts w:ascii="Baskerville Old Face" w:hAnsi="Baskerville Old Face"/>
        </w:rPr>
        <w:t xml:space="preserve">. In </w:t>
      </w:r>
      <w:r w:rsidRPr="006A121F">
        <w:rPr>
          <w:rFonts w:ascii="Baskerville Old Face" w:hAnsi="Baskerville Old Face"/>
          <w:i/>
        </w:rPr>
        <w:t>Agency, Inc. v. Grove</w:t>
      </w:r>
      <w:r w:rsidRPr="006A121F">
        <w:rPr>
          <w:rFonts w:ascii="Baskerville Old Face" w:hAnsi="Baskerville Old Face"/>
        </w:rPr>
        <w:t xml:space="preserve">, 362 Ill. App. 3d 206, 298 Ill. Dec. 283, 839 N.E.2d 606 (2d Dist. 2005), an Illinois court of appeals lamented that Illinois appellate cases involving determinations of issues of law and </w:t>
      </w:r>
      <w:r w:rsidRPr="006A121F">
        <w:rPr>
          <w:rFonts w:ascii="Baskerville Old Face" w:hAnsi="Baskerville Old Face"/>
        </w:rPr>
        <w:lastRenderedPageBreak/>
        <w:t>fact as to the reasonableness of covenants not to compete “are peculiarly silent as to how such issues of law and fact are to be reviewed” (</w:t>
      </w:r>
      <w:r w:rsidRPr="006A121F">
        <w:rPr>
          <w:rFonts w:ascii="Baskerville Old Face" w:hAnsi="Baskerville Old Face"/>
          <w:i/>
        </w:rPr>
        <w:t>id.</w:t>
      </w:r>
      <w:r w:rsidRPr="006A121F">
        <w:rPr>
          <w:rFonts w:ascii="Baskerville Old Face" w:hAnsi="Baskerville Old Face"/>
        </w:rPr>
        <w:t>, 839 N.E.2d at 614) and proposed a two-step standard-of-review analysis. It stated:</w:t>
      </w:r>
    </w:p>
    <w:p w14:paraId="0C8BE0D9" w14:textId="7AA53624" w:rsidR="00020BD9" w:rsidRPr="0016514A" w:rsidRDefault="00020BD9" w:rsidP="00020BD9">
      <w:pPr>
        <w:pStyle w:val="block-f-"/>
        <w:rPr>
          <w:rFonts w:ascii="Baskerville Old Face" w:hAnsi="Baskerville Old Face" w:cs="Times New Roman"/>
        </w:rPr>
      </w:pPr>
      <w:r w:rsidRPr="0016514A">
        <w:rPr>
          <w:rFonts w:ascii="Baskerville Old Face" w:hAnsi="Baskerville Old Face" w:cs="Times New Roman"/>
        </w:rPr>
        <w:t xml:space="preserve">Our research discloses only one case that actually states a standard of review [for cases involving issues of law and fact as to the reasonableness of covenants not to compete]. In </w:t>
      </w:r>
      <w:r w:rsidRPr="0016514A">
        <w:rPr>
          <w:rFonts w:ascii="Baskerville Old Face" w:hAnsi="Baskerville Old Face" w:cs="Times New Roman"/>
          <w:i/>
          <w:iCs/>
        </w:rPr>
        <w:t>Hamer Holding Group, Inc. v. Elmore</w:t>
      </w:r>
      <w:r w:rsidRPr="0016514A">
        <w:rPr>
          <w:rFonts w:ascii="Baskerville Old Face" w:hAnsi="Baskerville Old Face" w:cs="Times New Roman"/>
        </w:rPr>
        <w:t xml:space="preserve">, 244 Ill. App. 3d 1069, 1080, 613 N.E.2d 1190, 184 Ill. Dec. 598 (1993), the First District Appellate Court declares: “Since the reasonableness of the restraint is a question of law, we review the trial court’s determination de novo.” Here arises the difficulty. If </w:t>
      </w:r>
      <w:r w:rsidRPr="00020BD9">
        <w:rPr>
          <w:rFonts w:cs="Times New Roman"/>
        </w:rPr>
        <w:t> </w:t>
      </w:r>
      <w:r w:rsidR="00944F63">
        <w:rPr>
          <w:rFonts w:ascii="Baskerville Old Face" w:hAnsi="Baskerville Old Face" w:cs="Times New Roman"/>
        </w:rPr>
        <w:t>…</w:t>
      </w:r>
      <w:r w:rsidRPr="00020BD9">
        <w:rPr>
          <w:rFonts w:cs="Times New Roman"/>
        </w:rPr>
        <w:t> </w:t>
      </w:r>
      <w:r w:rsidRPr="0016514A">
        <w:rPr>
          <w:rFonts w:ascii="Baskerville Old Face" w:hAnsi="Baskerville Old Face" w:cs="Times New Roman"/>
        </w:rPr>
        <w:t>a trial court</w:t>
      </w:r>
      <w:r w:rsidRPr="0016514A">
        <w:rPr>
          <w:rFonts w:ascii="Baskerville Old Face" w:hAnsi="Baskerville Old Face" w:cs="Baskerville Old Face"/>
        </w:rPr>
        <w:t>’</w:t>
      </w:r>
      <w:r w:rsidRPr="0016514A">
        <w:rPr>
          <w:rFonts w:ascii="Baskerville Old Face" w:hAnsi="Baskerville Old Face" w:cs="Times New Roman"/>
        </w:rPr>
        <w:t xml:space="preserve">s determination of enforceability [indeed] entails the resolution of disputed factual matters as well as legal issues, then de novo review cannot be the only standard applied. “In Illinois, a judge’s or jury’s findings of fact in a civil case are generally accorded manifest-weight review,” but “[a] judge’s rulings of law in a civil or criminal case are reviewed under the nondeferential de novo standard.” </w:t>
      </w:r>
      <w:r w:rsidRPr="0016514A">
        <w:rPr>
          <w:rFonts w:ascii="Baskerville Old Face" w:hAnsi="Baskerville Old Face" w:cs="Times New Roman"/>
          <w:i/>
          <w:iCs/>
        </w:rPr>
        <w:t>Franz v. Calaco Development Corp.</w:t>
      </w:r>
      <w:r w:rsidRPr="0016514A">
        <w:rPr>
          <w:rFonts w:ascii="Baskerville Old Face" w:hAnsi="Baskerville Old Face" w:cs="Times New Roman"/>
        </w:rPr>
        <w:t xml:space="preserve">, 352 Ill. App. 3d 1129, 1139, 818 N.E.2d 357, 288 Ill. Dec. 669 (2004). In our assessment, </w:t>
      </w:r>
      <w:r w:rsidRPr="0016514A">
        <w:rPr>
          <w:rFonts w:ascii="Baskerville Old Face" w:hAnsi="Baskerville Old Face" w:cs="Times New Roman"/>
          <w:i/>
          <w:iCs/>
        </w:rPr>
        <w:t>the enforceability of a restrictive covenant is best viewed as presenting separate questions of law and fact</w:t>
      </w:r>
      <w:r w:rsidRPr="0016514A">
        <w:rPr>
          <w:rFonts w:ascii="Baskerville Old Face" w:hAnsi="Baskerville Old Face" w:cs="Times New Roman"/>
        </w:rPr>
        <w:t>, in the same way as a ruling on a motion to suppress is currently viewed in Illinois. A ruling on a motion to suppress is reviewed as follows:</w:t>
      </w:r>
    </w:p>
    <w:p w14:paraId="6D3DA112" w14:textId="77777777" w:rsidR="00020BD9" w:rsidRPr="006A121F" w:rsidRDefault="00020BD9" w:rsidP="00020BD9">
      <w:pPr>
        <w:pStyle w:val="block-f2ndindent"/>
        <w:rPr>
          <w:rFonts w:ascii="Baskerville Old Face" w:hAnsi="Baskerville Old Face"/>
        </w:rPr>
      </w:pPr>
      <w:r w:rsidRPr="006A121F">
        <w:rPr>
          <w:rFonts w:ascii="Baskerville Old Face" w:hAnsi="Baskerville Old Face"/>
        </w:rPr>
        <w:t xml:space="preserve">“First, we uphold the trial court’s findings of historical fact unless such findings are against the manifest weight of the evidence. [Citation.] The trial court is in a superior position to determine and weigh the credibility of the witnesses, observe the witnesses’ demeanor, and resolve conflicts in their testimony. [Citation.] However, this court remains free to undertake its own assessment of the facts in relation to the issues presented and may draw its own conclusions when deciding what relief should be granted. [Citation.] Accordingly, we review de novo the ultimate question of whether the evidence should be suppressed. [Citation.]” </w:t>
      </w:r>
      <w:r w:rsidRPr="006A121F">
        <w:rPr>
          <w:rFonts w:ascii="Baskerville Old Face" w:hAnsi="Baskerville Old Face"/>
          <w:i/>
        </w:rPr>
        <w:t>People v. Conner</w:t>
      </w:r>
      <w:r w:rsidRPr="006A121F">
        <w:rPr>
          <w:rFonts w:ascii="Baskerville Old Face" w:hAnsi="Baskerville Old Face"/>
        </w:rPr>
        <w:t>, 358 Ill. App. 3d 945, 948–49, 832 N.E.2d 442, 295 Ill. Dec. 291 (2005).</w:t>
      </w:r>
    </w:p>
    <w:p w14:paraId="7059313D" w14:textId="77777777" w:rsidR="00020BD9" w:rsidRPr="0016514A" w:rsidRDefault="00020BD9" w:rsidP="00020BD9">
      <w:pPr>
        <w:pStyle w:val="block-f-0"/>
        <w:rPr>
          <w:rFonts w:ascii="Baskerville Old Face" w:hAnsi="Baskerville Old Face" w:cs="Times New Roman"/>
        </w:rPr>
      </w:pPr>
      <w:r w:rsidRPr="0016514A">
        <w:rPr>
          <w:rFonts w:ascii="Baskerville Old Face" w:hAnsi="Baskerville Old Face" w:cs="Times New Roman"/>
        </w:rPr>
        <w:t xml:space="preserve">Where there are no disputed facts, the review is entirely de novo. </w:t>
      </w:r>
      <w:r w:rsidRPr="0016514A">
        <w:rPr>
          <w:rFonts w:ascii="Baskerville Old Face" w:hAnsi="Baskerville Old Face" w:cs="Times New Roman"/>
          <w:i/>
          <w:iCs/>
        </w:rPr>
        <w:t>People v. Miles</w:t>
      </w:r>
      <w:r w:rsidRPr="0016514A">
        <w:rPr>
          <w:rFonts w:ascii="Baskerville Old Face" w:hAnsi="Baskerville Old Face" w:cs="Times New Roman"/>
        </w:rPr>
        <w:t xml:space="preserve">, 343 Ill. App. 3d 1026, 1030, 798 N.E.2d 1279, 278 Ill. Dec. 522 (2003). Courts in other jurisdictions have taken this two-tiered approach to restrictive covenants. </w:t>
      </w:r>
      <w:r w:rsidRPr="0016514A">
        <w:rPr>
          <w:rFonts w:ascii="Baskerville Old Face" w:hAnsi="Baskerville Old Face" w:cs="Times New Roman"/>
          <w:i/>
          <w:iCs/>
        </w:rPr>
        <w:t>See, e.g., Turner v. Caplan</w:t>
      </w:r>
      <w:r w:rsidRPr="0016514A">
        <w:rPr>
          <w:rFonts w:ascii="Baskerville Old Face" w:hAnsi="Baskerville Old Face" w:cs="Times New Roman"/>
        </w:rPr>
        <w:t xml:space="preserve">, 268 Va. 122, 125, 596 S.E.2d 525, 527 (Va. 2004); </w:t>
      </w:r>
      <w:r w:rsidRPr="0016514A">
        <w:rPr>
          <w:rFonts w:ascii="Baskerville Old Face" w:hAnsi="Baskerville Old Face" w:cs="Times New Roman"/>
          <w:i/>
          <w:iCs/>
        </w:rPr>
        <w:t>Mutual Service Casualty Insurance Co. v. Brass</w:t>
      </w:r>
      <w:r w:rsidRPr="0016514A">
        <w:rPr>
          <w:rFonts w:ascii="Baskerville Old Face" w:hAnsi="Baskerville Old Face" w:cs="Times New Roman"/>
        </w:rPr>
        <w:t xml:space="preserve">, 2001 WI App 92, 242 Wis. 2d 733, 737, 625 N.W.2d 648, 651 (Wis. App. 2001). We hold that, where the existence of a legitimate business interest turns on an issue of disputed fact, such issue is reviewed under the manifest-weight standard, but the question of </w:t>
      </w:r>
      <w:r w:rsidRPr="0016514A">
        <w:rPr>
          <w:rFonts w:ascii="Baskerville Old Face" w:hAnsi="Baskerville Old Face" w:cs="Times New Roman"/>
        </w:rPr>
        <w:lastRenderedPageBreak/>
        <w:t>whether a covenant is enforceable under the facts is a legal question subject to de novo review. Of course, where the issue on review is whether a preliminary injunction should issue to enforce a restrictive covenant whose validity is in question, the reviewing court may find itself applying three different standards. The manifest-weight and de novo standards will apply to the question of enforceability, and whether a covenant is enforceable or not will become a factor in the ultimate analysis of whether a preliminary injunction should issue, such analysis being reviewable for abuse of discretion.</w:t>
      </w:r>
    </w:p>
    <w:p w14:paraId="28C2DB2F" w14:textId="7A90153D" w:rsidR="00655396" w:rsidRDefault="00020BD9" w:rsidP="008B512B">
      <w:pPr>
        <w:pStyle w:val="BodyText"/>
        <w:spacing w:line="240" w:lineRule="auto"/>
        <w:rPr>
          <w:rFonts w:ascii="Baskerville Old Face" w:hAnsi="Baskerville Old Face"/>
        </w:rPr>
      </w:pPr>
      <w:r w:rsidRPr="0016514A">
        <w:rPr>
          <w:rFonts w:ascii="Baskerville Old Face" w:hAnsi="Baskerville Old Face"/>
          <w:i/>
          <w:iCs/>
        </w:rPr>
        <w:t>Id.</w:t>
      </w:r>
      <w:r w:rsidRPr="0016514A">
        <w:rPr>
          <w:rFonts w:ascii="Baskerville Old Face" w:hAnsi="Baskerville Old Face"/>
        </w:rPr>
        <w:t>, 839 N.E.2d at 614–15 (emphasis added).</w:t>
      </w:r>
    </w:p>
    <w:p w14:paraId="048BB3E8" w14:textId="77777777" w:rsidR="00904515" w:rsidRDefault="00904515" w:rsidP="008B512B">
      <w:pPr>
        <w:pStyle w:val="BodyText"/>
        <w:spacing w:line="240" w:lineRule="auto"/>
      </w:pPr>
    </w:p>
    <w:p w14:paraId="565F74D0" w14:textId="77777777" w:rsidR="00655396" w:rsidRDefault="00655396" w:rsidP="008B512B">
      <w:pPr>
        <w:pStyle w:val="SubQuestion"/>
        <w:spacing w:line="240" w:lineRule="auto"/>
      </w:pPr>
      <w:r>
        <w:t>a.</w:t>
      </w:r>
      <w:r>
        <w:tab/>
        <w:t>Does the signing of a covenant not to compete at the inception of the employment relationship provide sufficient consideration to support the covenant?</w:t>
      </w:r>
    </w:p>
    <w:p w14:paraId="27112821"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583D484A" w14:textId="70E36C63"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The U.S. Court of Appeals for “the Seventh Circuit has rejected the distinction between pre and post-hire covenants” with respect to the consideration required to support the covenant. </w:t>
      </w:r>
      <w:r>
        <w:rPr>
          <w:rFonts w:ascii="Baskerville" w:hAnsi="Baskerville" w:cs="Baskerville"/>
          <w:i/>
          <w:iCs/>
        </w:rPr>
        <w:t>Bires v. WalTom, LLC</w:t>
      </w:r>
      <w:r>
        <w:rPr>
          <w:rFonts w:ascii="Baskerville" w:hAnsi="Baskerville" w:cs="Baskerville"/>
        </w:rPr>
        <w:t xml:space="preserve">, 662 F. Supp. 2d 1019, 1030 (N.D. Ill. 2009) (citing </w:t>
      </w:r>
      <w:r>
        <w:rPr>
          <w:rFonts w:ascii="Baskerville" w:hAnsi="Baskerville" w:cs="Baskerville"/>
          <w:i/>
          <w:iCs/>
        </w:rPr>
        <w:t>Curtis 1000, Inc. v. Suess,</w:t>
      </w:r>
      <w:r>
        <w:rPr>
          <w:rFonts w:ascii="Baskerville" w:hAnsi="Baskerville" w:cs="Baskerville"/>
        </w:rPr>
        <w:t xml:space="preserve"> 24 F.3d 941, 947 (7th Cir. 1994) (stating that “continued employment for a substantial period is good consideration for the covenant and the only effect of drawing a distinction between pre-hire and post-hire covenants would be to induce employers whose employees had signed such a covenant after they started working to fire those employees and rehire them the following day with a fresh covenant not to compete”)).</w:t>
      </w:r>
      <w:r w:rsidR="00FB1D09">
        <w:rPr>
          <w:rFonts w:ascii="Baskerville" w:hAnsi="Baskerville" w:cs="Baskerville"/>
        </w:rPr>
        <w:t xml:space="preserve"> </w:t>
      </w:r>
      <w:r>
        <w:rPr>
          <w:rFonts w:ascii="Baskerville" w:hAnsi="Baskerville" w:cs="Baskerville"/>
        </w:rPr>
        <w:t xml:space="preserve">For guidance on this issue, see the answers to Questions 3.b. and 3.c, </w:t>
      </w:r>
      <w:r>
        <w:rPr>
          <w:rFonts w:ascii="Baskerville" w:hAnsi="Baskerville" w:cs="Baskerville"/>
          <w:i/>
          <w:iCs/>
        </w:rPr>
        <w:t>infra</w:t>
      </w:r>
      <w:r>
        <w:rPr>
          <w:rFonts w:ascii="Baskerville" w:hAnsi="Baskerville" w:cs="Baskerville"/>
        </w:rPr>
        <w:t>.</w:t>
      </w:r>
    </w:p>
    <w:p w14:paraId="420B119B"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3DAF2F2A" w14:textId="77777777" w:rsidR="00655396" w:rsidRDefault="00655396" w:rsidP="008B512B">
      <w:pPr>
        <w:pStyle w:val="SubQuestion"/>
        <w:spacing w:line="240" w:lineRule="auto"/>
      </w:pPr>
      <w:r>
        <w:t>b.</w:t>
      </w:r>
      <w:r>
        <w:tab/>
        <w:t>Will a change in the terms and conditions of employment provide sufficient consideration to support a covenant not to compete entered into after the employment relationship has begun?</w:t>
      </w:r>
    </w:p>
    <w:p w14:paraId="04B13F85" w14:textId="77777777" w:rsidR="00655396" w:rsidRDefault="00655396" w:rsidP="008B512B">
      <w:pPr>
        <w:pStyle w:val="BodyText"/>
        <w:spacing w:line="240" w:lineRule="auto"/>
      </w:pPr>
    </w:p>
    <w:p w14:paraId="27D6897B" w14:textId="7B6003E0" w:rsidR="0061628C" w:rsidRDefault="00655396" w:rsidP="008B512B">
      <w:pPr>
        <w:pStyle w:val="BodyText"/>
        <w:spacing w:line="240" w:lineRule="auto"/>
      </w:pPr>
      <w:r>
        <w:tab/>
      </w:r>
    </w:p>
    <w:p w14:paraId="2D819EFD" w14:textId="460ACE49" w:rsidR="0061628C" w:rsidRPr="00522826" w:rsidRDefault="002B3C3E" w:rsidP="006A121F">
      <w:pPr>
        <w:pStyle w:val="Heading1"/>
        <w:shd w:val="clear" w:color="auto" w:fill="FFFFFF"/>
        <w:spacing w:before="0" w:line="240" w:lineRule="auto"/>
        <w:rPr>
          <w:rFonts w:ascii="Baskerville" w:hAnsi="Baskerville" w:cs="Open Sans"/>
          <w:color w:val="000000" w:themeColor="text1"/>
          <w:sz w:val="24"/>
          <w:szCs w:val="24"/>
          <w:u w:val="none"/>
        </w:rPr>
      </w:pPr>
      <w:r>
        <w:rPr>
          <w:rFonts w:ascii="Baskerville" w:hAnsi="Baskerville" w:cs="Arial"/>
          <w:color w:val="333333"/>
          <w:sz w:val="24"/>
          <w:szCs w:val="24"/>
          <w:u w:val="none"/>
        </w:rPr>
        <w:lastRenderedPageBreak/>
        <w:tab/>
      </w:r>
      <w:r w:rsidR="0061628C" w:rsidRPr="00B0371B">
        <w:rPr>
          <w:rFonts w:ascii="Baskerville" w:hAnsi="Baskerville" w:cs="Arial"/>
          <w:color w:val="000000" w:themeColor="text1"/>
          <w:sz w:val="24"/>
          <w:szCs w:val="24"/>
          <w:u w:val="none"/>
        </w:rPr>
        <w:t xml:space="preserve">Effective January 1, 2022, </w:t>
      </w:r>
      <w:r w:rsidR="00C113DC">
        <w:rPr>
          <w:rFonts w:ascii="Baskerville" w:hAnsi="Baskerville" w:cs="Arial"/>
          <w:color w:val="000000" w:themeColor="text1"/>
          <w:sz w:val="24"/>
          <w:szCs w:val="24"/>
          <w:u w:val="none"/>
        </w:rPr>
        <w:t xml:space="preserve">the </w:t>
      </w:r>
      <w:r w:rsidR="00C113DC" w:rsidRPr="00C113DC">
        <w:rPr>
          <w:rFonts w:ascii="Baskerville" w:hAnsi="Baskerville" w:cs="Arial"/>
          <w:color w:val="000000" w:themeColor="text1"/>
          <w:sz w:val="24"/>
          <w:szCs w:val="24"/>
          <w:u w:val="none"/>
        </w:rPr>
        <w:t>Illinois</w:t>
      </w:r>
      <w:r w:rsidR="00C113DC">
        <w:rPr>
          <w:rFonts w:ascii="Baskerville" w:hAnsi="Baskerville" w:cs="Arial"/>
          <w:color w:val="000000" w:themeColor="text1"/>
          <w:sz w:val="24"/>
          <w:szCs w:val="24"/>
          <w:u w:val="none"/>
        </w:rPr>
        <w:t xml:space="preserve"> restrictive covenant statute,</w:t>
      </w:r>
      <w:r w:rsidR="00C113DC" w:rsidRPr="00B0371B">
        <w:rPr>
          <w:rFonts w:ascii="Baskerville" w:hAnsi="Baskerville" w:cs="Arial"/>
          <w:color w:val="000000" w:themeColor="text1"/>
          <w:sz w:val="24"/>
          <w:szCs w:val="24"/>
          <w:u w:val="none"/>
        </w:rPr>
        <w:t xml:space="preserve"> </w:t>
      </w:r>
      <w:r w:rsidR="0061628C" w:rsidRPr="00B0371B">
        <w:rPr>
          <w:rFonts w:ascii="Baskerville" w:hAnsi="Baskerville" w:cs="Arial"/>
          <w:color w:val="000000" w:themeColor="text1"/>
          <w:sz w:val="24"/>
          <w:szCs w:val="24"/>
          <w:u w:val="none"/>
        </w:rPr>
        <w:t>820 ILCS 90/5</w:t>
      </w:r>
      <w:r w:rsidR="001749E9">
        <w:rPr>
          <w:rFonts w:ascii="Baskerville" w:hAnsi="Baskerville" w:cs="Arial"/>
          <w:color w:val="000000" w:themeColor="text1"/>
          <w:sz w:val="24"/>
          <w:szCs w:val="24"/>
          <w:u w:val="none"/>
        </w:rPr>
        <w:t>,</w:t>
      </w:r>
      <w:r w:rsidR="0061628C" w:rsidRPr="00B0371B">
        <w:rPr>
          <w:rFonts w:ascii="Baskerville" w:hAnsi="Baskerville" w:cs="Open Sans"/>
          <w:color w:val="000000" w:themeColor="text1"/>
          <w:sz w:val="24"/>
          <w:szCs w:val="24"/>
          <w:u w:val="none"/>
        </w:rPr>
        <w:t xml:space="preserve"> requires that an employee work for the employer “for at least 2 years after the employee signed an agreement containing a covenant not to compete or a covenant not to solicit” if the </w:t>
      </w:r>
      <w:r w:rsidRPr="00B0371B">
        <w:rPr>
          <w:rFonts w:ascii="Baskerville" w:hAnsi="Baskerville" w:cs="Open Sans"/>
          <w:color w:val="000000" w:themeColor="text1"/>
          <w:sz w:val="24"/>
          <w:szCs w:val="24"/>
          <w:u w:val="none"/>
        </w:rPr>
        <w:t xml:space="preserve">employer does not </w:t>
      </w:r>
      <w:r w:rsidR="0061628C" w:rsidRPr="00B0371B">
        <w:rPr>
          <w:rFonts w:ascii="Baskerville" w:hAnsi="Baskerville" w:cs="Open Sans"/>
          <w:color w:val="000000" w:themeColor="text1"/>
          <w:sz w:val="24"/>
          <w:szCs w:val="24"/>
          <w:u w:val="none"/>
        </w:rPr>
        <w:t xml:space="preserve">otherwise provide consideration adequate to support an agreement not </w:t>
      </w:r>
      <w:r w:rsidR="003D4127">
        <w:rPr>
          <w:rFonts w:ascii="Baskerville" w:hAnsi="Baskerville" w:cs="Open Sans"/>
          <w:color w:val="000000" w:themeColor="text1"/>
          <w:sz w:val="24"/>
          <w:szCs w:val="24"/>
          <w:u w:val="none"/>
        </w:rPr>
        <w:t xml:space="preserve">to </w:t>
      </w:r>
      <w:r w:rsidR="0061628C" w:rsidRPr="00B0371B">
        <w:rPr>
          <w:rFonts w:ascii="Baskerville" w:hAnsi="Baskerville" w:cs="Open Sans"/>
          <w:color w:val="000000" w:themeColor="text1"/>
          <w:sz w:val="24"/>
          <w:szCs w:val="24"/>
          <w:u w:val="none"/>
        </w:rPr>
        <w:t xml:space="preserve">compete or not </w:t>
      </w:r>
      <w:r w:rsidR="003D4127">
        <w:rPr>
          <w:rFonts w:ascii="Baskerville" w:hAnsi="Baskerville" w:cs="Open Sans"/>
          <w:color w:val="000000" w:themeColor="text1"/>
          <w:sz w:val="24"/>
          <w:szCs w:val="24"/>
          <w:u w:val="none"/>
        </w:rPr>
        <w:t xml:space="preserve">to </w:t>
      </w:r>
      <w:r w:rsidR="0061628C" w:rsidRPr="00B0371B">
        <w:rPr>
          <w:rFonts w:ascii="Baskerville" w:hAnsi="Baskerville" w:cs="Open Sans"/>
          <w:color w:val="000000" w:themeColor="text1"/>
          <w:sz w:val="24"/>
          <w:szCs w:val="24"/>
          <w:u w:val="none"/>
        </w:rPr>
        <w:t xml:space="preserve">solicit, </w:t>
      </w:r>
      <w:r w:rsidRPr="00B0371B">
        <w:rPr>
          <w:rFonts w:ascii="Baskerville" w:hAnsi="Baskerville" w:cs="Open Sans"/>
          <w:color w:val="000000" w:themeColor="text1"/>
          <w:sz w:val="24"/>
          <w:szCs w:val="24"/>
          <w:u w:val="none"/>
        </w:rPr>
        <w:t>“</w:t>
      </w:r>
      <w:r w:rsidR="0061628C" w:rsidRPr="00B0371B">
        <w:rPr>
          <w:rFonts w:ascii="Baskerville" w:hAnsi="Baskerville" w:cs="Open Sans"/>
          <w:color w:val="000000" w:themeColor="text1"/>
          <w:sz w:val="24"/>
          <w:szCs w:val="24"/>
          <w:u w:val="none"/>
        </w:rPr>
        <w:t>which consideration can consist of a period of employment plus additional professional or financial benefits or merely professional or financial benefits adequate by themselves.</w:t>
      </w:r>
      <w:r w:rsidRPr="00B0371B">
        <w:rPr>
          <w:rFonts w:ascii="Baskerville" w:hAnsi="Baskerville" w:cs="Open Sans"/>
          <w:color w:val="000000" w:themeColor="text1"/>
          <w:sz w:val="24"/>
          <w:szCs w:val="24"/>
          <w:u w:val="none"/>
        </w:rPr>
        <w:t>”</w:t>
      </w:r>
      <w:r w:rsidR="00B0371B" w:rsidRPr="00B0371B">
        <w:rPr>
          <w:rFonts w:ascii="Baskerville" w:hAnsi="Baskerville" w:cs="Arial"/>
          <w:color w:val="000000" w:themeColor="text1"/>
          <w:sz w:val="24"/>
          <w:szCs w:val="24"/>
          <w:u w:val="none"/>
        </w:rPr>
        <w:t xml:space="preserve"> 820 ILCS 90/5</w:t>
      </w:r>
      <w:r w:rsidR="00B0371B">
        <w:rPr>
          <w:rFonts w:ascii="Baskerville" w:hAnsi="Baskerville" w:cs="Arial"/>
          <w:color w:val="000000" w:themeColor="text1"/>
          <w:sz w:val="24"/>
          <w:szCs w:val="24"/>
          <w:u w:val="none"/>
        </w:rPr>
        <w:t>.</w:t>
      </w:r>
    </w:p>
    <w:p w14:paraId="1EDE7BF4" w14:textId="33CF86E7" w:rsidR="00655396" w:rsidRDefault="0061628C" w:rsidP="008B512B">
      <w:pPr>
        <w:pStyle w:val="BodyText"/>
        <w:spacing w:line="240" w:lineRule="auto"/>
      </w:pPr>
      <w:r>
        <w:tab/>
      </w:r>
      <w:r w:rsidR="00B0371B">
        <w:t xml:space="preserve">In a 2010 case, a federal district court sitting in Illinois determined that </w:t>
      </w:r>
      <w:r w:rsidR="00655396">
        <w:t>an employment agreement terminable at will, it may be modified by the employer with the introduction of a restrictive covenant, as a condition of continuing employment.</w:t>
      </w:r>
      <w:r w:rsidR="00FB1D09">
        <w:t xml:space="preserve"> </w:t>
      </w:r>
      <w:r w:rsidR="00655396">
        <w:rPr>
          <w:i/>
          <w:iCs/>
        </w:rPr>
        <w:t xml:space="preserve">Wignes v. Aon Corp. Excess Benefit Plan, </w:t>
      </w:r>
      <w:r w:rsidR="00655396">
        <w:t>2010 WL 1193756, at *4 (N.D. Ill. Mar. 19, 2010)</w:t>
      </w:r>
      <w:r w:rsidR="00B0371B">
        <w:t xml:space="preserve"> (ruling that, w</w:t>
      </w:r>
      <w:r w:rsidR="00655396">
        <w:t>hen an at-will employee continues to work after a change in his benefits plan, he is deemed to have accepted the change</w:t>
      </w:r>
      <w:r w:rsidR="00B0371B">
        <w:t>).</w:t>
      </w:r>
      <w:r w:rsidR="00655396">
        <w:rPr>
          <w:i/>
          <w:iCs/>
        </w:rPr>
        <w:t xml:space="preserve"> </w:t>
      </w:r>
      <w:r w:rsidR="00655396">
        <w:t xml:space="preserve">In </w:t>
      </w:r>
      <w:r w:rsidR="00655396">
        <w:rPr>
          <w:i/>
          <w:iCs/>
        </w:rPr>
        <w:t xml:space="preserve">Wignes, </w:t>
      </w:r>
      <w:r w:rsidR="00655396">
        <w:t xml:space="preserve">the employee continued to work for the employer for roughly four years after the plan was amended to include a noncompete provision. </w:t>
      </w:r>
      <w:r w:rsidR="00655396">
        <w:rPr>
          <w:i/>
          <w:iCs/>
        </w:rPr>
        <w:t xml:space="preserve">Id. </w:t>
      </w:r>
      <w:r w:rsidR="00655396">
        <w:t xml:space="preserve">On that basis, the court held that there was consideration for the covenant. </w:t>
      </w:r>
      <w:r w:rsidR="00655396">
        <w:rPr>
          <w:i/>
          <w:iCs/>
        </w:rPr>
        <w:t>Id.</w:t>
      </w:r>
    </w:p>
    <w:p w14:paraId="584600AD" w14:textId="63C84278" w:rsidR="00655396" w:rsidRDefault="00655396" w:rsidP="008B512B">
      <w:pPr>
        <w:pStyle w:val="BodyText"/>
        <w:spacing w:line="240" w:lineRule="auto"/>
      </w:pPr>
      <w:r>
        <w:tab/>
        <w:t xml:space="preserve">Note that stock options </w:t>
      </w:r>
      <w:r w:rsidR="00B0371B">
        <w:t xml:space="preserve">have been determined to be </w:t>
      </w:r>
      <w:r>
        <w:t>a type of consideration support</w:t>
      </w:r>
      <w:r w:rsidR="00B0371B">
        <w:t>ing</w:t>
      </w:r>
      <w:r>
        <w:t xml:space="preserve"> a covenant executed after the inception of employment.</w:t>
      </w:r>
      <w:r w:rsidR="00FB1D09">
        <w:t xml:space="preserve"> </w:t>
      </w:r>
      <w:r>
        <w:rPr>
          <w:i/>
          <w:iCs/>
        </w:rPr>
        <w:t>First Health Grp. Corp. v. National Prescription Adm’rs, Inc</w:t>
      </w:r>
      <w:r>
        <w:t xml:space="preserve">., 155 F. Supp. 2d 194, 229 (M.D. Pa. 2001) (applying Illinois law to covenant issues; finding confidentiality restriction was ancillary to a valid employment contract and supported by adequate consideration). See also </w:t>
      </w:r>
      <w:r>
        <w:rPr>
          <w:i/>
          <w:iCs/>
        </w:rPr>
        <w:t>Southern Illinois Medical Business Assocs. v. Camillo</w:t>
      </w:r>
      <w:r>
        <w:t>, 190 Ill. App. 3d 664, 138 Ill. Dec. 4, 546 N.E.2d 1059 (5th Dist. 1989), in which the court analyzed a covenant entered into 3 years after the parties’ employment relationship began as a question of the employer’s intent to restrict fair competition, not as a question of consideration. The employee’s annual salary was raised from $25,000 to $33,000.</w:t>
      </w:r>
    </w:p>
    <w:p w14:paraId="1094E02A" w14:textId="77777777" w:rsidR="00655396" w:rsidRDefault="00655396" w:rsidP="008B512B">
      <w:pPr>
        <w:pStyle w:val="BodyText"/>
        <w:spacing w:line="240" w:lineRule="auto"/>
      </w:pPr>
    </w:p>
    <w:p w14:paraId="3A6873A4"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 xml:space="preserve">The signing of [the employment] contract came after [the former employee] gave his letter of resignation, which criticized [the former employer’s] management. It also came at a time of economic distress when other employees’ salaries were being cut by five to ten percent. This employment contract, with its restrictive covenants, was an </w:t>
      </w:r>
      <w:r>
        <w:rPr>
          <w:rFonts w:ascii="Baskerville" w:hAnsi="Baskerville" w:cs="Baskerville"/>
          <w:sz w:val="22"/>
          <w:szCs w:val="22"/>
        </w:rPr>
        <w:lastRenderedPageBreak/>
        <w:t>attempt to assure [the former employer] that [the former employee] would not become a competitor. We find that this contract was initiated by [the former employer] to restrict competition rather than to protect any legitimate business interest.</w:t>
      </w:r>
    </w:p>
    <w:p w14:paraId="54291FE3" w14:textId="77777777" w:rsidR="00655396" w:rsidRDefault="00655396" w:rsidP="008B512B">
      <w:pPr>
        <w:pStyle w:val="NoParagraphStyle"/>
        <w:tabs>
          <w:tab w:val="left" w:pos="480"/>
          <w:tab w:val="left" w:pos="960"/>
          <w:tab w:val="left" w:pos="1440"/>
        </w:tabs>
        <w:spacing w:line="240" w:lineRule="auto"/>
        <w:ind w:left="480"/>
        <w:jc w:val="both"/>
        <w:rPr>
          <w:rFonts w:ascii="Baskerville" w:hAnsi="Baskerville" w:cs="Baskerville"/>
          <w:i/>
          <w:iCs/>
        </w:rPr>
      </w:pPr>
    </w:p>
    <w:p w14:paraId="48B921FA"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546 N.E.2d at 1067.</w:t>
      </w:r>
    </w:p>
    <w:p w14:paraId="01595DD9" w14:textId="77777777" w:rsidR="00655396" w:rsidRDefault="00655396" w:rsidP="008B512B">
      <w:pPr>
        <w:pStyle w:val="BodyText"/>
        <w:spacing w:line="240" w:lineRule="auto"/>
      </w:pPr>
      <w:r>
        <w:tab/>
        <w:t xml:space="preserve">Promises of advancement and partnership opportunities are illusory consideration where there is no </w:t>
      </w:r>
      <w:r>
        <w:rPr>
          <w:i/>
          <w:iCs/>
        </w:rPr>
        <w:t>guarantee</w:t>
      </w:r>
      <w:r>
        <w:t xml:space="preserve"> of partnership</w:t>
      </w:r>
      <w:r>
        <w:rPr>
          <w:i/>
          <w:iCs/>
        </w:rPr>
        <w:t>. Prairie Rheumatology Assocs., S.C. v. Francis</w:t>
      </w:r>
      <w:r>
        <w:t>, 388 Ill. Dec. 150, 24 N.E.3d 58 (Ct. App. 2015).</w:t>
      </w:r>
    </w:p>
    <w:p w14:paraId="5C720221" w14:textId="78324380" w:rsidR="00655396" w:rsidRDefault="00655396" w:rsidP="008B512B">
      <w:pPr>
        <w:pStyle w:val="BodyText"/>
        <w:spacing w:line="240" w:lineRule="auto"/>
      </w:pPr>
      <w:r>
        <w:tab/>
        <w:t>On a related point, note that the receipt of specified pay raises on the execution of successive employment contracts containing a covenant not to compete clause is a factor Illinois courts may consider in determining whether the employment contract is one of adhesion or otherwise unconscionable.</w:t>
      </w:r>
      <w:r w:rsidR="00FB1D09">
        <w:t xml:space="preserve"> </w:t>
      </w:r>
      <w:r>
        <w:rPr>
          <w:i/>
          <w:iCs/>
        </w:rPr>
        <w:t>See</w:t>
      </w:r>
      <w:r>
        <w:t xml:space="preserve">, </w:t>
      </w:r>
      <w:r>
        <w:rPr>
          <w:i/>
          <w:iCs/>
        </w:rPr>
        <w:t>e.g.</w:t>
      </w:r>
      <w:r>
        <w:t xml:space="preserve">, </w:t>
      </w:r>
      <w:r>
        <w:rPr>
          <w:i/>
          <w:iCs/>
        </w:rPr>
        <w:t>Midwest Tel., Inc. v. Oloffson</w:t>
      </w:r>
      <w:r>
        <w:t xml:space="preserve">, 298 Ill. App. 3d 548, 558, 232 Ill. Dec. 783, 789, 699 N.E.2d 230, 236 (3d Dist. 1998) (finding contract not one of adhesion or otherwise unconscionable; noting that employee received specified pay raises and guaranteed terms of employment upon execution of contracts; also noting that employee successfully renegotiated noncovenant portions of contract); </w:t>
      </w:r>
      <w:r>
        <w:rPr>
          <w:i/>
          <w:iCs/>
        </w:rPr>
        <w:t xml:space="preserve">but see Prairie Rheumatology Assocs. v. Francis, </w:t>
      </w:r>
      <w:r>
        <w:t>2014 IL App (3d) 140338, 388 Ill. Dec. 150, 24 N.E.3d 58 (3d Dist. 2014) (holding consideration insufficient in that hospital did not obtain credentials for physician, and advancement and partnership opportunities were illusory in that promised shareholder consideration was not guarantee of partnership).</w:t>
      </w:r>
    </w:p>
    <w:p w14:paraId="4B9A8B1C" w14:textId="77777777" w:rsidR="00904515" w:rsidRDefault="00904515" w:rsidP="008B512B">
      <w:pPr>
        <w:pStyle w:val="BodyText"/>
        <w:spacing w:line="240" w:lineRule="auto"/>
      </w:pPr>
    </w:p>
    <w:p w14:paraId="1CC8A3F4" w14:textId="77777777" w:rsidR="00655396" w:rsidRDefault="00655396" w:rsidP="008B512B">
      <w:pPr>
        <w:pStyle w:val="BodyText"/>
        <w:spacing w:line="240" w:lineRule="auto"/>
      </w:pPr>
    </w:p>
    <w:p w14:paraId="58467F29" w14:textId="77777777" w:rsidR="00655396" w:rsidRDefault="00655396" w:rsidP="008B512B">
      <w:pPr>
        <w:pStyle w:val="SubQuestion"/>
        <w:spacing w:line="240" w:lineRule="auto"/>
      </w:pPr>
      <w:r>
        <w:t>c.</w:t>
      </w:r>
      <w:r>
        <w:tab/>
        <w:t>Will continued employment provide sufficient consideration to support a covenant not to compete entered into after the employment relationship has begun?</w:t>
      </w:r>
    </w:p>
    <w:p w14:paraId="39046C68" w14:textId="77777777" w:rsidR="00B0371B" w:rsidRDefault="00B0371B" w:rsidP="008B512B">
      <w:pPr>
        <w:pStyle w:val="NoParagraphStyle"/>
        <w:tabs>
          <w:tab w:val="left" w:pos="480"/>
          <w:tab w:val="left" w:pos="960"/>
          <w:tab w:val="left" w:pos="1440"/>
        </w:tabs>
        <w:spacing w:line="240" w:lineRule="auto"/>
        <w:jc w:val="both"/>
        <w:rPr>
          <w:rFonts w:ascii="Baskerville" w:hAnsi="Baskerville" w:cs="Arial"/>
          <w:color w:val="000000" w:themeColor="text1"/>
        </w:rPr>
      </w:pPr>
    </w:p>
    <w:p w14:paraId="2E835519" w14:textId="34DA3985" w:rsidR="00C10685" w:rsidRPr="006A121F" w:rsidRDefault="00B0371B" w:rsidP="00C10685">
      <w:pPr>
        <w:pStyle w:val="NoParagraphStyle"/>
        <w:tabs>
          <w:tab w:val="left" w:pos="480"/>
          <w:tab w:val="left" w:pos="960"/>
          <w:tab w:val="left" w:pos="1440"/>
        </w:tabs>
        <w:spacing w:line="240" w:lineRule="auto"/>
        <w:jc w:val="both"/>
        <w:rPr>
          <w:rFonts w:ascii="Baskerville" w:hAnsi="Baskerville"/>
          <w:color w:val="000000" w:themeColor="text1"/>
        </w:rPr>
      </w:pPr>
      <w:r>
        <w:rPr>
          <w:rFonts w:ascii="Baskerville" w:hAnsi="Baskerville" w:cs="Arial"/>
          <w:color w:val="000000" w:themeColor="text1"/>
        </w:rPr>
        <w:tab/>
      </w:r>
      <w:r w:rsidRPr="00B0371B">
        <w:rPr>
          <w:rFonts w:ascii="Baskerville" w:hAnsi="Baskerville" w:cs="Arial"/>
          <w:color w:val="000000" w:themeColor="text1"/>
        </w:rPr>
        <w:t xml:space="preserve">Effective January 1, 2022, </w:t>
      </w:r>
      <w:r w:rsidR="00C113DC">
        <w:rPr>
          <w:rFonts w:ascii="Baskerville" w:hAnsi="Baskerville" w:cs="Arial"/>
          <w:color w:val="000000" w:themeColor="text1"/>
        </w:rPr>
        <w:t xml:space="preserve">the </w:t>
      </w:r>
      <w:r w:rsidR="00C113DC" w:rsidRPr="00C113DC">
        <w:rPr>
          <w:rFonts w:ascii="Baskerville" w:hAnsi="Baskerville" w:cs="Arial"/>
          <w:color w:val="000000" w:themeColor="text1"/>
        </w:rPr>
        <w:t>Illinois</w:t>
      </w:r>
      <w:r w:rsidR="00C113DC">
        <w:rPr>
          <w:rFonts w:ascii="Baskerville" w:hAnsi="Baskerville" w:cs="Arial"/>
          <w:color w:val="000000" w:themeColor="text1"/>
        </w:rPr>
        <w:t xml:space="preserve"> restrictive covenant statute,</w:t>
      </w:r>
      <w:r w:rsidR="00C113DC" w:rsidRPr="00B0371B">
        <w:rPr>
          <w:rFonts w:ascii="Baskerville" w:hAnsi="Baskerville" w:cs="Arial"/>
          <w:color w:val="000000" w:themeColor="text1"/>
        </w:rPr>
        <w:t xml:space="preserve"> </w:t>
      </w:r>
      <w:r w:rsidRPr="00B0371B">
        <w:rPr>
          <w:rFonts w:ascii="Baskerville" w:hAnsi="Baskerville" w:cs="Arial"/>
          <w:color w:val="000000" w:themeColor="text1"/>
        </w:rPr>
        <w:t>820 ILCS 90/5</w:t>
      </w:r>
      <w:r w:rsidR="001749E9">
        <w:rPr>
          <w:rFonts w:ascii="Baskerville" w:hAnsi="Baskerville" w:cs="Arial"/>
          <w:color w:val="000000" w:themeColor="text1"/>
        </w:rPr>
        <w:t>,</w:t>
      </w:r>
      <w:r w:rsidRPr="00B0371B">
        <w:rPr>
          <w:rFonts w:ascii="Baskerville" w:hAnsi="Baskerville" w:cs="Open Sans"/>
          <w:color w:val="000000" w:themeColor="text1"/>
        </w:rPr>
        <w:t xml:space="preserve"> requires that an employee work for the employer “for at least 2 years after the employee signed an agreement containing a covenant not to compete or a covenant not to solicit” if the employer does not otherwise provide consideration adequate to support an agreement not </w:t>
      </w:r>
      <w:r w:rsidR="003D4127">
        <w:rPr>
          <w:rFonts w:ascii="Baskerville" w:hAnsi="Baskerville" w:cs="Open Sans"/>
          <w:color w:val="000000" w:themeColor="text1"/>
        </w:rPr>
        <w:t xml:space="preserve">to </w:t>
      </w:r>
      <w:r w:rsidRPr="00B0371B">
        <w:rPr>
          <w:rFonts w:ascii="Baskerville" w:hAnsi="Baskerville" w:cs="Open Sans"/>
          <w:color w:val="000000" w:themeColor="text1"/>
        </w:rPr>
        <w:t xml:space="preserve">compete or </w:t>
      </w:r>
      <w:r w:rsidR="003D4127">
        <w:rPr>
          <w:rFonts w:ascii="Baskerville" w:hAnsi="Baskerville" w:cs="Open Sans"/>
          <w:color w:val="000000" w:themeColor="text1"/>
        </w:rPr>
        <w:t xml:space="preserve">not </w:t>
      </w:r>
      <w:r w:rsidRPr="00B0371B">
        <w:rPr>
          <w:rFonts w:ascii="Baskerville" w:hAnsi="Baskerville" w:cs="Open Sans"/>
          <w:color w:val="000000" w:themeColor="text1"/>
        </w:rPr>
        <w:t xml:space="preserve">to solicit, “which consideration can consist of a period of employment plus additional professional or </w:t>
      </w:r>
      <w:r w:rsidRPr="00B0371B">
        <w:rPr>
          <w:rFonts w:ascii="Baskerville" w:hAnsi="Baskerville" w:cs="Open Sans"/>
          <w:color w:val="000000" w:themeColor="text1"/>
        </w:rPr>
        <w:lastRenderedPageBreak/>
        <w:t xml:space="preserve">financial benefits or merely professional or financial benefits </w:t>
      </w:r>
      <w:r w:rsidRPr="00E56CAB">
        <w:rPr>
          <w:rFonts w:ascii="Baskerville" w:hAnsi="Baskerville" w:cs="Open Sans"/>
          <w:color w:val="000000" w:themeColor="text1"/>
        </w:rPr>
        <w:t>adequate by themselves.”</w:t>
      </w:r>
      <w:r w:rsidRPr="00E56CAB">
        <w:rPr>
          <w:rFonts w:ascii="Baskerville" w:hAnsi="Baskerville" w:cs="Arial"/>
          <w:color w:val="000000" w:themeColor="text1"/>
        </w:rPr>
        <w:t xml:space="preserve"> 820 ILCS 90/5.</w:t>
      </w:r>
    </w:p>
    <w:p w14:paraId="10781FCF" w14:textId="73EA6E74" w:rsidR="00C10685" w:rsidRPr="00E56CAB" w:rsidRDefault="003D4127" w:rsidP="00E56CAB">
      <w:pPr>
        <w:shd w:val="clear" w:color="auto" w:fill="FFFFFF"/>
        <w:rPr>
          <w:rFonts w:ascii="Baskerville" w:hAnsi="Baskerville" w:cs="Open Sans"/>
          <w:color w:val="000000" w:themeColor="text1"/>
        </w:rPr>
      </w:pPr>
      <w:r>
        <w:rPr>
          <w:rFonts w:ascii="Baskerville" w:hAnsi="Baskerville" w:cs="Arial"/>
          <w:color w:val="000000" w:themeColor="text1"/>
        </w:rPr>
        <w:tab/>
      </w:r>
      <w:r w:rsidR="00C10685" w:rsidRPr="00E56CAB">
        <w:rPr>
          <w:rFonts w:ascii="Baskerville" w:hAnsi="Baskerville" w:cs="Arial"/>
          <w:color w:val="000000" w:themeColor="text1"/>
        </w:rPr>
        <w:t>The 2022 amendment follow</w:t>
      </w:r>
      <w:r w:rsidR="0048747E">
        <w:rPr>
          <w:rFonts w:ascii="Baskerville" w:hAnsi="Baskerville" w:cs="Arial"/>
          <w:color w:val="000000" w:themeColor="text1"/>
        </w:rPr>
        <w:t>ed</w:t>
      </w:r>
      <w:r w:rsidR="00C10685" w:rsidRPr="00E56CAB">
        <w:rPr>
          <w:rFonts w:ascii="Baskerville" w:hAnsi="Baskerville" w:cs="Arial"/>
          <w:color w:val="000000" w:themeColor="text1"/>
        </w:rPr>
        <w:t xml:space="preserve"> the 2016 prediction by the U.S. District Court for the Northern District of Illinois that </w:t>
      </w:r>
      <w:r w:rsidR="00C10685" w:rsidRPr="00E56CAB">
        <w:rPr>
          <w:rFonts w:ascii="Baskerville" w:hAnsi="Baskerville" w:cs="Open Sans"/>
          <w:color w:val="000000" w:themeColor="text1"/>
        </w:rPr>
        <w:t>the Illinois Supreme Court would not adopt a bright-line rule requiring two years of continued employment to support a postemployment restrictive covenant but would instead consider the totality of the circumstances.</w:t>
      </w:r>
      <w:r w:rsidR="00C10685" w:rsidRPr="00E56CAB">
        <w:rPr>
          <w:rStyle w:val="Emphasis"/>
          <w:rFonts w:ascii="Baskerville" w:hAnsi="Baskerville" w:cs="Open Sans"/>
          <w:color w:val="000000" w:themeColor="text1"/>
        </w:rPr>
        <w:t xml:space="preserve"> Allied Waste Servs. of N. Am., LLC v. Tibble</w:t>
      </w:r>
      <w:r w:rsidR="00C10685" w:rsidRPr="00E56CAB">
        <w:rPr>
          <w:rFonts w:ascii="Baskerville" w:hAnsi="Baskerville" w:cs="Open Sans"/>
          <w:color w:val="000000" w:themeColor="text1"/>
        </w:rPr>
        <w:t xml:space="preserve">, 177 F. Supp. 3d 110, 1107–09 (N.D. Ill. 2016) (cited in </w:t>
      </w:r>
      <w:r w:rsidR="00C10685" w:rsidRPr="00E56CAB">
        <w:rPr>
          <w:rFonts w:ascii="Baskerville" w:hAnsi="Baskerville" w:cs="Open Sans"/>
          <w:i/>
          <w:iCs/>
          <w:color w:val="000000" w:themeColor="text1"/>
        </w:rPr>
        <w:t>Medcor, Inc. v. Garcia</w:t>
      </w:r>
      <w:r w:rsidR="00C10685" w:rsidRPr="00E56CAB">
        <w:rPr>
          <w:rFonts w:ascii="Baskerville" w:hAnsi="Baskerville" w:cs="Open Sans"/>
          <w:color w:val="000000" w:themeColor="text1"/>
        </w:rPr>
        <w:t xml:space="preserve">, 2022 BL 12783, at *7 (N.D. Ill. Jan. 13, 2022)). </w:t>
      </w:r>
      <w:r w:rsidR="00C10685" w:rsidRPr="00E56CAB">
        <w:rPr>
          <w:rFonts w:ascii="Baskerville" w:hAnsi="Baskerville" w:cs="Open Sans"/>
          <w:i/>
          <w:iCs/>
          <w:color w:val="000000" w:themeColor="text1"/>
        </w:rPr>
        <w:t>See</w:t>
      </w:r>
      <w:r w:rsidR="00C10685" w:rsidRPr="00E56CAB">
        <w:rPr>
          <w:rFonts w:ascii="Baskerville" w:hAnsi="Baskerville" w:cs="Open Sans"/>
          <w:color w:val="000000" w:themeColor="text1"/>
        </w:rPr>
        <w:t xml:space="preserve"> </w:t>
      </w:r>
      <w:r w:rsidR="00C10685" w:rsidRPr="00E56CAB">
        <w:rPr>
          <w:rStyle w:val="Emphasis"/>
          <w:rFonts w:ascii="Baskerville" w:hAnsi="Baskerville" w:cs="Open Sans"/>
          <w:color w:val="000000" w:themeColor="text1"/>
        </w:rPr>
        <w:t>Guaranteed Rate, Inc. v. Wilson</w:t>
      </w:r>
      <w:r w:rsidR="00C10685" w:rsidRPr="00E56CAB">
        <w:rPr>
          <w:rFonts w:ascii="Baskerville" w:hAnsi="Baskerville" w:cs="Open Sans"/>
          <w:color w:val="000000" w:themeColor="text1"/>
        </w:rPr>
        <w:t>, 2020 BL 309448, 2020 U.S. Dist. LEXIS 146692, 2020 WL 4736395, at *3 (N.D. Ill. Aug. 14, 2020).</w:t>
      </w:r>
    </w:p>
    <w:p w14:paraId="624CB386" w14:textId="37D3D6DD" w:rsidR="00655396" w:rsidRDefault="00B0371B" w:rsidP="00E56CAB">
      <w:pPr>
        <w:pStyle w:val="NoParagraphStyle"/>
        <w:tabs>
          <w:tab w:val="left" w:pos="480"/>
          <w:tab w:val="left" w:pos="960"/>
          <w:tab w:val="left" w:pos="1440"/>
        </w:tabs>
        <w:spacing w:line="240" w:lineRule="auto"/>
        <w:jc w:val="both"/>
        <w:rPr>
          <w:rFonts w:ascii="Baskerville" w:hAnsi="Baskerville" w:cs="Baskerville"/>
          <w:spacing w:val="1"/>
        </w:rPr>
      </w:pPr>
      <w:r>
        <w:rPr>
          <w:rFonts w:ascii="Baskerville" w:hAnsi="Baskerville" w:cs="Baskerville"/>
        </w:rPr>
        <w:tab/>
        <w:t xml:space="preserve">Under </w:t>
      </w:r>
      <w:r w:rsidR="00E56CAB">
        <w:rPr>
          <w:rFonts w:ascii="Baskerville" w:hAnsi="Baskerville" w:cs="Baskerville"/>
        </w:rPr>
        <w:t xml:space="preserve">pre-amendment </w:t>
      </w:r>
      <w:r>
        <w:rPr>
          <w:rFonts w:ascii="Baskerville" w:hAnsi="Baskerville" w:cs="Baskerville"/>
        </w:rPr>
        <w:t xml:space="preserve">case law, courts ruled that continued employment would satisfy the requirement of consideration as long as the </w:t>
      </w:r>
      <w:r w:rsidR="00655396">
        <w:rPr>
          <w:rFonts w:ascii="Baskerville" w:hAnsi="Baskerville" w:cs="Baskerville"/>
          <w:spacing w:val="1"/>
        </w:rPr>
        <w:t xml:space="preserve">employment </w:t>
      </w:r>
      <w:r w:rsidR="0048747E">
        <w:rPr>
          <w:rFonts w:ascii="Baskerville" w:hAnsi="Baskerville" w:cs="Baskerville"/>
          <w:spacing w:val="1"/>
        </w:rPr>
        <w:t xml:space="preserve">had </w:t>
      </w:r>
      <w:r w:rsidR="00655396">
        <w:rPr>
          <w:rFonts w:ascii="Baskerville" w:hAnsi="Baskerville" w:cs="Baskerville"/>
          <w:spacing w:val="1"/>
        </w:rPr>
        <w:t>con</w:t>
      </w:r>
      <w:r w:rsidR="0048747E">
        <w:rPr>
          <w:rFonts w:ascii="Baskerville" w:hAnsi="Baskerville" w:cs="Baskerville"/>
          <w:spacing w:val="1"/>
        </w:rPr>
        <w:t xml:space="preserve">tinued </w:t>
      </w:r>
      <w:r w:rsidR="00655396">
        <w:rPr>
          <w:rFonts w:ascii="Baskerville" w:hAnsi="Baskerville" w:cs="Baskerville"/>
          <w:spacing w:val="1"/>
        </w:rPr>
        <w:t xml:space="preserve">for a “substantial period.” </w:t>
      </w:r>
      <w:r w:rsidR="00655396" w:rsidRPr="006A121F">
        <w:rPr>
          <w:rFonts w:ascii="Baskerville" w:hAnsi="Baskerville"/>
          <w:i/>
          <w:color w:val="000000" w:themeColor="text1"/>
          <w:spacing w:val="1"/>
        </w:rPr>
        <w:t>See</w:t>
      </w:r>
      <w:r w:rsidR="00E56CAB" w:rsidRPr="006A121F">
        <w:rPr>
          <w:rFonts w:ascii="Baskerville" w:hAnsi="Baskerville"/>
          <w:i/>
          <w:color w:val="000000" w:themeColor="text1"/>
          <w:spacing w:val="1"/>
        </w:rPr>
        <w:t xml:space="preserve"> </w:t>
      </w:r>
      <w:r w:rsidR="00655396">
        <w:rPr>
          <w:rFonts w:ascii="Baskerville" w:hAnsi="Baskerville" w:cs="Baskerville"/>
          <w:i/>
          <w:iCs/>
        </w:rPr>
        <w:t>Avison Young-Chicago, LLC v. Puritz</w:t>
      </w:r>
      <w:r w:rsidR="00655396">
        <w:rPr>
          <w:rFonts w:ascii="Baskerville" w:hAnsi="Baskerville" w:cs="Baskerville"/>
        </w:rPr>
        <w:t xml:space="preserve">, 2017 BL 426198, at *7 (N.D. Ill. Nov. 29, 2017) (ruling that, for purposes of surviving motion to dismiss, employment for about 17 months, together with receipt of bonuses before employees voluntarily resigned was, on the facts, sufficiently substantial period as to constitute sufficient consideration supporting nondisclosure covenants); </w:t>
      </w:r>
      <w:r w:rsidR="00655396">
        <w:rPr>
          <w:rFonts w:ascii="Baskerville" w:hAnsi="Baskerville" w:cs="Baskerville"/>
          <w:i/>
          <w:iCs/>
        </w:rPr>
        <w:t>Stericycle, Inc. v. Simota</w:t>
      </w:r>
      <w:r w:rsidR="00655396">
        <w:rPr>
          <w:rFonts w:ascii="Baskerville" w:hAnsi="Baskerville" w:cs="Baskerville"/>
        </w:rPr>
        <w:t>, 2017 BL 376877, at *1</w:t>
      </w:r>
      <w:r w:rsidR="004738F8">
        <w:rPr>
          <w:rFonts w:ascii="Baskerville" w:hAnsi="Baskerville" w:cs="Baskerville"/>
        </w:rPr>
        <w:t>, 2017 WL 4742197</w:t>
      </w:r>
      <w:r w:rsidR="00655396">
        <w:rPr>
          <w:rFonts w:ascii="Baskerville" w:hAnsi="Baskerville" w:cs="Baskerville"/>
        </w:rPr>
        <w:t xml:space="preserve"> (N.D. Ill. Oct. 20, 2017) (ruling that, for purposes of surviving motion to dismiss, roughly 13 months of continued at-will employment was </w:t>
      </w:r>
      <w:r w:rsidR="004738F8">
        <w:rPr>
          <w:rFonts w:ascii="Baskerville" w:hAnsi="Baskerville" w:cs="Baskerville"/>
        </w:rPr>
        <w:t xml:space="preserve">sufficiently </w:t>
      </w:r>
      <w:r w:rsidR="00655396">
        <w:rPr>
          <w:rFonts w:ascii="Baskerville" w:hAnsi="Baskerville" w:cs="Baskerville"/>
        </w:rPr>
        <w:t xml:space="preserve">substantial period as to constitute sufficient consideration supporting restrictive covenants executed by employees who voluntarily resigned, as opposed to being terminated); </w:t>
      </w:r>
      <w:r w:rsidR="00655396">
        <w:rPr>
          <w:rFonts w:ascii="Baskerville" w:hAnsi="Baskerville" w:cs="Baskerville"/>
          <w:i/>
          <w:iCs/>
        </w:rPr>
        <w:t>Bankers Life &amp; Cas. Co. v. Miller</w:t>
      </w:r>
      <w:r w:rsidR="00655396">
        <w:rPr>
          <w:rFonts w:ascii="Baskerville" w:hAnsi="Baskerville" w:cs="Baskerville"/>
        </w:rPr>
        <w:t xml:space="preserve">, 2015 BL 31658, at *4 (N.D. Ill. Feb. 6, 2015) (ruling that noncompetition covenants did not fail for inadequate consideration); </w:t>
      </w:r>
      <w:r w:rsidR="00655396">
        <w:rPr>
          <w:rFonts w:ascii="Baskerville" w:hAnsi="Baskerville" w:cs="Baskerville"/>
          <w:i/>
          <w:iCs/>
        </w:rPr>
        <w:t>Cumulus Radio Corp. v. Olson</w:t>
      </w:r>
      <w:r w:rsidR="00655396">
        <w:rPr>
          <w:rFonts w:ascii="Baskerville" w:hAnsi="Baskerville" w:cs="Baskerville"/>
        </w:rPr>
        <w:t xml:space="preserve">, 80 F. Supp. 3d 900 (C.D. Ill. 2015) (finding 15 months insufficient); </w:t>
      </w:r>
      <w:r w:rsidR="00655396">
        <w:rPr>
          <w:rFonts w:ascii="Baskerville" w:hAnsi="Baskerville" w:cs="Baskerville"/>
          <w:i/>
          <w:iCs/>
        </w:rPr>
        <w:t>Montel Aetnastak, Inc. v. Miessen</w:t>
      </w:r>
      <w:r w:rsidR="00655396">
        <w:rPr>
          <w:rFonts w:ascii="Baskerville" w:hAnsi="Baskerville" w:cs="Baskerville"/>
        </w:rPr>
        <w:t xml:space="preserve">, 998 F. Supp. 2d 694, 716–18 (N.D. Ill. 2014) (finding 15 months of employment sufficient); </w:t>
      </w:r>
      <w:r w:rsidR="00655396">
        <w:rPr>
          <w:rFonts w:ascii="Baskerville" w:hAnsi="Baskerville" w:cs="Baskerville"/>
          <w:i/>
          <w:iCs/>
        </w:rPr>
        <w:t>Instant Tech., LLC v. DeFazio</w:t>
      </w:r>
      <w:r w:rsidR="00655396">
        <w:rPr>
          <w:rFonts w:ascii="Baskerville" w:hAnsi="Baskerville" w:cs="Baskerville"/>
        </w:rPr>
        <w:t xml:space="preserve">, 40 F. Supp. 3d 989 (N.D. Ill. 2014) (striking down covenants with shorter employment periods); </w:t>
      </w:r>
      <w:r w:rsidR="00655396">
        <w:rPr>
          <w:rFonts w:ascii="Baskerville" w:hAnsi="Baskerville" w:cs="Baskerville"/>
          <w:i/>
          <w:iCs/>
        </w:rPr>
        <w:t xml:space="preserve">Prairie Rheumatology Assocs. v. Francis, </w:t>
      </w:r>
      <w:r w:rsidR="00655396">
        <w:rPr>
          <w:rFonts w:ascii="Baskerville" w:hAnsi="Baskerville" w:cs="Baskerville"/>
        </w:rPr>
        <w:t xml:space="preserve">2014 IL App (3d) 140338, 388 Ill. Dec. 150, 24 N.E.3d 58 (3d Dist. 2014) (reversing in part preliminary injunction prohibiting physician from competing for 2 years within 13-mile restricted zone on finding that physician had not worked 2 </w:t>
      </w:r>
      <w:r w:rsidR="00655396">
        <w:rPr>
          <w:rFonts w:ascii="Baskerville" w:hAnsi="Baskerville" w:cs="Baskerville"/>
        </w:rPr>
        <w:lastRenderedPageBreak/>
        <w:t xml:space="preserve">full years for employer, employer did not provide any additional consideration such as obtaining hospital credentials, and advancement and partnership opportunities were illusory in that promised shareholder consideration was not guarantee of partnership); </w:t>
      </w:r>
      <w:r w:rsidR="00655396">
        <w:rPr>
          <w:rFonts w:ascii="Baskerville" w:hAnsi="Baskerville" w:cs="Baskerville"/>
          <w:i/>
          <w:iCs/>
        </w:rPr>
        <w:t>Instant Tech., LLC v. DeFazio</w:t>
      </w:r>
      <w:r w:rsidR="00655396">
        <w:rPr>
          <w:rFonts w:ascii="Baskerville" w:hAnsi="Baskerville" w:cs="Baskerville"/>
        </w:rPr>
        <w:t xml:space="preserve">, No. 1:12-cv-00491, 2014 BL 126166 (N.D. Ill. May 2, 2014) (finding that noncompetition agreements lacked sufficient consideration for three employees who were employed less than 2 years, where agreements did not provide any other form of consideration); </w:t>
      </w:r>
      <w:r w:rsidR="00E56CAB" w:rsidRPr="006A121F">
        <w:rPr>
          <w:rStyle w:val="Emphasis"/>
          <w:color w:val="000000" w:themeColor="text1"/>
        </w:rPr>
        <w:t xml:space="preserve">Fifield v. Premier Dealer Servs., </w:t>
      </w:r>
      <w:r w:rsidR="00E56CAB" w:rsidRPr="00C10685">
        <w:rPr>
          <w:rStyle w:val="Emphasis"/>
          <w:rFonts w:ascii="Baskerville" w:hAnsi="Baskerville" w:cs="Open Sans"/>
          <w:color w:val="000000" w:themeColor="text1"/>
        </w:rPr>
        <w:t>Inc.</w:t>
      </w:r>
      <w:r w:rsidR="00E56CAB" w:rsidRPr="00C10685">
        <w:rPr>
          <w:rFonts w:ascii="Baskerville" w:hAnsi="Baskerville" w:cs="Open Sans"/>
          <w:color w:val="000000" w:themeColor="text1"/>
        </w:rPr>
        <w:t>,  </w:t>
      </w:r>
      <w:r w:rsidR="00E56CAB" w:rsidRPr="006A121F">
        <w:rPr>
          <w:rFonts w:ascii="Baskerville" w:hAnsi="Baskerville"/>
          <w:color w:val="000000" w:themeColor="text1"/>
        </w:rPr>
        <w:t>993 N.E.2d 938</w:t>
      </w:r>
      <w:r w:rsidR="00E56CAB" w:rsidRPr="00C10685">
        <w:rPr>
          <w:rFonts w:ascii="Baskerville" w:hAnsi="Baskerville" w:cs="Open Sans"/>
          <w:color w:val="000000" w:themeColor="text1"/>
        </w:rPr>
        <w:t xml:space="preserve">  373 </w:t>
      </w:r>
      <w:r w:rsidR="00E56CAB" w:rsidRPr="006A121F">
        <w:rPr>
          <w:rFonts w:ascii="Baskerville" w:hAnsi="Baskerville"/>
          <w:color w:val="000000" w:themeColor="text1"/>
        </w:rPr>
        <w:t xml:space="preserve">Ill. </w:t>
      </w:r>
      <w:r w:rsidR="00E56CAB" w:rsidRPr="006A121F">
        <w:rPr>
          <w:rFonts w:ascii="Baskerville" w:hAnsi="Baskerville"/>
          <w:color w:val="000000" w:themeColor="text1"/>
        </w:rPr>
        <w:t xml:space="preserve">Dec. </w:t>
      </w:r>
      <w:r w:rsidR="00E56CAB" w:rsidRPr="00C10685">
        <w:rPr>
          <w:rFonts w:ascii="Baskerville" w:hAnsi="Baskerville" w:cs="Open Sans"/>
          <w:color w:val="000000" w:themeColor="text1"/>
        </w:rPr>
        <w:t xml:space="preserve">379, 383 (Ill. Ct. </w:t>
      </w:r>
      <w:r w:rsidR="00E56CAB" w:rsidRPr="006A121F">
        <w:rPr>
          <w:rFonts w:ascii="Baskerville" w:hAnsi="Baskerville"/>
          <w:color w:val="000000" w:themeColor="text1"/>
        </w:rPr>
        <w:t xml:space="preserve">App. </w:t>
      </w:r>
      <w:r w:rsidR="00E56CAB" w:rsidRPr="00C10685">
        <w:rPr>
          <w:rFonts w:ascii="Baskerville" w:hAnsi="Baskerville" w:cs="Open Sans"/>
          <w:color w:val="000000" w:themeColor="text1"/>
        </w:rPr>
        <w:t>1st Dist</w:t>
      </w:r>
      <w:r w:rsidR="00E56CAB" w:rsidRPr="006A121F">
        <w:rPr>
          <w:rFonts w:ascii="Baskerville" w:hAnsi="Baskerville"/>
          <w:color w:val="000000" w:themeColor="text1"/>
        </w:rPr>
        <w:t xml:space="preserve">. 2013) </w:t>
      </w:r>
      <w:r w:rsidR="00655396">
        <w:rPr>
          <w:rFonts w:ascii="Baskerville" w:hAnsi="Baskerville" w:cs="Baskerville"/>
        </w:rPr>
        <w:t xml:space="preserve">(holding that continued employment of less than 2 years did not constitute adequate consideration for covenants not to compete, even for employees signing covenants at outset of employment; discussed in Ellen Girard Georgiadis, </w:t>
      </w:r>
      <w:r w:rsidR="00655396">
        <w:rPr>
          <w:rFonts w:ascii="Baskerville" w:hAnsi="Baskerville" w:cs="Baskerville"/>
          <w:i/>
          <w:iCs/>
        </w:rPr>
        <w:t>Some Illinois Non-Competes on Thin Ice in the Wake of Recent Ruling</w:t>
      </w:r>
      <w:r w:rsidR="00655396">
        <w:rPr>
          <w:rFonts w:ascii="Baskerville" w:hAnsi="Baskerville" w:cs="Baskerville"/>
        </w:rPr>
        <w:t>, 39</w:t>
      </w:r>
      <w:r w:rsidR="00655396">
        <w:rPr>
          <w:rFonts w:ascii="Baskerville" w:hAnsi="Baskerville" w:cs="Baskerville"/>
          <w:smallCaps/>
        </w:rPr>
        <w:t xml:space="preserve"> Emp. Rel. </w:t>
      </w:r>
      <w:r w:rsidR="00655396">
        <w:rPr>
          <w:rFonts w:ascii="Baskerville" w:hAnsi="Baskerville" w:cs="Baskerville"/>
        </w:rPr>
        <w:t xml:space="preserve">L.J. 84 (Spring 2014)); </w:t>
      </w:r>
      <w:r w:rsidR="00E56CAB" w:rsidRPr="00C10685">
        <w:rPr>
          <w:rFonts w:ascii="Baskerville" w:hAnsi="Baskerville" w:cs="Open Sans"/>
          <w:color w:val="000000" w:themeColor="text1"/>
        </w:rPr>
        <w:t>); </w:t>
      </w:r>
      <w:r w:rsidR="00E56CAB" w:rsidRPr="00C10685">
        <w:rPr>
          <w:rStyle w:val="Emphasis"/>
          <w:rFonts w:ascii="Baskerville" w:hAnsi="Baskerville" w:cs="Open Sans"/>
          <w:color w:val="000000" w:themeColor="text1"/>
        </w:rPr>
        <w:t>Diederich</w:t>
      </w:r>
      <w:r w:rsidR="00E56CAB" w:rsidRPr="006A121F">
        <w:rPr>
          <w:rStyle w:val="Emphasis"/>
          <w:color w:val="000000" w:themeColor="text1"/>
        </w:rPr>
        <w:t xml:space="preserve"> Ins. Agency, LLC v. Smith</w:t>
      </w:r>
      <w:r w:rsidR="00E56CAB" w:rsidRPr="006A121F">
        <w:rPr>
          <w:rFonts w:ascii="Baskerville" w:hAnsi="Baskerville"/>
          <w:color w:val="000000" w:themeColor="text1"/>
        </w:rPr>
        <w:t>,</w:t>
      </w:r>
      <w:r w:rsidR="00E56CAB" w:rsidRPr="00C10685">
        <w:rPr>
          <w:rFonts w:ascii="Baskerville" w:hAnsi="Baskerville" w:cs="Open Sans"/>
          <w:color w:val="000000" w:themeColor="text1"/>
        </w:rPr>
        <w:t> </w:t>
      </w:r>
      <w:r w:rsidR="00E56CAB" w:rsidRPr="006A121F">
        <w:rPr>
          <w:rFonts w:ascii="Baskerville" w:hAnsi="Baskerville"/>
          <w:color w:val="000000" w:themeColor="text1"/>
        </w:rPr>
        <w:t xml:space="preserve"> 952 N.E.2d 165,</w:t>
      </w:r>
      <w:r w:rsidR="00E56CAB" w:rsidRPr="00C10685">
        <w:rPr>
          <w:rFonts w:ascii="Baskerville" w:hAnsi="Baskerville" w:cs="Open Sans"/>
          <w:color w:val="000000" w:themeColor="text1"/>
        </w:rPr>
        <w:t> </w:t>
      </w:r>
      <w:r w:rsidR="00E56CAB" w:rsidRPr="006A121F">
        <w:rPr>
          <w:rFonts w:ascii="Baskerville" w:hAnsi="Baskerville"/>
          <w:color w:val="000000" w:themeColor="text1"/>
        </w:rPr>
        <w:t>169</w:t>
      </w:r>
      <w:r w:rsidR="00E56CAB">
        <w:rPr>
          <w:rFonts w:ascii="Baskerville" w:hAnsi="Baskerville" w:cs="Open Sans"/>
          <w:color w:val="000000" w:themeColor="text1"/>
        </w:rPr>
        <w:t xml:space="preserve">, </w:t>
      </w:r>
      <w:r w:rsidR="00E56CAB" w:rsidRPr="00C10685">
        <w:rPr>
          <w:rFonts w:ascii="Baskerville" w:hAnsi="Baskerville" w:cs="Open Sans"/>
          <w:color w:val="000000" w:themeColor="text1"/>
        </w:rPr>
        <w:t>351 Ill.</w:t>
      </w:r>
      <w:r w:rsidR="00E56CAB">
        <w:rPr>
          <w:rFonts w:ascii="Baskerville" w:hAnsi="Baskerville" w:cs="Open Sans"/>
          <w:color w:val="000000" w:themeColor="text1"/>
        </w:rPr>
        <w:t xml:space="preserve"> </w:t>
      </w:r>
      <w:r w:rsidR="00E56CAB" w:rsidRPr="00C10685">
        <w:rPr>
          <w:rFonts w:ascii="Baskerville" w:hAnsi="Baskerville" w:cs="Open Sans"/>
          <w:color w:val="000000" w:themeColor="text1"/>
        </w:rPr>
        <w:t>Dec. 792, 795</w:t>
      </w:r>
      <w:r w:rsidR="00E56CAB">
        <w:rPr>
          <w:rFonts w:ascii="Baskerville" w:hAnsi="Baskerville" w:cs="Open Sans"/>
          <w:color w:val="000000" w:themeColor="text1"/>
        </w:rPr>
        <w:t>–</w:t>
      </w:r>
      <w:r w:rsidR="00E56CAB" w:rsidRPr="00C10685">
        <w:rPr>
          <w:rFonts w:ascii="Baskerville" w:hAnsi="Baskerville" w:cs="Open Sans"/>
          <w:color w:val="000000" w:themeColor="text1"/>
        </w:rPr>
        <w:t xml:space="preserve">96 (Ill. Ct. App. </w:t>
      </w:r>
      <w:r w:rsidR="00E56CAB" w:rsidRPr="006A121F">
        <w:rPr>
          <w:rFonts w:ascii="Baskerville" w:hAnsi="Baskerville"/>
          <w:color w:val="000000" w:themeColor="text1"/>
        </w:rPr>
        <w:t>5th Dist. 2011)</w:t>
      </w:r>
      <w:r w:rsidR="00655396">
        <w:rPr>
          <w:rFonts w:ascii="Baskerville" w:hAnsi="Baskerville" w:cs="Baskerville"/>
        </w:rPr>
        <w:t xml:space="preserve"> (ruling that 3 months of</w:t>
      </w:r>
      <w:r w:rsidR="00FB1D09">
        <w:rPr>
          <w:rFonts w:ascii="Baskerville" w:hAnsi="Baskerville" w:cs="Baskerville"/>
        </w:rPr>
        <w:t xml:space="preserve"> </w:t>
      </w:r>
      <w:r w:rsidR="00655396">
        <w:rPr>
          <w:rFonts w:ascii="Baskerville" w:hAnsi="Baskerville" w:cs="Baskerville"/>
        </w:rPr>
        <w:t>continued employment of at-will employee, following signing of relevant nonsolicitation covenant, did not provide sufficient consideration for covenant; citing</w:t>
      </w:r>
      <w:r w:rsidR="00655396">
        <w:rPr>
          <w:rFonts w:ascii="Baskerville" w:hAnsi="Baskerville" w:cs="Baskerville"/>
          <w:i/>
          <w:iCs/>
        </w:rPr>
        <w:t xml:space="preserve"> Lawrence &amp; Allen, Inc. v. Cambridge Human Res. Grp., Inc.</w:t>
      </w:r>
      <w:r w:rsidR="00655396">
        <w:rPr>
          <w:rFonts w:ascii="Baskerville" w:hAnsi="Baskerville" w:cs="Baskerville"/>
        </w:rPr>
        <w:t>, 292 Ill. App. 3d 131, 138, 226 Ill. Dec. 331, 685 N.E.2d 434, 441</w:t>
      </w:r>
      <w:r w:rsidR="00FB1D09">
        <w:rPr>
          <w:rFonts w:ascii="Baskerville" w:hAnsi="Baskerville" w:cs="Baskerville"/>
        </w:rPr>
        <w:t xml:space="preserve"> </w:t>
      </w:r>
      <w:r w:rsidR="00655396">
        <w:rPr>
          <w:rFonts w:ascii="Baskerville" w:hAnsi="Baskerville" w:cs="Baskerville"/>
        </w:rPr>
        <w:t xml:space="preserve">(2d Dist. 1997), for the principle that, “in general, there must be at least two years or more of continued employment to constitute adequate consideration”); </w:t>
      </w:r>
      <w:r w:rsidR="00655396">
        <w:rPr>
          <w:rFonts w:ascii="Baskerville" w:hAnsi="Baskerville" w:cs="Baskerville"/>
          <w:i/>
          <w:iCs/>
        </w:rPr>
        <w:t>LKQ</w:t>
      </w:r>
      <w:r w:rsidR="00655396">
        <w:rPr>
          <w:rFonts w:ascii="Baskerville" w:hAnsi="Baskerville" w:cs="Baskerville"/>
        </w:rPr>
        <w:t xml:space="preserve"> </w:t>
      </w:r>
      <w:r w:rsidR="00655396">
        <w:rPr>
          <w:rFonts w:ascii="Baskerville" w:hAnsi="Baskerville" w:cs="Baskerville"/>
          <w:i/>
          <w:iCs/>
        </w:rPr>
        <w:t>Corp. v. Thrasher</w:t>
      </w:r>
      <w:r w:rsidR="004E4908">
        <w:rPr>
          <w:rFonts w:ascii="Baskerville" w:hAnsi="Baskerville" w:cs="Baskerville"/>
        </w:rPr>
        <w:t>,</w:t>
      </w:r>
      <w:r w:rsidR="00655396">
        <w:rPr>
          <w:rFonts w:ascii="Baskerville" w:hAnsi="Baskerville" w:cs="Baskerville"/>
        </w:rPr>
        <w:t xml:space="preserve"> 785 F. Supp. 2d 737, 744 (N.D. Ill. 2011) (concluding that 12 months of continued employment, which ended with the employee quitting as opposed to being fired, constituted the necessary “substantial period” of continued employment; refusing to apply a 2-year “bright-line test”);</w:t>
      </w:r>
      <w:r w:rsidR="00655396">
        <w:rPr>
          <w:rFonts w:ascii="Baskerville" w:hAnsi="Baskerville" w:cs="Baskerville"/>
          <w:i/>
          <w:iCs/>
          <w:spacing w:val="1"/>
        </w:rPr>
        <w:t xml:space="preserve"> Bires v. WalTom, LLC</w:t>
      </w:r>
      <w:r w:rsidR="00655396">
        <w:rPr>
          <w:rFonts w:ascii="Baskerville" w:hAnsi="Baskerville" w:cs="Baskerville"/>
          <w:spacing w:val="1"/>
        </w:rPr>
        <w:t>, 662 F. Supp. 2d 1019, 1030 (N.D. Ill. 2009) (“less than one year of employment constitutes insufficient consideration” for a postemployment noncompetition covenant; treating “2006 racing season” as lasting for less than 1 year; construing royalty provision as a restrictive covenant</w:t>
      </w:r>
      <w:r w:rsidR="00D47546">
        <w:rPr>
          <w:rFonts w:ascii="Baskerville" w:hAnsi="Baskerville" w:cs="Baskerville"/>
          <w:spacing w:val="1"/>
        </w:rPr>
        <w:t xml:space="preserve">; </w:t>
      </w:r>
      <w:r w:rsidR="00655396">
        <w:rPr>
          <w:rFonts w:ascii="Baskerville" w:hAnsi="Baskerville" w:cs="Baskerville"/>
          <w:spacing w:val="1"/>
        </w:rPr>
        <w:t>involving agreement entered into at inception of employment</w:t>
      </w:r>
      <w:r w:rsidR="00D47546">
        <w:rPr>
          <w:rFonts w:ascii="Baskerville" w:hAnsi="Baskerville" w:cs="Baskerville"/>
          <w:spacing w:val="1"/>
        </w:rPr>
        <w:t xml:space="preserve">; </w:t>
      </w:r>
      <w:r w:rsidR="00655396">
        <w:rPr>
          <w:rFonts w:ascii="Baskerville" w:hAnsi="Baskerville" w:cs="Baskerville"/>
          <w:spacing w:val="1"/>
        </w:rPr>
        <w:t xml:space="preserve">noting, </w:t>
      </w:r>
      <w:r w:rsidR="00655396">
        <w:rPr>
          <w:rFonts w:ascii="Baskerville" w:hAnsi="Baskerville" w:cs="Baskerville"/>
          <w:i/>
          <w:iCs/>
          <w:spacing w:val="1"/>
        </w:rPr>
        <w:t>id</w:t>
      </w:r>
      <w:r w:rsidR="00655396">
        <w:rPr>
          <w:rFonts w:ascii="Baskerville" w:hAnsi="Baskerville" w:cs="Baskerville"/>
          <w:spacing w:val="1"/>
        </w:rPr>
        <w:t xml:space="preserve">., that U.S. Court of Appeals for “the Seventh Circuit has rejected the distinction between pre and post-hire covenants” with respect to the consideration required to support the covenant; citing </w:t>
      </w:r>
      <w:r w:rsidR="00655396">
        <w:rPr>
          <w:rFonts w:ascii="Baskerville" w:hAnsi="Baskerville" w:cs="Baskerville"/>
          <w:i/>
          <w:iCs/>
          <w:spacing w:val="1"/>
        </w:rPr>
        <w:t xml:space="preserve">Curtis 1000, </w:t>
      </w:r>
      <w:r w:rsidR="00655396">
        <w:rPr>
          <w:rFonts w:ascii="Baskerville" w:hAnsi="Baskerville" w:cs="Baskerville"/>
          <w:i/>
          <w:iCs/>
          <w:spacing w:val="1"/>
        </w:rPr>
        <w:lastRenderedPageBreak/>
        <w:t>Inc. v. Suess,</w:t>
      </w:r>
      <w:r w:rsidR="00655396">
        <w:rPr>
          <w:rFonts w:ascii="Baskerville" w:hAnsi="Baskerville" w:cs="Baskerville"/>
          <w:spacing w:val="1"/>
        </w:rPr>
        <w:t xml:space="preserve"> 24 F.3d 941, 947 (7th Cir. 1994) (stating that “continued employment for a substantial period is good consideration for the covenant and the only effect of drawing a distinction between pre-hire and post-hire covenants would be to induce employers whose employees had signed such a covenant after they started working to fire those employees and rehire them the following day with a fresh covenant not to compete”))</w:t>
      </w:r>
      <w:r w:rsidR="00D47546">
        <w:rPr>
          <w:rFonts w:ascii="Baskerville" w:hAnsi="Baskerville" w:cs="Baskerville"/>
          <w:spacing w:val="1"/>
        </w:rPr>
        <w:t xml:space="preserve">; </w:t>
      </w:r>
      <w:r w:rsidR="00655396">
        <w:rPr>
          <w:rFonts w:ascii="Baskerville" w:hAnsi="Baskerville" w:cs="Baskerville"/>
          <w:i/>
          <w:iCs/>
          <w:spacing w:val="1"/>
        </w:rPr>
        <w:t>Brown &amp; Brown, Inc. v. Mudron</w:t>
      </w:r>
      <w:r w:rsidR="00655396">
        <w:rPr>
          <w:rFonts w:ascii="Baskerville" w:hAnsi="Baskerville" w:cs="Baskerville"/>
          <w:spacing w:val="1"/>
        </w:rPr>
        <w:t>, 379 Ill. App. 3d 724, 729, 887 N.E.2d 437, 441 (2008) (majority op.) (ruling that 7 months of continued at-will employment following the signing of an employment agreement is too short a period of time of continued employment to constitute sufficient consideration under Illinois law to support the agreement or any term within it, including a noncompetition clause and an attorney’s fee provision, even where the employee resigns as opposed to being terminated</w:t>
      </w:r>
      <w:r w:rsidR="00D47546">
        <w:rPr>
          <w:rFonts w:ascii="Baskerville" w:hAnsi="Baskerville" w:cs="Baskerville"/>
          <w:spacing w:val="1"/>
        </w:rPr>
        <w:t xml:space="preserve">; </w:t>
      </w:r>
      <w:r w:rsidR="00655396">
        <w:rPr>
          <w:rFonts w:ascii="Baskerville" w:hAnsi="Baskerville" w:cs="Baskerville"/>
          <w:spacing w:val="1"/>
        </w:rPr>
        <w:t>2 years of continued employment would provide sufficient consideration);</w:t>
      </w:r>
      <w:r w:rsidR="00655396">
        <w:rPr>
          <w:rFonts w:ascii="Baskerville" w:hAnsi="Baskerville" w:cs="Baskerville"/>
          <w:i/>
          <w:iCs/>
          <w:spacing w:val="1"/>
        </w:rPr>
        <w:t xml:space="preserve"> Lawrence &amp; Allen, </w:t>
      </w:r>
      <w:r w:rsidR="00655396">
        <w:rPr>
          <w:rFonts w:ascii="Baskerville" w:hAnsi="Baskerville" w:cs="Baskerville"/>
          <w:spacing w:val="1"/>
        </w:rPr>
        <w:t xml:space="preserve">226 Ill. Dec. at 338, 685 N.E.2d at 441; </w:t>
      </w:r>
      <w:r w:rsidR="00655396">
        <w:rPr>
          <w:rFonts w:ascii="Baskerville" w:hAnsi="Baskerville" w:cs="Baskerville"/>
          <w:i/>
          <w:iCs/>
          <w:spacing w:val="1"/>
        </w:rPr>
        <w:t>Applied Micro, Inc. v. SJI Fulfillment, Inc.</w:t>
      </w:r>
      <w:r w:rsidR="00655396">
        <w:rPr>
          <w:rFonts w:ascii="Baskerville" w:hAnsi="Baskerville" w:cs="Baskerville"/>
          <w:spacing w:val="1"/>
        </w:rPr>
        <w:t xml:space="preserve">, 941 F. Supp. 750, 753 (N.D. Ill. 1996) (citing </w:t>
      </w:r>
      <w:r w:rsidR="00655396">
        <w:rPr>
          <w:rFonts w:ascii="Baskerville" w:hAnsi="Baskerville" w:cs="Baskerville"/>
          <w:i/>
          <w:iCs/>
          <w:spacing w:val="1"/>
        </w:rPr>
        <w:t xml:space="preserve">Curtis 1000, </w:t>
      </w:r>
      <w:r w:rsidR="00655396">
        <w:rPr>
          <w:rFonts w:ascii="Baskerville" w:hAnsi="Baskerville" w:cs="Baskerville"/>
          <w:spacing w:val="1"/>
        </w:rPr>
        <w:t xml:space="preserve">24 F.3d at 945–48; </w:t>
      </w:r>
      <w:r w:rsidR="00655396">
        <w:rPr>
          <w:rFonts w:ascii="Baskerville" w:hAnsi="Baskerville" w:cs="Baskerville"/>
          <w:i/>
          <w:iCs/>
          <w:spacing w:val="1"/>
        </w:rPr>
        <w:t>Abel v. Fox</w:t>
      </w:r>
      <w:r w:rsidR="00655396">
        <w:rPr>
          <w:rFonts w:ascii="Baskerville" w:hAnsi="Baskerville" w:cs="Baskerville"/>
          <w:spacing w:val="1"/>
        </w:rPr>
        <w:t xml:space="preserve">, 274 Ill. App. 3d 811, 814, 211 Ill. Dec. 129, 654 N.E.2d 591, 593 (4th Dist. 1995); </w:t>
      </w:r>
      <w:r w:rsidR="00655396">
        <w:rPr>
          <w:rFonts w:ascii="Baskerville" w:hAnsi="Baskerville" w:cs="Baskerville"/>
          <w:i/>
          <w:iCs/>
          <w:spacing w:val="1"/>
        </w:rPr>
        <w:t>Creative Entm’t, Inc. v. Lorenz</w:t>
      </w:r>
      <w:r w:rsidR="00655396">
        <w:rPr>
          <w:rFonts w:ascii="Baskerville" w:hAnsi="Baskerville" w:cs="Baskerville"/>
          <w:spacing w:val="1"/>
        </w:rPr>
        <w:t xml:space="preserve">, 265 Ill. App. 3d 343, 349, 202 Ill. Dec. 571, 575, 638 N.E.2d 217, 221 (1st Dist. 1994); </w:t>
      </w:r>
      <w:r w:rsidR="00655396">
        <w:rPr>
          <w:rFonts w:ascii="Baskerville" w:hAnsi="Baskerville" w:cs="Baskerville"/>
          <w:i/>
          <w:iCs/>
          <w:spacing w:val="1"/>
        </w:rPr>
        <w:t>Lyle R. Jager Agency, Inc. v. Steward</w:t>
      </w:r>
      <w:r w:rsidR="00655396">
        <w:rPr>
          <w:rFonts w:ascii="Baskerville" w:hAnsi="Baskerville" w:cs="Baskerville"/>
          <w:spacing w:val="1"/>
        </w:rPr>
        <w:t xml:space="preserve">, 253 Ill. App. 3d 631, 635, 192 Ill. Dec. 437, 439, 625 N.E.2d 397, 399 (3d Dist. 1993); </w:t>
      </w:r>
      <w:r w:rsidR="00655396">
        <w:rPr>
          <w:rFonts w:ascii="Baskerville" w:hAnsi="Baskerville" w:cs="Baskerville"/>
          <w:i/>
          <w:iCs/>
          <w:spacing w:val="1"/>
        </w:rPr>
        <w:t>Agrimerica, Inc. v. Mathes</w:t>
      </w:r>
      <w:r w:rsidR="00655396">
        <w:rPr>
          <w:rFonts w:ascii="Baskerville" w:hAnsi="Baskerville" w:cs="Baskerville"/>
          <w:spacing w:val="1"/>
        </w:rPr>
        <w:t xml:space="preserve">, 199 Ill. App. 3d 435, 442, 145 Ill. Dec. 587, 592, 557 N.E.2d 357, 362 (1st Dist. 1990)); </w:t>
      </w:r>
      <w:r w:rsidR="00655396">
        <w:rPr>
          <w:rFonts w:ascii="Baskerville" w:hAnsi="Baskerville" w:cs="Baskerville"/>
          <w:i/>
          <w:iCs/>
          <w:spacing w:val="1"/>
        </w:rPr>
        <w:t>Curtis 1000, Inc. v. Suess,</w:t>
      </w:r>
      <w:r w:rsidR="00655396">
        <w:rPr>
          <w:rFonts w:ascii="Baskerville" w:hAnsi="Baskerville" w:cs="Baskerville"/>
          <w:spacing w:val="1"/>
        </w:rPr>
        <w:t xml:space="preserve"> 24 F.3d 941, 945–47 (7th Cir. 1994) (8 years’ subsequent employment); </w:t>
      </w:r>
      <w:r w:rsidR="00655396">
        <w:rPr>
          <w:rFonts w:ascii="Baskerville" w:hAnsi="Baskerville" w:cs="Baskerville"/>
          <w:i/>
          <w:iCs/>
          <w:spacing w:val="1"/>
        </w:rPr>
        <w:t>Millard Maint. Serv. Co. v. Bernero</w:t>
      </w:r>
      <w:r w:rsidR="00655396">
        <w:rPr>
          <w:rFonts w:ascii="Baskerville" w:hAnsi="Baskerville" w:cs="Baskerville"/>
          <w:spacing w:val="1"/>
        </w:rPr>
        <w:t xml:space="preserve">, 207 Ill. App. 3d 736, 745, 152 Ill. Dec. 692, 697, 566 N.E.2d 379, 383–84 (1st Dist. 1990) (third serial covenant entered after employment began was supported by consideration of continued subsequent employment of 3 years, 8 months, and 5 days; citing </w:t>
      </w:r>
      <w:r w:rsidR="00655396">
        <w:rPr>
          <w:rFonts w:ascii="Baskerville" w:hAnsi="Baskerville" w:cs="Baskerville"/>
          <w:i/>
          <w:iCs/>
          <w:spacing w:val="1"/>
        </w:rPr>
        <w:t>Corroon &amp; Black of Ill. v. Magner,</w:t>
      </w:r>
      <w:r w:rsidR="00655396">
        <w:rPr>
          <w:rFonts w:ascii="Baskerville" w:hAnsi="Baskerville" w:cs="Baskerville"/>
          <w:spacing w:val="1"/>
        </w:rPr>
        <w:t xml:space="preserve"> 145 Ill. App. 3d 151, 163, 98 Ill. Dec. 663, 494 N.E.2d 785, 791-92 (1st Dist. 1986) (continued employment of 4 years following signing)); </w:t>
      </w:r>
      <w:r w:rsidR="00655396">
        <w:rPr>
          <w:rFonts w:ascii="Baskerville" w:hAnsi="Baskerville" w:cs="Baskerville"/>
          <w:i/>
          <w:iCs/>
          <w:spacing w:val="1"/>
        </w:rPr>
        <w:t>Shapiro v. Regent Printing Co.</w:t>
      </w:r>
      <w:r w:rsidR="00655396">
        <w:rPr>
          <w:rFonts w:ascii="Baskerville" w:hAnsi="Baskerville" w:cs="Baskerville"/>
          <w:spacing w:val="1"/>
        </w:rPr>
        <w:t xml:space="preserve">, 192 Ill. App. 3d 1005, 140 Ill. Dec. 142, 549 N.E.2d 793, 795 (1st Dist. 1989) (continued employment of just over 5 years after signing); </w:t>
      </w:r>
      <w:r w:rsidR="00655396">
        <w:rPr>
          <w:rFonts w:ascii="Baskerville" w:hAnsi="Baskerville" w:cs="Baskerville"/>
          <w:i/>
          <w:iCs/>
          <w:spacing w:val="1"/>
        </w:rPr>
        <w:t>McRand, Inc. v. van Beelen</w:t>
      </w:r>
      <w:r w:rsidR="00655396">
        <w:rPr>
          <w:rFonts w:ascii="Baskerville" w:hAnsi="Baskerville" w:cs="Baskerville"/>
          <w:spacing w:val="1"/>
        </w:rPr>
        <w:t xml:space="preserve">, 138 Ill. App. 3d 1045, 93 Ill. Dec. 471, 486 N.E.2d 1306 (1st Dist. 1985) (continued employment of 8 years after signing original covenant and of 2 years after signing </w:t>
      </w:r>
      <w:r w:rsidR="00655396">
        <w:rPr>
          <w:rFonts w:ascii="Baskerville" w:hAnsi="Baskerville" w:cs="Baskerville"/>
          <w:spacing w:val="1"/>
        </w:rPr>
        <w:lastRenderedPageBreak/>
        <w:t xml:space="preserve">covenant at issue). </w:t>
      </w:r>
      <w:r w:rsidR="00655396">
        <w:rPr>
          <w:rFonts w:ascii="Baskerville" w:hAnsi="Baskerville" w:cs="Baskerville"/>
          <w:i/>
          <w:iCs/>
          <w:spacing w:val="1"/>
        </w:rPr>
        <w:t>See also Office Elecs. v. Grafic Forms Inc.</w:t>
      </w:r>
      <w:r w:rsidR="00655396">
        <w:rPr>
          <w:rFonts w:ascii="Baskerville" w:hAnsi="Baskerville" w:cs="Baskerville"/>
          <w:spacing w:val="1"/>
        </w:rPr>
        <w:t xml:space="preserve">, 56 Ill. App. 3d 395, 14 Ill. Dec. 320, 372 N.E.2d 125 (2d Dist. 1978); </w:t>
      </w:r>
      <w:r w:rsidR="00655396">
        <w:rPr>
          <w:rFonts w:ascii="Baskerville" w:hAnsi="Baskerville" w:cs="Baskerville"/>
          <w:i/>
          <w:iCs/>
          <w:spacing w:val="1"/>
        </w:rPr>
        <w:t>Smithereen Co. v. Renfroe</w:t>
      </w:r>
      <w:r w:rsidR="00655396">
        <w:rPr>
          <w:rFonts w:ascii="Baskerville" w:hAnsi="Baskerville" w:cs="Baskerville"/>
          <w:spacing w:val="1"/>
        </w:rPr>
        <w:t>, 325 Ill. App. 229, 59 N.E.2d 545 (1st Dist. 1945).</w:t>
      </w:r>
    </w:p>
    <w:p w14:paraId="338FFE23" w14:textId="3E18EB87" w:rsidR="00655396" w:rsidRDefault="00655396" w:rsidP="008B512B">
      <w:pPr>
        <w:pStyle w:val="BodyText"/>
        <w:spacing w:line="240" w:lineRule="auto"/>
        <w:rPr>
          <w:spacing w:val="1"/>
        </w:rPr>
      </w:pPr>
      <w:r>
        <w:tab/>
      </w:r>
      <w:r w:rsidR="00B0371B">
        <w:t>As to covenants executed on o</w:t>
      </w:r>
      <w:r w:rsidR="00761539">
        <w:t>r</w:t>
      </w:r>
      <w:r w:rsidR="00B0371B">
        <w:t xml:space="preserve"> after January 1, 2022, the 2022 amendment resolve</w:t>
      </w:r>
      <w:r w:rsidR="0048747E">
        <w:t>d</w:t>
      </w:r>
      <w:r w:rsidR="00B0371B">
        <w:t xml:space="preserve"> </w:t>
      </w:r>
      <w:r>
        <w:t xml:space="preserve">a split among the Illinois courts and courts applying Illinois law over whether there is a bright-line rule </w:t>
      </w:r>
      <w:r w:rsidR="00B0371B">
        <w:t xml:space="preserve">requiring </w:t>
      </w:r>
      <w:r>
        <w:t>two years of employment following execution</w:t>
      </w:r>
      <w:r w:rsidR="00B0371B">
        <w:t xml:space="preserve"> of a covenant executed after the inception of employment</w:t>
      </w:r>
      <w:r>
        <w:t xml:space="preserve">. </w:t>
      </w:r>
      <w:r>
        <w:rPr>
          <w:i/>
          <w:iCs/>
        </w:rPr>
        <w:t>Compare</w:t>
      </w:r>
      <w:r>
        <w:t xml:space="preserve"> </w:t>
      </w:r>
      <w:r>
        <w:rPr>
          <w:i/>
          <w:iCs/>
        </w:rPr>
        <w:t>Avison</w:t>
      </w:r>
      <w:r>
        <w:t xml:space="preserve">, 2017 BL 426198 at *6–7 (rejecting bright-line approach); </w:t>
      </w:r>
      <w:r>
        <w:rPr>
          <w:i/>
          <w:iCs/>
        </w:rPr>
        <w:t>Stericycle</w:t>
      </w:r>
      <w:r>
        <w:t xml:space="preserve">, 2017 BL 376877 at *1 (rejecting bright-line approach; ruling that roughly 13 months of continued at-will employment was sufficient consideration to support restrictive covenants executed by employees who resigned, as opposed to being terminated); </w:t>
      </w:r>
      <w:r>
        <w:rPr>
          <w:i/>
          <w:iCs/>
        </w:rPr>
        <w:t>Bankers Life</w:t>
      </w:r>
      <w:r>
        <w:t>, 2015 BL 31658 at *4 (rejecting any bright-line rule that two years of employment following execution is required; noting that, although existing cases indicate that although “two years of continued employment are </w:t>
      </w:r>
      <w:r>
        <w:rPr>
          <w:i/>
          <w:iCs/>
        </w:rPr>
        <w:t>sufficient</w:t>
      </w:r>
      <w:r>
        <w:rPr>
          <w:rFonts w:cs="Times New Roman"/>
          <w:rtl/>
          <w:lang w:bidi="ar-YE"/>
        </w:rPr>
        <w:t> </w:t>
      </w:r>
      <w:r>
        <w:rPr>
          <w:lang w:bidi="ar-YE"/>
        </w:rPr>
        <w:t>to support a restrictive covenant</w:t>
      </w:r>
      <w:r>
        <w:rPr>
          <w:rFonts w:cs="Times New Roman"/>
          <w:rtl/>
          <w:lang w:bidi="ar-YE"/>
        </w:rPr>
        <w:t xml:space="preserve"> … </w:t>
      </w:r>
      <w:r>
        <w:rPr>
          <w:lang w:bidi="ar-YE"/>
        </w:rPr>
        <w:t>they do not hold that two years are</w:t>
      </w:r>
      <w:r>
        <w:rPr>
          <w:rFonts w:cs="Times New Roman"/>
          <w:rtl/>
          <w:lang w:bidi="ar-YE"/>
        </w:rPr>
        <w:t> </w:t>
      </w:r>
      <w:r>
        <w:rPr>
          <w:i/>
          <w:iCs/>
        </w:rPr>
        <w:t>necessary</w:t>
      </w:r>
      <w:r>
        <w:t>” (emphasis in original))</w:t>
      </w:r>
      <w:r w:rsidR="003D4127">
        <w:t>;</w:t>
      </w:r>
      <w:r>
        <w:t xml:space="preserve"> </w:t>
      </w:r>
      <w:r>
        <w:rPr>
          <w:i/>
          <w:iCs/>
        </w:rPr>
        <w:t>Traffic Tech, Inc. v. Kreiter</w:t>
      </w:r>
      <w:r>
        <w:t>, 2015 BL 417098, 2015 WL 9259544 (N.D. Ill. Dec. 18, 2015) (refusing to apply any bright-line rule that two years of employment following execution is required; denying summary judgment on claim for breach of postemployment noncompetition covenant in light of open issue as to, among other things, whether employee’s nine months of employment before he quit, receipt of $250,000 signing bonus, and other things constituted adequate consideration for covenant)</w:t>
      </w:r>
      <w:r w:rsidR="003D4127">
        <w:t>;</w:t>
      </w:r>
      <w:r>
        <w:t xml:space="preserve"> </w:t>
      </w:r>
      <w:r>
        <w:rPr>
          <w:i/>
          <w:iCs/>
        </w:rPr>
        <w:t>McInnis v. OAG Motorcycle Ventures Inc.</w:t>
      </w:r>
      <w:r>
        <w:t>, 35 N.E.3d 1076 (N.D. Ill. 2014) (stating that fact-specific approach to determining adequacy of consideration has not been abolished)</w:t>
      </w:r>
      <w:r w:rsidR="003D4127">
        <w:t>;</w:t>
      </w:r>
      <w:r>
        <w:t xml:space="preserve"> </w:t>
      </w:r>
      <w:r>
        <w:rPr>
          <w:i/>
          <w:iCs/>
        </w:rPr>
        <w:t>and Montel Aetnastak, Inc.</w:t>
      </w:r>
      <w:r>
        <w:t xml:space="preserve">, 998 F. Supp. 2d at 716–18 (also rejecting any bright-line rule; stating that, given “the contradictory holdings of the lower Illinois courts and the lack of a clear direction from the Illinois Supreme Court, this Court does not find it appropriate to apply a bright line rule”), </w:t>
      </w:r>
      <w:r>
        <w:rPr>
          <w:i/>
          <w:iCs/>
        </w:rPr>
        <w:t>with</w:t>
      </w:r>
      <w:r>
        <w:t xml:space="preserve"> </w:t>
      </w:r>
      <w:r>
        <w:rPr>
          <w:i/>
          <w:iCs/>
        </w:rPr>
        <w:t>Cumulus Radio</w:t>
      </w:r>
      <w:r>
        <w:t>, 80 F. Supp. 3d 900 (finding 15 months insufficient</w:t>
      </w:r>
      <w:r w:rsidR="003D4127">
        <w:t>);</w:t>
      </w:r>
      <w:r>
        <w:t xml:space="preserve"> </w:t>
      </w:r>
      <w:r>
        <w:rPr>
          <w:i/>
          <w:iCs/>
        </w:rPr>
        <w:t>and</w:t>
      </w:r>
      <w:r>
        <w:t xml:space="preserve"> </w:t>
      </w:r>
      <w:r>
        <w:rPr>
          <w:i/>
          <w:iCs/>
        </w:rPr>
        <w:t>Instant Tech.</w:t>
      </w:r>
      <w:r>
        <w:t xml:space="preserve">, 40 F. Supp. 3d 989 (striking down covenants with shorter employment periods). </w:t>
      </w:r>
      <w:r>
        <w:rPr>
          <w:i/>
          <w:iCs/>
        </w:rPr>
        <w:t>See</w:t>
      </w:r>
      <w:r>
        <w:rPr>
          <w:b/>
          <w:bCs/>
        </w:rPr>
        <w:t xml:space="preserve"> </w:t>
      </w:r>
      <w:r>
        <w:rPr>
          <w:i/>
          <w:iCs/>
        </w:rPr>
        <w:t>R.J. O’Brien &amp; Assocs. v. Williamson</w:t>
      </w:r>
      <w:r>
        <w:t xml:space="preserve">, 2016 BL 76624, at *4 (N.D. Ill. Mar. 10, 2016) </w:t>
      </w:r>
      <w:r>
        <w:lastRenderedPageBreak/>
        <w:t>(explicitly agreeing “with the reasoning of the </w:t>
      </w:r>
      <w:r>
        <w:rPr>
          <w:i/>
          <w:iCs/>
        </w:rPr>
        <w:t>Montel Aetnastak, Traffic Tech, Bankers Life</w:t>
      </w:r>
      <w:r>
        <w:t>, and </w:t>
      </w:r>
      <w:r>
        <w:rPr>
          <w:i/>
          <w:iCs/>
        </w:rPr>
        <w:t>Cumulus Radio</w:t>
      </w:r>
      <w:r>
        <w:t> decisions and conclud[ing] that the Illinois Supreme Court would reject a two year bright line rule in favor of a fact specific test. Two years may be sufficient to find adequate consideration, but it is not always necessary. In reaching this decision the court also finds persuasive Justice Schmidt’s dissent in </w:t>
      </w:r>
      <w:r>
        <w:rPr>
          <w:i/>
          <w:iCs/>
        </w:rPr>
        <w:t>Mudron</w:t>
      </w:r>
      <w:r>
        <w:t>, in which he points out the difference between the employee being terminated and resigning. As he noted in discussing the case on which the </w:t>
      </w:r>
      <w:r>
        <w:rPr>
          <w:i/>
          <w:iCs/>
        </w:rPr>
        <w:t>Mudron</w:t>
      </w:r>
      <w:r>
        <w:t> majority relied, ‘in [</w:t>
      </w:r>
      <w:r>
        <w:rPr>
          <w:i/>
          <w:iCs/>
        </w:rPr>
        <w:t>Mid-Town Petroleum Inc. v. Gowen</w:t>
      </w:r>
      <w:r>
        <w:t xml:space="preserve">, 243 Ill. App. 3d 63, 611 N.E.2d 1221, 183 Ill. Dec. 573 (1993),] the plaintiff “quit” because the consideration failed. The majority here holds that the consideration failed because [the defendant] quit. Big difference.’ </w:t>
      </w:r>
      <w:r>
        <w:rPr>
          <w:i/>
          <w:iCs/>
        </w:rPr>
        <w:t>Mudron</w:t>
      </w:r>
      <w:r>
        <w:t>, 379 Ill.App.3d at 730-31 (Schmidt, J. dissenting). [¶] In the instant case, defendant quit after one year to work for a competitor. Plaintiff did nothing to alter the terms of defendant’s employment. Defendant received his commissions due under the employment agreement. In addition he received a generous salary for acting as an AP as well as being sponsored with the Commodities Future Trading Commission and National Futures Association. This sponsorship subjected plaintiff to liability should defendant have violated any rule or commit any trading error. Thus, the court concludes that the restrictive covenants are not invalid for lack of adequate consideration.[¶] Moreover, as Justice Schmidt noted in his </w:t>
      </w:r>
      <w:r>
        <w:rPr>
          <w:i/>
          <w:iCs/>
        </w:rPr>
        <w:t>Mudron</w:t>
      </w:r>
      <w:r>
        <w:t> dissent, ‘even a peppercorn of consideration is sufficient to support a finding of adequate consideration when one seeks damages at law while more should be required when one seeks equitable relief.’ </w:t>
      </w:r>
      <w:r>
        <w:rPr>
          <w:i/>
          <w:iCs/>
        </w:rPr>
        <w:t>Id .</w:t>
      </w:r>
      <w:r>
        <w:t xml:space="preserve">Because plaintiff seeks only damages in the instant case, the court finds that the consideration was adequate.”); Douglas Albritton, </w:t>
      </w:r>
      <w:r>
        <w:rPr>
          <w:i/>
          <w:iCs/>
        </w:rPr>
        <w:t>Illinois Restrictive Covenants: The “Gray” Bright Line Regarding Sufficient Consideration</w:t>
      </w:r>
      <w:r>
        <w:t xml:space="preserve"> (Mar. 9, 2015), available at www.jdsupra.com/legalnews/Illinois-restrictive-covenants-the-gra-88819 (last visited Nov. 11, 2016); David S. Repking, Student Note:</w:t>
      </w:r>
      <w:r>
        <w:rPr>
          <w:i/>
          <w:iCs/>
        </w:rPr>
        <w:t xml:space="preserve"> Restrictive Covenants in Illinois: Adequate Consideration Problems Show That the Common Law Is an Inadequate Solution</w:t>
      </w:r>
      <w:r>
        <w:t xml:space="preserve">, 90 </w:t>
      </w:r>
      <w:r>
        <w:rPr>
          <w:smallCaps/>
        </w:rPr>
        <w:t>Chi.-Kent L. Rev.</w:t>
      </w:r>
      <w:r>
        <w:t xml:space="preserve"> 1071 (2015).</w:t>
      </w:r>
    </w:p>
    <w:p w14:paraId="3615521E" w14:textId="77777777" w:rsidR="00655396" w:rsidRDefault="00655396" w:rsidP="008B512B">
      <w:pPr>
        <w:pStyle w:val="BodyText"/>
        <w:spacing w:line="240" w:lineRule="auto"/>
      </w:pPr>
    </w:p>
    <w:p w14:paraId="6AFC14B9" w14:textId="200BE84D" w:rsidR="00655396" w:rsidRDefault="00655396" w:rsidP="008B512B">
      <w:pPr>
        <w:pStyle w:val="BodyText"/>
        <w:spacing w:line="240" w:lineRule="auto"/>
      </w:pPr>
      <w:r>
        <w:rPr>
          <w:b/>
          <w:bCs/>
        </w:rPr>
        <w:tab/>
        <w:t>[</w:t>
      </w:r>
      <w:r>
        <w:rPr>
          <w:i/>
          <w:iCs/>
        </w:rPr>
        <w:t>Editor’s note</w:t>
      </w:r>
      <w:r w:rsidR="00D47546">
        <w:rPr>
          <w:i/>
          <w:iCs/>
        </w:rPr>
        <w:t xml:space="preserve">: </w:t>
      </w:r>
      <w:r>
        <w:t xml:space="preserve">The dissent in </w:t>
      </w:r>
      <w:r>
        <w:rPr>
          <w:i/>
          <w:iCs/>
        </w:rPr>
        <w:t>Brown &amp; Brown</w:t>
      </w:r>
      <w:r>
        <w:t xml:space="preserve">, stated: “The majority claims that continued employment must be ‘for a substantial </w:t>
      </w:r>
      <w:r>
        <w:lastRenderedPageBreak/>
        <w:t>period of time beyond the threat of discharge’ for it to be adequate consideration to support a covenant not to compete in an employment contract and that, as a general rule, two years or more of continued employment will suffice.</w:t>
      </w:r>
      <w:r w:rsidR="00FB1D09">
        <w:t xml:space="preserve"> </w:t>
      </w:r>
      <w:r>
        <w:t>Slip op. at 5.</w:t>
      </w:r>
      <w:r w:rsidR="00FB1D09">
        <w:t xml:space="preserve"> </w:t>
      </w:r>
      <w:r>
        <w:t>Then, citing [</w:t>
      </w:r>
      <w:r>
        <w:rPr>
          <w:i/>
          <w:iCs/>
        </w:rPr>
        <w:t>Mid-Town Petroleum Inc. v. Gowen</w:t>
      </w:r>
      <w:r>
        <w:t>, 243 Ill. App. 3d 63, 69–71, 611 N.E.2d 1221, 1226–27, 183 Ill. Dec. 573 (1993),] as authority, the majority notes that the fact [that Gunderson, the employee in the instant case,] resigned her position is irrelevant and does not change its analysis.</w:t>
      </w:r>
      <w:r w:rsidR="00FB1D09">
        <w:t xml:space="preserve"> </w:t>
      </w:r>
      <w:r>
        <w:t>Slip op. at 6.</w:t>
      </w:r>
      <w:r w:rsidR="00FB1D09">
        <w:t xml:space="preserve"> </w:t>
      </w:r>
      <w:r>
        <w:t xml:space="preserve">The majority mischaracterizes the holding of </w:t>
      </w:r>
      <w:r>
        <w:rPr>
          <w:i/>
          <w:iCs/>
        </w:rPr>
        <w:t>Mid-Town.</w:t>
      </w:r>
      <w:r w:rsidR="00FB1D09">
        <w:t xml:space="preserve"> </w:t>
      </w:r>
      <w:r>
        <w:t>[¶]</w:t>
      </w:r>
      <w:r w:rsidR="00FB1D09">
        <w:t xml:space="preserve"> </w:t>
      </w:r>
      <w:r>
        <w:t xml:space="preserve">In </w:t>
      </w:r>
      <w:r>
        <w:rPr>
          <w:i/>
          <w:iCs/>
        </w:rPr>
        <w:t>Mid-Town</w:t>
      </w:r>
      <w:r w:rsidR="001A419C">
        <w:t>, it</w:t>
      </w:r>
      <w:r>
        <w:t xml:space="preserve"> is true that the employee (Gowen) resigned seven months after signing the covenant.</w:t>
      </w:r>
      <w:r w:rsidR="00FB1D09">
        <w:t xml:space="preserve"> </w:t>
      </w:r>
      <w:r>
        <w:rPr>
          <w:i/>
          <w:iCs/>
        </w:rPr>
        <w:t>Mid-Town,</w:t>
      </w:r>
      <w:r>
        <w:t xml:space="preserve"> 243 Ill. App. 3d at 70.</w:t>
      </w:r>
      <w:r w:rsidR="00FB1D09">
        <w:t xml:space="preserve"> </w:t>
      </w:r>
      <w:r>
        <w:t xml:space="preserve">The </w:t>
      </w:r>
      <w:r>
        <w:rPr>
          <w:i/>
          <w:iCs/>
        </w:rPr>
        <w:t>Mid-Town</w:t>
      </w:r>
      <w:r>
        <w:t xml:space="preserve"> court found the restrictive covenant to be unenforceable against Gowen, holding the agreement lacked adequate consideration.</w:t>
      </w:r>
      <w:r w:rsidR="00FB1D09">
        <w:t xml:space="preserve"> </w:t>
      </w:r>
      <w:r>
        <w:rPr>
          <w:i/>
          <w:iCs/>
        </w:rPr>
        <w:t>Mid-Town,</w:t>
      </w:r>
      <w:r>
        <w:t xml:space="preserve"> 243 Ill. App. 3d at 71.</w:t>
      </w:r>
      <w:r w:rsidR="00FB1D09">
        <w:t xml:space="preserve"> </w:t>
      </w:r>
      <w:r>
        <w:t xml:space="preserve">However, to hold, as the majority does, that seven months of continued employment can never serve as adequate consideration for a restrictive covenant, even if the employee quits, is both wrong and unsupported by </w:t>
      </w:r>
      <w:r>
        <w:rPr>
          <w:i/>
          <w:iCs/>
        </w:rPr>
        <w:t>Mid-Town.</w:t>
      </w:r>
      <w:r w:rsidR="00FB1D09">
        <w:t xml:space="preserve"> </w:t>
      </w:r>
      <w:r>
        <w:t>[¶]</w:t>
      </w:r>
      <w:r w:rsidR="00FB1D09">
        <w:t xml:space="preserve"> </w:t>
      </w:r>
      <w:r>
        <w:t>Our supreme court has made it clear that continued employment is adequate consideration sufficient to make a restrictive covenant enforceable.</w:t>
      </w:r>
      <w:r w:rsidR="00FB1D09">
        <w:t xml:space="preserve"> </w:t>
      </w:r>
      <w:r>
        <w:t xml:space="preserve">See </w:t>
      </w:r>
      <w:r>
        <w:rPr>
          <w:i/>
          <w:iCs/>
        </w:rPr>
        <w:t>Melena v. Anheuser-Busch, Inc.,</w:t>
      </w:r>
      <w:r>
        <w:t xml:space="preserve"> 219 Ill. 2d 135, 847 N.E.2d 99, 301 Ill. Dec. 440 (2006); </w:t>
      </w:r>
      <w:r>
        <w:rPr>
          <w:i/>
          <w:iCs/>
        </w:rPr>
        <w:t>Mohanty v. St. John Heart Clinic, S.C.,</w:t>
      </w:r>
      <w:r>
        <w:t xml:space="preserve"> 225 Ill. 2d 52, 866 N.E.2d 85, 310 Ill. Dec. 274 (2006).</w:t>
      </w:r>
      <w:r w:rsidR="00FB1D09">
        <w:t xml:space="preserve"> </w:t>
      </w:r>
      <w:r>
        <w:t xml:space="preserve">However, in </w:t>
      </w:r>
      <w:r>
        <w:rPr>
          <w:i/>
          <w:iCs/>
        </w:rPr>
        <w:t>Mid-Town</w:t>
      </w:r>
      <w:r>
        <w:t xml:space="preserve"> the appellate court went to great lengths to explain that Gowan [</w:t>
      </w:r>
      <w:r>
        <w:rPr>
          <w:i/>
          <w:iCs/>
        </w:rPr>
        <w:t>sic</w:t>
      </w:r>
      <w:r>
        <w:t>] rejected terms of a proposed agreement for which mere continued employment would act as consideration.</w:t>
      </w:r>
      <w:r w:rsidR="00FB1D09">
        <w:t xml:space="preserve"> </w:t>
      </w:r>
      <w:r>
        <w:t>When faced with the ‘sign this or be fired’ ultimatum, Gowen chose the latter on two separate occasions.</w:t>
      </w:r>
      <w:r w:rsidR="00FB1D09">
        <w:t xml:space="preserve"> </w:t>
      </w:r>
      <w:r>
        <w:rPr>
          <w:i/>
          <w:iCs/>
        </w:rPr>
        <w:t>Mid-Town,</w:t>
      </w:r>
      <w:r>
        <w:t xml:space="preserve"> 243 Ill. App. 3d at 66.</w:t>
      </w:r>
      <w:r w:rsidR="00FB1D09">
        <w:t xml:space="preserve"> </w:t>
      </w:r>
      <w:r>
        <w:t>[¶]</w:t>
      </w:r>
      <w:r w:rsidR="00FB1D09">
        <w:t xml:space="preserve"> </w:t>
      </w:r>
      <w:r>
        <w:t>Gowen only agreed to sign the restrictive covenant after being offered a promotion to the position of sales manager, a position that would report directly to the chief executive officer (CEO).</w:t>
      </w:r>
      <w:r w:rsidR="00FB1D09">
        <w:t xml:space="preserve"> </w:t>
      </w:r>
      <w:r>
        <w:t>Several months later, Gowen’s employer advised him that he would no longer be sales manager and no longer report to the CEO.</w:t>
      </w:r>
      <w:r w:rsidR="00FB1D09">
        <w:t xml:space="preserve"> </w:t>
      </w:r>
      <w:r>
        <w:t>He immediately quit.</w:t>
      </w:r>
      <w:r w:rsidR="00FB1D09">
        <w:t xml:space="preserve"> </w:t>
      </w:r>
      <w:r>
        <w:t xml:space="preserve">The </w:t>
      </w:r>
      <w:r>
        <w:rPr>
          <w:i/>
          <w:iCs/>
        </w:rPr>
        <w:t>Mid-Town</w:t>
      </w:r>
      <w:r>
        <w:t xml:space="preserve"> court went to great lengths to explain the failure of the consideration (the promotion) and yet the majority simply refuses to acknowledge it.</w:t>
      </w:r>
      <w:r w:rsidR="00FB1D09">
        <w:t xml:space="preserve"> </w:t>
      </w:r>
      <w:r>
        <w:rPr>
          <w:i/>
          <w:iCs/>
        </w:rPr>
        <w:t xml:space="preserve">To hold, as the majority does here, that an employee can void the consideration for any restrictive covenant by simply quitting for any reason renders all restrictive employment covenants illusory in </w:t>
      </w:r>
      <w:r w:rsidR="001A419C">
        <w:rPr>
          <w:i/>
          <w:iCs/>
        </w:rPr>
        <w:t>this state</w:t>
      </w:r>
      <w:r>
        <w:rPr>
          <w:i/>
          <w:iCs/>
        </w:rPr>
        <w:t>.</w:t>
      </w:r>
      <w:r w:rsidR="00FB1D09">
        <w:rPr>
          <w:i/>
          <w:iCs/>
        </w:rPr>
        <w:t xml:space="preserve"> </w:t>
      </w:r>
      <w:r>
        <w:rPr>
          <w:i/>
          <w:iCs/>
        </w:rPr>
        <w:t>They would all be voidable at the whim of the employee</w:t>
      </w:r>
      <w:r>
        <w:t>.</w:t>
      </w:r>
      <w:r w:rsidR="00FB1D09">
        <w:t xml:space="preserve"> </w:t>
      </w:r>
      <w:r>
        <w:t>[¶]</w:t>
      </w:r>
      <w:r w:rsidR="00FB1D09">
        <w:t xml:space="preserve"> </w:t>
      </w:r>
      <w:r>
        <w:t xml:space="preserve">I </w:t>
      </w:r>
      <w:r>
        <w:lastRenderedPageBreak/>
        <w:t xml:space="preserve">find that Gunderson’s continued employment was adequate consideration. She simply quit. Unlike the employee in </w:t>
      </w:r>
      <w:r>
        <w:rPr>
          <w:i/>
          <w:iCs/>
        </w:rPr>
        <w:t>Mid-Town,</w:t>
      </w:r>
      <w:r>
        <w:t xml:space="preserve"> the terms of her continued employment were not changed.</w:t>
      </w:r>
      <w:r w:rsidR="00FB1D09">
        <w:t xml:space="preserve"> </w:t>
      </w:r>
      <w:r>
        <w:t xml:space="preserve">The </w:t>
      </w:r>
      <w:r>
        <w:rPr>
          <w:i/>
          <w:iCs/>
        </w:rPr>
        <w:t>Mid-Town</w:t>
      </w:r>
      <w:r>
        <w:t xml:space="preserve"> court made it clear that Gowen quit because the consideration failed. The majority here holds that the consideration failed because Gunderson quit.</w:t>
      </w:r>
      <w:r w:rsidR="00FB1D09">
        <w:t xml:space="preserve"> </w:t>
      </w:r>
      <w:r>
        <w:t>Big difference!</w:t>
      </w:r>
      <w:r w:rsidR="00FB1D09">
        <w:t xml:space="preserve"> </w:t>
      </w:r>
      <w:r>
        <w:t>[¶]</w:t>
      </w:r>
      <w:r w:rsidR="00FB1D09">
        <w:t xml:space="preserve"> </w:t>
      </w:r>
      <w:r>
        <w:t>Moreover, this is a suit at law for damages (quite simply: a breach of contract action) and not one in equity seeking an injunction.</w:t>
      </w:r>
      <w:r w:rsidR="00FB1D09">
        <w:t xml:space="preserve"> </w:t>
      </w:r>
      <w:r>
        <w:t xml:space="preserve">The </w:t>
      </w:r>
      <w:r>
        <w:rPr>
          <w:i/>
          <w:iCs/>
        </w:rPr>
        <w:t>Mid-Town</w:t>
      </w:r>
      <w:r>
        <w:t xml:space="preserve"> court observed that even a peppercorn of consideration is sufficient to support a finding of adequate consideration when one seeks damages at law while more should be required when one seeks equitable relief. </w:t>
      </w:r>
      <w:r>
        <w:rPr>
          <w:i/>
          <w:iCs/>
        </w:rPr>
        <w:t>Mid-Town,</w:t>
      </w:r>
      <w:r>
        <w:t xml:space="preserve"> 243 Ill. App. 3d 71.</w:t>
      </w:r>
      <w:r w:rsidR="00FB1D09">
        <w:t xml:space="preserve"> </w:t>
      </w:r>
      <w:r>
        <w:rPr>
          <w:i/>
          <w:iCs/>
        </w:rPr>
        <w:t>Mid-Town</w:t>
      </w:r>
      <w:r>
        <w:t xml:space="preserve"> was an action in equity, seeking a preliminary injunction.</w:t>
      </w:r>
      <w:r w:rsidR="00FB1D09">
        <w:t xml:space="preserve"> </w:t>
      </w:r>
      <w:r>
        <w:t xml:space="preserve">Even the correct holding in </w:t>
      </w:r>
      <w:r>
        <w:rPr>
          <w:i/>
          <w:iCs/>
        </w:rPr>
        <w:t>Mid-Town</w:t>
      </w:r>
      <w:r>
        <w:t xml:space="preserve"> is inapposite to this breach of contract case.”</w:t>
      </w:r>
      <w:r w:rsidR="00FB1D09">
        <w:t xml:space="preserve"> </w:t>
      </w:r>
      <w:r>
        <w:t xml:space="preserve">379 Ill. App. at 730–31, 887 </w:t>
      </w:r>
      <w:r w:rsidR="001A419C">
        <w:t>N.E.2d at</w:t>
      </w:r>
      <w:r>
        <w:t xml:space="preserve"> 441–42 (Schmidt, J., dissenting) (emphasis added).</w:t>
      </w:r>
      <w:r>
        <w:rPr>
          <w:b/>
          <w:bCs/>
        </w:rPr>
        <w:t>]</w:t>
      </w:r>
    </w:p>
    <w:p w14:paraId="63B3F684" w14:textId="197B68DB" w:rsidR="00655396" w:rsidRDefault="00655396" w:rsidP="008B512B">
      <w:pPr>
        <w:pStyle w:val="BodyText"/>
        <w:spacing w:line="240" w:lineRule="auto"/>
      </w:pPr>
      <w:r>
        <w:tab/>
        <w:t xml:space="preserve">An employee’s </w:t>
      </w:r>
      <w:r>
        <w:rPr>
          <w:i/>
          <w:iCs/>
        </w:rPr>
        <w:t xml:space="preserve">declining to accept </w:t>
      </w:r>
      <w:r>
        <w:t>the consideration of continued employment for a reasonable length of time, in exchange for signing a restrictive covenant, “</w:t>
      </w:r>
      <w:r>
        <w:rPr>
          <w:i/>
          <w:iCs/>
        </w:rPr>
        <w:t xml:space="preserve">cannot be considered a failure of consideration </w:t>
      </w:r>
      <w:r>
        <w:t>attributable to the employer.”</w:t>
      </w:r>
      <w:r w:rsidR="00FB1D09">
        <w:t xml:space="preserve"> </w:t>
      </w:r>
      <w:r>
        <w:rPr>
          <w:i/>
          <w:iCs/>
        </w:rPr>
        <w:t>SKF USA, Inc. v. Bjerkness</w:t>
      </w:r>
      <w:r>
        <w:t>, 636 F. Supp. 2d 696, 710 (N.D. Ill. 2009) (emphasis added).</w:t>
      </w:r>
    </w:p>
    <w:p w14:paraId="0A0502CB"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A covenant not to compete entered into after the underlying employment relationship is terminated gives rise to no enforceable rights. </w:t>
      </w:r>
      <w:r>
        <w:rPr>
          <w:rFonts w:ascii="Baskerville" w:hAnsi="Baskerville" w:cs="Baskerville"/>
          <w:i/>
          <w:iCs/>
        </w:rPr>
        <w:t>Gorman Publ’g Co. v. Stillman</w:t>
      </w:r>
      <w:r>
        <w:rPr>
          <w:rFonts w:ascii="Baskerville" w:hAnsi="Baskerville" w:cs="Baskerville"/>
        </w:rPr>
        <w:t>, 516 F. Supp. 98, 108 (N.D. Ill. 1980).</w:t>
      </w:r>
    </w:p>
    <w:p w14:paraId="7D48DB3E"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With respect to the substantiality requirement:</w:t>
      </w:r>
    </w:p>
    <w:p w14:paraId="6F0FCDE2" w14:textId="77777777" w:rsidR="00655396" w:rsidRDefault="00655396" w:rsidP="008B512B">
      <w:pPr>
        <w:pStyle w:val="BodyText"/>
        <w:spacing w:line="240" w:lineRule="auto"/>
      </w:pPr>
    </w:p>
    <w:p w14:paraId="4C5A5AC0" w14:textId="61673EC7"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sz w:val="22"/>
          <w:szCs w:val="22"/>
        </w:rPr>
        <w:t>[E]mployment for just seven months after executing a noncompete does not provide the requisite consideration.</w:t>
      </w:r>
      <w:r w:rsidR="00FB1D09">
        <w:rPr>
          <w:rFonts w:ascii="Baskerville" w:hAnsi="Baskerville" w:cs="Baskerville"/>
          <w:sz w:val="22"/>
          <w:szCs w:val="22"/>
        </w:rPr>
        <w:t xml:space="preserve"> </w:t>
      </w:r>
      <w:r>
        <w:rPr>
          <w:rFonts w:ascii="Baskerville" w:hAnsi="Baskerville" w:cs="Baskerville"/>
          <w:i/>
          <w:iCs/>
          <w:sz w:val="22"/>
          <w:szCs w:val="22"/>
        </w:rPr>
        <w:t>See Mid-Town Petroleum, Inc. v. Gowen</w:t>
      </w:r>
      <w:r>
        <w:rPr>
          <w:rFonts w:ascii="Baskerville" w:hAnsi="Baskerville" w:cs="Baskerville"/>
          <w:sz w:val="22"/>
          <w:szCs w:val="22"/>
        </w:rPr>
        <w:t>, 243 Ill. App. 3d 63, 70, 183 Ill. Dec. 573, 579, 611 N.E.2d 1221, 1227 (1st Dist. 1993).</w:t>
      </w:r>
      <w:r w:rsidR="00FB1D09">
        <w:rPr>
          <w:rFonts w:ascii="Baskerville" w:hAnsi="Baskerville" w:cs="Baskerville"/>
          <w:sz w:val="22"/>
          <w:szCs w:val="22"/>
        </w:rPr>
        <w:t xml:space="preserve"> </w:t>
      </w:r>
      <w:r>
        <w:rPr>
          <w:rFonts w:ascii="Baskerville" w:hAnsi="Baskerville" w:cs="Baskerville"/>
          <w:sz w:val="22"/>
          <w:szCs w:val="22"/>
        </w:rPr>
        <w:t>On the other hand, two to three years’ continued employment clearly suffices.</w:t>
      </w:r>
      <w:r w:rsidR="00FB1D09">
        <w:rPr>
          <w:rFonts w:ascii="Baskerville" w:hAnsi="Baskerville" w:cs="Baskerville"/>
          <w:sz w:val="22"/>
          <w:szCs w:val="22"/>
        </w:rPr>
        <w:t xml:space="preserve"> </w:t>
      </w:r>
      <w:r>
        <w:rPr>
          <w:rFonts w:ascii="Baskerville" w:hAnsi="Baskerville" w:cs="Baskerville"/>
          <w:i/>
          <w:iCs/>
          <w:sz w:val="22"/>
          <w:szCs w:val="22"/>
        </w:rPr>
        <w:t>See, e.g.</w:t>
      </w:r>
      <w:r>
        <w:rPr>
          <w:rFonts w:ascii="Baskerville" w:hAnsi="Baskerville" w:cs="Baskerville"/>
          <w:sz w:val="22"/>
          <w:szCs w:val="22"/>
        </w:rPr>
        <w:t xml:space="preserve">, </w:t>
      </w:r>
      <w:r>
        <w:rPr>
          <w:rFonts w:ascii="Baskerville" w:hAnsi="Baskerville" w:cs="Baskerville"/>
          <w:i/>
          <w:iCs/>
          <w:sz w:val="22"/>
          <w:szCs w:val="22"/>
        </w:rPr>
        <w:t>Abel</w:t>
      </w:r>
      <w:r>
        <w:rPr>
          <w:rFonts w:ascii="Baskerville" w:hAnsi="Baskerville" w:cs="Baskerville"/>
          <w:sz w:val="22"/>
          <w:szCs w:val="22"/>
        </w:rPr>
        <w:t xml:space="preserve">, 274 Ill. App. 3d at 821, 211 Ill. Dec. at 136, 654 N.E.2d at 598 (three years); </w:t>
      </w:r>
      <w:r>
        <w:rPr>
          <w:rFonts w:ascii="Baskerville" w:hAnsi="Baskerville" w:cs="Baskerville"/>
          <w:i/>
          <w:iCs/>
          <w:sz w:val="22"/>
          <w:szCs w:val="22"/>
        </w:rPr>
        <w:t>Steward</w:t>
      </w:r>
      <w:r>
        <w:rPr>
          <w:rFonts w:ascii="Baskerville" w:hAnsi="Baskerville" w:cs="Baskerville"/>
          <w:sz w:val="22"/>
          <w:szCs w:val="22"/>
        </w:rPr>
        <w:t xml:space="preserve">, 253 Ill. App. 3d at 635, 192 Ill. Dec. at 439, 625 N.E.2d at 399 (two years); </w:t>
      </w:r>
      <w:r>
        <w:rPr>
          <w:rFonts w:ascii="Baskerville" w:hAnsi="Baskerville" w:cs="Baskerville"/>
          <w:i/>
          <w:iCs/>
          <w:sz w:val="22"/>
          <w:szCs w:val="22"/>
        </w:rPr>
        <w:t>Agrimerica</w:t>
      </w:r>
      <w:r>
        <w:rPr>
          <w:rFonts w:ascii="Baskerville" w:hAnsi="Baskerville" w:cs="Baskerville"/>
          <w:sz w:val="22"/>
          <w:szCs w:val="22"/>
        </w:rPr>
        <w:t>, 199 Ill. App. 3d at 442, 145 Ill. Dec. at 592, 557 N.E.2d at 362 (two-and-a-half years).</w:t>
      </w:r>
    </w:p>
    <w:p w14:paraId="41585722" w14:textId="77777777" w:rsidR="00655396" w:rsidRDefault="00655396" w:rsidP="008B512B">
      <w:pPr>
        <w:pStyle w:val="BodyText"/>
        <w:spacing w:line="240" w:lineRule="auto"/>
      </w:pPr>
    </w:p>
    <w:p w14:paraId="751395F4" w14:textId="77777777" w:rsidR="00655396" w:rsidRDefault="00655396" w:rsidP="008B512B">
      <w:pPr>
        <w:pStyle w:val="BodyText"/>
        <w:spacing w:line="240" w:lineRule="auto"/>
      </w:pPr>
      <w:r>
        <w:rPr>
          <w:i/>
          <w:iCs/>
        </w:rPr>
        <w:t>Applied Micro</w:t>
      </w:r>
      <w:r>
        <w:t>, 941 F. Supp. at 753 n.3.</w:t>
      </w:r>
    </w:p>
    <w:p w14:paraId="0B6CB358" w14:textId="465FD7F6" w:rsidR="00655396" w:rsidRDefault="00655396" w:rsidP="008B512B">
      <w:pPr>
        <w:pStyle w:val="NoParagraphStyle"/>
        <w:tabs>
          <w:tab w:val="left" w:pos="480"/>
          <w:tab w:val="left" w:pos="960"/>
          <w:tab w:val="left" w:pos="1440"/>
        </w:tabs>
        <w:spacing w:line="240" w:lineRule="auto"/>
        <w:jc w:val="both"/>
        <w:rPr>
          <w:rFonts w:ascii="Baskerville" w:hAnsi="Baskerville" w:cs="Baskerville"/>
          <w:i/>
          <w:iCs/>
        </w:rPr>
      </w:pPr>
      <w:r>
        <w:rPr>
          <w:rFonts w:ascii="Baskerville" w:hAnsi="Baskerville" w:cs="Baskerville"/>
        </w:rPr>
        <w:tab/>
        <w:t xml:space="preserve">“For a thorough explanation as to why courts view continued </w:t>
      </w:r>
      <w:r>
        <w:rPr>
          <w:rFonts w:ascii="Baskerville" w:hAnsi="Baskerville" w:cs="Baskerville"/>
        </w:rPr>
        <w:lastRenderedPageBreak/>
        <w:t xml:space="preserve">employment as good consideration for a covenant not to compete, see </w:t>
      </w:r>
      <w:r>
        <w:rPr>
          <w:rFonts w:ascii="Baskerville" w:hAnsi="Baskerville" w:cs="Baskerville"/>
          <w:i/>
          <w:iCs/>
        </w:rPr>
        <w:t>Curtis</w:t>
      </w:r>
      <w:r>
        <w:rPr>
          <w:rFonts w:ascii="Baskerville" w:hAnsi="Baskerville" w:cs="Baskerville"/>
        </w:rPr>
        <w:t>, 24 F.3d at 945–48.”</w:t>
      </w:r>
      <w:r w:rsidR="00FB1D09">
        <w:rPr>
          <w:rFonts w:ascii="Baskerville" w:hAnsi="Baskerville" w:cs="Baskerville"/>
        </w:rPr>
        <w:t xml:space="preserve"> </w:t>
      </w:r>
      <w:r>
        <w:rPr>
          <w:rFonts w:ascii="Baskerville" w:hAnsi="Baskerville" w:cs="Baskerville"/>
          <w:i/>
          <w:iCs/>
        </w:rPr>
        <w:t>Id.</w:t>
      </w:r>
    </w:p>
    <w:p w14:paraId="6428FAA1" w14:textId="335B97BD"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In </w:t>
      </w:r>
      <w:r>
        <w:rPr>
          <w:rFonts w:ascii="Baskerville" w:hAnsi="Baskerville" w:cs="Baskerville"/>
          <w:i/>
          <w:iCs/>
        </w:rPr>
        <w:t>Applied Micro</w:t>
      </w:r>
      <w:r>
        <w:rPr>
          <w:rFonts w:ascii="Baskerville" w:hAnsi="Baskerville" w:cs="Baskerville"/>
        </w:rPr>
        <w:t>, the employee had stayed with the employer for more than five years after she signed the afterthought covenant.</w:t>
      </w:r>
      <w:r w:rsidR="00FB1D09">
        <w:rPr>
          <w:rFonts w:ascii="Baskerville" w:hAnsi="Baskerville" w:cs="Baskerville"/>
        </w:rPr>
        <w:t xml:space="preserve"> </w:t>
      </w:r>
      <w:r>
        <w:rPr>
          <w:rFonts w:ascii="Baskerville" w:hAnsi="Baskerville" w:cs="Baskerville"/>
        </w:rPr>
        <w:t>She belatedly challenged the covenant’s consideration in her reply memorandum.</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n.4.</w:t>
      </w:r>
      <w:r w:rsidR="00FB1D09">
        <w:rPr>
          <w:rFonts w:ascii="Baskerville" w:hAnsi="Baskerville" w:cs="Baskerville"/>
        </w:rPr>
        <w:t xml:space="preserve"> </w:t>
      </w:r>
      <w:r>
        <w:rPr>
          <w:rFonts w:ascii="Baskerville" w:hAnsi="Baskerville" w:cs="Baskerville"/>
        </w:rPr>
        <w:t>Thus, “[t]his argument was waived when it was omitted from her opening brief.”</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(citation omitted).</w:t>
      </w:r>
      <w:r w:rsidR="00FB1D09">
        <w:rPr>
          <w:rFonts w:ascii="Baskerville" w:hAnsi="Baskerville" w:cs="Baskerville"/>
        </w:rPr>
        <w:t xml:space="preserve"> </w:t>
      </w:r>
      <w:r>
        <w:rPr>
          <w:rFonts w:ascii="Baskerville" w:hAnsi="Baskerville" w:cs="Baskerville"/>
        </w:rPr>
        <w:t>“At any rate, given the clear and copious authority finding continued employment, regardless of whether promised in advance and in writing, to be sufficient consideration for a noncompete, the challenge is unlikely to have succeeded.”</w:t>
      </w:r>
      <w:r w:rsidR="00FB1D09">
        <w:rPr>
          <w:rFonts w:ascii="Baskerville" w:hAnsi="Baskerville" w:cs="Baskerville"/>
        </w:rPr>
        <w:t xml:space="preserve"> </w:t>
      </w:r>
      <w:r>
        <w:rPr>
          <w:rFonts w:ascii="Baskerville" w:hAnsi="Baskerville" w:cs="Baskerville"/>
          <w:i/>
          <w:iCs/>
        </w:rPr>
        <w:t>Id.</w:t>
      </w:r>
    </w:p>
    <w:p w14:paraId="1323CD28" w14:textId="1DED5E33" w:rsidR="00655396" w:rsidRDefault="00655396" w:rsidP="008B512B">
      <w:pPr>
        <w:pStyle w:val="BodyText"/>
        <w:spacing w:line="240" w:lineRule="auto"/>
      </w:pPr>
      <w:r>
        <w:tab/>
        <w:t xml:space="preserve">In </w:t>
      </w:r>
      <w:r>
        <w:rPr>
          <w:i/>
          <w:iCs/>
        </w:rPr>
        <w:t>Lawrence &amp; Allen</w:t>
      </w:r>
      <w:r>
        <w:t>, an at-will employee had been working for his employer for 1 year, 5 months, and 2 days when he signed a noncompetition-nonsolicitation covenant “under the threat of termination [for refusal to sign] and without any change to his job title, responsibilities, or salary.”</w:t>
      </w:r>
      <w:r w:rsidR="00FB1D09">
        <w:t xml:space="preserve"> </w:t>
      </w:r>
      <w:r>
        <w:t>226 Ill. Dec. at 335, 685 N.E.2d at 438.</w:t>
      </w:r>
      <w:r w:rsidR="00FB1D09">
        <w:t xml:space="preserve"> </w:t>
      </w:r>
      <w:r>
        <w:t>His employment continued for two years, four months, and fifteen days after signing the covenant.</w:t>
      </w:r>
      <w:r w:rsidR="00FB1D09">
        <w:t xml:space="preserve"> </w:t>
      </w:r>
      <w:r>
        <w:rPr>
          <w:i/>
          <w:iCs/>
        </w:rPr>
        <w:t>Id.</w:t>
      </w:r>
      <w:r>
        <w:t>, 685 N.E.2d at 438.</w:t>
      </w:r>
      <w:r w:rsidR="00FB1D09">
        <w:t xml:space="preserve"> </w:t>
      </w:r>
      <w:r>
        <w:t xml:space="preserve">Citing </w:t>
      </w:r>
      <w:r>
        <w:rPr>
          <w:i/>
          <w:iCs/>
        </w:rPr>
        <w:t>Agrimerica</w:t>
      </w:r>
      <w:r>
        <w:t xml:space="preserve"> for the principle that more than two years of continued employment constitutes sufficient consideration, the </w:t>
      </w:r>
      <w:r>
        <w:rPr>
          <w:i/>
          <w:iCs/>
        </w:rPr>
        <w:t>Lawrence &amp; Allen</w:t>
      </w:r>
      <w:r>
        <w:t xml:space="preserve"> court rejected the former employee’s assertion that the covenant was unenforceable for lack of consideration.</w:t>
      </w:r>
      <w:r w:rsidR="00FB1D09">
        <w:t xml:space="preserve"> </w:t>
      </w:r>
      <w:r>
        <w:rPr>
          <w:i/>
          <w:iCs/>
        </w:rPr>
        <w:t>Id.</w:t>
      </w:r>
      <w:r>
        <w:t xml:space="preserve"> at 338, 685 N.E.2d at 441.</w:t>
      </w:r>
    </w:p>
    <w:p w14:paraId="5F8222C3" w14:textId="77777777" w:rsidR="00655396" w:rsidRDefault="00655396" w:rsidP="008B512B">
      <w:pPr>
        <w:pStyle w:val="BodyText"/>
        <w:spacing w:line="240" w:lineRule="auto"/>
      </w:pPr>
    </w:p>
    <w:p w14:paraId="1E7C8BA0" w14:textId="5AAC8B57" w:rsidR="00655396" w:rsidRDefault="00655396" w:rsidP="008B512B">
      <w:pPr>
        <w:pStyle w:val="BodyText"/>
        <w:spacing w:line="240" w:lineRule="auto"/>
      </w:pPr>
      <w:r>
        <w:tab/>
      </w:r>
      <w:r>
        <w:rPr>
          <w:b/>
          <w:bCs/>
        </w:rPr>
        <w:t>•</w:t>
      </w:r>
      <w:r>
        <w:t xml:space="preserve"> </w:t>
      </w:r>
      <w:r>
        <w:rPr>
          <w:i/>
          <w:iCs/>
        </w:rPr>
        <w:t>Determination of consideration supplied by continued employment is not limited to numerical formula</w:t>
      </w:r>
      <w:r w:rsidR="00D47546">
        <w:rPr>
          <w:i/>
          <w:iCs/>
        </w:rPr>
        <w:t xml:space="preserve">; </w:t>
      </w:r>
      <w:r>
        <w:rPr>
          <w:i/>
          <w:iCs/>
        </w:rPr>
        <w:t>Whether employee was involuntarily terminated by employer may need to be considered</w:t>
      </w:r>
      <w:r>
        <w:t>.</w:t>
      </w:r>
      <w:r w:rsidR="00FB1D09">
        <w:t xml:space="preserve"> </w:t>
      </w:r>
      <w:r>
        <w:t>In dictum, the First District of the Illinois Court of Appeals has stated:</w:t>
      </w:r>
    </w:p>
    <w:p w14:paraId="2B054B79" w14:textId="77777777" w:rsidR="00655396" w:rsidRDefault="00655396" w:rsidP="008B512B">
      <w:pPr>
        <w:pStyle w:val="BodyText"/>
        <w:spacing w:line="240" w:lineRule="auto"/>
      </w:pPr>
    </w:p>
    <w:p w14:paraId="052D2C57" w14:textId="139D491B"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We do not believe case law limits the courts’ review [of the question whether substantial continued employment supplies the necessary consideration for a covenant entered into after the inception of the employment] to a numerical formula for what constitutes substantial continued employment.</w:t>
      </w:r>
      <w:r w:rsidR="00FB1D09">
        <w:rPr>
          <w:rFonts w:ascii="Baskerville" w:hAnsi="Baskerville" w:cs="Baskerville"/>
          <w:sz w:val="22"/>
          <w:szCs w:val="22"/>
        </w:rPr>
        <w:t xml:space="preserve"> </w:t>
      </w:r>
      <w:r>
        <w:rPr>
          <w:rFonts w:ascii="Baskerville" w:hAnsi="Baskerville" w:cs="Baskerville"/>
          <w:sz w:val="22"/>
          <w:szCs w:val="22"/>
        </w:rPr>
        <w:t>Factors other than the time period of the continued employment, such as whether the employee or the employer terminated [the] employment, may need to be considered to properly review the issue of consideration.</w:t>
      </w:r>
    </w:p>
    <w:p w14:paraId="310AAEBE" w14:textId="77777777" w:rsidR="00655396" w:rsidRDefault="00655396" w:rsidP="008B512B">
      <w:pPr>
        <w:pStyle w:val="BodyText"/>
        <w:spacing w:line="240" w:lineRule="auto"/>
        <w:rPr>
          <w:i/>
          <w:iCs/>
        </w:rPr>
      </w:pPr>
    </w:p>
    <w:p w14:paraId="01DE7E27" w14:textId="6CA4CB41" w:rsidR="00655396" w:rsidRDefault="00655396" w:rsidP="008B512B">
      <w:pPr>
        <w:pStyle w:val="BodyText"/>
        <w:spacing w:line="240" w:lineRule="auto"/>
      </w:pPr>
      <w:r>
        <w:rPr>
          <w:i/>
          <w:iCs/>
        </w:rPr>
        <w:t>Woodfield Grp., Inc. v. DeLisle</w:t>
      </w:r>
      <w:r>
        <w:t xml:space="preserve">, 295 Ill. App. 3d 935, 943, 230 Ill. </w:t>
      </w:r>
      <w:r>
        <w:lastRenderedPageBreak/>
        <w:t>Dec. 335, 340, 693 N.E.2d 464, 469, 13 IER Cases 1646 (1st Dist. 1998).</w:t>
      </w:r>
      <w:r w:rsidR="00FB1D09">
        <w:t xml:space="preserve"> </w:t>
      </w:r>
      <w:r>
        <w:rPr>
          <w:i/>
          <w:iCs/>
        </w:rPr>
        <w:t xml:space="preserve">See LKQ Corp. v. </w:t>
      </w:r>
      <w:r w:rsidR="001A419C">
        <w:rPr>
          <w:i/>
          <w:iCs/>
        </w:rPr>
        <w:t>Thrasher</w:t>
      </w:r>
      <w:r w:rsidR="001A419C">
        <w:t>,</w:t>
      </w:r>
      <w:r>
        <w:t xml:space="preserve"> 785 F. Supp. 2d 737, 743–44 (N.D. Ill. 2011) (discussing </w:t>
      </w:r>
      <w:r>
        <w:rPr>
          <w:i/>
          <w:iCs/>
        </w:rPr>
        <w:t>Woodfield</w:t>
      </w:r>
      <w:r>
        <w:t>).</w:t>
      </w:r>
    </w:p>
    <w:p w14:paraId="4F9A4A73" w14:textId="77777777" w:rsidR="00655396" w:rsidRDefault="00655396" w:rsidP="008B512B">
      <w:pPr>
        <w:pStyle w:val="BodyText"/>
        <w:spacing w:line="240" w:lineRule="auto"/>
      </w:pPr>
    </w:p>
    <w:p w14:paraId="6D270507" w14:textId="77777777" w:rsidR="00655396" w:rsidRDefault="00655396" w:rsidP="008B512B">
      <w:pPr>
        <w:pStyle w:val="SubQuestion"/>
        <w:spacing w:line="240" w:lineRule="auto"/>
      </w:pPr>
      <w:r>
        <w:t>d.</w:t>
      </w:r>
      <w:r>
        <w:tab/>
        <w:t>What factors will the court consider in determining whether time and geographic restrictions in the covenant are reasonable?</w:t>
      </w:r>
    </w:p>
    <w:p w14:paraId="0CF8D9ED"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41CD20A8" w14:textId="3ADC9C6C" w:rsidR="00655396" w:rsidRDefault="00655396" w:rsidP="008B512B">
      <w:pPr>
        <w:pStyle w:val="BodyText"/>
        <w:spacing w:line="240" w:lineRule="auto"/>
      </w:pPr>
      <w:r>
        <w:tab/>
        <w:t>When assessing the reasonableness of restrictive covenants, courts are to apply an objective standard, informed by the individual facts of the case.</w:t>
      </w:r>
      <w:r w:rsidR="00FB1D09">
        <w:t xml:space="preserve"> </w:t>
      </w:r>
      <w:r>
        <w:rPr>
          <w:i/>
          <w:iCs/>
        </w:rPr>
        <w:t>Mohanty v. St. John Heart Clinic, S.C.</w:t>
      </w:r>
      <w:r>
        <w:t>, 310 Ill. Dec. 274, 300, 866 N.E.2d 85, 98 (2006)</w:t>
      </w:r>
    </w:p>
    <w:p w14:paraId="756A9269" w14:textId="3A85F76B" w:rsidR="00655396" w:rsidRDefault="00655396" w:rsidP="008B512B">
      <w:pPr>
        <w:pStyle w:val="BodyText"/>
        <w:spacing w:line="240" w:lineRule="auto"/>
        <w:rPr>
          <w:spacing w:val="-1"/>
        </w:rPr>
      </w:pPr>
      <w:r>
        <w:rPr>
          <w:spacing w:val="-1"/>
        </w:rPr>
        <w:tab/>
        <w:t>In determining whether a restraint on competition in an employment contract is reasonable, it is necessary to consider whether enforcement would be injurious to the public or cause undue hardship to the promissor, and whether the sought would be imposed is greater than necessary to protect the promissee.</w:t>
      </w:r>
      <w:r w:rsidR="00FB1D09">
        <w:rPr>
          <w:spacing w:val="-1"/>
        </w:rPr>
        <w:t xml:space="preserve"> </w:t>
      </w:r>
      <w:r>
        <w:rPr>
          <w:i/>
          <w:iCs/>
          <w:spacing w:val="-1"/>
        </w:rPr>
        <w:t>Id.</w:t>
      </w:r>
      <w:r>
        <w:rPr>
          <w:spacing w:val="-1"/>
        </w:rPr>
        <w:t xml:space="preserve"> at 287, 866 N.E.2d at 98.</w:t>
      </w:r>
    </w:p>
    <w:p w14:paraId="147FCDFE" w14:textId="04F17849" w:rsidR="00655396" w:rsidRDefault="00655396" w:rsidP="008B512B">
      <w:pPr>
        <w:pStyle w:val="BodyText"/>
        <w:spacing w:line="240" w:lineRule="auto"/>
        <w:rPr>
          <w:spacing w:val="-1"/>
        </w:rPr>
      </w:pPr>
      <w:r>
        <w:rPr>
          <w:spacing w:val="-1"/>
        </w:rPr>
        <w:tab/>
        <w:t>It has also been written that “[a] restrictive covenant’s reasonableness is measured by its hardship to the employee, its effect upon the general public, and the reasonableness of the time, territory, and activity restrictions.”</w:t>
      </w:r>
      <w:r w:rsidR="00FB1D09">
        <w:rPr>
          <w:spacing w:val="-1"/>
        </w:rPr>
        <w:t xml:space="preserve"> </w:t>
      </w:r>
      <w:r>
        <w:rPr>
          <w:i/>
          <w:iCs/>
          <w:spacing w:val="-1"/>
        </w:rPr>
        <w:t>Lawrence &amp; Allen, Inc. v. Cambridge Human Res. Grp., Inc.</w:t>
      </w:r>
      <w:r>
        <w:rPr>
          <w:spacing w:val="-1"/>
        </w:rPr>
        <w:t xml:space="preserve">, 226 Ill. Dec. 331, 338, 685 N.E.2d 434, 441 (Ct. App. 2d Dist. 1997) (citing </w:t>
      </w:r>
      <w:r>
        <w:rPr>
          <w:i/>
          <w:iCs/>
          <w:spacing w:val="-1"/>
        </w:rPr>
        <w:t>Abbott-Interfast Corp. v. Harkabus</w:t>
      </w:r>
      <w:r>
        <w:rPr>
          <w:spacing w:val="-1"/>
        </w:rPr>
        <w:t>, 250 Ill. App. 3d 13, 17, 189 Ill. Dec. 288, 619 N.E.2d 1337 (1993)).</w:t>
      </w:r>
      <w:r w:rsidR="00FB1D09">
        <w:rPr>
          <w:spacing w:val="-1"/>
        </w:rPr>
        <w:t xml:space="preserve"> </w:t>
      </w:r>
      <w:r>
        <w:rPr>
          <w:i/>
          <w:iCs/>
          <w:spacing w:val="-1"/>
        </w:rPr>
        <w:t>See also Baird &amp; Warner Residential Sales, Inc. v. Mazzone,</w:t>
      </w:r>
      <w:r>
        <w:rPr>
          <w:spacing w:val="-1"/>
        </w:rPr>
        <w:t xml:space="preserve"> 384 Ill. App. 3d 586, 893 N.E.2d 1010, 1014 (1st Dist. 2008) (stating that, in determining whether a particular restrictive covenant in a particular case is reasonable and necessary to protect a legitimate business interest of the employer, the factors for the court to consider “include the hardship caused to the employee, the effect upon the general public, the geographic and temporal scope of the restrictions, as well as the activities restricted, all of which necessarily turn on the facts of the case;”</w:t>
      </w:r>
      <w:r w:rsidR="00FB1D09">
        <w:rPr>
          <w:spacing w:val="-1"/>
        </w:rPr>
        <w:t xml:space="preserve"> </w:t>
      </w:r>
      <w:r>
        <w:rPr>
          <w:spacing w:val="-1"/>
        </w:rPr>
        <w:t xml:space="preserve">quoted and cited with approval in </w:t>
      </w:r>
      <w:r>
        <w:rPr>
          <w:i/>
          <w:iCs/>
          <w:spacing w:val="-1"/>
        </w:rPr>
        <w:t>Levy Rest. L.P. v. Williamson</w:t>
      </w:r>
      <w:r>
        <w:rPr>
          <w:spacing w:val="-1"/>
        </w:rPr>
        <w:t>, 2009 U.S. Dist. LEXIS 68398, at *15 (N.D. Ill. Aug. 5, 2009)).</w:t>
      </w:r>
      <w:r w:rsidR="00FB1D09">
        <w:rPr>
          <w:spacing w:val="-1"/>
        </w:rPr>
        <w:t xml:space="preserve"> </w:t>
      </w:r>
      <w:r>
        <w:rPr>
          <w:spacing w:val="-1"/>
        </w:rPr>
        <w:t>This measuring and weighing requires the courts to consider the propriety of the restrictions in terms of their length in time, their territorial scope, and the activities that they restrict.</w:t>
      </w:r>
      <w:r w:rsidR="00FB1D09">
        <w:rPr>
          <w:spacing w:val="-1"/>
        </w:rPr>
        <w:t xml:space="preserve"> </w:t>
      </w:r>
      <w:r>
        <w:rPr>
          <w:i/>
          <w:iCs/>
          <w:spacing w:val="-1"/>
        </w:rPr>
        <w:t>Cambridge Eng’g, Inc. v. Mercury Partners 90 B</w:t>
      </w:r>
      <w:r>
        <w:rPr>
          <w:i/>
          <w:iCs/>
          <w:caps/>
          <w:spacing w:val="-1"/>
        </w:rPr>
        <w:t>i</w:t>
      </w:r>
      <w:r>
        <w:rPr>
          <w:i/>
          <w:iCs/>
          <w:spacing w:val="-1"/>
        </w:rPr>
        <w:t>, Inc.</w:t>
      </w:r>
      <w:r>
        <w:rPr>
          <w:spacing w:val="-1"/>
        </w:rPr>
        <w:t>, 378 Ill. App. 3d 437, 447, 879 N.E.2d 512, 522 (1st Dist. 2007).</w:t>
      </w:r>
    </w:p>
    <w:p w14:paraId="060E48E4" w14:textId="237B1F33" w:rsidR="00655396" w:rsidRDefault="00655396" w:rsidP="008B512B">
      <w:pPr>
        <w:pStyle w:val="BodyText"/>
        <w:spacing w:line="240" w:lineRule="auto"/>
      </w:pPr>
      <w:r>
        <w:tab/>
        <w:t xml:space="preserve">According to a 2008 federal district court opinion, the factors </w:t>
      </w:r>
      <w:r>
        <w:lastRenderedPageBreak/>
        <w:t>courts look to in determining the reasonableness of a postemployment covenant not to compete include” the number and size of rivals that compete with the former employer, the general size of the relevant industry, the existence of other jobs in the former employee’s field of expertise</w:t>
      </w:r>
      <w:r w:rsidR="001A419C">
        <w:t>, and</w:t>
      </w:r>
      <w:r>
        <w:t xml:space="preserve"> the nature of the relationships between the former employer and its clients.</w:t>
      </w:r>
      <w:r w:rsidR="00FB1D09">
        <w:t xml:space="preserve"> </w:t>
      </w:r>
      <w:r>
        <w:rPr>
          <w:i/>
          <w:iCs/>
        </w:rPr>
        <w:t>Integrated Genomics, Inc. v. Kyrpides</w:t>
      </w:r>
      <w:r>
        <w:t>, 2008 U.S. Dist. LEXIS 16838, at *20–21 (N.D. Ill. Mar. 4, 2008).</w:t>
      </w:r>
    </w:p>
    <w:p w14:paraId="6D0F0E78" w14:textId="49B6D2C9" w:rsidR="00655396" w:rsidRDefault="00655396" w:rsidP="008B512B">
      <w:pPr>
        <w:pStyle w:val="BodyText"/>
        <w:spacing w:line="240" w:lineRule="auto"/>
      </w:pPr>
      <w:r>
        <w:tab/>
        <w:t>Under a 2011 Illinois Supreme Court case,</w:t>
      </w:r>
      <w:r w:rsidR="00FB1D09">
        <w:t xml:space="preserve"> </w:t>
      </w:r>
      <w:r>
        <w:rPr>
          <w:i/>
          <w:iCs/>
        </w:rPr>
        <w:t>Reliable Fire Equipment Co. v. Arredondo</w:t>
      </w:r>
      <w:r>
        <w:t>, 358 Ill. Dec. 322, 965 N.E.2d 393 (2011), covenant enforceability should be evaluated under a “three dimensional rule of reason” under which a covenant is reasonable if it “(1) is no greater than is required for the protection of a legitimate business interest of the employer-promisee; (2) does not impose undue hardship on the employee-promissor; and (3) is not injurious to the public.”</w:t>
      </w:r>
      <w:r w:rsidR="00FB1D09">
        <w:t xml:space="preserve"> </w:t>
      </w:r>
      <w:r>
        <w:rPr>
          <w:i/>
          <w:iCs/>
        </w:rPr>
        <w:t>Id</w:t>
      </w:r>
      <w:r>
        <w:t>., 965 N.E.2d at 396 (citations omitted).</w:t>
      </w:r>
    </w:p>
    <w:p w14:paraId="75AB01E9" w14:textId="77777777" w:rsidR="00655396" w:rsidRDefault="00655396" w:rsidP="008B512B">
      <w:pPr>
        <w:pStyle w:val="BodyText"/>
        <w:spacing w:line="240" w:lineRule="auto"/>
      </w:pPr>
    </w:p>
    <w:p w14:paraId="3C752C46" w14:textId="656E2D68" w:rsidR="00655396" w:rsidRPr="00BD1985" w:rsidRDefault="00655396" w:rsidP="008B512B">
      <w:pPr>
        <w:pStyle w:val="BQ"/>
        <w:spacing w:line="240" w:lineRule="auto"/>
        <w:rPr>
          <w:b/>
        </w:rPr>
      </w:pPr>
      <w:r w:rsidRPr="00BD1985">
        <w:t xml:space="preserve">Prior to </w:t>
      </w:r>
      <w:r w:rsidRPr="00BD1985">
        <w:rPr>
          <w:bCs w:val="0"/>
          <w:i/>
          <w:iCs/>
        </w:rPr>
        <w:t>Reliable Fire</w:t>
      </w:r>
      <w:r w:rsidRPr="00BD1985">
        <w:t>, courts sometimes applied the analytical structure of the legitimate-business-interest test (LBI test) rather than concentrating on the reasonableness of the limitations.</w:t>
      </w:r>
      <w:r w:rsidR="00FB1D09">
        <w:t xml:space="preserve"> </w:t>
      </w:r>
      <w:r w:rsidRPr="00BD1985">
        <w:t xml:space="preserve">The LBI test as utilized by the appellate court for the past 30-plus years developed into the </w:t>
      </w:r>
      <w:r w:rsidRPr="00BD1985">
        <w:rPr>
          <w:bCs w:val="0"/>
          <w:i/>
          <w:iCs/>
        </w:rPr>
        <w:t xml:space="preserve">sine qua non </w:t>
      </w:r>
      <w:r w:rsidRPr="00BD1985">
        <w:t>to determine the enforceability of a covenant nor to compete.</w:t>
      </w:r>
      <w:r w:rsidR="00FB1D09">
        <w:t xml:space="preserve"> </w:t>
      </w:r>
      <w:r w:rsidRPr="00BD1985">
        <w:rPr>
          <w:bCs w:val="0"/>
          <w:i/>
          <w:iCs/>
        </w:rPr>
        <w:t>Reliable Fire</w:t>
      </w:r>
      <w:r w:rsidRPr="00BD1985">
        <w:t>, 2011 IL 111871, ¶¶16–18, 358 Ill. Dec. 322, 965 N.E.2d 393 [(2011)].</w:t>
      </w:r>
      <w:r w:rsidR="00FB1D09">
        <w:t xml:space="preserve"> </w:t>
      </w:r>
      <w:r w:rsidRPr="00BD1985">
        <w:t>The LBI test held that an employer had a protectable interest that could be safeguarded by a restrictive covenant in only two circumstances: (1) where the employee acquired confidential information from the employer during his or her tenure, or (2) where the employer had near-permanent customer relationships.</w:t>
      </w:r>
      <w:r w:rsidR="00FB1D09">
        <w:t xml:space="preserve"> </w:t>
      </w:r>
      <w:r w:rsidRPr="00BD1985">
        <w:rPr>
          <w:bCs w:val="0"/>
          <w:i/>
          <w:iCs/>
        </w:rPr>
        <w:t>Nationwide Advertising Service, Inc. v. Kolar</w:t>
      </w:r>
      <w:r w:rsidRPr="00BD1985">
        <w:t>, 28 Ill. App. 3d 671, 673, 329 N.E.2d 300 (1975).</w:t>
      </w:r>
      <w:r w:rsidR="00CD7A12">
        <w:t xml:space="preserve"> </w:t>
      </w:r>
      <w:r w:rsidRPr="00BD1985">
        <w:t>As part of the second factor of the LBI test, a seven-factor subtest emerged, which provided factors that a court could analyze to determine whether the employer possessed a near-permanent relationship with its customers.</w:t>
      </w:r>
      <w:r w:rsidR="00FB1D09">
        <w:t xml:space="preserve"> </w:t>
      </w:r>
      <w:r w:rsidRPr="00BD1985">
        <w:rPr>
          <w:bCs w:val="0"/>
          <w:i/>
          <w:iCs/>
        </w:rPr>
        <w:t xml:space="preserve">See, e.g., Hanchett Paper Co. v. Melchiorrre, </w:t>
      </w:r>
      <w:r w:rsidRPr="00BD1985">
        <w:t>341 Ill. App. 3d 345, 352, 275 Ill. Dec. 164, 792 N.E.2d 395 (2003).</w:t>
      </w:r>
      <w:r w:rsidR="00FB1D09">
        <w:t xml:space="preserve"> </w:t>
      </w:r>
      <w:r w:rsidRPr="00BD1985">
        <w:t xml:space="preserve">It is this rigid, factor-driven structure that [the Illinois Supreme Court] rejected in </w:t>
      </w:r>
      <w:r w:rsidRPr="00BD1985">
        <w:rPr>
          <w:bCs w:val="0"/>
          <w:i/>
          <w:iCs/>
        </w:rPr>
        <w:t>Reliable Fire</w:t>
      </w:r>
      <w:r w:rsidRPr="00BD1985">
        <w:t>.</w:t>
      </w:r>
    </w:p>
    <w:p w14:paraId="7630512B" w14:textId="77777777" w:rsidR="00655396" w:rsidRDefault="00655396" w:rsidP="008B512B">
      <w:pPr>
        <w:pStyle w:val="BodyText"/>
        <w:spacing w:line="240" w:lineRule="auto"/>
        <w:rPr>
          <w:b/>
          <w:bCs/>
        </w:rPr>
      </w:pPr>
    </w:p>
    <w:p w14:paraId="36A6D35C" w14:textId="77777777" w:rsidR="00655396" w:rsidRDefault="00655396" w:rsidP="008B512B">
      <w:pPr>
        <w:pStyle w:val="BodyText"/>
        <w:spacing w:line="240" w:lineRule="auto"/>
      </w:pPr>
      <w:r>
        <w:rPr>
          <w:i/>
          <w:iCs/>
        </w:rPr>
        <w:t>Zabaneh Franchises, LLC v. Walker</w:t>
      </w:r>
      <w:r>
        <w:t>, 972 N.E.2d 344, 349 (Ill. Ct. App. 2012).</w:t>
      </w:r>
    </w:p>
    <w:p w14:paraId="39074A43" w14:textId="77777777" w:rsidR="00655396" w:rsidRDefault="00655396" w:rsidP="008B512B">
      <w:pPr>
        <w:pStyle w:val="BodyText"/>
        <w:spacing w:line="240" w:lineRule="auto"/>
      </w:pPr>
    </w:p>
    <w:p w14:paraId="67B8BE02" w14:textId="77777777" w:rsidR="00655396" w:rsidRDefault="00655396" w:rsidP="008B512B">
      <w:pPr>
        <w:pStyle w:val="BodyText"/>
        <w:spacing w:line="240" w:lineRule="auto"/>
      </w:pPr>
      <w:r>
        <w:lastRenderedPageBreak/>
        <w:tab/>
        <w:t xml:space="preserve">• </w:t>
      </w:r>
      <w:r>
        <w:rPr>
          <w:i/>
          <w:iCs/>
        </w:rPr>
        <w:t>Timing</w:t>
      </w:r>
      <w:r w:rsidR="00D47546">
        <w:rPr>
          <w:i/>
          <w:iCs/>
        </w:rPr>
        <w:t xml:space="preserve">: </w:t>
      </w:r>
      <w:r>
        <w:rPr>
          <w:i/>
          <w:iCs/>
        </w:rPr>
        <w:t>When factors are to be applied and reasonableness determination to be made</w:t>
      </w:r>
      <w:r>
        <w:t>. In</w:t>
      </w:r>
      <w:r>
        <w:rPr>
          <w:i/>
          <w:iCs/>
        </w:rPr>
        <w:t xml:space="preserve"> TLS Management &amp; Marketing Services, LLC v. Mardis Financial Services, Inc</w:t>
      </w:r>
      <w:r>
        <w:t xml:space="preserve">., 2016 BL 400327 (S.D. Miss. Nov. 30, 2016), a federal district court sitting in Mississippi, but applying Illinois law, refused to assess the reasonableness of a noncompetition covenant </w:t>
      </w:r>
      <w:r>
        <w:rPr>
          <w:i/>
          <w:iCs/>
        </w:rPr>
        <w:t>on the pleadings alone</w:t>
      </w:r>
      <w:r>
        <w:t xml:space="preserve">. “[T]he more accepted and prudent practice is to wait until the factual context surrounding such covenants is fully developed before assessing reasonableness.” </w:t>
      </w:r>
      <w:r>
        <w:rPr>
          <w:i/>
          <w:iCs/>
        </w:rPr>
        <w:t>Id</w:t>
      </w:r>
      <w:r>
        <w:t xml:space="preserve">. at *7. </w:t>
      </w:r>
    </w:p>
    <w:p w14:paraId="355E527B" w14:textId="77777777" w:rsidR="00655396" w:rsidRDefault="00655396" w:rsidP="008B512B">
      <w:pPr>
        <w:pStyle w:val="BodyText"/>
        <w:spacing w:line="240" w:lineRule="auto"/>
      </w:pPr>
    </w:p>
    <w:p w14:paraId="7E8F06E8" w14:textId="77777777" w:rsidR="00655396" w:rsidRPr="00BD1985" w:rsidRDefault="00655396" w:rsidP="008B512B">
      <w:pPr>
        <w:pStyle w:val="HeadingCenter11"/>
        <w:spacing w:after="0" w:line="240" w:lineRule="auto"/>
        <w:rPr>
          <w:b w:val="0"/>
        </w:rPr>
      </w:pPr>
      <w:r w:rsidRPr="00BD1985">
        <w:rPr>
          <w:b w:val="0"/>
        </w:rPr>
        <w:t>Geographic Restrictions</w:t>
      </w:r>
    </w:p>
    <w:p w14:paraId="5008E465" w14:textId="00552C97" w:rsidR="00655396" w:rsidRDefault="00655396" w:rsidP="008B512B">
      <w:pPr>
        <w:pStyle w:val="BodyText"/>
        <w:spacing w:line="240" w:lineRule="auto"/>
      </w:pPr>
      <w:r>
        <w:tab/>
        <w:t>“With respect to the geographic scope of a covenant not to compete, courts generally look to whether the restricted area is coextensive with the area in which the employer is doing business.”</w:t>
      </w:r>
      <w:r w:rsidR="00FB1D09">
        <w:t xml:space="preserve"> </w:t>
      </w:r>
      <w:r>
        <w:rPr>
          <w:i/>
          <w:iCs/>
        </w:rPr>
        <w:t>Lawrence &amp; Allen, Inc</w:t>
      </w:r>
      <w:r>
        <w:t xml:space="preserve">., 226 Ill. Dec. at 339, 685 N.E.2d at 442 (citing </w:t>
      </w:r>
      <w:r>
        <w:rPr>
          <w:i/>
          <w:iCs/>
        </w:rPr>
        <w:t>Arpac Corp. v. Murray</w:t>
      </w:r>
      <w:r>
        <w:t xml:space="preserve">, 226 Ill. App. 3d 65, 77, 168 Ill. Dec. 240, 589 N.E.2d 640 (1992) (disagreed with by </w:t>
      </w:r>
      <w:r>
        <w:rPr>
          <w:i/>
          <w:iCs/>
        </w:rPr>
        <w:t>Unisource Worldwide, Inc. v. Carrar</w:t>
      </w:r>
      <w:r>
        <w:t>a, 244 F. Supp. 2d 977, 983 (C.D. Ill. 2003), and distinguished by</w:t>
      </w:r>
      <w:r>
        <w:rPr>
          <w:i/>
          <w:iCs/>
        </w:rPr>
        <w:t xml:space="preserve"> Cambridge Eng’g, Inc. v. Mercury Partners 90 BI, Inc</w:t>
      </w:r>
      <w:r>
        <w:t>., 378 Ill. App. 3d 437, 447, 316 Ill. Dec. 445, 455,</w:t>
      </w:r>
      <w:r w:rsidR="00FB1D09">
        <w:t xml:space="preserve"> </w:t>
      </w:r>
      <w:r>
        <w:t>879 N.E.2d 512, 522 (1st Dist. 2007))).</w:t>
      </w:r>
      <w:r w:rsidR="00FB1D09">
        <w:t xml:space="preserve"> </w:t>
      </w:r>
      <w:r>
        <w:rPr>
          <w:i/>
          <w:iCs/>
        </w:rPr>
        <w:t>See also</w:t>
      </w:r>
      <w:r>
        <w:t xml:space="preserve"> </w:t>
      </w:r>
      <w:r>
        <w:rPr>
          <w:i/>
          <w:iCs/>
        </w:rPr>
        <w:t xml:space="preserve">Cambridge Eng’g, Inc. v. Mercury Partners 90 </w:t>
      </w:r>
      <w:r>
        <w:rPr>
          <w:i/>
          <w:iCs/>
          <w:caps/>
        </w:rPr>
        <w:t>Bi</w:t>
      </w:r>
      <w:r>
        <w:rPr>
          <w:i/>
          <w:iCs/>
        </w:rPr>
        <w:t>, Inc.</w:t>
      </w:r>
      <w:r>
        <w:t>, 378 Ill. App. 3d 437, 448, 879 N.E.2d 512, 523 (1st Dist. 2007)</w:t>
      </w:r>
      <w:r w:rsidR="00D47546">
        <w:t xml:space="preserve">; </w:t>
      </w:r>
      <w:r>
        <w:rPr>
          <w:i/>
          <w:iCs/>
        </w:rPr>
        <w:t>Midwest Tel., Inc. v. Oloffson</w:t>
      </w:r>
      <w:r>
        <w:t xml:space="preserve">, 298 Ill. App. 3d 548, 557, 232 Ill. Dec. 783, 788, 699 N.E.2d 230, 235 (3d Dist. 1998) (“One of the factors that courts consider in making [a] determination [of a covenant’s reasonableness] is whether the restricted geographic area is coextensive with the employer’s business territory.”; finding 100-mile-radius </w:t>
      </w:r>
      <w:r>
        <w:rPr>
          <w:i/>
          <w:iCs/>
        </w:rPr>
        <w:t>geographic term</w:t>
      </w:r>
      <w:r>
        <w:t xml:space="preserve"> reasonable, </w:t>
      </w:r>
      <w:r>
        <w:rPr>
          <w:i/>
          <w:iCs/>
        </w:rPr>
        <w:t>id.</w:t>
      </w:r>
      <w:r>
        <w:t xml:space="preserve">, 232 Ill. Dec. at 788, 699 N.E.2d at 235, because “reasonably coextensive with [former employer’s] business territory”; noting, </w:t>
      </w:r>
      <w:r>
        <w:rPr>
          <w:i/>
          <w:iCs/>
        </w:rPr>
        <w:t>id.</w:t>
      </w:r>
      <w:r>
        <w:t>, 232 Ill. Dec. at 788, 699 N.E.2d at 235, that “[t]he evidence shows that [the former employer’s AM and FM] stations [for both of which the former employee had worked] generally have a 60-mile broadcast range, with its FM station capable of reaching up to 90 miles.</w:t>
      </w:r>
      <w:r w:rsidR="00FB1D09">
        <w:t xml:space="preserve"> </w:t>
      </w:r>
      <w:r>
        <w:t xml:space="preserve">[The former employer’s] station manager testified that a 100-mile geographic restriction was necessary because a station with a somewhat stronger signal located near the edge of this zone could effectively cover [the former employer’s] broadcast territory, competing for its listeners and advertisers.”; finding, </w:t>
      </w:r>
      <w:r>
        <w:rPr>
          <w:i/>
          <w:iCs/>
        </w:rPr>
        <w:t>id.</w:t>
      </w:r>
      <w:r>
        <w:t xml:space="preserve">, 232 Ill. Dec. at 788, 699 N.E.2d at 235, that “[b]ecause </w:t>
      </w:r>
      <w:r>
        <w:lastRenderedPageBreak/>
        <w:t>the evidence indicates that [the former employee] is an extremely popular radio personality, [the former employer’s] concern that its listeners and advertisers would follow him to a station within an overlapping broadcast zone is not unreasonable.</w:t>
      </w:r>
      <w:r w:rsidR="00FB1D09">
        <w:t xml:space="preserve"> </w:t>
      </w:r>
      <w:r>
        <w:t xml:space="preserve">In fact, [the former employer’s] station manager testified that both listeners and advertisers followed [the former employee] when he moved between its AM and FM stations.”). </w:t>
      </w:r>
      <w:r>
        <w:rPr>
          <w:i/>
          <w:iCs/>
        </w:rPr>
        <w:t>See generally Pactiv Corp. v. Menasha Corp.</w:t>
      </w:r>
      <w:r>
        <w:t>, 261 F. Supp. 2d 1009, 1013–14 (N.D. Ill. 2003) (covenant was “overly broad and unreasonable in geographic limitations and scope as necessary to protect Pactiv’s legitimate business interests.”).</w:t>
      </w:r>
    </w:p>
    <w:p w14:paraId="002EE91C"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In the health care sector, courts have considered the restricted area in light of its rural or urban nature. In </w:t>
      </w:r>
      <w:r>
        <w:rPr>
          <w:rFonts w:ascii="Baskerville" w:hAnsi="Baskerville" w:cs="Baskerville"/>
          <w:i/>
          <w:iCs/>
        </w:rPr>
        <w:t>Gillespie v. Carbondale &amp; Marion Eye Ltd.,</w:t>
      </w:r>
      <w:r>
        <w:rPr>
          <w:rFonts w:ascii="Baskerville" w:hAnsi="Baskerville" w:cs="Baskerville"/>
        </w:rPr>
        <w:t xml:space="preserve"> 251 Ill. App. 3d 625, 190 Ill. Dec. 950, 622 N.E.2d 1267 (5th Dist. 1993), the court explained:</w:t>
      </w:r>
    </w:p>
    <w:p w14:paraId="22B198A9" w14:textId="77777777" w:rsidR="00655396" w:rsidRDefault="00655396" w:rsidP="008B512B">
      <w:pPr>
        <w:pStyle w:val="BodyText"/>
        <w:spacing w:line="240" w:lineRule="auto"/>
      </w:pPr>
    </w:p>
    <w:p w14:paraId="123A5BCC"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The Illinois Supreme Court has found various geographic and time limitations to be reasonable in medical practice cases, including an unlimited time prohibition from practicing medicine in the entire City of Chicago. (</w:t>
      </w:r>
      <w:r>
        <w:rPr>
          <w:rFonts w:ascii="Baskerville" w:hAnsi="Baskerville" w:cs="Baskerville"/>
          <w:i/>
          <w:iCs/>
          <w:sz w:val="22"/>
          <w:szCs w:val="22"/>
        </w:rPr>
        <w:t>Storer v. Brock</w:t>
      </w:r>
      <w:r>
        <w:rPr>
          <w:rFonts w:ascii="Baskerville" w:hAnsi="Baskerville" w:cs="Baskerville"/>
          <w:sz w:val="22"/>
          <w:szCs w:val="22"/>
        </w:rPr>
        <w:t xml:space="preserve"> (1933), 351 Ill. 643, 184 N.E. 868.) The only noncompetitive covenant in a medical practice case found by our supreme court to be unreasonable involved an unlimited time restriction from practicing medicine within 30 miles from any of plaintiff’s offices, which included a Highland Park office 23 miles north of Chicago and a Waukegan office 35 miles north of Chicago. </w:t>
      </w:r>
      <w:r>
        <w:rPr>
          <w:rFonts w:ascii="Baskerville" w:hAnsi="Baskerville" w:cs="Baskerville"/>
          <w:i/>
          <w:iCs/>
          <w:sz w:val="22"/>
          <w:szCs w:val="22"/>
        </w:rPr>
        <w:t>House of Vision, Inc. v. Hiyane</w:t>
      </w:r>
      <w:r>
        <w:rPr>
          <w:rFonts w:ascii="Baskerville" w:hAnsi="Baskerville" w:cs="Baskerville"/>
          <w:sz w:val="22"/>
          <w:szCs w:val="22"/>
        </w:rPr>
        <w:t xml:space="preserve"> (1967), 37 Ill. 2d 32, 225 N.E.2d 21; see also </w:t>
      </w:r>
      <w:r>
        <w:rPr>
          <w:rFonts w:ascii="Baskerville" w:hAnsi="Baskerville" w:cs="Baskerville"/>
          <w:i/>
          <w:iCs/>
          <w:sz w:val="22"/>
          <w:szCs w:val="22"/>
        </w:rPr>
        <w:t>Retina Services, Ltd. v. Garoon</w:t>
      </w:r>
      <w:r>
        <w:rPr>
          <w:rFonts w:ascii="Baskerville" w:hAnsi="Baskerville" w:cs="Baskerville"/>
          <w:sz w:val="22"/>
          <w:szCs w:val="22"/>
        </w:rPr>
        <w:t xml:space="preserve"> (1989), 182 Ill. App. 3d 851, 131 Ill. Dec. 276, 538 N.E.2d 651.</w:t>
      </w:r>
    </w:p>
    <w:p w14:paraId="63E05F26"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The case at bar differs from </w:t>
      </w:r>
      <w:r>
        <w:rPr>
          <w:rFonts w:ascii="Baskerville" w:hAnsi="Baskerville" w:cs="Baskerville"/>
          <w:i/>
          <w:iCs/>
          <w:sz w:val="22"/>
          <w:szCs w:val="22"/>
        </w:rPr>
        <w:t>House of Vision</w:t>
      </w:r>
      <w:r>
        <w:rPr>
          <w:rFonts w:ascii="Baskerville" w:hAnsi="Baskerville" w:cs="Baskerville"/>
          <w:sz w:val="22"/>
          <w:szCs w:val="22"/>
        </w:rPr>
        <w:t xml:space="preserve"> in that </w:t>
      </w:r>
      <w:r>
        <w:rPr>
          <w:rFonts w:ascii="Baskerville" w:hAnsi="Baskerville" w:cs="Baskerville"/>
          <w:i/>
          <w:iCs/>
          <w:sz w:val="22"/>
          <w:szCs w:val="22"/>
        </w:rPr>
        <w:t>the restricted area in this case is a rural region and thus may require a broader geographic limitation in order to give effect to the covenant.</w:t>
      </w:r>
      <w:r>
        <w:rPr>
          <w:rFonts w:ascii="Baskerville" w:hAnsi="Baskerville" w:cs="Baskerville"/>
          <w:sz w:val="22"/>
          <w:szCs w:val="22"/>
        </w:rPr>
        <w:t xml:space="preserve"> Furthermore, the covenant enforced against [the ophthalmologist-employee in the instant case] is limited in duration to a two-year period. Therefore, following the reasoning of the supreme court in previous medical practice cases, we find that the [employee] could practice elsewhere [immediately upon termination] and could resume practice in the [proscriptive] area after the restricted period has ended. See </w:t>
      </w:r>
      <w:r>
        <w:rPr>
          <w:rFonts w:ascii="Baskerville" w:hAnsi="Baskerville" w:cs="Baskerville"/>
          <w:i/>
          <w:iCs/>
          <w:sz w:val="22"/>
          <w:szCs w:val="22"/>
        </w:rPr>
        <w:t>Bauer v. Sawyer</w:t>
      </w:r>
      <w:r>
        <w:rPr>
          <w:rFonts w:ascii="Baskerville" w:hAnsi="Baskerville" w:cs="Baskerville"/>
          <w:sz w:val="22"/>
          <w:szCs w:val="22"/>
        </w:rPr>
        <w:t xml:space="preserve"> (1956), 8 Ill. 2d 351, 134 N.E.2d 329; </w:t>
      </w:r>
      <w:r>
        <w:rPr>
          <w:rFonts w:ascii="Baskerville" w:hAnsi="Baskerville" w:cs="Baskerville"/>
          <w:i/>
          <w:iCs/>
          <w:sz w:val="22"/>
          <w:szCs w:val="22"/>
        </w:rPr>
        <w:t>Canfield v. Spear</w:t>
      </w:r>
      <w:r>
        <w:rPr>
          <w:rFonts w:ascii="Baskerville" w:hAnsi="Baskerville" w:cs="Baskerville"/>
          <w:sz w:val="22"/>
          <w:szCs w:val="22"/>
        </w:rPr>
        <w:t xml:space="preserve"> (1969), 44 Ill. 2d 49, 254 N.E.2d 433.</w:t>
      </w:r>
    </w:p>
    <w:p w14:paraId="31AF1DEE" w14:textId="77777777" w:rsidR="00655396" w:rsidRDefault="00655396" w:rsidP="008B512B">
      <w:pPr>
        <w:pStyle w:val="BodyText"/>
        <w:spacing w:line="240" w:lineRule="auto"/>
      </w:pPr>
    </w:p>
    <w:p w14:paraId="261C073C"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xml:space="preserve"> 622 N.E.2d at 1270 (emphasis added; affirming a 2-year </w:t>
      </w:r>
      <w:r>
        <w:rPr>
          <w:rFonts w:ascii="Baskerville" w:hAnsi="Baskerville" w:cs="Baskerville"/>
        </w:rPr>
        <w:lastRenderedPageBreak/>
        <w:t>prohibition on an ophthalmologist practicing ophthalmology within a 50-mile radius of the 5 eye clinics where he had actually practiced in southern Illinois, as modified by trial court to exclude employer locations where he had not actually practiced).</w:t>
      </w:r>
    </w:p>
    <w:p w14:paraId="1C4E3F1F" w14:textId="77777777" w:rsidR="00655396" w:rsidRDefault="00655396" w:rsidP="008B512B">
      <w:pPr>
        <w:pStyle w:val="BodyText"/>
        <w:spacing w:line="240" w:lineRule="auto"/>
      </w:pPr>
    </w:p>
    <w:p w14:paraId="00D85631" w14:textId="0C4B6DAC"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The validity of a contract and restraint of competition is determined by its reasonableness in terms of its effect on the parties and the public</w:t>
      </w:r>
      <w:r w:rsidR="00944F63">
        <w:rPr>
          <w:rFonts w:ascii="Baskerville" w:hAnsi="Baskerville" w:cs="Baskerville"/>
          <w:sz w:val="22"/>
          <w:szCs w:val="22"/>
        </w:rPr>
        <w:t>…</w:t>
      </w:r>
      <w:r>
        <w:rPr>
          <w:sz w:val="22"/>
          <w:szCs w:val="22"/>
        </w:rPr>
        <w:t> </w:t>
      </w:r>
      <w:r>
        <w:rPr>
          <w:rFonts w:ascii="Baskerville" w:hAnsi="Baskerville" w:cs="Baskerville"/>
          <w:sz w:val="22"/>
          <w:szCs w:val="22"/>
        </w:rPr>
        <w:t>. It is reasonable if its enforcement will not be injurious to the public, nor cause undue hardship to the promisor, and is not greater than is necessary to protect the employer. It must be reasonable as to time, geographical scope and activity</w:t>
      </w:r>
      <w:r w:rsidR="00944F63">
        <w:rPr>
          <w:rFonts w:ascii="Baskerville" w:hAnsi="Baskerville" w:cs="Baskerville"/>
          <w:sz w:val="22"/>
          <w:szCs w:val="22"/>
        </w:rPr>
        <w:t>…</w:t>
      </w:r>
      <w:r>
        <w:rPr>
          <w:sz w:val="22"/>
          <w:szCs w:val="22"/>
        </w:rPr>
        <w:t> </w:t>
      </w:r>
      <w:r>
        <w:rPr>
          <w:rFonts w:ascii="Baskerville" w:hAnsi="Baskerville" w:cs="Baskerville"/>
          <w:sz w:val="22"/>
          <w:szCs w:val="22"/>
        </w:rPr>
        <w:t xml:space="preserve">. However, the unlimited geographic restraints on competitive activities and solicitation of business and the further restriction from association with a corporation whose activities are competitive in the </w:t>
      </w:r>
      <w:r>
        <w:rPr>
          <w:rFonts w:ascii="Baskerville" w:hAnsi="Baskerville" w:cs="Baskerville"/>
          <w:sz w:val="22"/>
          <w:szCs w:val="22"/>
        </w:rPr>
        <w:br/>
        <w:t xml:space="preserve">continental United States are patently beyond the needs of the employer to protect his interest and are unduly harsh on the </w:t>
      </w:r>
      <w:r>
        <w:rPr>
          <w:rFonts w:ascii="Baskerville" w:hAnsi="Baskerville" w:cs="Baskerville"/>
          <w:sz w:val="22"/>
          <w:szCs w:val="22"/>
        </w:rPr>
        <w:br/>
        <w:t>employee. [Citation omitted.]</w:t>
      </w:r>
    </w:p>
    <w:p w14:paraId="066F45AF" w14:textId="77777777" w:rsidR="00655396" w:rsidRDefault="00655396" w:rsidP="008B512B">
      <w:pPr>
        <w:pStyle w:val="BodyText"/>
        <w:spacing w:line="240" w:lineRule="auto"/>
      </w:pPr>
    </w:p>
    <w:p w14:paraId="75D100AC"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Dryvit Sys. v. Rushing</w:t>
      </w:r>
      <w:r>
        <w:rPr>
          <w:rFonts w:ascii="Baskerville" w:hAnsi="Baskerville" w:cs="Baskerville"/>
        </w:rPr>
        <w:t>, 132 Ill. App. 3d 9, 477 N.E.2d 35, 38 (1st Dist. 1985).</w:t>
      </w:r>
    </w:p>
    <w:p w14:paraId="6E13B15D" w14:textId="3A81F898" w:rsidR="00655396" w:rsidRDefault="00655396" w:rsidP="008B512B">
      <w:pPr>
        <w:pStyle w:val="BodyText"/>
        <w:spacing w:line="240" w:lineRule="auto"/>
      </w:pPr>
      <w:r>
        <w:tab/>
        <w:t>The lack of a geographic restriction will not render a covenant not to compete unenforceable if the covenant contains a valid activity restriction.</w:t>
      </w:r>
      <w:r w:rsidR="00FB1D09">
        <w:t xml:space="preserve"> </w:t>
      </w:r>
      <w:r>
        <w:rPr>
          <w:i/>
          <w:iCs/>
        </w:rPr>
        <w:t>RTC Indus., Inc. v. Haddon</w:t>
      </w:r>
      <w:r>
        <w:t>, No. 06 C 5734, 2007 WL 2743583, at *1, *5 (N.D. Ill. Sept. 10, 2007).</w:t>
      </w:r>
      <w:r w:rsidR="00FB1D09">
        <w:t xml:space="preserve"> </w:t>
      </w:r>
      <w:r>
        <w:t>Valid activity restrictions include nonsolicitation of certain customers and nondisclosure of certain information or documents.</w:t>
      </w:r>
      <w:r w:rsidR="00FB1D09">
        <w:t xml:space="preserve"> </w:t>
      </w:r>
      <w:r>
        <w:rPr>
          <w:i/>
          <w:iCs/>
        </w:rPr>
        <w:t>Id.</w:t>
      </w:r>
      <w:r>
        <w:t xml:space="preserve"> at *4.</w:t>
      </w:r>
    </w:p>
    <w:p w14:paraId="04882683" w14:textId="5D08891A" w:rsidR="00655396" w:rsidRDefault="00655396" w:rsidP="008B512B">
      <w:pPr>
        <w:pStyle w:val="BodyText"/>
        <w:spacing w:line="240" w:lineRule="auto"/>
      </w:pPr>
      <w:r>
        <w:tab/>
        <w:t xml:space="preserve">Although a customer </w:t>
      </w:r>
      <w:r>
        <w:rPr>
          <w:i/>
          <w:iCs/>
        </w:rPr>
        <w:t>nonsolicitation</w:t>
      </w:r>
      <w:r>
        <w:t xml:space="preserve"> covenant does not need to have a geographic limitation in order to be enforceable, it must be reasonably related to the employer’s interest in protecting customer relations that its employees developed while working for the employer.</w:t>
      </w:r>
      <w:r w:rsidR="00FB1D09">
        <w:t xml:space="preserve"> </w:t>
      </w:r>
      <w:r>
        <w:rPr>
          <w:i/>
          <w:iCs/>
        </w:rPr>
        <w:t>Lawrence &amp; Allen</w:t>
      </w:r>
      <w:r>
        <w:t xml:space="preserve">, 685 N.E.2d at 441 (citing </w:t>
      </w:r>
      <w:r>
        <w:rPr>
          <w:i/>
          <w:iCs/>
        </w:rPr>
        <w:t>Arpac</w:t>
      </w:r>
      <w:r>
        <w:t>, 226 Ill. App. 3d at 76, 168 Ill. Dec. 240, 589 N.E.2d 640).</w:t>
      </w:r>
      <w:r w:rsidR="00FB1D09">
        <w:t xml:space="preserve"> </w:t>
      </w:r>
      <w:r>
        <w:t xml:space="preserve">According to </w:t>
      </w:r>
      <w:r>
        <w:rPr>
          <w:i/>
          <w:iCs/>
        </w:rPr>
        <w:t>Lawrence &amp; Allen</w:t>
      </w:r>
      <w:r>
        <w:t>, Illinois courts “are hesitant to enforce prohibitions against employees servicing not only customers with whom they had direct contact, but also customers they never solicited or had contact with while employed by plaintiff.”</w:t>
      </w:r>
      <w:r w:rsidR="00FB1D09">
        <w:t xml:space="preserve"> </w:t>
      </w:r>
      <w:r>
        <w:rPr>
          <w:i/>
          <w:iCs/>
        </w:rPr>
        <w:t>Id.</w:t>
      </w:r>
      <w:r>
        <w:t xml:space="preserve">, 685 N.E.2d at 441 (citing </w:t>
      </w:r>
      <w:r>
        <w:rPr>
          <w:i/>
          <w:iCs/>
        </w:rPr>
        <w:t>McRand, Inc. v. Van Beelen</w:t>
      </w:r>
      <w:r>
        <w:t xml:space="preserve">, 138 Ill. App. 3d 1045, 1057, 93 Ill. Dec. 471, 486 N.E.2d 1306 (1985)). </w:t>
      </w:r>
      <w:r>
        <w:rPr>
          <w:i/>
          <w:iCs/>
        </w:rPr>
        <w:t>See also Unisource Worldwide, Inc. v. Carrara</w:t>
      </w:r>
      <w:r>
        <w:t xml:space="preserve">, 244 F. Supp. 2d 977, 983 (C.D. Ill. 2003) (a covenant may be unenforceable if it prohibits an employee from doing business not </w:t>
      </w:r>
      <w:r>
        <w:lastRenderedPageBreak/>
        <w:t>only with the customers he used to work with, but “also with customers and products he never dealt with before.”).</w:t>
      </w:r>
    </w:p>
    <w:p w14:paraId="763A2E74" w14:textId="58DDE7F8" w:rsidR="00655396" w:rsidRDefault="00655396" w:rsidP="008B512B">
      <w:pPr>
        <w:pStyle w:val="BodyText"/>
        <w:spacing w:line="240" w:lineRule="auto"/>
      </w:pPr>
      <w:r>
        <w:tab/>
        <w:t>Thus, although a geographic term is not strictly required, “the lack of a geographical scope may be determinative where the territorial restrictions are greater than the area the salesman served on behalf of the former employer.”</w:t>
      </w:r>
      <w:r w:rsidR="00FB1D09">
        <w:t xml:space="preserve"> </w:t>
      </w:r>
      <w:r>
        <w:rPr>
          <w:i/>
          <w:iCs/>
        </w:rPr>
        <w:t>Id.</w:t>
      </w:r>
      <w:r>
        <w:t xml:space="preserve">, 685 N.E.2d at 441 (citing </w:t>
      </w:r>
      <w:r>
        <w:rPr>
          <w:i/>
          <w:iCs/>
        </w:rPr>
        <w:t>McRand</w:t>
      </w:r>
      <w:r>
        <w:t>, 138 Ill. App. 3d at 1057–58, 93 Ill. Dec. 471, 486 N.E.2d 1306).</w:t>
      </w:r>
      <w:r w:rsidR="00FB1D09">
        <w:t xml:space="preserve"> </w:t>
      </w:r>
      <w:r>
        <w:t>“The employee should only be excluded from the territory where he was able to establish a certain relationship with the former employer’s customers.”</w:t>
      </w:r>
      <w:r w:rsidR="00FB1D09">
        <w:t xml:space="preserve"> </w:t>
      </w:r>
      <w:r>
        <w:rPr>
          <w:i/>
          <w:iCs/>
        </w:rPr>
        <w:t>Id.</w:t>
      </w:r>
      <w:r>
        <w:t xml:space="preserve">, 685 N.E.2d at 441 (citing </w:t>
      </w:r>
      <w:r>
        <w:rPr>
          <w:i/>
          <w:iCs/>
        </w:rPr>
        <w:t>McRand</w:t>
      </w:r>
      <w:r>
        <w:t>, 138 Ill. App. 3d at 1058, 93 Ill. Dec. 471, 486 N.E.2d 1306).</w:t>
      </w:r>
    </w:p>
    <w:p w14:paraId="31150131"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But compare </w:t>
      </w:r>
      <w:r>
        <w:rPr>
          <w:rFonts w:ascii="Baskerville" w:hAnsi="Baskerville" w:cs="Baskerville"/>
          <w:i/>
          <w:iCs/>
        </w:rPr>
        <w:t>Rushing</w:t>
      </w:r>
      <w:r>
        <w:rPr>
          <w:rFonts w:ascii="Baskerville" w:hAnsi="Baskerville" w:cs="Baskerville"/>
        </w:rPr>
        <w:t xml:space="preserve"> with </w:t>
      </w:r>
      <w:r>
        <w:rPr>
          <w:rFonts w:ascii="Baskerville" w:hAnsi="Baskerville" w:cs="Baskerville"/>
          <w:i/>
          <w:iCs/>
        </w:rPr>
        <w:t>PCx Corp. v. Ross</w:t>
      </w:r>
      <w:r>
        <w:rPr>
          <w:rFonts w:ascii="Baskerville" w:hAnsi="Baskerville" w:cs="Baskerville"/>
        </w:rPr>
        <w:t>, 168 Ill. App. 3d 1047, 119 Ill. Dec. 474, 522 N.E.2d 1333 (1st Dist. 1988), where the court considered the enforceability of a covenant not to compete that lacked any geographical limitation:</w:t>
      </w:r>
    </w:p>
    <w:p w14:paraId="0DDB81C1" w14:textId="77777777" w:rsidR="00655396" w:rsidRDefault="00655396" w:rsidP="008B512B">
      <w:pPr>
        <w:pStyle w:val="BodyText"/>
        <w:spacing w:line="240" w:lineRule="auto"/>
      </w:pPr>
    </w:p>
    <w:p w14:paraId="390D917F" w14:textId="05F32103"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 xml:space="preserve">We further note that in arguments before us, defendants conceded that because PCx and Tech Data both distribute their products on </w:t>
      </w:r>
      <w:r>
        <w:rPr>
          <w:rFonts w:ascii="Baskerville" w:hAnsi="Baskerville" w:cs="Baskerville"/>
          <w:sz w:val="22"/>
          <w:szCs w:val="22"/>
        </w:rPr>
        <w:br/>
        <w:t>a nationwide basis, the absence of a geographic limitation in the covenant does not, as the trial court suggested, render it excessively broad; nor do they contest the reasonability of its two-year duration, a term which has been upheld in numerous of the cases cited throughout our decision wherein the agreement was in all other respects found to be enforceable. In any event, case law supports PCx’s assertion that a territorial limitation is not required in activity covenants designed not to prevent competition but to protect the employer’s relationships with its customers</w:t>
      </w:r>
      <w:r w:rsidR="00944F63">
        <w:rPr>
          <w:rFonts w:ascii="Baskerville" w:hAnsi="Baskerville" w:cs="Baskerville"/>
          <w:sz w:val="22"/>
          <w:szCs w:val="22"/>
        </w:rPr>
        <w:t>…</w:t>
      </w:r>
      <w:r>
        <w:rPr>
          <w:sz w:val="22"/>
          <w:szCs w:val="22"/>
        </w:rPr>
        <w:t> </w:t>
      </w:r>
      <w:r>
        <w:rPr>
          <w:rFonts w:ascii="Baskerville" w:hAnsi="Baskerville" w:cs="Baskerville"/>
          <w:sz w:val="22"/>
          <w:szCs w:val="22"/>
        </w:rPr>
        <w:t>. [Citations omitted.]</w:t>
      </w:r>
    </w:p>
    <w:p w14:paraId="58937A72" w14:textId="77777777" w:rsidR="00655396" w:rsidRDefault="00655396" w:rsidP="008B512B">
      <w:pPr>
        <w:pStyle w:val="BodyText"/>
        <w:spacing w:line="240" w:lineRule="auto"/>
      </w:pPr>
    </w:p>
    <w:p w14:paraId="2CCD41EE"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PCx Corp.</w:t>
      </w:r>
      <w:r>
        <w:rPr>
          <w:rFonts w:ascii="Baskerville" w:hAnsi="Baskerville" w:cs="Baskerville"/>
        </w:rPr>
        <w:t>, 522 N.E.2d at 1340.</w:t>
      </w:r>
    </w:p>
    <w:p w14:paraId="59670B1F" w14:textId="77777777" w:rsidR="00655396" w:rsidRDefault="00655396" w:rsidP="008B512B">
      <w:pPr>
        <w:pStyle w:val="BodyText"/>
        <w:spacing w:line="240" w:lineRule="auto"/>
      </w:pPr>
    </w:p>
    <w:p w14:paraId="61227EEC" w14:textId="77777777" w:rsidR="00655396" w:rsidRPr="00230163" w:rsidRDefault="00655396" w:rsidP="008B512B">
      <w:pPr>
        <w:pStyle w:val="HeadingCenter11"/>
        <w:spacing w:after="0" w:line="240" w:lineRule="auto"/>
        <w:rPr>
          <w:b w:val="0"/>
        </w:rPr>
      </w:pPr>
      <w:r w:rsidRPr="00230163">
        <w:rPr>
          <w:b w:val="0"/>
        </w:rPr>
        <w:t>Temporal Restrictions</w:t>
      </w:r>
    </w:p>
    <w:p w14:paraId="036C1BB3" w14:textId="5B343CC3" w:rsidR="00655396" w:rsidRDefault="00655396" w:rsidP="008B512B">
      <w:pPr>
        <w:pStyle w:val="BodyText"/>
        <w:spacing w:line="240" w:lineRule="auto"/>
      </w:pPr>
      <w:r>
        <w:tab/>
        <w:t xml:space="preserve">In assessing the reasonableness of the temporal scope of noncompetition and nonsolicitation covenants, courts look to such factors as the time it takes to acquire and maintain clients. </w:t>
      </w:r>
      <w:r>
        <w:rPr>
          <w:i/>
          <w:iCs/>
        </w:rPr>
        <w:t>See</w:t>
      </w:r>
      <w:r>
        <w:t xml:space="preserve">, </w:t>
      </w:r>
      <w:r>
        <w:rPr>
          <w:i/>
          <w:iCs/>
        </w:rPr>
        <w:t>e.g.</w:t>
      </w:r>
      <w:r>
        <w:t xml:space="preserve">, </w:t>
      </w:r>
      <w:r>
        <w:rPr>
          <w:i/>
          <w:iCs/>
        </w:rPr>
        <w:t>Midwest Tel., Inc. v. Oloffson</w:t>
      </w:r>
      <w:r>
        <w:t xml:space="preserve">, 298 Ill. App. 3d 548, 557, 232 Ill. Dec. 783, 788, 699 N.E.2d 230, 235 (3d Dist. 1998) (finding 1-year </w:t>
      </w:r>
      <w:r>
        <w:rPr>
          <w:i/>
          <w:iCs/>
        </w:rPr>
        <w:t>temporal</w:t>
      </w:r>
      <w:r>
        <w:t xml:space="preserve"> term “reasonably related to [the former employer’s] business development needs”, </w:t>
      </w:r>
      <w:r>
        <w:rPr>
          <w:i/>
          <w:iCs/>
        </w:rPr>
        <w:t>id.</w:t>
      </w:r>
      <w:r>
        <w:t xml:space="preserve">, 232 Ill. Dec. at 788, 699 N.E.2d at 235, because “[t]he trial testimony established that a new advertiser’s business can take much </w:t>
      </w:r>
      <w:r w:rsidR="001A419C">
        <w:t>l</w:t>
      </w:r>
      <w:r>
        <w:t>onger than 12 months to develop.</w:t>
      </w:r>
      <w:r w:rsidR="00FB1D09">
        <w:t xml:space="preserve"> </w:t>
      </w:r>
      <w:r>
        <w:t xml:space="preserve">The </w:t>
      </w:r>
      <w:r>
        <w:lastRenderedPageBreak/>
        <w:t xml:space="preserve">station must spend substantial amounts of time and effort to attract listeners and advertisers.”); </w:t>
      </w:r>
      <w:r>
        <w:rPr>
          <w:i/>
          <w:iCs/>
        </w:rPr>
        <w:t>Millard Maint. Serv. Co. v. Bernero</w:t>
      </w:r>
      <w:r>
        <w:t xml:space="preserve">, 207 Ill. App. 3d 736, 750, 152 Ill. Dec. 692, 566 N.E.2d 379 (1st Dist. 1990) (finding a 2-year time restriction in a noncompetition covenant reasonable because it took the employer “a great deal of time” to acquire and maintain clients; cited in </w:t>
      </w:r>
      <w:r>
        <w:rPr>
          <w:i/>
          <w:iCs/>
        </w:rPr>
        <w:t>Lawrence &amp; Allen</w:t>
      </w:r>
      <w:r>
        <w:t xml:space="preserve">, 226 Ill. Dec. at 339, 685 N.E.2d at 442) (not resolving this issue because “no evidence regarding how long it took plaintiff to acquire a client or obtain the contract on a project” was introduced); </w:t>
      </w:r>
      <w:r>
        <w:rPr>
          <w:i/>
          <w:iCs/>
        </w:rPr>
        <w:t>McRand</w:t>
      </w:r>
      <w:r>
        <w:t xml:space="preserve">, 138 Ill. App. 3d at 1058–59, 93 Ill. Dec. 471, 486 N.E.2d 1306 (finding 2-year and 1-year time restrictions in nonsolicitation covenant reasonable in light of testimony that it took the employer 1 to 3 years to establish a major account; cited in </w:t>
      </w:r>
      <w:r>
        <w:rPr>
          <w:i/>
          <w:iCs/>
        </w:rPr>
        <w:t>Lawrence &amp; Allen</w:t>
      </w:r>
      <w:r>
        <w:t>, 226 Ill. Dec. at 339, 685 N.E.2d at 442).</w:t>
      </w:r>
    </w:p>
    <w:p w14:paraId="656F4E15"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In </w:t>
      </w:r>
      <w:r>
        <w:rPr>
          <w:rFonts w:ascii="Baskerville" w:hAnsi="Baskerville" w:cs="Baskerville"/>
          <w:i/>
          <w:iCs/>
        </w:rPr>
        <w:t>McRand, Inc. v. Van Beelen</w:t>
      </w:r>
      <w:r>
        <w:rPr>
          <w:rFonts w:ascii="Baskerville" w:hAnsi="Baskerville" w:cs="Baskerville"/>
        </w:rPr>
        <w:t xml:space="preserve">, 138 Ill. App. 3d 1045, 93 Ill. Dec. 471, 486 N.E.2d 1306 (1st Dist. 1985), the court concluded that certain 2-year and 1-year time restrictions in a covenant not to compete were reasonable in light of the employer’s president’s testimony that it takes 1 to 3 years to establish a major account. </w:t>
      </w:r>
      <w:r>
        <w:rPr>
          <w:rFonts w:ascii="Baskerville" w:hAnsi="Baskerville" w:cs="Baskerville"/>
          <w:i/>
          <w:iCs/>
        </w:rPr>
        <w:t>Id.</w:t>
      </w:r>
      <w:r>
        <w:rPr>
          <w:rFonts w:ascii="Baskerville" w:hAnsi="Baskerville" w:cs="Baskerville"/>
        </w:rPr>
        <w:t xml:space="preserve">, 486 N.E.2d at 1316. The </w:t>
      </w:r>
      <w:r>
        <w:rPr>
          <w:rFonts w:ascii="Baskerville" w:hAnsi="Baskerville" w:cs="Baskerville"/>
          <w:i/>
          <w:iCs/>
        </w:rPr>
        <w:t>McRand</w:t>
      </w:r>
      <w:r>
        <w:rPr>
          <w:rFonts w:ascii="Baskerville" w:hAnsi="Baskerville" w:cs="Baskerville"/>
        </w:rPr>
        <w:t xml:space="preserve"> case involved the employer’s effort to obtain an injunction protecting its interest in its customer relationships.</w:t>
      </w:r>
    </w:p>
    <w:p w14:paraId="7A137456"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Courts consider “the nature of the industry” and, in the manufacturing sector, “the time involved in the manufacture and marketing” of the product and the “average [length of the customers’] relationship with the manufacturer.” </w:t>
      </w:r>
      <w:r>
        <w:rPr>
          <w:rFonts w:ascii="Baskerville" w:hAnsi="Baskerville" w:cs="Baskerville"/>
          <w:i/>
          <w:iCs/>
        </w:rPr>
        <w:t>Arpac Corp. v. Murray,</w:t>
      </w:r>
      <w:r>
        <w:rPr>
          <w:rFonts w:ascii="Baskerville" w:hAnsi="Baskerville" w:cs="Baskerville"/>
        </w:rPr>
        <w:t xml:space="preserve"> 226 Ill. App. 3d 65, 76, 168 Ill. Dec. 240, 589 N.E.2d 640, 649 (1st Dist. 1992).</w:t>
      </w:r>
    </w:p>
    <w:p w14:paraId="5762F8FB" w14:textId="2B7B4794" w:rsidR="00655396" w:rsidRDefault="00655396" w:rsidP="008B512B">
      <w:pPr>
        <w:pStyle w:val="BodyText"/>
        <w:spacing w:line="240" w:lineRule="auto"/>
      </w:pPr>
      <w:r>
        <w:tab/>
        <w:t>Courts also consider the volatility of the information at issue.</w:t>
      </w:r>
      <w:r w:rsidR="00FB1D09">
        <w:t xml:space="preserve"> </w:t>
      </w:r>
      <w:r>
        <w:rPr>
          <w:i/>
          <w:iCs/>
        </w:rPr>
        <w:t>See Unisource Worldwide, Inc. v. Carrara</w:t>
      </w:r>
      <w:r>
        <w:t>, 244 F. Supp. 2d 977, 982–83 (C.D. Ill. 2003) (while “a sixth month time limitation is reasonable,” 18-month and 2-year restrictions would be unreasonable “because the prices, costs, and customer information governing [a company’s] operations at any particular time are volatile. Any inside information a former employee may have upon leaving [a company] would not serve to give that employee a competitive edge for longer than six to twelve months, because the information would become stale after that time.”).</w:t>
      </w:r>
    </w:p>
    <w:p w14:paraId="0AF6AB33" w14:textId="77777777" w:rsidR="00655396" w:rsidRDefault="00655396" w:rsidP="008B512B">
      <w:pPr>
        <w:pStyle w:val="BodyText"/>
        <w:spacing w:line="240" w:lineRule="auto"/>
      </w:pPr>
    </w:p>
    <w:p w14:paraId="34127A3A" w14:textId="77777777" w:rsidR="00655396" w:rsidRPr="00230163" w:rsidRDefault="00655396" w:rsidP="008B512B">
      <w:pPr>
        <w:pStyle w:val="HeadingCenter11"/>
        <w:spacing w:after="0" w:line="240" w:lineRule="auto"/>
        <w:rPr>
          <w:b w:val="0"/>
        </w:rPr>
      </w:pPr>
      <w:r w:rsidRPr="00230163">
        <w:rPr>
          <w:b w:val="0"/>
        </w:rPr>
        <w:lastRenderedPageBreak/>
        <w:t>Scope-of-Activity Restrictions</w:t>
      </w:r>
    </w:p>
    <w:p w14:paraId="43E7CD79" w14:textId="20901A59" w:rsidR="00655396" w:rsidRDefault="00655396" w:rsidP="008B512B">
      <w:pPr>
        <w:pStyle w:val="BodyText"/>
        <w:spacing w:line="240" w:lineRule="auto"/>
      </w:pPr>
      <w:r>
        <w:tab/>
        <w:t>Activity restraints in noncompetition agreements are “construed in light of the entire agreement and its purpose.”</w:t>
      </w:r>
      <w:r w:rsidR="00FB1D09">
        <w:t xml:space="preserve"> </w:t>
      </w:r>
      <w:r>
        <w:rPr>
          <w:i/>
          <w:iCs/>
        </w:rPr>
        <w:t>Health Prof’ls, Ltd. v. Johnson</w:t>
      </w:r>
      <w:r>
        <w:t>, 339 Ill. App. 3d 1021, 1036 (3d Dist. 2003).</w:t>
      </w:r>
      <w:r w:rsidR="00FB1D09">
        <w:t xml:space="preserve"> </w:t>
      </w:r>
      <w:r>
        <w:t>Under Illinois law, “[r]estrictions on activities should be narrowly tailored to protect only against activities that threaten the employer’s interest.</w:t>
      </w:r>
      <w:r w:rsidR="00FB1D09">
        <w:t xml:space="preserve"> </w:t>
      </w:r>
      <w:r>
        <w:t>Hence, they will be found valid if they are no broader than necessary to protect the employer’s legitimate business interests.”</w:t>
      </w:r>
      <w:r w:rsidR="00FB1D09">
        <w:t xml:space="preserve"> </w:t>
      </w:r>
      <w:r>
        <w:rPr>
          <w:i/>
          <w:iCs/>
        </w:rPr>
        <w:t>Cambridge Eng’g, Inc. v. Mercury Partners 90 BI, Inc.</w:t>
      </w:r>
      <w:r>
        <w:t>, 378 Ill. App. 3d 437, 452, 316 Ill. Dec. 445, 459, 879 N.E.2d 512, 526 (1st Dist. 2007).</w:t>
      </w:r>
    </w:p>
    <w:p w14:paraId="2EC282F5" w14:textId="17234519" w:rsidR="00655396" w:rsidRDefault="00655396" w:rsidP="008B512B">
      <w:pPr>
        <w:pStyle w:val="BodyText"/>
        <w:spacing w:line="240" w:lineRule="auto"/>
      </w:pPr>
      <w:r>
        <w:tab/>
        <w:t>In addition to nonsolicitation restrictions, an activity restriction may be recognized for the protection of confidential information or documents.</w:t>
      </w:r>
      <w:r w:rsidR="00FB1D09">
        <w:t xml:space="preserve"> </w:t>
      </w:r>
      <w:r>
        <w:t>Thus, one court enforced a covenant not to compete that did not contain a geographic restriction but that prohibited a former employee from providing “services to any person or entity that engages in any business that makes or sells Products or Services if doing so would involve the actual or threatened unauthorized use or disclosure of Confidential Information or Confidential Documents.”</w:t>
      </w:r>
      <w:r w:rsidR="00FB1D09">
        <w:t xml:space="preserve"> </w:t>
      </w:r>
      <w:r>
        <w:rPr>
          <w:i/>
          <w:iCs/>
        </w:rPr>
        <w:t>RTC Indus., Inc. v. Haddon</w:t>
      </w:r>
      <w:r>
        <w:t>, No. 06 C 5734, 2007 WL 2743583, at *1, 5 (N.D. Ill. Sept. 10, 2007).</w:t>
      </w:r>
      <w:r w:rsidR="00FB1D09">
        <w:t xml:space="preserve"> </w:t>
      </w:r>
      <w:r>
        <w:t>The court interpreted the provision as providing a scope-of-activity restriction.</w:t>
      </w:r>
    </w:p>
    <w:p w14:paraId="7726CF56" w14:textId="7CEF03FB" w:rsidR="00655396" w:rsidRDefault="00655396" w:rsidP="008B512B">
      <w:pPr>
        <w:pStyle w:val="BodyText"/>
        <w:spacing w:line="240" w:lineRule="auto"/>
      </w:pPr>
      <w:r>
        <w:tab/>
        <w:t xml:space="preserve">In </w:t>
      </w:r>
      <w:r>
        <w:rPr>
          <w:i/>
          <w:iCs/>
        </w:rPr>
        <w:t>Midwest Television, Inc. v. Oloffson</w:t>
      </w:r>
      <w:r>
        <w:t xml:space="preserve">, 298 Ill. App. 3d 548, 232 Ill. Dec. 783, 699 N.E.2d 230 (3d Dist. 1998), an Illinois court of </w:t>
      </w:r>
      <w:r>
        <w:br/>
        <w:t>appeals found reasonable a scope-of-activity restriction barring an on-air radio “personality” (broadcaster) from working for 1 year within a 100-mile radius of the former employer’s transmission tower in East Peoria, Illinois, in broadcast positions that require the performance of “services which are the same or of similar kind or are of similar or greater responsibility” than he performed for the former employer.</w:t>
      </w:r>
      <w:r w:rsidR="00FB1D09">
        <w:t xml:space="preserve"> </w:t>
      </w:r>
      <w:r>
        <w:rPr>
          <w:i/>
          <w:iCs/>
        </w:rPr>
        <w:t>Id.</w:t>
      </w:r>
      <w:r>
        <w:t xml:space="preserve"> at 557, 232 Ill. Dec. at 788, 699 N.E.2d at 235.</w:t>
      </w:r>
      <w:r w:rsidR="00FB1D09">
        <w:t xml:space="preserve"> </w:t>
      </w:r>
      <w:r>
        <w:t>The scope-of-activity restriction was reasonable, according to the court, because it “leaves open the possibility of a wide range of positions in the broadcasting industry that are located within the restricted geographical area.”</w:t>
      </w:r>
      <w:r w:rsidR="00FB1D09">
        <w:t xml:space="preserve"> </w:t>
      </w:r>
      <w:r>
        <w:rPr>
          <w:i/>
          <w:iCs/>
        </w:rPr>
        <w:t>Id.</w:t>
      </w:r>
      <w:r>
        <w:t>, 232 Ill. Dec. at 788, 699 N.E.2d at 235.</w:t>
      </w:r>
    </w:p>
    <w:p w14:paraId="26ED0A62" w14:textId="47F81F5E" w:rsidR="00655396" w:rsidRDefault="00655396" w:rsidP="008B512B">
      <w:pPr>
        <w:pStyle w:val="BodyText"/>
        <w:spacing w:line="240" w:lineRule="auto"/>
      </w:pPr>
      <w:r>
        <w:tab/>
        <w:t>A covenant not to compete will be unenforceable under Illinois law when its provisions appear to restrict a former employee from obtaining any position with a competitor, even a job that would not foster competition.</w:t>
      </w:r>
      <w:r w:rsidR="00FB1D09">
        <w:t xml:space="preserve"> </w:t>
      </w:r>
      <w:r>
        <w:rPr>
          <w:i/>
          <w:iCs/>
        </w:rPr>
        <w:t>Cambridge Eng’g</w:t>
      </w:r>
      <w:r>
        <w:t xml:space="preserve">, 378 Ill. App. 3d at 450–51, 316 </w:t>
      </w:r>
      <w:r>
        <w:lastRenderedPageBreak/>
        <w:t>Ill. Dec. at 458, 879 N.E.2d at 525 (holding covenant unenforceable when all activities on behalf of a competitor are barred, regardless of whether the activity is actually competitive).</w:t>
      </w:r>
    </w:p>
    <w:p w14:paraId="6EB41A0E" w14:textId="77777777" w:rsidR="00655396" w:rsidRDefault="00655396" w:rsidP="008B512B">
      <w:pPr>
        <w:pStyle w:val="BodyText"/>
        <w:spacing w:line="240" w:lineRule="auto"/>
      </w:pPr>
    </w:p>
    <w:p w14:paraId="0E587DBB" w14:textId="77777777" w:rsidR="00655396" w:rsidRDefault="00655396" w:rsidP="008B512B">
      <w:pPr>
        <w:pStyle w:val="SubQuestion"/>
        <w:spacing w:line="240" w:lineRule="auto"/>
      </w:pPr>
      <w:r>
        <w:t>e.</w:t>
      </w:r>
      <w:r>
        <w:tab/>
        <w:t>Who has the burden of proving the reasonableness or unreasonableness of the covenant not to compete?</w:t>
      </w:r>
    </w:p>
    <w:p w14:paraId="73DC1F1C"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5EA26D81" w14:textId="4808C479"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Where an employer seeks to enforce a restrictive covenant, it has the burden of proving the reasonableness of the covenant not to compete.</w:t>
      </w:r>
      <w:r w:rsidR="00FB1D09">
        <w:rPr>
          <w:rFonts w:ascii="Baskerville" w:hAnsi="Baskerville" w:cs="Baskerville"/>
        </w:rPr>
        <w:t xml:space="preserve"> </w:t>
      </w:r>
      <w:r>
        <w:rPr>
          <w:rFonts w:ascii="Baskerville" w:hAnsi="Baskerville" w:cs="Baskerville"/>
          <w:i/>
          <w:iCs/>
        </w:rPr>
        <w:t xml:space="preserve">Cambridge Eng’g, Inc. v. Mercury Partners 90 </w:t>
      </w:r>
      <w:r>
        <w:rPr>
          <w:rFonts w:ascii="Baskerville" w:hAnsi="Baskerville" w:cs="Baskerville"/>
          <w:i/>
          <w:iCs/>
          <w:caps/>
        </w:rPr>
        <w:t>Bi</w:t>
      </w:r>
      <w:r>
        <w:rPr>
          <w:rFonts w:ascii="Baskerville" w:hAnsi="Baskerville" w:cs="Baskerville"/>
          <w:i/>
          <w:iCs/>
        </w:rPr>
        <w:t>, Inc.</w:t>
      </w:r>
      <w:r>
        <w:rPr>
          <w:rFonts w:ascii="Baskerville" w:hAnsi="Baskerville" w:cs="Baskerville"/>
        </w:rPr>
        <w:t xml:space="preserve">, 378 Ill. App. 3d 437, 447, 879 N.E.2d 512, 522 (1St Dist. 2007). </w:t>
      </w:r>
      <w:r>
        <w:rPr>
          <w:rFonts w:ascii="Baskerville" w:hAnsi="Baskerville" w:cs="Baskerville"/>
          <w:i/>
          <w:iCs/>
        </w:rPr>
        <w:t>See also Morrison Metalweld Process Corp. v. Valent</w:t>
      </w:r>
      <w:r>
        <w:rPr>
          <w:rFonts w:ascii="Baskerville" w:hAnsi="Baskerville" w:cs="Baskerville"/>
        </w:rPr>
        <w:t>, 97 Ill. App. 3d 373, 52 Ill. Dec. 825, 422 N.E.2d 1034, 1039–40 (1st Dist. 1981), where the court, in its analysis of whether the plaintiff/employer was entitled to a preliminary injunction, noted that plaintiff had sustained its burden of establishing the requisites for the relief sought, including a showing that “the restraints to be imposed on defendant are reasonably related to protecting [a legitimate] interest.”</w:t>
      </w:r>
    </w:p>
    <w:p w14:paraId="184FE347" w14:textId="55131673" w:rsidR="00655396" w:rsidRDefault="00655396" w:rsidP="008B512B">
      <w:pPr>
        <w:pStyle w:val="BodyText"/>
        <w:spacing w:line="240" w:lineRule="auto"/>
      </w:pPr>
      <w:r>
        <w:tab/>
        <w:t>When a party seeks to show that a contract term is against public policy of the state, that party bears the burden of showing that the contract term is clearly contrary to what the constitution, the statutes, or the decisions of the courts have declared to be public policy or that the contract is manifestly injurious to the public welfare.</w:t>
      </w:r>
      <w:r w:rsidR="00FB1D09">
        <w:t xml:space="preserve"> </w:t>
      </w:r>
      <w:r>
        <w:rPr>
          <w:i/>
          <w:iCs/>
        </w:rPr>
        <w:t>Mohanty v. St. John Heart Clinic, S.C.</w:t>
      </w:r>
      <w:r>
        <w:t>, 310 Ill. Dec. 274, 284, 866 N.E.2d 85, 95 (2006).</w:t>
      </w:r>
    </w:p>
    <w:p w14:paraId="4BCEE678" w14:textId="77777777" w:rsidR="00655396" w:rsidRDefault="00655396" w:rsidP="008B512B">
      <w:pPr>
        <w:pStyle w:val="BodyText"/>
        <w:spacing w:line="240" w:lineRule="auto"/>
      </w:pPr>
    </w:p>
    <w:p w14:paraId="5B6C74F7" w14:textId="77777777" w:rsidR="00655396" w:rsidRDefault="00655396" w:rsidP="008B512B">
      <w:pPr>
        <w:pStyle w:val="SubQuestion"/>
        <w:spacing w:line="240" w:lineRule="auto"/>
      </w:pPr>
      <w:r>
        <w:t>f.</w:t>
      </w:r>
      <w:r>
        <w:tab/>
        <w:t>What type of time or geographic restrictions has the court found to be reasonable? Unreasonable?</w:t>
      </w:r>
    </w:p>
    <w:p w14:paraId="6AD00CBB" w14:textId="77777777" w:rsidR="00655396" w:rsidRDefault="00655396" w:rsidP="008B512B">
      <w:pPr>
        <w:pStyle w:val="BodyText"/>
        <w:spacing w:line="240" w:lineRule="auto"/>
      </w:pPr>
    </w:p>
    <w:p w14:paraId="4A855C71" w14:textId="77777777" w:rsidR="00020BD9" w:rsidRPr="0016514A" w:rsidRDefault="00020BD9" w:rsidP="00020BD9">
      <w:pPr>
        <w:pStyle w:val="HeadingCenter11underscore-"/>
        <w:rPr>
          <w:rFonts w:ascii="Baskerville Old Face" w:hAnsi="Baskerville Old Face" w:cs="Times New Roman"/>
        </w:rPr>
      </w:pPr>
      <w:r w:rsidRPr="0016514A">
        <w:rPr>
          <w:rFonts w:ascii="Baskerville Old Face" w:hAnsi="Baskerville Old Face" w:cs="Times New Roman"/>
        </w:rPr>
        <w:t>Reasonable</w:t>
      </w:r>
    </w:p>
    <w:p w14:paraId="7938344A" w14:textId="77777777" w:rsidR="005846D4" w:rsidRPr="005846D4" w:rsidRDefault="005846D4" w:rsidP="005846D4">
      <w:pPr>
        <w:shd w:val="clear" w:color="auto" w:fill="FFFFFF"/>
        <w:rPr>
          <w:rFonts w:ascii="Baskerville" w:hAnsi="Baskerville" w:cs="Arial"/>
          <w:color w:val="000000" w:themeColor="text1"/>
        </w:rPr>
      </w:pPr>
      <w:r w:rsidRPr="005846D4">
        <w:rPr>
          <w:rFonts w:ascii="Baskerville" w:hAnsi="Baskerville" w:cs="Arial"/>
          <w:color w:val="000000" w:themeColor="text1"/>
        </w:rPr>
        <w:tab/>
        <w:t xml:space="preserve">For purposes of an unsuccessful motion to dismiss, a 1-year postemployment noncompetition covenant containing no express geographic limitation but barring a former employee for working for a new employer that (1) “sells or services any induction ranges, buffet serving equipment, or cookware or other products that the [former employer] manufactures,” (2) “to hotels, caterers, food service feeders, or restaurant operators” (3) that the former employee was involved in selling or trained in these products while </w:t>
      </w:r>
      <w:r w:rsidRPr="005846D4">
        <w:rPr>
          <w:rFonts w:ascii="Baskerville" w:hAnsi="Baskerville" w:cs="Arial"/>
          <w:color w:val="000000" w:themeColor="text1"/>
        </w:rPr>
        <w:lastRenderedPageBreak/>
        <w:t>employed by the former employer.</w:t>
      </w:r>
      <w:r w:rsidRPr="005846D4">
        <w:rPr>
          <w:rFonts w:ascii="Baskerville" w:hAnsi="Baskerville" w:cs="Arial"/>
          <w:i/>
          <w:iCs/>
          <w:color w:val="000000" w:themeColor="text1"/>
        </w:rPr>
        <w:t xml:space="preserve"> Spring (U.S.A.) Corp. v. Sikorski</w:t>
      </w:r>
      <w:r w:rsidRPr="005846D4">
        <w:rPr>
          <w:rFonts w:ascii="Baskerville" w:hAnsi="Baskerville" w:cs="Arial"/>
          <w:color w:val="000000" w:themeColor="text1"/>
        </w:rPr>
        <w:t xml:space="preserve">, 2019 BL 188838, at *3 (N.D. Ill. May 23, 2019) (at motion to dismiss stage, finding covenant not facially invalid, i.e., “not patently unreasonable;” citing </w:t>
      </w:r>
      <w:r w:rsidRPr="005846D4">
        <w:rPr>
          <w:rFonts w:ascii="Baskerville" w:hAnsi="Baskerville" w:cs="Arial"/>
          <w:i/>
          <w:iCs/>
          <w:color w:val="000000" w:themeColor="text1"/>
        </w:rPr>
        <w:t>American Transp. Grp., LLC v. Power</w:t>
      </w:r>
      <w:r w:rsidRPr="005846D4">
        <w:rPr>
          <w:rFonts w:ascii="Baskerville" w:hAnsi="Baskerville" w:cs="Arial"/>
          <w:color w:val="000000" w:themeColor="text1"/>
        </w:rPr>
        <w:t>, 2018 BL 151274, 2018 U.S. Dist. LEXIS 71493, 2018 WL 1993204</w:t>
      </w:r>
      <w:r w:rsidR="00055D37">
        <w:rPr>
          <w:rFonts w:ascii="Baskerville" w:hAnsi="Baskerville" w:cs="Arial"/>
          <w:color w:val="000000" w:themeColor="text1"/>
        </w:rPr>
        <w:t>,</w:t>
      </w:r>
      <w:r>
        <w:rPr>
          <w:rFonts w:ascii="Baskerville" w:hAnsi="Baskerville" w:cs="Arial"/>
          <w:color w:val="000000" w:themeColor="text1"/>
        </w:rPr>
        <w:t xml:space="preserve"> </w:t>
      </w:r>
      <w:r w:rsidRPr="005846D4">
        <w:rPr>
          <w:rFonts w:ascii="Baskerville" w:hAnsi="Baskerville" w:cs="Arial"/>
          <w:color w:val="000000" w:themeColor="text1"/>
        </w:rPr>
        <w:t>at *4 (N.D. Ill. 2018), for the principal that, at the motion to dismiss stage, federal courts will find noncompetition covenants facially invalid “only … in extreme cases.”).</w:t>
      </w:r>
    </w:p>
    <w:p w14:paraId="7C3AE188" w14:textId="77777777" w:rsidR="00020BD9" w:rsidRPr="006A121F" w:rsidRDefault="005846D4" w:rsidP="00204FD8">
      <w:pPr>
        <w:pStyle w:val="text"/>
        <w:ind w:firstLine="0"/>
        <w:rPr>
          <w:rFonts w:ascii="Baskerville Old Face" w:hAnsi="Baskerville Old Face"/>
          <w:color w:val="000000" w:themeColor="text1"/>
        </w:rPr>
      </w:pPr>
      <w:r w:rsidRPr="006A121F">
        <w:rPr>
          <w:rFonts w:ascii="Baskerville Old Face" w:hAnsi="Baskerville Old Face"/>
          <w:color w:val="000000" w:themeColor="text1"/>
        </w:rPr>
        <w:tab/>
      </w:r>
      <w:r w:rsidR="00020BD9" w:rsidRPr="006A121F">
        <w:rPr>
          <w:rFonts w:ascii="Baskerville Old Face" w:hAnsi="Baskerville Old Face"/>
          <w:color w:val="000000" w:themeColor="text1"/>
        </w:rPr>
        <w:t>A key employee incentive bonus agreement containing nothing that “shall prevent Employee from continuing her work as a jewelry designer, as long as employee does not infringe on any of intellectual property belonging to the [employer] Company.”</w:t>
      </w:r>
      <w:r w:rsidR="00020BD9" w:rsidRPr="006A121F">
        <w:rPr>
          <w:rFonts w:ascii="Baskerville Old Face" w:hAnsi="Baskerville Old Face"/>
          <w:i/>
          <w:color w:val="000000" w:themeColor="text1"/>
        </w:rPr>
        <w:t xml:space="preserve"> Act II Jewelry, LLC v. Wooten</w:t>
      </w:r>
      <w:r w:rsidR="00020BD9" w:rsidRPr="006A121F">
        <w:rPr>
          <w:rFonts w:ascii="Baskerville Old Face" w:hAnsi="Baskerville Old Face"/>
          <w:color w:val="000000" w:themeColor="text1"/>
        </w:rPr>
        <w:t xml:space="preserve">, 318 F. Supp. 3d 1073, 1093 (N.D. Ill. 2018) (reasoning that “the Incentive Agreement speaks for itself. It precludes Wooten from using Act II’s trade secrets and confidential information in her continued work as a jewelry designer. It does not pretend to limit Wooten from continuing in her chosen field. Merely preventing a former employee from using their former employer’s confidential information is not overly broad or unduly burdensome, and especially not here, in light of the carve out that allows Wooten to continue working in her chosen field.”). </w:t>
      </w:r>
    </w:p>
    <w:p w14:paraId="79EB18E9"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 3-county, 18-month noncompetition covenant and an 18-month customer nonsolicitation covenant executed by a route representative/delivery driver (later promoted to a district manager position and, later still, to a service manager position) employed by a firm engaged in uniform and linen rentals and sales. </w:t>
      </w:r>
      <w:r w:rsidRPr="006A121F">
        <w:rPr>
          <w:rFonts w:ascii="Baskerville Old Face" w:hAnsi="Baskerville Old Face"/>
          <w:i/>
        </w:rPr>
        <w:t>Mickey’s Linen v. Fischer</w:t>
      </w:r>
      <w:r w:rsidRPr="006A121F">
        <w:rPr>
          <w:rFonts w:ascii="Baskerville Old Face" w:hAnsi="Baskerville Old Face"/>
        </w:rPr>
        <w:t>, 2017 BL 316684 (N.D. Ill. Sept. 8, 2017) (reasoning, among other things, that noncompetition covenant did not constitute blanket prohibition on competition).</w:t>
      </w:r>
    </w:p>
    <w:p w14:paraId="4B27A23F"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Two-year postemployment noncompetition and confidentiality covenants executed by employees of a roadside assistance business. </w:t>
      </w:r>
      <w:r w:rsidRPr="006A121F">
        <w:rPr>
          <w:rFonts w:ascii="Baskerville Old Face" w:hAnsi="Baskerville Old Face"/>
          <w:i/>
        </w:rPr>
        <w:t>United Rd. Towing, Inc. v. IncidentClear, LLC</w:t>
      </w:r>
      <w:r w:rsidRPr="006A121F">
        <w:rPr>
          <w:rFonts w:ascii="Baskerville Old Face" w:hAnsi="Baskerville Old Face"/>
        </w:rPr>
        <w:t>, 2015 BL 43353 (N.D. Ill. Feb. 19, 2015).</w:t>
      </w:r>
    </w:p>
    <w:p w14:paraId="4A88319D"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 2-year customer-limited covenant not to compete and a 1-year anti-employee-raiding covenant executed by an income tax form preparer. </w:t>
      </w:r>
      <w:r w:rsidRPr="006A121F">
        <w:rPr>
          <w:rFonts w:ascii="Baskerville Old Face" w:hAnsi="Baskerville Old Face"/>
          <w:i/>
        </w:rPr>
        <w:t>Zabaneh Franchises, LLC v. Walker</w:t>
      </w:r>
      <w:r w:rsidRPr="006A121F">
        <w:rPr>
          <w:rFonts w:ascii="Baskerville Old Face" w:hAnsi="Baskerville Old Face"/>
        </w:rPr>
        <w:t xml:space="preserve">, 972 N.E.2d 344, 350 (Ill. 4th Dist. Ct. App. 2012) (reasoning that the noncompetition covenant “does not prohibit defendant from preparing taxes or providing related services to the general public, or </w:t>
      </w:r>
      <w:r w:rsidRPr="006A121F">
        <w:rPr>
          <w:rFonts w:ascii="Baskerville Old Face" w:hAnsi="Baskerville Old Face"/>
        </w:rPr>
        <w:lastRenderedPageBreak/>
        <w:t>to plaintiff’s or H&amp;R Block’s clients generally. She is only prohibited from serving those clients she serviced while employed by plaintiff.”).</w:t>
      </w:r>
    </w:p>
    <w:p w14:paraId="65E42EFF"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An anti-employee-raiding covenant executed in connection with the sale of an insurance business. </w:t>
      </w:r>
      <w:r w:rsidRPr="006A121F">
        <w:rPr>
          <w:rFonts w:ascii="Baskerville Old Face" w:hAnsi="Baskerville Old Face"/>
          <w:i/>
        </w:rPr>
        <w:t>InsureOne Independent Ins. Agency LLC v. Hallberg</w:t>
      </w:r>
      <w:r w:rsidRPr="006A121F">
        <w:rPr>
          <w:rFonts w:ascii="Baskerville Old Face" w:hAnsi="Baskerville Old Face"/>
        </w:rPr>
        <w:t>, 976 N.E.2d 1014 (Ill. 1st Dist. Ct. App. 2012).</w:t>
      </w:r>
    </w:p>
    <w:p w14:paraId="7DEBDA1A"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An in-term and 1-year postemployment confidentiality, noncompetition, and nonsolicitation covenant executed by an automobile parts salesperson. </w:t>
      </w:r>
      <w:r w:rsidRPr="006A121F">
        <w:rPr>
          <w:rFonts w:ascii="Baskerville Old Face" w:hAnsi="Baskerville Old Face"/>
          <w:i/>
        </w:rPr>
        <w:t>LKQ Corp. v. Thrasher</w:t>
      </w:r>
      <w:r w:rsidRPr="006A121F">
        <w:rPr>
          <w:rFonts w:ascii="Baskerville Old Face" w:hAnsi="Baskerville Old Face"/>
        </w:rPr>
        <w:t>, 785 F. Supp. 2d 737 (N.D. Ill. 2011) (concluding that 12 months of continued employment, which ended with the employee quitting as opposed to being fired, constituted the necessary “substantial period” of continued employment necessary to supply consideration for covenant; refusing to apply a 2-year “bright-line test”).</w:t>
      </w:r>
    </w:p>
    <w:p w14:paraId="5C1B261B"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For purposes of ruling on a successful motion for a preliminary injunction to enforce a covenant, a restrictive covenant under which a salesperson formerly employed by an industrial equipment firm was barred from being employed by a competitor for 1 year if he was to be employed in a location within 50 miles of any branch where he had worked for the former employer. </w:t>
      </w:r>
      <w:r w:rsidRPr="006A121F">
        <w:rPr>
          <w:rFonts w:ascii="Baskerville Old Face" w:hAnsi="Baskerville Old Face"/>
          <w:i/>
        </w:rPr>
        <w:t>Sunbelt Rentals, Inc. v. Ehlers,</w:t>
      </w:r>
      <w:r w:rsidRPr="006A121F">
        <w:rPr>
          <w:rFonts w:ascii="Baskerville Old Face" w:hAnsi="Baskerville Old Face"/>
        </w:rPr>
        <w:t xml:space="preserve"> 915 N.E.2d 862, 869–70 (Ill. Ct. App. 4th Dist. 2009), </w:t>
      </w:r>
      <w:r w:rsidRPr="006A121F">
        <w:rPr>
          <w:rFonts w:ascii="Baskerville Old Face" w:hAnsi="Baskerville Old Face"/>
          <w:i/>
        </w:rPr>
        <w:t>overruled by</w:t>
      </w:r>
      <w:r w:rsidRPr="006A121F">
        <w:rPr>
          <w:rFonts w:ascii="Baskerville Old Face" w:hAnsi="Baskerville Old Face"/>
        </w:rPr>
        <w:t xml:space="preserve"> </w:t>
      </w:r>
      <w:r w:rsidRPr="006A121F">
        <w:rPr>
          <w:rFonts w:ascii="Baskerville Old Face" w:hAnsi="Baskerville Old Face"/>
          <w:i/>
        </w:rPr>
        <w:t>Reliable Fire Equip. Co. v. Arredondo</w:t>
      </w:r>
      <w:r w:rsidRPr="006A121F">
        <w:rPr>
          <w:rFonts w:ascii="Baskerville Old Face" w:hAnsi="Baskerville Old Face"/>
        </w:rPr>
        <w:t xml:space="preserve">, 358 Ill. Dec. 322, 965 N.E.2d 393, 403 (2011) (overruling </w:t>
      </w:r>
      <w:r w:rsidRPr="006A121F">
        <w:rPr>
          <w:rFonts w:ascii="Baskerville Old Face" w:hAnsi="Baskerville Old Face"/>
          <w:i/>
        </w:rPr>
        <w:t>Sunbelt Rental</w:t>
      </w:r>
      <w:r w:rsidRPr="006A121F">
        <w:rPr>
          <w:rFonts w:ascii="Baskerville Old Face" w:hAnsi="Baskerville Old Face"/>
        </w:rPr>
        <w:t xml:space="preserve"> holding that courts should evaluate only the time-and-territory restrictions contained in restrictive covenants; ruling in</w:t>
      </w:r>
      <w:r w:rsidRPr="006A121F">
        <w:rPr>
          <w:rFonts w:ascii="Baskerville Old Face" w:hAnsi="Baskerville Old Face"/>
          <w:i/>
        </w:rPr>
        <w:t xml:space="preserve"> Reliable Fire </w:t>
      </w:r>
      <w:r w:rsidRPr="006A121F">
        <w:rPr>
          <w:rFonts w:ascii="Baskerville Old Face" w:hAnsi="Baskerville Old Face"/>
        </w:rPr>
        <w:t>that the employer should still be required to demonstrate a protectable interest).</w:t>
      </w:r>
    </w:p>
    <w:p w14:paraId="1891D405"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For purposes of ruling on an unsuccessful motion to dismiss, a 6-month, nationwide noncompetition covenant and an 18-month customer nonsolicitation covenant, both executed by the president of an events marketing agency. </w:t>
      </w:r>
      <w:r w:rsidRPr="006A121F">
        <w:rPr>
          <w:rFonts w:ascii="Baskerville Old Face" w:hAnsi="Baskerville Old Face"/>
          <w:i/>
        </w:rPr>
        <w:t>Aspen Mktg. Servs., Inc. v. Russell</w:t>
      </w:r>
      <w:r w:rsidRPr="006A121F">
        <w:rPr>
          <w:rFonts w:ascii="Baskerville Old Face" w:hAnsi="Baskerville Old Face"/>
        </w:rPr>
        <w:t>, 2009 U.S. Dist. LEXIS 112982, at *15–16 (N.D. Ill. Dec. 3, 2009).</w:t>
      </w:r>
    </w:p>
    <w:p w14:paraId="2D7F811C"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Only for purposes of entering a temporary restraining order in favor of a former employer engaged in providing consumer, product, and market research services, a 1-year worldwide noncompetition covenant and a 1-year anti-employee-raiding covenant executed by an employee engaged in marketing the employer’s services. </w:t>
      </w:r>
      <w:r w:rsidRPr="006A121F">
        <w:rPr>
          <w:rFonts w:ascii="Baskerville Old Face" w:hAnsi="Baskerville Old Face"/>
          <w:i/>
        </w:rPr>
        <w:t>Mintel Int’l Grp., Ltd. v. Neergheen</w:t>
      </w:r>
      <w:r w:rsidRPr="006A121F">
        <w:rPr>
          <w:rFonts w:ascii="Baskerville Old Face" w:hAnsi="Baskerville Old Face"/>
        </w:rPr>
        <w:t xml:space="preserve">, 2008 U.S. </w:t>
      </w:r>
      <w:r w:rsidRPr="006A121F">
        <w:rPr>
          <w:rFonts w:ascii="Baskerville Old Face" w:hAnsi="Baskerville Old Face"/>
        </w:rPr>
        <w:lastRenderedPageBreak/>
        <w:t xml:space="preserve">Dist. LEXIS 54119, at *18 (N.D. Ill. July 16, 2008) (finding, </w:t>
      </w:r>
      <w:r w:rsidRPr="006A121F">
        <w:rPr>
          <w:rFonts w:ascii="Baskerville Old Face" w:hAnsi="Baskerville Old Face"/>
          <w:i/>
        </w:rPr>
        <w:t xml:space="preserve">id. </w:t>
      </w:r>
      <w:r w:rsidRPr="006A121F">
        <w:rPr>
          <w:rFonts w:ascii="Baskerville Old Face" w:hAnsi="Baskerville Old Face"/>
        </w:rPr>
        <w:t xml:space="preserve">at *13, that despite the limited record, former employer had </w:t>
      </w:r>
      <w:r w:rsidRPr="006A121F">
        <w:rPr>
          <w:rFonts w:ascii="Baskerville Old Face" w:hAnsi="Baskerville Old Face"/>
          <w:i/>
        </w:rPr>
        <w:t>some</w:t>
      </w:r>
      <w:r w:rsidRPr="006A121F">
        <w:rPr>
          <w:rFonts w:ascii="Baskerville Old Face" w:hAnsi="Baskerville Old Face"/>
        </w:rPr>
        <w:t xml:space="preserve"> likelihood of successfully demonstrating that some, if not all, of the provisions of its restrictive covenants are reasonable under Illinois law).</w:t>
      </w:r>
    </w:p>
    <w:p w14:paraId="0F88D8FB"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 2-year covenant not to compete, containing no geographic restriction, preventing a former employee from providing “services to any person or entity that engages in any business that makes or sells Products or Services if doing so would involve the actual or threatened unauthorized use or disclosure of Confidential Information or Confidential Documents.” </w:t>
      </w:r>
      <w:r w:rsidRPr="006A121F">
        <w:rPr>
          <w:rFonts w:ascii="Baskerville Old Face" w:hAnsi="Baskerville Old Face"/>
          <w:i/>
        </w:rPr>
        <w:t>RTC Indus., Inc. v. Haddon</w:t>
      </w:r>
      <w:r w:rsidRPr="006A121F">
        <w:rPr>
          <w:rFonts w:ascii="Baskerville Old Face" w:hAnsi="Baskerville Old Face"/>
        </w:rPr>
        <w:t>, No. 06 C 5734, 2007 WL 2743583, at *1, *5 (N.D. Ill. Sept. 10, 2007).</w:t>
      </w:r>
    </w:p>
    <w:p w14:paraId="0FF8C571"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 5-year, 5-mile covenant against one cardiologist and a 3-year, 2-mile covenant against another cardiologist, both employed by a cardiology and internal medicine clinic, even though the covenants were not limited to restricting the practice of cardiology and internal medicine but restricted competition in the practice of medicine in its entirety within the time and area limitations specified. </w:t>
      </w:r>
      <w:r w:rsidRPr="006A121F">
        <w:rPr>
          <w:rFonts w:ascii="Baskerville Old Face" w:hAnsi="Baskerville Old Face"/>
          <w:i/>
        </w:rPr>
        <w:t>Mohanty v. St. John Heart Clinic, S.C.</w:t>
      </w:r>
      <w:r w:rsidRPr="006A121F">
        <w:rPr>
          <w:rFonts w:ascii="Baskerville Old Face" w:hAnsi="Baskerville Old Face"/>
        </w:rPr>
        <w:t xml:space="preserve">, 358 Ill. App. 3d 902, 907, 295 Ill. Dec. 490, 832 N.E.2d 940 (1st Dist. 2005) (noting that courts in cases relied upon by former employees “never specifically addressed the issue raised in this case, namely, whether a restriction against practicing medicine of any kind is too broad a restriction when the employer’s area of medicine is limited in scope”), </w:t>
      </w:r>
      <w:r w:rsidRPr="006A121F">
        <w:rPr>
          <w:rFonts w:ascii="Baskerville Old Face" w:hAnsi="Baskerville Old Face"/>
          <w:i/>
        </w:rPr>
        <w:t>lv. to appeal granted</w:t>
      </w:r>
      <w:r w:rsidRPr="006A121F">
        <w:rPr>
          <w:rFonts w:ascii="Baskerville Old Face" w:hAnsi="Baskerville Old Face"/>
        </w:rPr>
        <w:t>, 2006 Ill. LEXIS 2 (2006).</w:t>
      </w:r>
    </w:p>
    <w:p w14:paraId="55BB32A0"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 shareholder-agreement-context noncompetition covenant executed by a certified public accountant, involuntarily retired from the accounting firm in which he had been both a shareholder and an officer, covering (as geographically reduced by the court) any county in which the firm maintains an office, and lasting (as judicially modified) </w:t>
      </w:r>
      <w:r w:rsidRPr="006A121F">
        <w:rPr>
          <w:rFonts w:ascii="Baskerville Old Face" w:hAnsi="Baskerville Old Face"/>
          <w:i/>
        </w:rPr>
        <w:t xml:space="preserve">for as long as the retired shareholder receives deferred compensation </w:t>
      </w:r>
      <w:r w:rsidRPr="006A121F">
        <w:rPr>
          <w:rFonts w:ascii="Baskerville Old Face" w:hAnsi="Baskerville Old Face"/>
        </w:rPr>
        <w:t xml:space="preserve">from his former firm. </w:t>
      </w:r>
      <w:r w:rsidRPr="006A121F">
        <w:rPr>
          <w:rFonts w:ascii="Baskerville Old Face" w:hAnsi="Baskerville Old Face"/>
          <w:i/>
        </w:rPr>
        <w:t>Scheffel &amp; Co. v. Fessler</w:t>
      </w:r>
      <w:r w:rsidRPr="006A121F">
        <w:rPr>
          <w:rFonts w:ascii="Baskerville Old Face" w:hAnsi="Baskerville Old Face"/>
        </w:rPr>
        <w:t>, 356 Ill. App. 3d 308, 292 Ill. Dec. 854, 827 N.E.2d 1 (5th Dist. 2005).</w:t>
      </w:r>
    </w:p>
    <w:p w14:paraId="09921545"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 3-year covenant not to compete in a restricted territory, with exclusions at least for Ohio, Kentucky, and Indianapolis, Indiana, given in connection with the sale of a movie-promotion business. </w:t>
      </w:r>
      <w:r w:rsidRPr="006A121F">
        <w:rPr>
          <w:rFonts w:ascii="Baskerville Old Face" w:hAnsi="Baskerville Old Face"/>
          <w:i/>
        </w:rPr>
        <w:t>Hess Newmark Owens Wolf, Inc. v. Owens</w:t>
      </w:r>
      <w:r w:rsidRPr="006A121F">
        <w:rPr>
          <w:rFonts w:ascii="Baskerville Old Face" w:hAnsi="Baskerville Old Face"/>
        </w:rPr>
        <w:t xml:space="preserve">, 415 F.3d 630, 633 (7th Cir. 2005) (remanding with instructions for district </w:t>
      </w:r>
      <w:r w:rsidRPr="006A121F">
        <w:rPr>
          <w:rFonts w:ascii="Baskerville Old Face" w:hAnsi="Baskerville Old Face"/>
        </w:rPr>
        <w:lastRenderedPageBreak/>
        <w:t>court to pin down precise scope of “restricted territory,” defined by covenant to include area in which purchased business conducts its business or plans to do so in first 3 years after sale).</w:t>
      </w:r>
    </w:p>
    <w:p w14:paraId="4446B62F" w14:textId="77777777" w:rsidR="00020BD9" w:rsidRPr="006A121F" w:rsidRDefault="00020BD9" w:rsidP="00020BD9">
      <w:pPr>
        <w:pStyle w:val="text"/>
        <w:rPr>
          <w:rFonts w:ascii="Baskerville Old Face" w:hAnsi="Baskerville Old Face"/>
          <w:lang w:val="it-IT"/>
        </w:rPr>
      </w:pPr>
      <w:r w:rsidRPr="006A121F">
        <w:rPr>
          <w:rFonts w:ascii="Baskerville Old Face" w:hAnsi="Baskerville Old Face"/>
        </w:rPr>
        <w:t xml:space="preserve">A 1-year restriction prohibiting a former packaging products salesperson, irrespective of the time, manner, or cause of termination, from directly or indirectly, (1) soliciting, servicing, selling, or catering to any business similar to the employer’s; or (2) engaging in, assisting, or being interested in or connected with any person, firm, corporation, or other entity soliciting from, serving, selling, or catering to any customer or employer or any person, firm, corporation, or other entity that the employer has sought to become its customer within 50 miles of the employer’s place of business and within 50 miles of any other site of business from which the employee was assigned to work. </w:t>
      </w:r>
      <w:r w:rsidRPr="006A121F">
        <w:rPr>
          <w:rFonts w:ascii="Baskerville Old Face" w:hAnsi="Baskerville Old Face"/>
          <w:i/>
          <w:lang w:val="it-IT"/>
        </w:rPr>
        <w:t>Hanchett Paper Co. v. Melchiorre</w:t>
      </w:r>
      <w:r w:rsidRPr="006A121F">
        <w:rPr>
          <w:rFonts w:ascii="Baskerville Old Face" w:hAnsi="Baskerville Old Face"/>
          <w:lang w:val="it-IT"/>
        </w:rPr>
        <w:t>, 341 Ill. App. 3d 345, 350, 354–55 (2d Dist. 2003).</w:t>
      </w:r>
    </w:p>
    <w:p w14:paraId="67C7F2CD"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In the sale-of-business context, a 3-year covenant against </w:t>
      </w:r>
      <w:r w:rsidRPr="006A121F">
        <w:rPr>
          <w:rFonts w:ascii="Baskerville Old Face" w:hAnsi="Baskerville Old Face"/>
        </w:rPr>
        <w:br/>
        <w:t xml:space="preserve">providing health care services to inmates and personnel at jail facilities in Illinois, Wisconsin, Missouri, and Indiana and in facilities owned by Cornell Companies. </w:t>
      </w:r>
      <w:r w:rsidRPr="006A121F">
        <w:rPr>
          <w:rFonts w:ascii="Baskerville Old Face" w:hAnsi="Baskerville Old Face"/>
          <w:i/>
        </w:rPr>
        <w:t>Health Prof’ls, Ltd. v. Johnson</w:t>
      </w:r>
      <w:r w:rsidRPr="006A121F">
        <w:rPr>
          <w:rFonts w:ascii="Baskerville Old Face" w:hAnsi="Baskerville Old Face"/>
        </w:rPr>
        <w:t>, 339 Ill. App. 3d 1021 (2d Dist. 2003) (in determining reasonableness of the geographic scope, the court considered the good will the plaintiffs had established in the identified states).</w:t>
      </w:r>
    </w:p>
    <w:p w14:paraId="7CBA987B"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In the franchise context, a 2-year noncompetition covenant restricting a former franchisee from “operating a retail ice cream store in the same storefront or building” as the store it had run as a franchisee. </w:t>
      </w:r>
      <w:r w:rsidRPr="006A121F">
        <w:rPr>
          <w:rFonts w:ascii="Baskerville Old Face" w:hAnsi="Baskerville Old Face"/>
          <w:i/>
        </w:rPr>
        <w:t>Baskin-Robbins Inc. v. Patel</w:t>
      </w:r>
      <w:r w:rsidRPr="006A121F">
        <w:rPr>
          <w:rFonts w:ascii="Baskerville Old Face" w:hAnsi="Baskerville Old Face"/>
        </w:rPr>
        <w:t>, 264 F. Supp. 2d 607, 610 (N.D. Ill. 2003) (likely to be narrow enough to be enforceable under California law, but denying motion for preliminary relief, “for now, because we believe an evidentiary hearing is necessary for a limited purpose” (</w:t>
      </w:r>
      <w:r w:rsidRPr="006A121F">
        <w:rPr>
          <w:rFonts w:ascii="Baskerville Old Face" w:hAnsi="Baskerville Old Face"/>
          <w:i/>
        </w:rPr>
        <w:t>id</w:t>
      </w:r>
      <w:r w:rsidRPr="006A121F">
        <w:rPr>
          <w:rFonts w:ascii="Baskerville Old Face" w:hAnsi="Baskerville Old Face"/>
        </w:rPr>
        <w:t>. at 608)).</w:t>
      </w:r>
    </w:p>
    <w:p w14:paraId="1D78AA1C"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 retirement provision in a law firm’s partnership agreement which required a lawyer to cease practicing law in order to receive retirement benefits. </w:t>
      </w:r>
      <w:r w:rsidRPr="006A121F">
        <w:rPr>
          <w:rFonts w:ascii="Baskerville Old Face" w:hAnsi="Baskerville Old Face"/>
          <w:i/>
        </w:rPr>
        <w:t>Hoff v. Mayer, Brown &amp; Platt</w:t>
      </w:r>
      <w:r w:rsidRPr="006A121F">
        <w:rPr>
          <w:rFonts w:ascii="Baskerville Old Face" w:hAnsi="Baskerville Old Face"/>
        </w:rPr>
        <w:t xml:space="preserve">, 331 Ill. App. 3d 732, 740–41, 265 Ill. Dec. 225, 232–33, 772 N.E.2d 263, 270–71 (1st Dist. 2002) (holding provision was not overly restrictive even if it is universal in nature of law practice it prohibits and clients to which it applies, and is unlimited in time), </w:t>
      </w:r>
      <w:r w:rsidRPr="006A121F">
        <w:rPr>
          <w:rFonts w:ascii="Baskerville Old Face" w:hAnsi="Baskerville Old Face"/>
          <w:i/>
        </w:rPr>
        <w:t>appeal denied by Hoff v. Mayer, Brown &amp; Platt</w:t>
      </w:r>
      <w:r w:rsidRPr="006A121F">
        <w:rPr>
          <w:rFonts w:ascii="Baskerville Old Face" w:hAnsi="Baskerville Old Face"/>
        </w:rPr>
        <w:t xml:space="preserve">, 201 Ill. 2d 567, 271 Ill. Dec. 925, 786 N.E.2d 183 (2002) (holding that provision in retirement plan did not require </w:t>
      </w:r>
      <w:r w:rsidRPr="006A121F">
        <w:rPr>
          <w:rFonts w:ascii="Baskerville Old Face" w:hAnsi="Baskerville Old Face"/>
        </w:rPr>
        <w:lastRenderedPageBreak/>
        <w:t>restrictive language addressing time, place, or scope of future practice).</w:t>
      </w:r>
    </w:p>
    <w:p w14:paraId="3922BEBA"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 noncompete agreement between physicians which prohibited the practice of medicine in a particular geographic area and which was not only limited to the practice of medicine but also applied to associations with practitioners in the restricted area in order to develop medical practices. </w:t>
      </w:r>
      <w:r w:rsidRPr="006A121F">
        <w:rPr>
          <w:rFonts w:ascii="Baskerville Old Face" w:hAnsi="Baskerville Old Face"/>
          <w:i/>
        </w:rPr>
        <w:t>Prairie Eye Ctr., Ltd. v. Butler</w:t>
      </w:r>
      <w:r w:rsidRPr="006A121F">
        <w:rPr>
          <w:rFonts w:ascii="Baskerville Old Face" w:hAnsi="Baskerville Old Face"/>
        </w:rPr>
        <w:t xml:space="preserve">, 329 Ill. App. 3d 293, 297–98, 304, 263 Ill. Dec. 654, 658–59, 663, 768 N.E.2d 414, 418–19, 423 (4th Dist. 2002), </w:t>
      </w:r>
      <w:r w:rsidRPr="006A121F">
        <w:rPr>
          <w:rFonts w:ascii="Baskerville Old Face" w:hAnsi="Baskerville Old Face"/>
          <w:i/>
        </w:rPr>
        <w:t>appeal denied by</w:t>
      </w:r>
      <w:r w:rsidRPr="006A121F">
        <w:rPr>
          <w:rFonts w:ascii="Baskerville Old Face" w:hAnsi="Baskerville Old Face"/>
        </w:rPr>
        <w:t xml:space="preserve"> </w:t>
      </w:r>
      <w:r w:rsidRPr="006A121F">
        <w:rPr>
          <w:rFonts w:ascii="Baskerville Old Face" w:hAnsi="Baskerville Old Face"/>
          <w:i/>
        </w:rPr>
        <w:t>Prairie Eye Ctr., Ltd. v. Butler</w:t>
      </w:r>
      <w:r w:rsidRPr="006A121F">
        <w:rPr>
          <w:rFonts w:ascii="Baskerville Old Face" w:hAnsi="Baskerville Old Face"/>
        </w:rPr>
        <w:t>, 202 Ill. 2d 661, 272 Ill. Dec. 354, 787 N.E.2d 169 (2002) (finding that former employee ophthalmologist breached geographical term of noncompetition covenant by affiliating himself with another practitioner who practiced ophthalmology in restricted area; finding that from practitioner with whom he affiliated, former employee ophthalmologist borrowed money to open new office, referred patients to affiliated practitioner for tests for which former employee did not possess necessary equipment, affiliated practitioner’s office had sign outside his offices with former employee’s name, affiliated practitioner handled former employee’s billing, affiliated practitioner’s employees helped staff former employee’s office, and former employer received more than 400 requests to transfer patients records to affiliated practitioner).</w:t>
      </w:r>
    </w:p>
    <w:p w14:paraId="04FBB526"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 2-year customer nonsolicitation covenant against a security system installer. </w:t>
      </w:r>
      <w:r w:rsidRPr="006A121F">
        <w:rPr>
          <w:rFonts w:ascii="Baskerville Old Face" w:hAnsi="Baskerville Old Face"/>
          <w:i/>
        </w:rPr>
        <w:t>Siemens Bldg. Techs., Inc. v. Camacho</w:t>
      </w:r>
      <w:r w:rsidRPr="006A121F">
        <w:rPr>
          <w:rFonts w:ascii="Baskerville Old Face" w:hAnsi="Baskerville Old Face"/>
        </w:rPr>
        <w:t xml:space="preserve">, 168 F. Supp. 2d 425 (E.D. Pa. 2001) (applying Illinois substantive law). </w:t>
      </w:r>
    </w:p>
    <w:p w14:paraId="47612289"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 nondisclosure covenant, without geographic or temporal limitations, under which a former vice president and officer of a state prescription plan contractor agreed not to “directly or indirectly use or disclose, for the benefit of any person, firm or entity other than [the employer] and its subsidiary companies, the Confidential Business Information of [the employer],” with such confidential business information being defined as “information or material which is not generally available to or used by others or the utility or value of which is not generally known or recognized as a standard practice, whether or not the underlying details are in the public domain, including but not limited to its computerized and manual systems, procedures, reports, client lists, review criteria and methods, financial methods and practice, plans, pricing and </w:t>
      </w:r>
      <w:r w:rsidRPr="006A121F">
        <w:rPr>
          <w:rFonts w:ascii="Baskerville Old Face" w:hAnsi="Baskerville Old Face"/>
        </w:rPr>
        <w:lastRenderedPageBreak/>
        <w:t xml:space="preserve">marketing techniques as well as information regarding [the employer’s] past, present, and prospective clients and their particular needs and requirements, and their own confidential information.” </w:t>
      </w:r>
      <w:r w:rsidRPr="006A121F">
        <w:rPr>
          <w:rFonts w:ascii="Baskerville Old Face" w:hAnsi="Baskerville Old Face"/>
          <w:i/>
        </w:rPr>
        <w:t>First Health Grp. Corp. v. National Prescription Adm’rs, Inc.</w:t>
      </w:r>
      <w:r w:rsidRPr="006A121F">
        <w:rPr>
          <w:rFonts w:ascii="Baskerville Old Face" w:hAnsi="Baskerville Old Face"/>
        </w:rPr>
        <w:t xml:space="preserve">, 155 F. Supp. 2d 194, 229 (M.D. Pa. 2001) (applying Illinois law to covenant issues; noting, </w:t>
      </w:r>
      <w:r w:rsidRPr="006A121F">
        <w:rPr>
          <w:rFonts w:ascii="Baskerville Old Face" w:hAnsi="Baskerville Old Face"/>
          <w:i/>
        </w:rPr>
        <w:t>id.</w:t>
      </w:r>
      <w:r w:rsidRPr="006A121F">
        <w:rPr>
          <w:rFonts w:ascii="Baskerville Old Face" w:hAnsi="Baskerville Old Face"/>
        </w:rPr>
        <w:t xml:space="preserve">, that “[n]ormally, confidentiality agreements lacking geographic or time limitations will be found invalid. The exception to the rule is where, as here, trade secrets and confidential information are involved.”). </w:t>
      </w:r>
    </w:p>
    <w:p w14:paraId="7476B04B"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 1-year anti-employee-raiding covenant, unbounded by any geographic limitation, executed by a former vice president and officer of a state prescription plan contractor. </w:t>
      </w:r>
      <w:r w:rsidRPr="006A121F">
        <w:rPr>
          <w:rFonts w:ascii="Baskerville Old Face" w:hAnsi="Baskerville Old Face"/>
          <w:i/>
        </w:rPr>
        <w:t>First Health Grp. Corp.</w:t>
      </w:r>
      <w:r w:rsidRPr="006A121F">
        <w:rPr>
          <w:rFonts w:ascii="Baskerville Old Face" w:hAnsi="Baskerville Old Face"/>
        </w:rPr>
        <w:t>, 155 F. Supp. 2d at 231 (“the one year limit on the restriction is sufficiently narrow to render the provision reasonable. The lack of geographic limitation for this provision is of no concern, as it applies only to the solicitation of employees of [the former employer], and is therefore reasonably limited.”).</w:t>
      </w:r>
    </w:p>
    <w:p w14:paraId="085614E0" w14:textId="2F39D8B2" w:rsidR="00020BD9" w:rsidRPr="006A121F" w:rsidRDefault="00020BD9" w:rsidP="00020BD9">
      <w:pPr>
        <w:pStyle w:val="text"/>
        <w:rPr>
          <w:rFonts w:ascii="Baskerville Old Face" w:hAnsi="Baskerville Old Face"/>
        </w:rPr>
      </w:pPr>
      <w:r w:rsidRPr="006A121F">
        <w:rPr>
          <w:rFonts w:ascii="Baskerville Old Face" w:hAnsi="Baskerville Old Face"/>
        </w:rPr>
        <w:t>A covenant under which an unlicensed accountant agreed that, for 2 years following termination of employment, she would “not, either directly or indirectly, in a professional capacity as an individual, a partner of another firm, or as an employee of another individual or firm,</w:t>
      </w:r>
      <w:r w:rsidRPr="00020BD9">
        <w:t> </w:t>
      </w:r>
      <w:r w:rsidR="00944F63">
        <w:rPr>
          <w:rFonts w:ascii="Baskerville Old Face" w:hAnsi="Baskerville Old Face"/>
        </w:rPr>
        <w:t>…</w:t>
      </w:r>
      <w:r w:rsidRPr="00020BD9">
        <w:t> </w:t>
      </w:r>
      <w:r w:rsidRPr="006A121F">
        <w:rPr>
          <w:rFonts w:ascii="Baskerville Old Face" w:hAnsi="Baskerville Old Face"/>
        </w:rPr>
        <w:t xml:space="preserve">perform any accounting services as a public accountant for any person, firm or corporation, which is on the Employer’s client list at the time of employee termination.” </w:t>
      </w:r>
      <w:r w:rsidRPr="006A121F">
        <w:rPr>
          <w:rFonts w:ascii="Baskerville Old Face" w:hAnsi="Baskerville Old Face"/>
          <w:i/>
        </w:rPr>
        <w:t>Dam, Snell &amp; Taveirne, Ltd. v. Verchota</w:t>
      </w:r>
      <w:r w:rsidRPr="006A121F">
        <w:rPr>
          <w:rFonts w:ascii="Baskerville Old Face" w:hAnsi="Baskerville Old Face"/>
        </w:rPr>
        <w:t>, 324 Ill. App. 3d 146, 148, 754 N.E.2d 464, 466 (2d Dist. 2001).</w:t>
      </w:r>
    </w:p>
    <w:p w14:paraId="696B90F1"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A covenant under which a labor staffing consultant for a temporary industrial staffing company agreed:</w:t>
      </w:r>
    </w:p>
    <w:p w14:paraId="5EA456E6" w14:textId="77777777" w:rsidR="00020BD9" w:rsidRPr="0016514A" w:rsidRDefault="00020BD9" w:rsidP="00020BD9">
      <w:pPr>
        <w:pStyle w:val="block-f-"/>
        <w:rPr>
          <w:rFonts w:ascii="Baskerville Old Face" w:hAnsi="Baskerville Old Face" w:cs="Times New Roman"/>
        </w:rPr>
      </w:pPr>
      <w:r w:rsidRPr="0016514A">
        <w:rPr>
          <w:rFonts w:ascii="Baskerville Old Face" w:hAnsi="Baskerville Old Face" w:cs="Times New Roman"/>
        </w:rPr>
        <w:t xml:space="preserve">[D]uring the term of the Agreement and for a period of one (1) year immediately following the termination of EMPLOYEE’s </w:t>
      </w:r>
      <w:r w:rsidRPr="0016514A">
        <w:rPr>
          <w:rFonts w:ascii="Baskerville Old Face" w:hAnsi="Baskerville Old Face" w:cs="Times New Roman"/>
        </w:rPr>
        <w:br/>
        <w:t xml:space="preserve">employment, for any cause whatsoever, so long as EMPLOYER continues to carry on the same business, said EMPLOYEE shall not, for any reason whatsoever, directly or indirectly, for himself or on behalf of, or in conjunction with, any other person, persons, company, partnership, corporation or business entity: </w:t>
      </w:r>
    </w:p>
    <w:p w14:paraId="61A69E3A" w14:textId="77777777" w:rsidR="00020BD9" w:rsidRPr="0016514A" w:rsidRDefault="00020BD9" w:rsidP="00020BD9">
      <w:pPr>
        <w:pStyle w:val="block-p--"/>
        <w:rPr>
          <w:rFonts w:ascii="Baskerville Old Face" w:hAnsi="Baskerville Old Face" w:cs="Times New Roman"/>
        </w:rPr>
      </w:pPr>
      <w:r w:rsidRPr="0016514A">
        <w:rPr>
          <w:rFonts w:ascii="Baskerville Old Face" w:hAnsi="Baskerville Old Face" w:cs="Times New Roman"/>
        </w:rPr>
        <w:t xml:space="preserve">(i) Call upon, divert, influence or solicit or attempt to call upon, divert, influence or solicit any customer or customers of EMPLOYER; </w:t>
      </w:r>
    </w:p>
    <w:p w14:paraId="50110DC2" w14:textId="77777777" w:rsidR="00020BD9" w:rsidRPr="0016514A" w:rsidRDefault="00020BD9" w:rsidP="00020BD9">
      <w:pPr>
        <w:pStyle w:val="block-p--"/>
        <w:rPr>
          <w:rFonts w:ascii="Baskerville Old Face" w:hAnsi="Baskerville Old Face" w:cs="Times New Roman"/>
        </w:rPr>
      </w:pPr>
      <w:r w:rsidRPr="0016514A">
        <w:rPr>
          <w:rFonts w:ascii="Baskerville Old Face" w:hAnsi="Baskerville Old Face" w:cs="Times New Roman"/>
        </w:rPr>
        <w:t xml:space="preserve">(ii) Divulge the names and addresses or any information </w:t>
      </w:r>
      <w:r w:rsidRPr="0016514A">
        <w:rPr>
          <w:rFonts w:ascii="Baskerville Old Face" w:hAnsi="Baskerville Old Face" w:cs="Times New Roman"/>
        </w:rPr>
        <w:br/>
        <w:t xml:space="preserve">concerning any customer of EMPLOYER; </w:t>
      </w:r>
    </w:p>
    <w:p w14:paraId="39499A87" w14:textId="77777777" w:rsidR="00020BD9" w:rsidRPr="0016514A" w:rsidRDefault="00020BD9" w:rsidP="00020BD9">
      <w:pPr>
        <w:pStyle w:val="block-p--"/>
        <w:rPr>
          <w:rFonts w:ascii="Baskerville Old Face" w:hAnsi="Baskerville Old Face" w:cs="Times New Roman"/>
        </w:rPr>
      </w:pPr>
      <w:r w:rsidRPr="0016514A">
        <w:rPr>
          <w:rFonts w:ascii="Baskerville Old Face" w:hAnsi="Baskerville Old Face" w:cs="Times New Roman"/>
        </w:rPr>
        <w:lastRenderedPageBreak/>
        <w:t xml:space="preserve">(iii) Disclose any information or knowledge relating to EMPLOYER, including but not limited to, EMPLOYER’s system or method of conducting business to any person, persons, firms, corporations or other entities unaffiliated with EMPLOYER, for any reason or purpose whatsoever; [or] </w:t>
      </w:r>
    </w:p>
    <w:p w14:paraId="57B9F8B8" w14:textId="77777777" w:rsidR="00020BD9" w:rsidRPr="0016514A" w:rsidRDefault="00020BD9" w:rsidP="00020BD9">
      <w:pPr>
        <w:pStyle w:val="block-p-"/>
        <w:rPr>
          <w:rFonts w:ascii="Baskerville Old Face" w:hAnsi="Baskerville Old Face" w:cs="Times New Roman"/>
        </w:rPr>
      </w:pPr>
      <w:r w:rsidRPr="0016514A">
        <w:rPr>
          <w:rFonts w:ascii="Baskerville Old Face" w:hAnsi="Baskerville Old Face" w:cs="Times New Roman"/>
        </w:rPr>
        <w:t>(iv) Own, manage, operate, control, be employed by, participate in or be connected in any manner with the ownership, management, operation or control of the same, similar or related line of business as that carried on by EMPLOYER within a radius of twenty-five (25) miles from EMPLOYEE’s home office or within a radius equivalent to EMPLOYEE’s defined territory, whichever is greater.</w:t>
      </w:r>
    </w:p>
    <w:p w14:paraId="14879638" w14:textId="77777777" w:rsidR="00020BD9" w:rsidRPr="0016514A" w:rsidRDefault="00020BD9" w:rsidP="00020BD9">
      <w:pPr>
        <w:pStyle w:val="textflush"/>
        <w:rPr>
          <w:rFonts w:ascii="Baskerville Old Face" w:hAnsi="Baskerville Old Face" w:cs="Times New Roman"/>
        </w:rPr>
      </w:pPr>
      <w:r w:rsidRPr="0016514A">
        <w:rPr>
          <w:rFonts w:ascii="Baskerville Old Face" w:hAnsi="Baskerville Old Face" w:cs="Times New Roman"/>
          <w:i/>
          <w:iCs/>
        </w:rPr>
        <w:t>Outsource Int’l, Inc. v. Barton</w:t>
      </w:r>
      <w:r w:rsidRPr="0016514A">
        <w:rPr>
          <w:rFonts w:ascii="Baskerville Old Face" w:hAnsi="Baskerville Old Face" w:cs="Times New Roman"/>
        </w:rPr>
        <w:t xml:space="preserve">, 192 F.3d 662, 665, 15 IER Cases 977, 52 USPQ2d 1085 (7th Cir. 1999) (maj. op.; finding, </w:t>
      </w:r>
      <w:r w:rsidRPr="0016514A">
        <w:rPr>
          <w:rFonts w:ascii="Baskerville Old Face" w:hAnsi="Baskerville Old Face" w:cs="Times New Roman"/>
          <w:i/>
          <w:iCs/>
        </w:rPr>
        <w:t>id.</w:t>
      </w:r>
      <w:r w:rsidRPr="0016514A">
        <w:rPr>
          <w:rFonts w:ascii="Baskerville Old Face" w:hAnsi="Baskerville Old Face" w:cs="Times New Roman"/>
        </w:rPr>
        <w:t xml:space="preserve"> at 669, terms reasonable).</w:t>
      </w:r>
    </w:p>
    <w:p w14:paraId="309AA0FC"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 1-year covenant barring an on-air radio “personality” (broadcaster) from working within a 100-mile radius of the former employer’s transmission tower in East Peoria, Illinois, in broadcast positions that require the performance of “services which are the same or of similar kind or are of similar or greater responsibility” than he performed for the former employer. </w:t>
      </w:r>
      <w:r w:rsidRPr="006A121F">
        <w:rPr>
          <w:rFonts w:ascii="Baskerville Old Face" w:hAnsi="Baskerville Old Face"/>
          <w:i/>
        </w:rPr>
        <w:t>Midwest Tel., Inc. v. Oloffson</w:t>
      </w:r>
      <w:r w:rsidRPr="006A121F">
        <w:rPr>
          <w:rFonts w:ascii="Baskerville Old Face" w:hAnsi="Baskerville Old Face"/>
        </w:rPr>
        <w:t xml:space="preserve">, 298 Ill. App. 3d 548, 557, 232 Ill. Dec. 783, 788, 699 N.E.2d 230, 235 (3d Dist. 1998) (finding 100-mile-radius </w:t>
      </w:r>
      <w:r w:rsidRPr="006A121F">
        <w:rPr>
          <w:rFonts w:ascii="Baskerville Old Face" w:hAnsi="Baskerville Old Face"/>
          <w:i/>
        </w:rPr>
        <w:t>geographic term</w:t>
      </w:r>
      <w:r w:rsidRPr="006A121F">
        <w:rPr>
          <w:rFonts w:ascii="Baskerville Old Face" w:hAnsi="Baskerville Old Face"/>
        </w:rPr>
        <w:t xml:space="preserve"> reasonable, </w:t>
      </w:r>
      <w:r w:rsidRPr="006A121F">
        <w:rPr>
          <w:rFonts w:ascii="Baskerville Old Face" w:hAnsi="Baskerville Old Face"/>
          <w:i/>
        </w:rPr>
        <w:t>id.</w:t>
      </w:r>
      <w:r w:rsidRPr="006A121F">
        <w:rPr>
          <w:rFonts w:ascii="Baskerville Old Face" w:hAnsi="Baskerville Old Face"/>
        </w:rPr>
        <w:t xml:space="preserve">, 232 Ill. Dec. at 788, 699 N.E.2d at 235, because “reasonably coextensive with [former employer’s] business territory”; noting, </w:t>
      </w:r>
      <w:r w:rsidRPr="006A121F">
        <w:rPr>
          <w:rFonts w:ascii="Baskerville Old Face" w:hAnsi="Baskerville Old Face"/>
          <w:i/>
        </w:rPr>
        <w:t>id.</w:t>
      </w:r>
      <w:r w:rsidRPr="006A121F">
        <w:rPr>
          <w:rFonts w:ascii="Baskerville Old Face" w:hAnsi="Baskerville Old Face"/>
        </w:rPr>
        <w:t xml:space="preserve">, 232 Ill. Dec. at 788, 699 N.E.2d at 235, that “[t]he evidence shows that [the former employer’s [AM and FM] stations [for both of which the former employee had worked] generally have a 60-mile broadcast range, with its FM station capable of reaching up to 90 miles. [The former employer’s] station manager testified that a 100-mile geographic restriction was necessary because a station with a somewhat stronger signal located near the edge of this zone could effectively cover [the former employer’s] broadcast territory, competing for its listeners and advertisers.” finding, </w:t>
      </w:r>
      <w:r w:rsidRPr="006A121F">
        <w:rPr>
          <w:rFonts w:ascii="Baskerville Old Face" w:hAnsi="Baskerville Old Face"/>
          <w:i/>
        </w:rPr>
        <w:t>id.</w:t>
      </w:r>
      <w:r w:rsidRPr="006A121F">
        <w:rPr>
          <w:rFonts w:ascii="Baskerville Old Face" w:hAnsi="Baskerville Old Face"/>
        </w:rPr>
        <w:t xml:space="preserve">, 232 Ill. Dec. at 788, 699 N.E.2d at 235, that “[b]ecause the evidence indicates that [the former employee] is an extremely popular radio personality, [the former employer’s] concern that its listeners and advertisers would follow him to a station within an overlapping broadcast zone is not unreasonable. In fact, [the former employer’s] station manager testified that both </w:t>
      </w:r>
      <w:r w:rsidRPr="006A121F">
        <w:rPr>
          <w:rFonts w:ascii="Baskerville Old Face" w:hAnsi="Baskerville Old Face"/>
        </w:rPr>
        <w:lastRenderedPageBreak/>
        <w:t xml:space="preserve">listeners and advertisers followed [the former employee] when he moved between its AM and FM stations.”; finding 1-year </w:t>
      </w:r>
      <w:r w:rsidRPr="006A121F">
        <w:rPr>
          <w:rFonts w:ascii="Baskerville Old Face" w:hAnsi="Baskerville Old Face"/>
          <w:i/>
        </w:rPr>
        <w:t>temporal</w:t>
      </w:r>
      <w:r w:rsidRPr="006A121F">
        <w:rPr>
          <w:rFonts w:ascii="Baskerville Old Face" w:hAnsi="Baskerville Old Face"/>
        </w:rPr>
        <w:t xml:space="preserve"> term “reasonably related to [the former employer’s] business development needs”, </w:t>
      </w:r>
      <w:r w:rsidRPr="006A121F">
        <w:rPr>
          <w:rFonts w:ascii="Baskerville Old Face" w:hAnsi="Baskerville Old Face"/>
          <w:i/>
        </w:rPr>
        <w:t>id.</w:t>
      </w:r>
      <w:r w:rsidRPr="006A121F">
        <w:rPr>
          <w:rFonts w:ascii="Baskerville Old Face" w:hAnsi="Baskerville Old Face"/>
        </w:rPr>
        <w:t xml:space="preserve">, 232 Ill. Dec. at 788, 699 N.E.2d at 235, because “[t]he trial testimony established that a new advertiser’s business can take much longer than 12 months to develop. The station must spend substantial amounts of time and effort to attract listeners and advertisers.”; finding </w:t>
      </w:r>
      <w:r w:rsidRPr="006A121F">
        <w:rPr>
          <w:rFonts w:ascii="Baskerville Old Face" w:hAnsi="Baskerville Old Face"/>
          <w:i/>
        </w:rPr>
        <w:t>scope-of-activity</w:t>
      </w:r>
      <w:r w:rsidRPr="006A121F">
        <w:rPr>
          <w:rFonts w:ascii="Baskerville Old Face" w:hAnsi="Baskerville Old Face"/>
        </w:rPr>
        <w:t xml:space="preserve"> term reasonable, </w:t>
      </w:r>
      <w:r w:rsidRPr="006A121F">
        <w:rPr>
          <w:rFonts w:ascii="Baskerville Old Face" w:hAnsi="Baskerville Old Face"/>
          <w:i/>
        </w:rPr>
        <w:t>id.</w:t>
      </w:r>
      <w:r w:rsidRPr="006A121F">
        <w:rPr>
          <w:rFonts w:ascii="Baskerville Old Face" w:hAnsi="Baskerville Old Face"/>
        </w:rPr>
        <w:t>, 232 Ill. Dec. at 788, 699 N.E.2d at 235, because term “leaves open the possibility of a wide range of positions in the broadcasting industry that are located within the restricted geographical area”).</w:t>
      </w:r>
    </w:p>
    <w:p w14:paraId="371EB7B1"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A 2-year prohibition on an ophthalmologist practicing ophthalmology within a 50-mile radius of the 5 eye clinics where the ophthalmologist had actually practiced. </w:t>
      </w:r>
      <w:r w:rsidRPr="006A121F">
        <w:rPr>
          <w:rFonts w:ascii="Baskerville Old Face" w:hAnsi="Baskerville Old Face"/>
          <w:i/>
        </w:rPr>
        <w:t>Gillespie v. Carbondale &amp; Marion Eye Ctrs., Ltd.,</w:t>
      </w:r>
      <w:r w:rsidRPr="006A121F">
        <w:rPr>
          <w:rFonts w:ascii="Baskerville Old Face" w:hAnsi="Baskerville Old Face"/>
        </w:rPr>
        <w:t xml:space="preserve"> 251 Ill. App. 3d 625, 190 Ill. Dec. 950, 622 N.E.2d 1267, 1271 (5th Dist. 1993) (as modified to exclude those employer-clinic locations where ophthalmologist had not actually practiced).</w:t>
      </w:r>
    </w:p>
    <w:p w14:paraId="3079DA77"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A 3-year nonsolicitation covenant given by the former principal of an insurance company. </w:t>
      </w:r>
      <w:r w:rsidRPr="006A121F">
        <w:rPr>
          <w:rFonts w:ascii="Baskerville Old Face" w:hAnsi="Baskerville Old Face"/>
          <w:i/>
        </w:rPr>
        <w:t>Tomei v. Tomei,</w:t>
      </w:r>
      <w:r w:rsidRPr="006A121F">
        <w:rPr>
          <w:rFonts w:ascii="Baskerville Old Face" w:hAnsi="Baskerville Old Face"/>
        </w:rPr>
        <w:t xml:space="preserve"> 235 Ill. App. 3d 166, 176 Ill. Dec. 716, 602 N.E.2d 23 (1st Dist. 1992) (stock-purchase-agreement context).</w:t>
      </w:r>
    </w:p>
    <w:p w14:paraId="4DBEE6EA"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A 2-year, 5-mile radius covenant not to compete given by a vascular surgeon, as awarded by the arbitrator and without respect to federal antitrust law since reasonableness under federal law is not required to be enforceable under Illinois law. </w:t>
      </w:r>
      <w:r w:rsidRPr="006A121F">
        <w:rPr>
          <w:rFonts w:ascii="Baskerville Old Face" w:hAnsi="Baskerville Old Face"/>
          <w:i/>
        </w:rPr>
        <w:t>Vascular &amp; Gen. Surgical Assocs. v. Loiterman,</w:t>
      </w:r>
      <w:r w:rsidRPr="006A121F">
        <w:rPr>
          <w:rFonts w:ascii="Baskerville Old Face" w:hAnsi="Baskerville Old Face"/>
        </w:rPr>
        <w:t xml:space="preserve"> 234 Ill. App. 3d 1, 175 Ill. Dec. 232, 599 N.E.2d 1246 (1st Dist. 1992) (confirming arbitrator’s award).</w:t>
      </w:r>
    </w:p>
    <w:p w14:paraId="2FAD7720"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A 3-year, 35-mile-radius noncompete covenant against a former partner of an accounting firm. </w:t>
      </w:r>
      <w:r w:rsidRPr="006A121F">
        <w:rPr>
          <w:rFonts w:ascii="Baskerville Old Face" w:hAnsi="Baskerville Old Face"/>
          <w:i/>
        </w:rPr>
        <w:t>Decker, Berta &amp; Co. Ltd. v. Berta,</w:t>
      </w:r>
      <w:r w:rsidRPr="006A121F">
        <w:rPr>
          <w:rFonts w:ascii="Baskerville Old Face" w:hAnsi="Baskerville Old Face"/>
        </w:rPr>
        <w:t xml:space="preserve"> 225 Ill. App. 3d 24, 167 Ill. Dec. 190, 587 N.E. 72, 76–77 (4th Dist. 1992) (sale-of-business context; therefore less stringent standard of reasonableness applied).</w:t>
      </w:r>
    </w:p>
    <w:p w14:paraId="2CBFD17B"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A 1-year, 1-county noncompete covenant against a hospital’s former director for physical medicine and rehabilitation. </w:t>
      </w:r>
      <w:r w:rsidRPr="006A121F">
        <w:rPr>
          <w:rFonts w:ascii="Baskerville Old Face" w:hAnsi="Baskerville Old Face"/>
          <w:i/>
        </w:rPr>
        <w:t>Sarah Bush Lincoln Health Ctr. v. Perket,</w:t>
      </w:r>
      <w:r w:rsidRPr="006A121F">
        <w:rPr>
          <w:rFonts w:ascii="Baskerville Old Face" w:hAnsi="Baskerville Old Face"/>
        </w:rPr>
        <w:t xml:space="preserve"> 238 Ill. App. 3d 958, 605 N.E.2d 613 (4th Dist. 1992) (restrictions held “clearly reasonable).</w:t>
      </w:r>
    </w:p>
    <w:p w14:paraId="55D420C4"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A 3-year, 50-mile-radius anticompetition, antiraiding, and antisolicitation covenant against a former general sales manager of a </w:t>
      </w:r>
      <w:r w:rsidRPr="006A121F">
        <w:rPr>
          <w:rFonts w:ascii="Baskerville Old Face" w:hAnsi="Baskerville Old Face"/>
        </w:rPr>
        <w:lastRenderedPageBreak/>
        <w:t xml:space="preserve">lawn care products company. </w:t>
      </w:r>
      <w:r w:rsidRPr="006A121F">
        <w:rPr>
          <w:rFonts w:ascii="Baskerville Old Face" w:hAnsi="Baskerville Old Face"/>
          <w:i/>
        </w:rPr>
        <w:t>Tyler Enters. of Elwood v. Shafer</w:t>
      </w:r>
      <w:r w:rsidRPr="006A121F">
        <w:rPr>
          <w:rFonts w:ascii="Baskerville Old Face" w:hAnsi="Baskerville Old Face"/>
        </w:rPr>
        <w:t>, 214 Ill. App. 3d 145, 158 Ill. Dec. 50, 573 N.E.2d 863 (3d Dist. 1991).</w:t>
      </w:r>
    </w:p>
    <w:p w14:paraId="45F9EB2D"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A 2-year, 3-county restrictive covenant against a former senior account executive of a building maintenance service. </w:t>
      </w:r>
      <w:r w:rsidRPr="006A121F">
        <w:rPr>
          <w:rFonts w:ascii="Baskerville Old Face" w:hAnsi="Baskerville Old Face"/>
          <w:i/>
        </w:rPr>
        <w:t>Millard Maint. Serv. Co. v. Bernero</w:t>
      </w:r>
      <w:r w:rsidRPr="006A121F">
        <w:rPr>
          <w:rFonts w:ascii="Baskerville Old Face" w:hAnsi="Baskerville Old Face"/>
        </w:rPr>
        <w:t>, 207 Ill. App. 3d 736, 152 Ill. Dec. 692, 566 N.E.2d 379 (1st Dist. 1990).</w:t>
      </w:r>
    </w:p>
    <w:p w14:paraId="1FBFED60"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Time restrictions of varying lengths have been consistently enforced by Illinois courts, varying from 1 to 5 years after employment ends. </w:t>
      </w:r>
      <w:r w:rsidRPr="006A121F">
        <w:rPr>
          <w:rFonts w:ascii="Baskerville Old Face" w:hAnsi="Baskerville Old Face"/>
          <w:i/>
        </w:rPr>
        <w:t>See, e.g., PCx Corp. v. Ross</w:t>
      </w:r>
      <w:r w:rsidRPr="006A121F">
        <w:rPr>
          <w:rFonts w:ascii="Baskerville Old Face" w:hAnsi="Baskerville Old Face"/>
        </w:rPr>
        <w:t xml:space="preserve">, 168 Ill. App. 3d 1047, 1059, 119 Ill. Dec. 474, 481, 522 N.E.2d 1333, 1340 (1st Dist. 1988) (numerous cases noted that uphold a 2-year duration); </w:t>
      </w:r>
      <w:r w:rsidRPr="006A121F">
        <w:rPr>
          <w:rFonts w:ascii="Baskerville Old Face" w:hAnsi="Baskerville Old Face"/>
          <w:i/>
        </w:rPr>
        <w:t>Instrumentalist Co. v. Band, Inc.</w:t>
      </w:r>
      <w:r w:rsidRPr="006A121F">
        <w:rPr>
          <w:rFonts w:ascii="Baskerville Old Face" w:hAnsi="Baskerville Old Face"/>
        </w:rPr>
        <w:t xml:space="preserve">, 134 Ill. App. 3d 884, 89 Ill. Dec. 530, 480 N.E.2d 1273 (1st Dist. 1985); </w:t>
      </w:r>
      <w:r w:rsidRPr="006A121F">
        <w:rPr>
          <w:rFonts w:ascii="Baskerville Old Face" w:hAnsi="Baskerville Old Face"/>
          <w:i/>
        </w:rPr>
        <w:t>Cockerill v. Wilson</w:t>
      </w:r>
      <w:r w:rsidRPr="006A121F">
        <w:rPr>
          <w:rFonts w:ascii="Baskerville Old Face" w:hAnsi="Baskerville Old Face"/>
        </w:rPr>
        <w:t xml:space="preserve">, 51 Ill. 2d 179, 281 N.E.2d 648 (1972); </w:t>
      </w:r>
      <w:r w:rsidRPr="006A121F">
        <w:rPr>
          <w:rFonts w:ascii="Baskerville Old Face" w:hAnsi="Baskerville Old Face"/>
          <w:i/>
        </w:rPr>
        <w:t>Canfield v. Spear</w:t>
      </w:r>
      <w:r w:rsidRPr="006A121F">
        <w:rPr>
          <w:rFonts w:ascii="Baskerville Old Face" w:hAnsi="Baskerville Old Face"/>
        </w:rPr>
        <w:t>, 44 Ill. 2d 49, 254 N.E.2d 433 (1969).</w:t>
      </w:r>
    </w:p>
    <w:p w14:paraId="21022F0E"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Various geographic limitations have been upheld by Illinois courts. See, e.g.,</w:t>
      </w:r>
      <w:r w:rsidRPr="006A121F">
        <w:rPr>
          <w:rFonts w:ascii="Baskerville Old Face" w:hAnsi="Baskerville Old Face"/>
          <w:i/>
        </w:rPr>
        <w:t xml:space="preserve"> Instrumentalist</w:t>
      </w:r>
      <w:r w:rsidRPr="006A121F">
        <w:rPr>
          <w:rFonts w:ascii="Baskerville Old Face" w:hAnsi="Baskerville Old Face"/>
        </w:rPr>
        <w:t>, in which the court noted:</w:t>
      </w:r>
    </w:p>
    <w:p w14:paraId="6BD3E1E2" w14:textId="20B2AD72" w:rsidR="00020BD9" w:rsidRPr="0016514A" w:rsidRDefault="00020BD9" w:rsidP="00020BD9">
      <w:pPr>
        <w:pStyle w:val="block-f"/>
        <w:rPr>
          <w:rFonts w:ascii="Baskerville Old Face" w:hAnsi="Baskerville Old Face" w:cs="Times New Roman"/>
        </w:rPr>
      </w:pPr>
      <w:r w:rsidRPr="0016514A">
        <w:rPr>
          <w:rFonts w:ascii="Baskerville Old Face" w:hAnsi="Baskerville Old Face" w:cs="Times New Roman"/>
        </w:rPr>
        <w:t xml:space="preserve">With respect to the geographic scope of noncompetition covenants, courts generally look to whether the restrictive area is </w:t>
      </w:r>
      <w:r w:rsidRPr="0016514A">
        <w:rPr>
          <w:rFonts w:ascii="Baskerville Old Face" w:hAnsi="Baskerville Old Face" w:cs="Times New Roman"/>
        </w:rPr>
        <w:br/>
        <w:t>coextensive with that in which the employer is doing business</w:t>
      </w:r>
      <w:r w:rsidRPr="00020BD9">
        <w:rPr>
          <w:rFonts w:cs="Times New Roman"/>
        </w:rPr>
        <w:t> </w:t>
      </w:r>
      <w:r w:rsidR="00944F63">
        <w:rPr>
          <w:rFonts w:ascii="Baskerville Old Face" w:hAnsi="Baskerville Old Face" w:cs="Times New Roman"/>
        </w:rPr>
        <w:t>…</w:t>
      </w:r>
      <w:r w:rsidRPr="00020BD9">
        <w:rPr>
          <w:rFonts w:cs="Times New Roman"/>
        </w:rPr>
        <w:t> </w:t>
      </w:r>
      <w:r w:rsidRPr="0016514A">
        <w:rPr>
          <w:rFonts w:ascii="Baskerville Old Face" w:hAnsi="Baskerville Old Face" w:cs="Times New Roman"/>
        </w:rPr>
        <w:t>, and have upheld as reasonable even those covenants containing no geographic limitation where the employer was doing business nationwide and the purpose of the restriction was to protect him from losing customers to a former employee who, by virtue of his employment, gained special knowledge and familiarity with the customers’ requirements.</w:t>
      </w:r>
      <w:r w:rsidRPr="00020BD9">
        <w:rPr>
          <w:rFonts w:cs="Times New Roman"/>
        </w:rPr>
        <w:t> </w:t>
      </w:r>
      <w:r w:rsidR="00944F63">
        <w:rPr>
          <w:rFonts w:ascii="Baskerville Old Face" w:hAnsi="Baskerville Old Face" w:cs="Times New Roman"/>
        </w:rPr>
        <w:t>…</w:t>
      </w:r>
    </w:p>
    <w:p w14:paraId="3A8D84FA" w14:textId="77777777" w:rsidR="00020BD9" w:rsidRPr="0016514A" w:rsidRDefault="00020BD9" w:rsidP="00020BD9">
      <w:pPr>
        <w:pStyle w:val="textflush"/>
        <w:rPr>
          <w:rFonts w:ascii="Baskerville Old Face" w:hAnsi="Baskerville Old Face" w:cs="Times New Roman"/>
        </w:rPr>
      </w:pPr>
      <w:r w:rsidRPr="0016514A">
        <w:rPr>
          <w:rFonts w:ascii="Baskerville Old Face" w:hAnsi="Baskerville Old Face" w:cs="Times New Roman"/>
        </w:rPr>
        <w:t>480 N.E.2d at 1281.</w:t>
      </w:r>
    </w:p>
    <w:p w14:paraId="6233379F"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The </w:t>
      </w:r>
      <w:r w:rsidRPr="006A121F">
        <w:rPr>
          <w:rFonts w:ascii="Baskerville Old Face" w:hAnsi="Baskerville Old Face"/>
          <w:i/>
        </w:rPr>
        <w:t>Instrumentalist</w:t>
      </w:r>
      <w:r w:rsidRPr="006A121F">
        <w:rPr>
          <w:rFonts w:ascii="Baskerville Old Face" w:hAnsi="Baskerville Old Face"/>
        </w:rPr>
        <w:t xml:space="preserve"> court affirmed a preliminary injunction restraining a former employee from working for a competitor for a period of 2 years anywhere in the country.</w:t>
      </w:r>
    </w:p>
    <w:p w14:paraId="61E9AF91"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Likewise, in </w:t>
      </w:r>
      <w:r w:rsidRPr="006A121F">
        <w:rPr>
          <w:rFonts w:ascii="Baskerville Old Face" w:hAnsi="Baskerville Old Face"/>
          <w:i/>
        </w:rPr>
        <w:t>McRand, Inc. v. Van Beelen</w:t>
      </w:r>
      <w:r w:rsidRPr="006A121F">
        <w:rPr>
          <w:rFonts w:ascii="Baskerville Old Face" w:hAnsi="Baskerville Old Face"/>
        </w:rPr>
        <w:t>, 138 Ill. App. 3d 1045, 93 Ill. Dec. 471, 486 N.E.2d 1306 (1st Dist. 1985), the court held:</w:t>
      </w:r>
    </w:p>
    <w:p w14:paraId="5D014197" w14:textId="67883A6D" w:rsidR="00020BD9" w:rsidRPr="0016514A" w:rsidRDefault="00020BD9" w:rsidP="00020BD9">
      <w:pPr>
        <w:pStyle w:val="block-f"/>
        <w:rPr>
          <w:rFonts w:ascii="Baskerville Old Face" w:hAnsi="Baskerville Old Face" w:cs="Times New Roman"/>
        </w:rPr>
      </w:pPr>
      <w:r w:rsidRPr="0016514A">
        <w:rPr>
          <w:rFonts w:ascii="Baskerville Old Face" w:hAnsi="Baskerville Old Face" w:cs="Times New Roman"/>
        </w:rPr>
        <w:t>Activity covenants, designed not to prohibit competition but to protect the employer’s relationships with customers, do not require geographical limitations.</w:t>
      </w:r>
      <w:r w:rsidRPr="00020BD9">
        <w:rPr>
          <w:rFonts w:cs="Times New Roman"/>
        </w:rPr>
        <w:t> </w:t>
      </w:r>
      <w:r w:rsidR="00944F63">
        <w:rPr>
          <w:rFonts w:ascii="Baskerville Old Face" w:hAnsi="Baskerville Old Face" w:cs="Times New Roman"/>
        </w:rPr>
        <w:t>…</w:t>
      </w:r>
      <w:r w:rsidRPr="00020BD9">
        <w:rPr>
          <w:rFonts w:cs="Times New Roman"/>
        </w:rPr>
        <w:t> </w:t>
      </w:r>
      <w:r w:rsidRPr="0016514A">
        <w:rPr>
          <w:rFonts w:ascii="Baskerville Old Face" w:hAnsi="Baskerville Old Face" w:cs="Times New Roman"/>
        </w:rPr>
        <w:t xml:space="preserve">Therefore, although no geographical limitation is present, the covenant is not void as a matter of law. Instead, the covenant </w:t>
      </w:r>
      <w:r w:rsidRPr="0016514A">
        <w:rPr>
          <w:rFonts w:ascii="Baskerville Old Face" w:hAnsi="Baskerville Old Face" w:cs="Times New Roman"/>
        </w:rPr>
        <w:lastRenderedPageBreak/>
        <w:t>evidences an intent to protect [the employer</w:t>
      </w:r>
      <w:r w:rsidRPr="0016514A">
        <w:rPr>
          <w:rFonts w:ascii="Baskerville Old Face" w:hAnsi="Baskerville Old Face" w:cs="Baskerville Old Face"/>
        </w:rPr>
        <w:t>’</w:t>
      </w:r>
      <w:r w:rsidRPr="0016514A">
        <w:rPr>
          <w:rFonts w:ascii="Baskerville Old Face" w:hAnsi="Baskerville Old Face" w:cs="Times New Roman"/>
        </w:rPr>
        <w:t>s] customer relations</w:t>
      </w:r>
      <w:r w:rsidRPr="00020BD9">
        <w:rPr>
          <w:rFonts w:cs="Times New Roman"/>
        </w:rPr>
        <w:t> </w:t>
      </w:r>
      <w:r w:rsidR="00944F63">
        <w:rPr>
          <w:rFonts w:ascii="Baskerville Old Face" w:hAnsi="Baskerville Old Face" w:cs="Times New Roman"/>
        </w:rPr>
        <w:t>…</w:t>
      </w:r>
      <w:r w:rsidRPr="00020BD9">
        <w:rPr>
          <w:rFonts w:cs="Times New Roman"/>
        </w:rPr>
        <w:t> </w:t>
      </w:r>
      <w:r w:rsidRPr="0016514A">
        <w:rPr>
          <w:rFonts w:ascii="Baskerville Old Face" w:hAnsi="Baskerville Old Face" w:cs="Times New Roman"/>
        </w:rPr>
        <w:t>[Citation omitted.]</w:t>
      </w:r>
    </w:p>
    <w:p w14:paraId="143E179F" w14:textId="77777777" w:rsidR="00020BD9" w:rsidRPr="0016514A" w:rsidRDefault="00020BD9" w:rsidP="00020BD9">
      <w:pPr>
        <w:pStyle w:val="textflush"/>
        <w:rPr>
          <w:rFonts w:ascii="Baskerville Old Face" w:hAnsi="Baskerville Old Face" w:cs="Times New Roman"/>
        </w:rPr>
      </w:pPr>
      <w:r w:rsidRPr="0016514A">
        <w:rPr>
          <w:rFonts w:ascii="Baskerville Old Face" w:hAnsi="Baskerville Old Face" w:cs="Times New Roman"/>
          <w:i/>
          <w:iCs/>
        </w:rPr>
        <w:t>Id.</w:t>
      </w:r>
      <w:r w:rsidRPr="0016514A">
        <w:rPr>
          <w:rFonts w:ascii="Baskerville Old Face" w:hAnsi="Baskerville Old Face" w:cs="Times New Roman"/>
        </w:rPr>
        <w:t xml:space="preserve"> at 1057, 486 N.E.2d at 1315. </w:t>
      </w:r>
      <w:r w:rsidRPr="0016514A">
        <w:rPr>
          <w:rFonts w:ascii="Baskerville Old Face" w:hAnsi="Baskerville Old Face" w:cs="Times New Roman"/>
          <w:i/>
          <w:iCs/>
        </w:rPr>
        <w:t>Accord Agrimerica v. Mathes</w:t>
      </w:r>
      <w:r w:rsidRPr="0016514A">
        <w:rPr>
          <w:rFonts w:ascii="Baskerville Old Face" w:hAnsi="Baskerville Old Face" w:cs="Times New Roman"/>
        </w:rPr>
        <w:t xml:space="preserve">, 170 Ill. App. 3d 1025, 120 Ill. Dec. 765, 524 N.E.2d 947, 953 (1st Dist. 1988); </w:t>
      </w:r>
      <w:r w:rsidRPr="0016514A">
        <w:rPr>
          <w:rFonts w:ascii="Baskerville Old Face" w:hAnsi="Baskerville Old Face" w:cs="Times New Roman"/>
          <w:i/>
          <w:iCs/>
        </w:rPr>
        <w:t>Corroon &amp; Black of Ill. v. Magner</w:t>
      </w:r>
      <w:r w:rsidRPr="0016514A">
        <w:rPr>
          <w:rFonts w:ascii="Baskerville Old Face" w:hAnsi="Baskerville Old Face" w:cs="Times New Roman"/>
        </w:rPr>
        <w:t>, 145 Ill. App. 3d 151, 98 Ill. Dec. 663, 494 N.E.2d 785, 793 (1st Dist. 1986).</w:t>
      </w:r>
    </w:p>
    <w:p w14:paraId="2D1CF977"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As to medical practice cases, the court in </w:t>
      </w:r>
      <w:r w:rsidRPr="006A121F">
        <w:rPr>
          <w:rFonts w:ascii="Baskerville Old Face" w:hAnsi="Baskerville Old Face"/>
          <w:i/>
        </w:rPr>
        <w:t>Retina Services v. Garoon</w:t>
      </w:r>
      <w:r w:rsidRPr="006A121F">
        <w:rPr>
          <w:rFonts w:ascii="Baskerville Old Face" w:hAnsi="Baskerville Old Face"/>
        </w:rPr>
        <w:t>, 182 Ill. App. 3d 851, 131 Ill. Dec. 276, 538 N.E.2d 651 (1st Dist. 1989), determined that a covenant to restrict an ophthalmologist from competing for 2 years at five specified hospitals was reasonable and enforceable. As to geographic scope, the court reasoned that the covenant was not overly broad because the ophthalmologist could practice in other hospitals in the metropolitan area. It noted:</w:t>
      </w:r>
    </w:p>
    <w:p w14:paraId="4B9B27BE" w14:textId="77777777" w:rsidR="00020BD9" w:rsidRPr="0016514A" w:rsidRDefault="00020BD9" w:rsidP="00020BD9">
      <w:pPr>
        <w:pStyle w:val="block-f"/>
        <w:rPr>
          <w:rFonts w:ascii="Baskerville Old Face" w:hAnsi="Baskerville Old Face" w:cs="Times New Roman"/>
        </w:rPr>
      </w:pPr>
      <w:r w:rsidRPr="0016514A">
        <w:rPr>
          <w:rFonts w:ascii="Baskerville Old Face" w:hAnsi="Baskerville Old Face" w:cs="Times New Roman"/>
        </w:rPr>
        <w:t>The supreme court has found to be reasonable geographic limitations in medical practice cases which were far broader in scope than the five-hospital limitation here. (</w:t>
      </w:r>
      <w:r w:rsidRPr="0016514A">
        <w:rPr>
          <w:rFonts w:ascii="Baskerville Old Face" w:hAnsi="Baskerville Old Face" w:cs="Times New Roman"/>
          <w:i/>
          <w:iCs/>
        </w:rPr>
        <w:t>Canfield</w:t>
      </w:r>
      <w:r w:rsidRPr="0016514A">
        <w:rPr>
          <w:rFonts w:ascii="Baskerville Old Face" w:hAnsi="Baskerville Old Face" w:cs="Times New Roman"/>
        </w:rPr>
        <w:t xml:space="preserve"> [</w:t>
      </w:r>
      <w:r w:rsidRPr="0016514A">
        <w:rPr>
          <w:rFonts w:ascii="Baskerville Old Face" w:hAnsi="Baskerville Old Face" w:cs="Times New Roman"/>
          <w:i/>
          <w:iCs/>
        </w:rPr>
        <w:t>v. Spear</w:t>
      </w:r>
      <w:r w:rsidRPr="0016514A">
        <w:rPr>
          <w:rFonts w:ascii="Baskerville Old Face" w:hAnsi="Baskerville Old Face" w:cs="Times New Roman"/>
        </w:rPr>
        <w:t xml:space="preserve"> (1969)], 44 Ill. 2d 49, 254 N.E.2d 433 (3-year prohibition from practicing all medicine within the City of Rockford and surrounding radius of 25 miles); </w:t>
      </w:r>
      <w:r w:rsidRPr="0016514A">
        <w:rPr>
          <w:rFonts w:ascii="Baskerville Old Face" w:hAnsi="Baskerville Old Face" w:cs="Times New Roman"/>
          <w:i/>
          <w:iCs/>
        </w:rPr>
        <w:t>Cockerill</w:t>
      </w:r>
      <w:r w:rsidRPr="0016514A">
        <w:rPr>
          <w:rFonts w:ascii="Baskerville Old Face" w:hAnsi="Baskerville Old Face" w:cs="Times New Roman"/>
        </w:rPr>
        <w:t xml:space="preserve"> [</w:t>
      </w:r>
      <w:r w:rsidRPr="0016514A">
        <w:rPr>
          <w:rFonts w:ascii="Baskerville Old Face" w:hAnsi="Baskerville Old Face" w:cs="Times New Roman"/>
          <w:i/>
          <w:iCs/>
        </w:rPr>
        <w:t>v. Wilson</w:t>
      </w:r>
      <w:r w:rsidRPr="0016514A">
        <w:rPr>
          <w:rFonts w:ascii="Baskerville Old Face" w:hAnsi="Baskerville Old Face" w:cs="Times New Roman"/>
        </w:rPr>
        <w:t xml:space="preserve"> (1972)], 51 Ill. 2d 179, 281 N.E.2d 648 (5-year prohibition of practicing medicine in a 20-mile area); </w:t>
      </w:r>
      <w:r w:rsidRPr="0016514A">
        <w:rPr>
          <w:rFonts w:ascii="Baskerville Old Face" w:hAnsi="Baskerville Old Face" w:cs="Times New Roman"/>
          <w:i/>
          <w:iCs/>
        </w:rPr>
        <w:t>Bauer</w:t>
      </w:r>
      <w:r w:rsidRPr="0016514A">
        <w:rPr>
          <w:rFonts w:ascii="Baskerville Old Face" w:hAnsi="Baskerville Old Face" w:cs="Times New Roman"/>
        </w:rPr>
        <w:t xml:space="preserve"> [</w:t>
      </w:r>
      <w:r w:rsidRPr="0016514A">
        <w:rPr>
          <w:rFonts w:ascii="Baskerville Old Face" w:hAnsi="Baskerville Old Face" w:cs="Times New Roman"/>
          <w:i/>
          <w:iCs/>
        </w:rPr>
        <w:t>v. Sawyer</w:t>
      </w:r>
      <w:r w:rsidRPr="0016514A">
        <w:rPr>
          <w:rFonts w:ascii="Baskerville Old Face" w:hAnsi="Baskerville Old Face" w:cs="Times New Roman"/>
        </w:rPr>
        <w:t xml:space="preserve"> (1956)], 8 Ill. 2d 351, 134 N.E.2d 329 (5-year prohibition on practicing medicine within a 25-mile radius of Kankakee); </w:t>
      </w:r>
      <w:r w:rsidRPr="0016514A">
        <w:rPr>
          <w:rFonts w:ascii="Baskerville Old Face" w:hAnsi="Baskerville Old Face" w:cs="Times New Roman"/>
          <w:i/>
          <w:iCs/>
        </w:rPr>
        <w:t>Storer v. Brock</w:t>
      </w:r>
      <w:r w:rsidRPr="0016514A">
        <w:rPr>
          <w:rFonts w:ascii="Baskerville Old Face" w:hAnsi="Baskerville Old Face" w:cs="Times New Roman"/>
        </w:rPr>
        <w:t xml:space="preserve"> (1933), 351 Ill. 643, 184 N.E.868 (unlimited time prohibition from practicing medicine in the entire City of Chicago).) The supreme court has reasoned in these cases that no special hardship exists because the defendant could practice elsewhere or resume practicing in the area after the restricted period has ended. (See </w:t>
      </w:r>
      <w:r w:rsidRPr="0016514A">
        <w:rPr>
          <w:rFonts w:ascii="Baskerville Old Face" w:hAnsi="Baskerville Old Face" w:cs="Times New Roman"/>
          <w:i/>
          <w:iCs/>
        </w:rPr>
        <w:t>Bauer</w:t>
      </w:r>
      <w:r w:rsidRPr="0016514A">
        <w:rPr>
          <w:rFonts w:ascii="Baskerville Old Face" w:hAnsi="Baskerville Old Face" w:cs="Times New Roman"/>
        </w:rPr>
        <w:t xml:space="preserve">, 8 Ill. 2d at 355, 134 N.E.2d at 331, </w:t>
      </w:r>
      <w:r w:rsidRPr="0016514A">
        <w:rPr>
          <w:rFonts w:ascii="Baskerville Old Face" w:hAnsi="Baskerville Old Face" w:cs="Times New Roman"/>
          <w:i/>
          <w:iCs/>
        </w:rPr>
        <w:t>Canfield</w:t>
      </w:r>
      <w:r w:rsidRPr="0016514A">
        <w:rPr>
          <w:rFonts w:ascii="Baskerville Old Face" w:hAnsi="Baskerville Old Face" w:cs="Times New Roman"/>
        </w:rPr>
        <w:t>, 44 Ill. 2d at 51, 254 N.E.2d at 434.) The sole covenant not-to-compete in medical practice cases found by the supreme court to be unreasonable involved a covenant far broader in scope than the one in the case at bar. In [</w:t>
      </w:r>
      <w:r w:rsidRPr="0016514A">
        <w:rPr>
          <w:rFonts w:ascii="Baskerville Old Face" w:hAnsi="Baskerville Old Face" w:cs="Times New Roman"/>
          <w:i/>
          <w:iCs/>
        </w:rPr>
        <w:t>House of Vision, Inc. v. Hiyane</w:t>
      </w:r>
      <w:r w:rsidRPr="0016514A">
        <w:rPr>
          <w:rFonts w:ascii="Baskerville Old Face" w:hAnsi="Baskerville Old Face" w:cs="Times New Roman"/>
        </w:rPr>
        <w:t xml:space="preserve"> (1967)], 37 Ill. 2d 32, 225 N.E.2d 21, the court found to be unreasonable an unlimited time prohibition from practicing medicine within 30 miles from any of plaintiff’s offices, which included a Highland Park office 23 miles north of Chicago and a Waukegan office 35 miles north of Chicago.</w:t>
      </w:r>
    </w:p>
    <w:p w14:paraId="1A5071E0" w14:textId="77777777" w:rsidR="00020BD9" w:rsidRPr="0016514A" w:rsidRDefault="00020BD9" w:rsidP="00020BD9">
      <w:pPr>
        <w:pStyle w:val="textflush"/>
        <w:rPr>
          <w:rFonts w:ascii="Baskerville Old Face" w:hAnsi="Baskerville Old Face" w:cs="Times New Roman"/>
        </w:rPr>
      </w:pPr>
      <w:r w:rsidRPr="0016514A">
        <w:rPr>
          <w:rFonts w:ascii="Baskerville Old Face" w:hAnsi="Baskerville Old Face" w:cs="Times New Roman"/>
          <w:i/>
          <w:iCs/>
        </w:rPr>
        <w:t>Id</w:t>
      </w:r>
      <w:r w:rsidRPr="0016514A">
        <w:rPr>
          <w:rFonts w:ascii="Baskerville Old Face" w:hAnsi="Baskerville Old Face" w:cs="Times New Roman"/>
        </w:rPr>
        <w:t>., 538 N.E.2d at 654.</w:t>
      </w:r>
    </w:p>
    <w:p w14:paraId="1B2D6DA7" w14:textId="77777777" w:rsidR="00020BD9" w:rsidRPr="0016514A" w:rsidRDefault="00020BD9" w:rsidP="00020BD9">
      <w:pPr>
        <w:pStyle w:val="HeadingCenter11Underscore"/>
        <w:rPr>
          <w:rFonts w:ascii="Baskerville Old Face" w:hAnsi="Baskerville Old Face" w:cs="Times New Roman"/>
        </w:rPr>
      </w:pPr>
      <w:r w:rsidRPr="0016514A">
        <w:rPr>
          <w:rFonts w:ascii="Baskerville Old Face" w:hAnsi="Baskerville Old Face" w:cs="Times New Roman"/>
        </w:rPr>
        <w:lastRenderedPageBreak/>
        <w:t>Unreasonable</w:t>
      </w:r>
    </w:p>
    <w:p w14:paraId="5B119200" w14:textId="70365C69" w:rsidR="009A2E92" w:rsidRPr="00822B4E" w:rsidRDefault="009A2E92" w:rsidP="00822B4E">
      <w:pPr>
        <w:rPr>
          <w:rFonts w:ascii="Baskerville" w:hAnsi="Baskerville" w:cs="Open Sans"/>
          <w:color w:val="000000" w:themeColor="text1"/>
        </w:rPr>
      </w:pPr>
      <w:r>
        <w:rPr>
          <w:rFonts w:ascii="Open Sans" w:hAnsi="Open Sans" w:cs="Open Sans"/>
          <w:color w:val="505558"/>
        </w:rPr>
        <w:tab/>
      </w:r>
      <w:r w:rsidRPr="00822B4E">
        <w:rPr>
          <w:rFonts w:ascii="Baskerville" w:hAnsi="Baskerville" w:cs="Open Sans"/>
          <w:color w:val="000000" w:themeColor="text1"/>
        </w:rPr>
        <w:t xml:space="preserve">A 5-year noncompete </w:t>
      </w:r>
      <w:r w:rsidR="00423C4B">
        <w:rPr>
          <w:rFonts w:ascii="Baskerville" w:hAnsi="Baskerville" w:cs="Open Sans"/>
          <w:color w:val="000000" w:themeColor="text1"/>
        </w:rPr>
        <w:t xml:space="preserve">purporting to </w:t>
      </w:r>
      <w:r w:rsidRPr="00822B4E">
        <w:rPr>
          <w:rFonts w:ascii="Baskerville" w:hAnsi="Baskerville" w:cs="Open Sans"/>
          <w:color w:val="000000" w:themeColor="text1"/>
        </w:rPr>
        <w:t xml:space="preserve">bar </w:t>
      </w:r>
      <w:r w:rsidR="00D244B8">
        <w:rPr>
          <w:rFonts w:ascii="Baskerville" w:hAnsi="Baskerville" w:cs="Open Sans"/>
          <w:color w:val="000000" w:themeColor="text1"/>
        </w:rPr>
        <w:t xml:space="preserve">a party to a joint venture, </w:t>
      </w:r>
      <w:r w:rsidR="00D15EA3">
        <w:rPr>
          <w:rFonts w:ascii="Baskerville" w:hAnsi="Baskerville" w:cs="Open Sans"/>
          <w:color w:val="000000" w:themeColor="text1"/>
        </w:rPr>
        <w:t xml:space="preserve">after retirement, </w:t>
      </w:r>
      <w:r w:rsidRPr="009A2E92">
        <w:rPr>
          <w:rFonts w:ascii="Baskerville" w:hAnsi="Baskerville" w:cs="Open Sans"/>
          <w:color w:val="000000" w:themeColor="text1"/>
        </w:rPr>
        <w:t xml:space="preserve">from </w:t>
      </w:r>
      <w:r w:rsidRPr="00822B4E">
        <w:rPr>
          <w:rFonts w:ascii="Baskerville" w:hAnsi="Baskerville" w:cs="Open Sans"/>
          <w:color w:val="000000" w:themeColor="text1"/>
        </w:rPr>
        <w:t>“</w:t>
      </w:r>
      <w:r w:rsidRPr="009A2E92">
        <w:rPr>
          <w:rFonts w:ascii="Baskerville" w:hAnsi="Baskerville" w:cs="Open Sans"/>
          <w:color w:val="000000" w:themeColor="text1"/>
        </w:rPr>
        <w:t>working for any business that engages in manufacturer</w:t>
      </w:r>
      <w:r w:rsidR="00D15EA3">
        <w:rPr>
          <w:rFonts w:ascii="Baskerville" w:hAnsi="Baskerville" w:cs="Open Sans"/>
          <w:color w:val="000000" w:themeColor="text1"/>
        </w:rPr>
        <w:t>’</w:t>
      </w:r>
      <w:r w:rsidRPr="009A2E92">
        <w:rPr>
          <w:rFonts w:ascii="Baskerville" w:hAnsi="Baskerville" w:cs="Open Sans"/>
          <w:color w:val="000000" w:themeColor="text1"/>
        </w:rPr>
        <w:t>s representation.</w:t>
      </w:r>
      <w:r w:rsidRPr="00822B4E">
        <w:rPr>
          <w:rFonts w:ascii="Baskerville" w:hAnsi="Baskerville" w:cs="Open Sans"/>
          <w:color w:val="000000" w:themeColor="text1"/>
        </w:rPr>
        <w:t xml:space="preserve">” </w:t>
      </w:r>
      <w:r w:rsidRPr="009A2E92">
        <w:rPr>
          <w:rFonts w:ascii="Baskerville" w:hAnsi="Baskerville" w:cs="Open Sans"/>
          <w:i/>
          <w:iCs/>
          <w:color w:val="000000" w:themeColor="text1"/>
        </w:rPr>
        <w:t>Oliver v. Isenberg</w:t>
      </w:r>
      <w:r w:rsidRPr="009A2E92">
        <w:rPr>
          <w:rFonts w:ascii="Baskerville" w:hAnsi="Baskerville" w:cs="Open Sans"/>
          <w:color w:val="000000" w:themeColor="text1"/>
        </w:rPr>
        <w:t xml:space="preserve">, </w:t>
      </w:r>
      <w:r w:rsidR="00E50105" w:rsidRPr="00822B4E">
        <w:rPr>
          <w:rFonts w:ascii="Baskerville" w:hAnsi="Baskerville" w:cs="Open Sans"/>
          <w:color w:val="000000" w:themeColor="text1"/>
        </w:rPr>
        <w:t>2020 BL 69589, at *22 (</w:t>
      </w:r>
      <w:r w:rsidR="00822B4E" w:rsidRPr="00822B4E">
        <w:rPr>
          <w:rFonts w:ascii="Baskerville" w:hAnsi="Baskerville" w:cs="Open Sans"/>
          <w:color w:val="000000" w:themeColor="text1"/>
        </w:rPr>
        <w:t>Ill. Ct. App. 1st Dist. 2020) (</w:t>
      </w:r>
      <w:r w:rsidR="00445B33">
        <w:rPr>
          <w:rFonts w:ascii="Baskerville" w:hAnsi="Baskerville" w:cs="Open Sans"/>
          <w:color w:val="000000" w:themeColor="text1"/>
        </w:rPr>
        <w:t xml:space="preserve">order </w:t>
      </w:r>
      <w:r w:rsidR="00822B4E" w:rsidRPr="00822B4E">
        <w:rPr>
          <w:rFonts w:ascii="Baskerville" w:hAnsi="Baskerville" w:cs="Open Sans"/>
          <w:color w:val="000000" w:themeColor="text1"/>
        </w:rPr>
        <w:t xml:space="preserve">not citable as precedent) (characterizing </w:t>
      </w:r>
      <w:r w:rsidR="00D244B8">
        <w:rPr>
          <w:rFonts w:ascii="Baskerville" w:hAnsi="Baskerville" w:cs="Open Sans"/>
          <w:color w:val="000000" w:themeColor="text1"/>
        </w:rPr>
        <w:t xml:space="preserve">operating agreement </w:t>
      </w:r>
      <w:r w:rsidR="00D244B8" w:rsidRPr="00822B4E">
        <w:rPr>
          <w:rFonts w:ascii="Baskerville" w:hAnsi="Baskerville" w:cs="Open Sans"/>
          <w:color w:val="000000" w:themeColor="text1"/>
        </w:rPr>
        <w:t>restr</w:t>
      </w:r>
      <w:r w:rsidR="00D244B8">
        <w:rPr>
          <w:rFonts w:ascii="Baskerville" w:hAnsi="Baskerville" w:cs="Open Sans"/>
          <w:color w:val="000000" w:themeColor="text1"/>
        </w:rPr>
        <w:t>iction</w:t>
      </w:r>
      <w:r w:rsidR="00D244B8" w:rsidRPr="00822B4E">
        <w:rPr>
          <w:rFonts w:ascii="Baskerville" w:hAnsi="Baskerville" w:cs="Open Sans"/>
          <w:color w:val="000000" w:themeColor="text1"/>
        </w:rPr>
        <w:t xml:space="preserve"> </w:t>
      </w:r>
      <w:r w:rsidR="00822B4E" w:rsidRPr="00822B4E">
        <w:rPr>
          <w:rFonts w:ascii="Baskerville" w:hAnsi="Baskerville" w:cs="Open Sans"/>
          <w:color w:val="000000" w:themeColor="text1"/>
        </w:rPr>
        <w:t>as “</w:t>
      </w:r>
      <w:r w:rsidRPr="009A2E92">
        <w:rPr>
          <w:rFonts w:ascii="Baskerville" w:hAnsi="Baskerville" w:cs="Open Sans"/>
          <w:color w:val="000000" w:themeColor="text1"/>
        </w:rPr>
        <w:t xml:space="preserve">nothing short of a total restraint on trade and </w:t>
      </w:r>
      <w:r w:rsidR="00944F63">
        <w:rPr>
          <w:rFonts w:ascii="Baskerville" w:hAnsi="Baskerville" w:cs="Open Sans"/>
          <w:color w:val="000000" w:themeColor="text1"/>
        </w:rPr>
        <w:t>…</w:t>
      </w:r>
      <w:r w:rsidR="00822B4E" w:rsidRPr="00822B4E">
        <w:rPr>
          <w:rFonts w:ascii="Baskerville" w:hAnsi="Baskerville" w:cs="Open Sans"/>
          <w:color w:val="000000" w:themeColor="text1"/>
        </w:rPr>
        <w:t xml:space="preserve"> </w:t>
      </w:r>
      <w:r w:rsidRPr="009A2E92">
        <w:rPr>
          <w:rFonts w:ascii="Baskerville" w:hAnsi="Baskerville" w:cs="Open Sans"/>
          <w:color w:val="000000" w:themeColor="text1"/>
        </w:rPr>
        <w:t>thus unenforceable as a matter of law</w:t>
      </w:r>
      <w:r w:rsidRPr="00822B4E">
        <w:rPr>
          <w:rFonts w:ascii="Baskerville" w:hAnsi="Baskerville" w:cs="Open Sans"/>
          <w:color w:val="000000" w:themeColor="text1"/>
        </w:rPr>
        <w:t>”).</w:t>
      </w:r>
    </w:p>
    <w:p w14:paraId="38D459E3" w14:textId="4FFA9421" w:rsidR="00020BD9" w:rsidRPr="006A121F" w:rsidRDefault="00020BD9" w:rsidP="00020BD9">
      <w:pPr>
        <w:pStyle w:val="text"/>
        <w:rPr>
          <w:rFonts w:ascii="Baskerville Old Face" w:hAnsi="Baskerville Old Face"/>
        </w:rPr>
      </w:pPr>
      <w:r w:rsidRPr="006A121F">
        <w:rPr>
          <w:rFonts w:ascii="Baskerville Old Face" w:hAnsi="Baskerville Old Face"/>
        </w:rPr>
        <w:t>A postemployment customer nonsolicitation covenant purporting to bar a former employee from soliciting “not only [former employer] Atkore’s customers with whom he had contact in the course of his employment, but also Atkore’s customers with whom he had no contact, and even Atkore’s </w:t>
      </w:r>
      <w:r w:rsidRPr="006A121F">
        <w:rPr>
          <w:rFonts w:ascii="Baskerville Old Face" w:hAnsi="Baskerville Old Face"/>
          <w:i/>
        </w:rPr>
        <w:t>prospective customers</w:t>
      </w:r>
      <w:r w:rsidRPr="006A121F">
        <w:rPr>
          <w:rFonts w:ascii="Baskerville Old Face" w:hAnsi="Baskerville Old Face"/>
        </w:rPr>
        <w:t xml:space="preserve">, i.e., individuals and entities that may never have done business with Atkore at all.” </w:t>
      </w:r>
      <w:r w:rsidRPr="006A121F">
        <w:rPr>
          <w:rFonts w:ascii="Baskerville Old Face" w:hAnsi="Baskerville Old Face"/>
          <w:i/>
        </w:rPr>
        <w:t>Atkore Int’l v. Fay</w:t>
      </w:r>
      <w:r w:rsidRPr="006A121F">
        <w:rPr>
          <w:rFonts w:ascii="Baskerville Old Face" w:hAnsi="Baskerville Old Face"/>
        </w:rPr>
        <w:t>, 2018 BL 439249, at *4 (N.D. Ill. Nov. 29, 2018) (court’s emphasis; “That restriction is plainly far broader than necessary to protect Atkore’s legitimate business interests.”).</w:t>
      </w:r>
    </w:p>
    <w:p w14:paraId="45893879"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 28-month noncompetition covenant purporting to bar a salesperson from engaging in the business of professional liability insurance products or services anywhere in the United States or its territories for 28 months. </w:t>
      </w:r>
      <w:r w:rsidRPr="006A121F">
        <w:rPr>
          <w:rFonts w:ascii="Baskerville Old Face" w:hAnsi="Baskerville Old Face"/>
          <w:i/>
        </w:rPr>
        <w:t>AssuredPartners, Inc. v. Schmitt</w:t>
      </w:r>
      <w:r w:rsidRPr="006A121F">
        <w:rPr>
          <w:rFonts w:ascii="Baskerville Old Face" w:hAnsi="Baskerville Old Face"/>
        </w:rPr>
        <w:t>, 398 Ill. Dec. 434, 44 N.E.3d 463 (1st Dist. Ct. App. 2016) (finding restrictions unreasonable as matter of law in light of facts that, among other things, former employee specialized in lawyers’ professional liability insurance, former employee was only employed by employer for 20 months, restriction on solicitation of potential customers was broader than necessary to protect former employer’s interests, and nondisclosure provision would limit his ability to work).</w:t>
      </w:r>
    </w:p>
    <w:p w14:paraId="3C486016"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A pair of noncompetition and customer nonsolicitation covenants purporting to bar an insurance agent from engaging in the business of professional liability insurance products or services anywhere in United States or its territories for 28 months.</w:t>
      </w:r>
      <w:r w:rsidRPr="006A121F">
        <w:rPr>
          <w:rFonts w:ascii="Baskerville Old Face" w:hAnsi="Baskerville Old Face"/>
          <w:i/>
        </w:rPr>
        <w:t xml:space="preserve"> AssuredPartners, Inc. v. Schmitt</w:t>
      </w:r>
      <w:r w:rsidRPr="006A121F">
        <w:rPr>
          <w:rFonts w:ascii="Baskerville Old Face" w:hAnsi="Baskerville Old Face"/>
        </w:rPr>
        <w:t>, 398 Ill. Dec. 434, 44 N.E.3d 463 (Ct. App. 1st Dist. 2015).</w:t>
      </w:r>
    </w:p>
    <w:p w14:paraId="3F9AF592"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 confidentiality agreement containing no limitations as to either its geographic reach or duration and purporting to bar an </w:t>
      </w:r>
      <w:r w:rsidRPr="006A121F">
        <w:rPr>
          <w:rFonts w:ascii="Baskerville Old Face" w:hAnsi="Baskerville Old Face"/>
        </w:rPr>
        <w:lastRenderedPageBreak/>
        <w:t xml:space="preserve">employee from using confidential information anywhere, for any purpose, for perpetuity. </w:t>
      </w:r>
      <w:r w:rsidRPr="006A121F">
        <w:rPr>
          <w:rFonts w:ascii="Baskerville Old Face" w:hAnsi="Baskerville Old Face"/>
          <w:i/>
        </w:rPr>
        <w:t>Fleetwood Packaging v. Hein</w:t>
      </w:r>
      <w:r w:rsidRPr="006A121F">
        <w:rPr>
          <w:rFonts w:ascii="Baskerville Old Face" w:hAnsi="Baskerville Old Face"/>
        </w:rPr>
        <w:t>, No. 1:14-cv-09670, 2014 BL 350671, 2014 IER Cases 173148 (N.D. Ill. Dec. 15, 2014).</w:t>
      </w:r>
    </w:p>
    <w:p w14:paraId="36CBCA1E"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Nonrecruitment agreements purporting to bar a staffing firm’s former employees from persuading workers to leave the firm. </w:t>
      </w:r>
      <w:r w:rsidRPr="006A121F">
        <w:rPr>
          <w:rFonts w:ascii="Baskerville Old Face" w:hAnsi="Baskerville Old Face"/>
          <w:i/>
        </w:rPr>
        <w:t>Instant Tech., LLC v. DeFazio</w:t>
      </w:r>
      <w:r w:rsidRPr="006A121F">
        <w:rPr>
          <w:rFonts w:ascii="Baskerville Old Face" w:hAnsi="Baskerville Old Face"/>
        </w:rPr>
        <w:t>, No. 1:12-cv-00491, 2014 BL 126166, 38 IER Cases 427 (N.D. Ill. May 2, 2014) (reasoning that contention that nonrecruitment agreements were necessary to maintain workforce stability was inconsistent with firm’s high turnover rate, firm offered no other justification for agreements, and agreements lacked restrictions as to time or place).</w:t>
      </w:r>
    </w:p>
    <w:p w14:paraId="43159FD7"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For geographic overbreadth, a covenant barring a salesperson with a three-state territory from employment for a competitor anywhere within 200 miles of any office or territory of the employer, which, if enforced, would effectively encompass New England and states in the Midwest, places where the employee had “absolutely no customer contact.” </w:t>
      </w:r>
      <w:r w:rsidRPr="006A121F">
        <w:rPr>
          <w:rFonts w:ascii="Baskerville Old Face" w:hAnsi="Baskerville Old Face"/>
          <w:i/>
        </w:rPr>
        <w:t>Fischer/Unitech, Inc. v. Computer Aided Tech., Inc.</w:t>
      </w:r>
      <w:r w:rsidRPr="006A121F">
        <w:rPr>
          <w:rFonts w:ascii="Baskerville Old Face" w:hAnsi="Baskerville Old Face"/>
        </w:rPr>
        <w:t>, 2013 U.S. Dist. LEXIS 50744 (N.D. Ill. Apr. 9, 2013).</w:t>
      </w:r>
    </w:p>
    <w:p w14:paraId="2FA1C4C3"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 covenant containing no temporal limitation. </w:t>
      </w:r>
      <w:r w:rsidRPr="006A121F">
        <w:rPr>
          <w:rFonts w:ascii="Baskerville Old Face" w:hAnsi="Baskerville Old Face"/>
          <w:i/>
        </w:rPr>
        <w:t>Northwest Podiatry Ctr., Ltd. v. Ochwat</w:t>
      </w:r>
      <w:r w:rsidRPr="006A121F">
        <w:rPr>
          <w:rFonts w:ascii="Baskerville Old Face" w:hAnsi="Baskerville Old Face"/>
        </w:rPr>
        <w:t>, 2013 IL App (1st) 120459, ¶47 (Ill. Ct. App. 2013) (stating that, “without a temporal restriction, a restrictive covenant is unreasonable as a matter of law”).</w:t>
      </w:r>
    </w:p>
    <w:p w14:paraId="6C063585" w14:textId="1CF0957B"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For facial unreasonableness, 2-year noncompetition covenants purporting to bar two radio time salespeople from selling radio time anywhere in the United States, which would effectively (and unreasonably) “mean that for two years [the salespeople] cannot (a) work in an entire industry in any capacity or (b) contact potential customers with whom they have never had contact.” </w:t>
      </w:r>
      <w:r w:rsidRPr="006A121F">
        <w:rPr>
          <w:rFonts w:ascii="Baskerville Old Face" w:hAnsi="Baskerville Old Face"/>
          <w:i/>
        </w:rPr>
        <w:t>Multimedia Sales &amp; Mktg., Inc v. Marzullo</w:t>
      </w:r>
      <w:r w:rsidRPr="006A121F">
        <w:rPr>
          <w:rFonts w:ascii="Baskerville Old Face" w:hAnsi="Baskerville Old Face"/>
        </w:rPr>
        <w:t>, 2012 WL 5894340 (Ill. Cir. Ct. Oct. 5, 2012).</w:t>
      </w:r>
    </w:p>
    <w:p w14:paraId="03EEF929" w14:textId="38661C20" w:rsidR="001601E0" w:rsidRPr="001601E0" w:rsidRDefault="001601E0" w:rsidP="001601E0">
      <w:pPr>
        <w:shd w:val="clear" w:color="auto" w:fill="FFFFFF"/>
        <w:rPr>
          <w:rFonts w:ascii="Baskerville" w:hAnsi="Baskerville" w:cs="Open Sans"/>
          <w:color w:val="000000" w:themeColor="text1"/>
        </w:rPr>
      </w:pPr>
      <w:r w:rsidRPr="001601E0">
        <w:rPr>
          <w:rFonts w:ascii="Baskerville" w:hAnsi="Baskerville" w:cs="Open Sans"/>
          <w:color w:val="000000" w:themeColor="text1"/>
        </w:rPr>
        <w:tab/>
        <w:t>A</w:t>
      </w:r>
      <w:r>
        <w:rPr>
          <w:rFonts w:ascii="Baskerville" w:hAnsi="Baskerville" w:cs="Open Sans"/>
          <w:color w:val="000000" w:themeColor="text1"/>
        </w:rPr>
        <w:t>n in-term and 24-to-36-month postemployment</w:t>
      </w:r>
      <w:r w:rsidRPr="001601E0">
        <w:rPr>
          <w:rFonts w:ascii="Baskerville" w:hAnsi="Baskerville" w:cs="Open Sans"/>
          <w:color w:val="000000" w:themeColor="text1"/>
        </w:rPr>
        <w:t xml:space="preserve"> noncompetition covenant purporting to prohibit a former chief executive officer </w:t>
      </w:r>
      <w:r>
        <w:rPr>
          <w:rFonts w:ascii="Baskerville" w:hAnsi="Baskerville" w:cs="Open Sans"/>
          <w:color w:val="000000" w:themeColor="text1"/>
        </w:rPr>
        <w:t xml:space="preserve">of a manufacturer of cartons and other packaging </w:t>
      </w:r>
      <w:r w:rsidRPr="001601E0">
        <w:rPr>
          <w:rFonts w:ascii="Baskerville" w:hAnsi="Baskerville" w:cs="Open Sans"/>
          <w:color w:val="000000" w:themeColor="text1"/>
        </w:rPr>
        <w:t xml:space="preserve">“from working in any capacity, or associating in any way, with any of [the employer’s] competitors.” </w:t>
      </w:r>
      <w:r w:rsidRPr="001601E0">
        <w:rPr>
          <w:rFonts w:ascii="Baskerville" w:hAnsi="Baskerville" w:cs="Open Sans"/>
          <w:i/>
          <w:iCs/>
          <w:color w:val="000000" w:themeColor="text1"/>
        </w:rPr>
        <w:t>Triumph Packaging Grp. v. Ward</w:t>
      </w:r>
      <w:r w:rsidRPr="001601E0">
        <w:rPr>
          <w:rFonts w:ascii="Baskerville" w:hAnsi="Baskerville" w:cs="Open Sans"/>
          <w:color w:val="000000" w:themeColor="text1"/>
        </w:rPr>
        <w:t>, 834 F. Supp. 2d 796, 815 (N.D. Ill. 2011).</w:t>
      </w:r>
    </w:p>
    <w:p w14:paraId="45401080"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lastRenderedPageBreak/>
        <w:t xml:space="preserve">A 10-year, 25 percent royalty provision, construed as a covenant not to compete with no geographic limitation, which would apply to all of a professional race car driver’s gross earnings, including those derived from non-racing-related activities such as entertainment and publishing. </w:t>
      </w:r>
      <w:r w:rsidRPr="006A121F">
        <w:rPr>
          <w:rFonts w:ascii="Baskerville Old Face" w:hAnsi="Baskerville Old Face"/>
          <w:i/>
        </w:rPr>
        <w:t>Bires v. WalTom, LLC</w:t>
      </w:r>
      <w:r w:rsidRPr="006A121F">
        <w:rPr>
          <w:rFonts w:ascii="Baskerville Old Face" w:hAnsi="Baskerville Old Face"/>
        </w:rPr>
        <w:t xml:space="preserve">, 662 F. Supp. 2d 1019 (N.D. Ill. 2009) (observing, </w:t>
      </w:r>
      <w:r w:rsidRPr="006A121F">
        <w:rPr>
          <w:rFonts w:ascii="Baskerville Old Face" w:hAnsi="Baskerville Old Face"/>
          <w:i/>
        </w:rPr>
        <w:t xml:space="preserve">id. </w:t>
      </w:r>
      <w:r w:rsidRPr="006A121F">
        <w:rPr>
          <w:rFonts w:ascii="Baskerville Old Face" w:hAnsi="Baskerville Old Face"/>
        </w:rPr>
        <w:t xml:space="preserve">at 1033, that employer “fails to point to any protectable interest nor can the court discern any;” adding, </w:t>
      </w:r>
      <w:r w:rsidRPr="006A121F">
        <w:rPr>
          <w:rFonts w:ascii="Baskerville Old Face" w:hAnsi="Baskerville Old Face"/>
          <w:i/>
        </w:rPr>
        <w:t>id.</w:t>
      </w:r>
      <w:r w:rsidRPr="006A121F">
        <w:rPr>
          <w:rFonts w:ascii="Baskerville Old Face" w:hAnsi="Baskerville Old Face"/>
        </w:rPr>
        <w:t xml:space="preserve">, that “even if a protectable interest existed, the minimum ten-year term of the royalties provision and the fact that it lacks any geographic limitation render it invalid” (citing </w:t>
      </w:r>
      <w:r w:rsidRPr="006A121F">
        <w:rPr>
          <w:rFonts w:ascii="Baskerville Old Face" w:hAnsi="Baskerville Old Face"/>
          <w:i/>
        </w:rPr>
        <w:t>Quixote Transp. Safety, Inc. v. Cooper,</w:t>
      </w:r>
      <w:r w:rsidRPr="006A121F">
        <w:rPr>
          <w:rFonts w:ascii="Baskerville Old Face" w:hAnsi="Baskerville Old Face"/>
        </w:rPr>
        <w:t xml:space="preserve"> 2004 U.S. Dist. LEXIS 3879, 2004 WL 528011, at *6 (N.D. Ill. Mar. 12, 2004) (stating that the “agreement cannot be enforced if it does not place reasonable limitations on the duration of the restriction;” citing </w:t>
      </w:r>
      <w:r w:rsidRPr="006A121F">
        <w:rPr>
          <w:rFonts w:ascii="Baskerville Old Face" w:hAnsi="Baskerville Old Face"/>
          <w:i/>
        </w:rPr>
        <w:t>EEOC v. Severn Trent Servs., Inc</w:t>
      </w:r>
      <w:r w:rsidRPr="006A121F">
        <w:rPr>
          <w:rFonts w:ascii="Baskerville Old Face" w:hAnsi="Baskerville Old Face"/>
        </w:rPr>
        <w:t xml:space="preserve">., 358 F.3d 438 (7th Cir. 2004) (stating that a nondisparagement clause in a consulting agreement may have been a substitute for a noncompetition covenant, which would be unenforceable if its duration were unreasonable, as it might be under Illinois law “if it exceeded two or three years, and almost certainly if it exceeded five” years); </w:t>
      </w:r>
      <w:r w:rsidRPr="006A121F">
        <w:rPr>
          <w:rFonts w:ascii="Baskerville Old Face" w:hAnsi="Baskerville Old Face"/>
          <w:i/>
        </w:rPr>
        <w:t>Fisher Invs., Inc. v. Carlson,</w:t>
      </w:r>
      <w:r w:rsidRPr="006A121F">
        <w:rPr>
          <w:rFonts w:ascii="Baskerville Old Face" w:hAnsi="Baskerville Old Face"/>
        </w:rPr>
        <w:t xml:space="preserve"> 2004 U.S. Dist. LEXIS 22060, 2004 WL 2496474 (N.D. Ill. Nov. 2, 2004) (stating that the lack of a geographical limitation “suggests that the covenant would be unenforceable under Illinois law”)); stating,</w:t>
      </w:r>
      <w:r w:rsidRPr="006A121F">
        <w:rPr>
          <w:rFonts w:ascii="Baskerville Old Face" w:hAnsi="Baskerville Old Face"/>
          <w:i/>
        </w:rPr>
        <w:t xml:space="preserve"> id., </w:t>
      </w:r>
      <w:r w:rsidRPr="006A121F">
        <w:rPr>
          <w:rFonts w:ascii="Baskerville Old Face" w:hAnsi="Baskerville Old Face"/>
        </w:rPr>
        <w:t>that as the royalty provision purported to reach not just into the driver’s race winnings after his employment ended but for 10 years into “any income derived from entertainment or music or publishing, among others, whether or not the activity is related to racing,” it was unreasonable and unenforceable).</w:t>
      </w:r>
    </w:p>
    <w:p w14:paraId="45C5C89B" w14:textId="0EFB0BA6"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 noncompetition covenant lacking any geographical limitation and being likewise unlimited with regard to the capacities of employment in which a former sales manager of a produce company would be barred from working for a firm that purchases produce from the former employer. </w:t>
      </w:r>
      <w:r w:rsidRPr="006A121F">
        <w:rPr>
          <w:rFonts w:ascii="Baskerville Old Face" w:hAnsi="Baskerville Old Face"/>
          <w:i/>
        </w:rPr>
        <w:t>Del Monte Fresh Produce, N.A., Inc. v. Chiquita Brands Int’l, Inc</w:t>
      </w:r>
      <w:r w:rsidRPr="006A121F">
        <w:rPr>
          <w:rFonts w:ascii="Baskerville Old Face" w:hAnsi="Baskerville Old Face"/>
        </w:rPr>
        <w:t xml:space="preserve">., 616 F. Supp. 2d 805, 817 (N.D. Ill. 2009) (reasoning, </w:t>
      </w:r>
      <w:r w:rsidRPr="006A121F">
        <w:rPr>
          <w:rFonts w:ascii="Baskerville Old Face" w:hAnsi="Baskerville Old Face"/>
          <w:i/>
        </w:rPr>
        <w:t>id.</w:t>
      </w:r>
      <w:r w:rsidRPr="006A121F">
        <w:rPr>
          <w:rFonts w:ascii="Baskerville Old Face" w:hAnsi="Baskerville Old Face"/>
        </w:rPr>
        <w:t xml:space="preserve">, that, among other things, “even if [the former employee] were to move to Lagos, Nigeria, she would still be bound by the restrictive covenant; this is unreasonable;” rejecting former employer Del Monte’s assertion that broad restrictions were necessary in that the employer is a multi-national </w:t>
      </w:r>
      <w:r w:rsidRPr="006A121F">
        <w:rPr>
          <w:rFonts w:ascii="Baskerville Old Face" w:hAnsi="Baskerville Old Face"/>
        </w:rPr>
        <w:lastRenderedPageBreak/>
        <w:t xml:space="preserve">firm competing globally; </w:t>
      </w:r>
      <w:r w:rsidRPr="006A121F">
        <w:rPr>
          <w:rFonts w:ascii="Baskerville Old Face" w:hAnsi="Baskerville Old Face"/>
        </w:rPr>
        <w:br/>
        <w:t xml:space="preserve">reasoning that blanket prohibition against “‘being connected in </w:t>
      </w:r>
      <w:r w:rsidRPr="006A121F">
        <w:rPr>
          <w:rFonts w:ascii="Baskerville Old Face" w:hAnsi="Baskerville Old Face"/>
          <w:i/>
        </w:rPr>
        <w:t>any manner</w:t>
      </w:r>
      <w:r w:rsidRPr="006A121F">
        <w:rPr>
          <w:rFonts w:ascii="Baskerville Old Face" w:hAnsi="Baskerville Old Face"/>
        </w:rPr>
        <w:t xml:space="preserve"> with’” an entity that bought fruit, vegetables, or other produce from Del Monte would operate to bar the former employee from working “as a cashier at a Piggly-Wiggly that bought produce from Del Monte” (court’s emphasis retained); citing, inter alia, </w:t>
      </w:r>
      <w:r w:rsidRPr="006A121F">
        <w:rPr>
          <w:rFonts w:ascii="Baskerville Old Face" w:hAnsi="Baskerville Old Face"/>
          <w:i/>
        </w:rPr>
        <w:t>Telxon Corp. v. Hoffman,</w:t>
      </w:r>
      <w:r w:rsidRPr="006A121F">
        <w:rPr>
          <w:rFonts w:ascii="Baskerville Old Face" w:hAnsi="Baskerville Old Face"/>
        </w:rPr>
        <w:t xml:space="preserve"> 720 F. Supp. 657, 665 (N.D. Ill. 1989) (refusing to enforce a noncompete agreement where the scope of the prohibited activities was so broad that “the agreement would preclude [the former employee] from working as a competitor’s janitor”)).</w:t>
      </w:r>
    </w:p>
    <w:p w14:paraId="4FADAE6F"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 restrictive covenant purporting to prohibit competition in Canada. </w:t>
      </w:r>
      <w:r w:rsidRPr="006A121F">
        <w:rPr>
          <w:rFonts w:ascii="Baskerville Old Face" w:hAnsi="Baskerville Old Face"/>
          <w:i/>
        </w:rPr>
        <w:t>Cambridge Eng’g, Inc. v. Mercury Partners 90 BI, Inc.</w:t>
      </w:r>
      <w:r w:rsidRPr="006A121F">
        <w:rPr>
          <w:rFonts w:ascii="Baskerville Old Face" w:hAnsi="Baskerville Old Face"/>
        </w:rPr>
        <w:t xml:space="preserve">, 378 Ill. App. 3d 437, 449, 316 Ill. Dec. 445, 457, 879 N.E.2d 512, 524 (1st Dist. 2007) (ruling covenant was unenforceable in that nationwide ban covered substantial parts of Canada in which former employer did not do business; also ruling, </w:t>
      </w:r>
      <w:r w:rsidRPr="006A121F">
        <w:rPr>
          <w:rFonts w:ascii="Baskerville Old Face" w:hAnsi="Baskerville Old Face"/>
          <w:i/>
        </w:rPr>
        <w:t>id.</w:t>
      </w:r>
      <w:r w:rsidRPr="006A121F">
        <w:rPr>
          <w:rFonts w:ascii="Baskerville Old Face" w:hAnsi="Baskerville Old Face"/>
        </w:rPr>
        <w:t xml:space="preserve"> at 450–51, 316 Ill. Dec. at 458, 879 N.E.2d at 525, that covenant was unreasonable in light of fact that plain language of covenant appeared to prohibit former employee from taking </w:t>
      </w:r>
      <w:r w:rsidRPr="006A121F">
        <w:rPr>
          <w:rFonts w:ascii="Baskerville Old Face" w:hAnsi="Baskerville Old Face"/>
          <w:i/>
        </w:rPr>
        <w:t>any</w:t>
      </w:r>
      <w:r w:rsidRPr="006A121F">
        <w:rPr>
          <w:rFonts w:ascii="Baskerville Old Face" w:hAnsi="Baskerville Old Face"/>
        </w:rPr>
        <w:t xml:space="preserve"> job with competitor).</w:t>
      </w:r>
    </w:p>
    <w:p w14:paraId="5509C724"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For overbreadth, a restrictive covenant containing a “blanket prohibition on competition” by a former employee of a tube maker, purporting to prohibit the former employee from working “in any capacity” in the employer’s industry. </w:t>
      </w:r>
      <w:r w:rsidRPr="006A121F">
        <w:rPr>
          <w:rFonts w:ascii="Baskerville Old Face" w:hAnsi="Baskerville Old Face"/>
          <w:i/>
        </w:rPr>
        <w:t>Arcor, Inc. v. Haas</w:t>
      </w:r>
      <w:r w:rsidRPr="006A121F">
        <w:rPr>
          <w:rFonts w:ascii="Baskerville Old Face" w:hAnsi="Baskerville Old Face"/>
        </w:rPr>
        <w:t>, 363 Ill. App. 3d 396, 299 Ill. Dec. 526, 842 N.E.2d 265 (1st Dist. 2005).</w:t>
      </w:r>
    </w:p>
    <w:p w14:paraId="7329A2B7"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Variously for lack of a protectable employer interest and for the overbreadth of a geographic term with worldwide application, covenants against consultants formerly employed by an executive compensation consulting firm. </w:t>
      </w:r>
      <w:r w:rsidRPr="006A121F">
        <w:rPr>
          <w:rFonts w:ascii="Baskerville Old Face" w:hAnsi="Baskerville Old Face"/>
          <w:i/>
        </w:rPr>
        <w:t>Hay Grp., Inc. v. Bassick</w:t>
      </w:r>
      <w:r w:rsidRPr="006A121F">
        <w:rPr>
          <w:rFonts w:ascii="Baskerville Old Face" w:hAnsi="Baskerville Old Face"/>
        </w:rPr>
        <w:t>, 2005 U.S. Dist. LEXIS 22095 (N.D. Ill. 2005).</w:t>
      </w:r>
    </w:p>
    <w:p w14:paraId="1F54433D"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 3-year no-hire covenant in a confidentiality agreement, executed in contemplation of a later-abandoned proposal to sell a business, which covenant covered “any management-level employees of [the proposed seller] or any of its present or future direct or indirect subsidiaries, divisions or operation units.” </w:t>
      </w:r>
      <w:r w:rsidRPr="006A121F">
        <w:rPr>
          <w:rFonts w:ascii="Baskerville Old Face" w:hAnsi="Baskerville Old Face"/>
          <w:i/>
        </w:rPr>
        <w:t>Pactiv Corp. v. Menasha Corp.</w:t>
      </w:r>
      <w:r w:rsidRPr="006A121F">
        <w:rPr>
          <w:rFonts w:ascii="Baskerville Old Face" w:hAnsi="Baskerville Old Face"/>
        </w:rPr>
        <w:t>, 261 F. Supp. 2d 1009, 1014 (N.D. Ill. 2003) (provision was “overly broad and unreasonable in its geographical limitations and scope as necessary to protect [proposed seller’s] legitimate business interests.”).</w:t>
      </w:r>
    </w:p>
    <w:p w14:paraId="7EA43F44"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lastRenderedPageBreak/>
        <w:t xml:space="preserve">A set of 2-year restrictive covenants executed by salespeople working for a company engaged in the distribution of printing and imaging papers, packaging, and facility supplies and equipment. </w:t>
      </w:r>
      <w:r w:rsidRPr="006A121F">
        <w:rPr>
          <w:rFonts w:ascii="Baskerville Old Face" w:hAnsi="Baskerville Old Face"/>
          <w:i/>
        </w:rPr>
        <w:t>Unisource Worldwide, Inc. v. Carrara</w:t>
      </w:r>
      <w:r w:rsidRPr="006A121F">
        <w:rPr>
          <w:rFonts w:ascii="Baskerville Old Face" w:hAnsi="Baskerville Old Face"/>
        </w:rPr>
        <w:t>, 244 F. Supp. 2d 977, 982–83 (C.D. Ill. 2003) (in the printing and imaging industry, “two years is an unreasonable period of time to impose in a covenant not to compete. This is because the prices, costs, and customer information governing [the company’s] operations at any particular time are volatile. Any inside information a former employee may have upon leaving [the company] would not serve to give that employee a competitive edge for longer than six to twelve months, because the information would become stale after that time.”).</w:t>
      </w:r>
    </w:p>
    <w:p w14:paraId="7E1C182C"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For the employer’s lack of a permanent relationship with its public sector customer, a customer nonsolicitation covenant under which a former vice president and officer of a state prescription plan contractor agreed that he would “not solicit any actual or prospective customer of [the former employer] for a period of one year after the termination of his employment.” </w:t>
      </w:r>
      <w:r w:rsidRPr="006A121F">
        <w:rPr>
          <w:rFonts w:ascii="Baskerville Old Face" w:hAnsi="Baskerville Old Face"/>
          <w:i/>
        </w:rPr>
        <w:t>First Health Grp. Corp. v. National Prescription Adm’rs, Inc.</w:t>
      </w:r>
      <w:r w:rsidRPr="006A121F">
        <w:rPr>
          <w:rFonts w:ascii="Baskerville Old Face" w:hAnsi="Baskerville Old Face"/>
        </w:rPr>
        <w:t>, 155 F. Supp. 2d 194, 230–31 (M.D. Pa. 2001) (applying Illinois substantive law; finding restriction reasonable with respect to terms, but unenforceable, for preliminary injunction purposes, for the employer’s lack of a near-permanent relationship with the customer; “Illinois courts apply a two-part test in cases involving customer non-solicitation agreements. First, the employer must have a near-permanent relationship with its customers; second, the employee would not have had the contact with the customers but for the employment. [Citation.] Illinois courts look at many factors when determining whether a customer relationship is near-permanent. However, all the cases discussing this issue involve private-sector customers. Here, the very nature of the PACE contract with the Commonwealth of Pennsylvania, a renewable contract for which contractors bid periodically, establishes the impermanence of the relationship.”).</w:t>
      </w:r>
    </w:p>
    <w:p w14:paraId="16D85596"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 temporally unlimited </w:t>
      </w:r>
      <w:r w:rsidRPr="006A121F">
        <w:rPr>
          <w:rFonts w:ascii="Baskerville Old Face" w:hAnsi="Baskerville Old Face"/>
          <w:i/>
        </w:rPr>
        <w:t>gift-context</w:t>
      </w:r>
      <w:r w:rsidRPr="006A121F">
        <w:rPr>
          <w:rFonts w:ascii="Baskerville Old Face" w:hAnsi="Baskerville Old Face"/>
        </w:rPr>
        <w:t xml:space="preserve"> </w:t>
      </w:r>
      <w:r w:rsidRPr="006A121F">
        <w:rPr>
          <w:rFonts w:ascii="Baskerville Old Face" w:hAnsi="Baskerville Old Face"/>
          <w:i/>
        </w:rPr>
        <w:t>covenant not to compete</w:t>
      </w:r>
      <w:r w:rsidRPr="006A121F">
        <w:rPr>
          <w:rFonts w:ascii="Baskerville Old Face" w:hAnsi="Baskerville Old Face"/>
        </w:rPr>
        <w:t xml:space="preserve"> with an Illinois-based chain of submarine sandwich shops anywhere outside of Madison, Wisconsin. </w:t>
      </w:r>
      <w:r w:rsidRPr="006A121F">
        <w:rPr>
          <w:rFonts w:ascii="Baskerville Old Face" w:hAnsi="Baskerville Old Face"/>
          <w:i/>
        </w:rPr>
        <w:t>Liautaud v. Liautaud</w:t>
      </w:r>
      <w:r w:rsidRPr="006A121F">
        <w:rPr>
          <w:rFonts w:ascii="Baskerville Old Face" w:hAnsi="Baskerville Old Face"/>
        </w:rPr>
        <w:t>, 221 F.3d 981, 988 (7th Cir. 2000) (applying Illinois law).</w:t>
      </w:r>
    </w:p>
    <w:p w14:paraId="045809E0" w14:textId="77777777" w:rsidR="00020BD9" w:rsidRPr="006A121F" w:rsidRDefault="00020BD9" w:rsidP="00020BD9">
      <w:pPr>
        <w:pStyle w:val="text"/>
        <w:rPr>
          <w:rFonts w:ascii="Baskerville Old Face" w:hAnsi="Baskerville Old Face"/>
          <w:b/>
        </w:rPr>
      </w:pPr>
      <w:r w:rsidRPr="006A121F">
        <w:rPr>
          <w:rFonts w:ascii="Baskerville Old Face" w:hAnsi="Baskerville Old Face"/>
        </w:rPr>
        <w:t xml:space="preserve">A </w:t>
      </w:r>
      <w:r w:rsidRPr="006A121F">
        <w:rPr>
          <w:rFonts w:ascii="Baskerville Old Face" w:hAnsi="Baskerville Old Face"/>
          <w:i/>
        </w:rPr>
        <w:t>customer nonsolicitation covenant</w:t>
      </w:r>
      <w:r w:rsidRPr="006A121F">
        <w:rPr>
          <w:rFonts w:ascii="Baskerville Old Face" w:hAnsi="Baskerville Old Face"/>
        </w:rPr>
        <w:t xml:space="preserve">—containing no geographic term and no definition of the term “any client”—that </w:t>
      </w:r>
      <w:r w:rsidRPr="006A121F">
        <w:rPr>
          <w:rFonts w:ascii="Baskerville Old Face" w:hAnsi="Baskerville Old Face"/>
        </w:rPr>
        <w:lastRenderedPageBreak/>
        <w:t xml:space="preserve">purported to bar a former employee of an outplacement firm from “directly or indirectly perform[ing] similar services for or solicit[ing] any client of [plaintiff]” for a two-year period following voluntary termination of employment. </w:t>
      </w:r>
      <w:r w:rsidRPr="006A121F">
        <w:rPr>
          <w:rFonts w:ascii="Baskerville Old Face" w:hAnsi="Baskerville Old Face"/>
          <w:i/>
        </w:rPr>
        <w:t>Lawrence &amp; Allen, Inc. v. Cambridge Human Res. Grp., Inc.</w:t>
      </w:r>
      <w:r w:rsidRPr="006A121F">
        <w:rPr>
          <w:rFonts w:ascii="Baskerville Old Face" w:hAnsi="Baskerville Old Face"/>
        </w:rPr>
        <w:t xml:space="preserve">, 226 Ill. Dec. 331, 335, 685 N.E.2d 434, 438 (2d Dist. 1997) (declining to address issue of temporal reasonableness). </w:t>
      </w:r>
      <w:r w:rsidRPr="006A121F">
        <w:rPr>
          <w:rFonts w:ascii="Baskerville Old Face" w:hAnsi="Baskerville Old Face"/>
          <w:b/>
        </w:rPr>
        <w:t>[</w:t>
      </w:r>
      <w:r w:rsidRPr="006A121F">
        <w:rPr>
          <w:rFonts w:ascii="Baskerville Old Face" w:hAnsi="Baskerville Old Face"/>
        </w:rPr>
        <w:t xml:space="preserve">Although the </w:t>
      </w:r>
      <w:r w:rsidRPr="006A121F">
        <w:rPr>
          <w:rFonts w:ascii="Baskerville Old Face" w:hAnsi="Baskerville Old Face"/>
          <w:i/>
        </w:rPr>
        <w:t>Lawrence &amp; Allen</w:t>
      </w:r>
      <w:r w:rsidRPr="006A121F">
        <w:rPr>
          <w:rFonts w:ascii="Baskerville Old Face" w:hAnsi="Baskerville Old Face"/>
        </w:rPr>
        <w:t xml:space="preserve"> court acknowledged that a customer </w:t>
      </w:r>
      <w:r w:rsidRPr="006A121F">
        <w:rPr>
          <w:rFonts w:ascii="Baskerville Old Face" w:hAnsi="Baskerville Old Face"/>
          <w:i/>
        </w:rPr>
        <w:t>nonsolicitation</w:t>
      </w:r>
      <w:r w:rsidRPr="006A121F">
        <w:rPr>
          <w:rFonts w:ascii="Baskerville Old Face" w:hAnsi="Baskerville Old Face"/>
        </w:rPr>
        <w:t xml:space="preserve"> covenant does not need to have a geographic limitation in order to be enforceable, it stressed that such a covenant must be reasonably related to the employer’s interest in protecting customer relations that its employees developed while working for the employer. </w:t>
      </w:r>
      <w:r w:rsidRPr="006A121F">
        <w:rPr>
          <w:rFonts w:ascii="Baskerville Old Face" w:hAnsi="Baskerville Old Face"/>
          <w:i/>
        </w:rPr>
        <w:t xml:space="preserve">Id. </w:t>
      </w:r>
      <w:r w:rsidRPr="006A121F">
        <w:rPr>
          <w:rFonts w:ascii="Baskerville Old Face" w:hAnsi="Baskerville Old Face"/>
        </w:rPr>
        <w:t xml:space="preserve">at 338, 685 N.E.2d at 441 (citing </w:t>
      </w:r>
      <w:r w:rsidRPr="006A121F">
        <w:rPr>
          <w:rFonts w:ascii="Baskerville Old Face" w:hAnsi="Baskerville Old Face"/>
          <w:i/>
        </w:rPr>
        <w:t>Arpac Corp. v. Murray</w:t>
      </w:r>
      <w:r w:rsidRPr="006A121F">
        <w:rPr>
          <w:rFonts w:ascii="Baskerville Old Face" w:hAnsi="Baskerville Old Face"/>
        </w:rPr>
        <w:t xml:space="preserve">, 226 Ill. App. 3d 65, 76, 168 Ill. Dec. 240, 589 N.E.2d 640 (1992)). Illinois courts, it explained, “are hesitant to enforce prohibitions against employees servicing not only customers with whom they had direct contact, but also customers they never solicited or had contact with while employed by plaintiff.” </w:t>
      </w:r>
      <w:r w:rsidRPr="006A121F">
        <w:rPr>
          <w:rFonts w:ascii="Baskerville Old Face" w:hAnsi="Baskerville Old Face"/>
          <w:i/>
        </w:rPr>
        <w:t>Id.</w:t>
      </w:r>
      <w:r w:rsidRPr="006A121F">
        <w:rPr>
          <w:rFonts w:ascii="Baskerville Old Face" w:hAnsi="Baskerville Old Face"/>
        </w:rPr>
        <w:t xml:space="preserve">, 685 N.E.2d at 441 (citing </w:t>
      </w:r>
      <w:r w:rsidRPr="006A121F">
        <w:rPr>
          <w:rFonts w:ascii="Baskerville Old Face" w:hAnsi="Baskerville Old Face"/>
          <w:i/>
        </w:rPr>
        <w:t>McRand, Inc. v. Van Beelen</w:t>
      </w:r>
      <w:r w:rsidRPr="006A121F">
        <w:rPr>
          <w:rFonts w:ascii="Baskerville Old Face" w:hAnsi="Baskerville Old Face"/>
        </w:rPr>
        <w:t xml:space="preserve">, 138 Ill. App. 3d 1045, 1057, 93 Ill. Dec. 471, 486 N.E.2d 1306 (1985)). Thus, according to </w:t>
      </w:r>
      <w:r w:rsidRPr="006A121F">
        <w:rPr>
          <w:rFonts w:ascii="Baskerville Old Face" w:hAnsi="Baskerville Old Face"/>
          <w:i/>
        </w:rPr>
        <w:t>Lawrence &amp; Allen</w:t>
      </w:r>
      <w:r w:rsidRPr="006A121F">
        <w:rPr>
          <w:rFonts w:ascii="Baskerville Old Face" w:hAnsi="Baskerville Old Face"/>
        </w:rPr>
        <w:t xml:space="preserve">, although a geographic term is not strictly required, “the lack of a geographical scope may be determinative where the territorial restrictions are greater than the area the salesman served on behalf of the former employer.” </w:t>
      </w:r>
      <w:r w:rsidRPr="006A121F">
        <w:rPr>
          <w:rFonts w:ascii="Baskerville Old Face" w:hAnsi="Baskerville Old Face"/>
          <w:i/>
        </w:rPr>
        <w:t>Id.</w:t>
      </w:r>
      <w:r w:rsidRPr="006A121F">
        <w:rPr>
          <w:rFonts w:ascii="Baskerville Old Face" w:hAnsi="Baskerville Old Face"/>
        </w:rPr>
        <w:t xml:space="preserve">, 685 N.E.2d at 441 (citing </w:t>
      </w:r>
      <w:r w:rsidRPr="006A121F">
        <w:rPr>
          <w:rFonts w:ascii="Baskerville Old Face" w:hAnsi="Baskerville Old Face"/>
          <w:i/>
        </w:rPr>
        <w:t>McRand</w:t>
      </w:r>
      <w:r w:rsidRPr="006A121F">
        <w:rPr>
          <w:rFonts w:ascii="Baskerville Old Face" w:hAnsi="Baskerville Old Face"/>
        </w:rPr>
        <w:t xml:space="preserve">, 138 Ill. App. 3d at 1057–58, 93 Ill. Dec. 471, 486 N.E.2d 1306). “The employee should only be excluded from the territory where he was able to establish a certain relationship with the former employer’s customers.” </w:t>
      </w:r>
      <w:r w:rsidRPr="006A121F">
        <w:rPr>
          <w:rFonts w:ascii="Baskerville Old Face" w:hAnsi="Baskerville Old Face"/>
          <w:i/>
        </w:rPr>
        <w:t>Id.</w:t>
      </w:r>
      <w:r w:rsidRPr="006A121F">
        <w:rPr>
          <w:rFonts w:ascii="Baskerville Old Face" w:hAnsi="Baskerville Old Face"/>
        </w:rPr>
        <w:t xml:space="preserve">, 685 N.E.2d at 441 (citing </w:t>
      </w:r>
      <w:r w:rsidRPr="006A121F">
        <w:rPr>
          <w:rFonts w:ascii="Baskerville Old Face" w:hAnsi="Baskerville Old Face"/>
          <w:i/>
        </w:rPr>
        <w:t>McRand</w:t>
      </w:r>
      <w:r w:rsidRPr="006A121F">
        <w:rPr>
          <w:rFonts w:ascii="Baskerville Old Face" w:hAnsi="Baskerville Old Face"/>
        </w:rPr>
        <w:t>, 138 Ill. App. 3d at 1058, 93 Ill. Dec. 471, 486 N.E.2d 1306).</w:t>
      </w:r>
      <w:r w:rsidRPr="006A121F">
        <w:rPr>
          <w:rFonts w:ascii="Baskerville Old Face" w:hAnsi="Baskerville Old Face"/>
          <w:b/>
        </w:rPr>
        <w:t>]</w:t>
      </w:r>
    </w:p>
    <w:p w14:paraId="407F9A8F"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 </w:t>
      </w:r>
      <w:r w:rsidRPr="006A121F">
        <w:rPr>
          <w:rFonts w:ascii="Baskerville Old Face" w:hAnsi="Baskerville Old Face"/>
          <w:i/>
        </w:rPr>
        <w:t>noncompetition covenant</w:t>
      </w:r>
      <w:r w:rsidRPr="006A121F">
        <w:rPr>
          <w:rFonts w:ascii="Baskerville Old Face" w:hAnsi="Baskerville Old Face"/>
        </w:rPr>
        <w:t xml:space="preserve"> purporting to bar a former employee of an outplacement firm from “directly or indirectly compet[ing] with plaintiff within the territorial United States” for two years after his voluntary termination of employment with plaintiff. </w:t>
      </w:r>
      <w:r w:rsidRPr="006A121F">
        <w:rPr>
          <w:rFonts w:ascii="Baskerville Old Face" w:hAnsi="Baskerville Old Face"/>
          <w:i/>
        </w:rPr>
        <w:t>Id.</w:t>
      </w:r>
      <w:r w:rsidRPr="006A121F">
        <w:rPr>
          <w:rFonts w:ascii="Baskerville Old Face" w:hAnsi="Baskerville Old Face"/>
        </w:rPr>
        <w:t xml:space="preserve"> at 335, 685 N.E.2d at 438 (finding covenant geographically unreasonable; declining to address issue of temporal reasonableness).</w:t>
      </w:r>
    </w:p>
    <w:p w14:paraId="7A594506"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A 1-year, 4-mile-radius restriction against a former sound engineer formerly employed by a sound recording studio servicing entities for whom sound recording studio services had been </w:t>
      </w:r>
      <w:r w:rsidRPr="006A121F">
        <w:rPr>
          <w:rFonts w:ascii="Baskerville Old Face" w:hAnsi="Baskerville Old Face"/>
        </w:rPr>
        <w:lastRenderedPageBreak/>
        <w:t xml:space="preserve">performed by the employer during the term of the sound engineer’s employment. </w:t>
      </w:r>
      <w:r w:rsidRPr="006A121F">
        <w:rPr>
          <w:rFonts w:ascii="Baskerville Old Face" w:hAnsi="Baskerville Old Face"/>
          <w:i/>
        </w:rPr>
        <w:t>Audio Props., Inc. v. Kovach</w:t>
      </w:r>
      <w:r w:rsidRPr="006A121F">
        <w:rPr>
          <w:rFonts w:ascii="Baskerville Old Face" w:hAnsi="Baskerville Old Face"/>
        </w:rPr>
        <w:t>, 275 Ill. App. 3d 145, 211 Ill. Dec. 651, 655 N.E.2d 1034, 1039 (1st Dist. 1995) (denial of preliminary injunction to enforce covenant upheld for lack of a protectable employer interest because the former employer did not have a near-permanent relationship with its clients).</w:t>
      </w:r>
    </w:p>
    <w:p w14:paraId="4DB9F8A8"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A 2-year, 1-county covenant not to compete against a coin/scrap precious metal dealer. </w:t>
      </w:r>
      <w:r w:rsidRPr="006A121F">
        <w:rPr>
          <w:rFonts w:ascii="Baskerville Old Face" w:hAnsi="Baskerville Old Face"/>
          <w:i/>
        </w:rPr>
        <w:t>Springfield Rare Coin Galleries, Inc. v. Mileham,</w:t>
      </w:r>
      <w:r w:rsidRPr="006A121F">
        <w:rPr>
          <w:rFonts w:ascii="Baskerville Old Face" w:hAnsi="Baskerville Old Face"/>
        </w:rPr>
        <w:t xml:space="preserve"> 250 Ill. App. 3d 922, 189 Ill. Dec. 511, 620 N.E.2d 479 (4th Dist. 1993) (unenforceable for lack of a protectable interest in customers or confidential information).</w:t>
      </w:r>
    </w:p>
    <w:p w14:paraId="72851A12" w14:textId="77777777" w:rsidR="00020BD9" w:rsidRPr="006A121F" w:rsidRDefault="00020BD9" w:rsidP="00020BD9">
      <w:pPr>
        <w:pStyle w:val="text"/>
        <w:rPr>
          <w:rFonts w:ascii="Baskerville Old Face" w:hAnsi="Baskerville Old Face"/>
        </w:rPr>
      </w:pPr>
      <w:r w:rsidRPr="006A121F">
        <w:rPr>
          <w:rFonts w:ascii="Baskerville Old Face" w:hAnsi="Baskerville Old Face"/>
        </w:rPr>
        <w:t xml:space="preserve">A 2-year covenant purporting to bar a former marketing-and-sales vice president of a shrink-wrap machinery company from working “in any capacity” in the industry throughout the nation except Wyoming, Montana, Hawaii, and Alaska was void and unenforceable as written since against public policy. </w:t>
      </w:r>
      <w:r w:rsidRPr="006A121F">
        <w:rPr>
          <w:rFonts w:ascii="Baskerville Old Face" w:hAnsi="Baskerville Old Face"/>
          <w:i/>
        </w:rPr>
        <w:t>Arpac Corp. v. Murray,</w:t>
      </w:r>
      <w:r w:rsidRPr="006A121F">
        <w:rPr>
          <w:rFonts w:ascii="Baskerville Old Face" w:hAnsi="Baskerville Old Face"/>
        </w:rPr>
        <w:t xml:space="preserve"> 226 Ill. App. 3d 65, 79, 168 Ill. Dec. 240, 251–52, 589 N.E.2d 640, 651–52 (1st Dist. 1992) (court reasoned that provision was “patently unfair” since it would go “clearly beyond the need of [the former employer] to protect its interest [in its customers]” and would be “unduly harsh” on the former employee, especially given the enforceability of a nonsolicitation clause also contained in the underlying agreement, which clause “adequately addressed” the employer’s interest in its customers).</w:t>
      </w:r>
    </w:p>
    <w:p w14:paraId="77462AF5" w14:textId="77777777" w:rsidR="00020BD9" w:rsidRPr="006A121F" w:rsidRDefault="00020BD9" w:rsidP="00020BD9">
      <w:pPr>
        <w:pStyle w:val="bulletedparagraph-"/>
        <w:rPr>
          <w:rFonts w:ascii="Baskerville Old Face" w:hAnsi="Baskerville Old Face"/>
        </w:rPr>
      </w:pPr>
      <w:r w:rsidRPr="006A121F">
        <w:rPr>
          <w:rFonts w:ascii="Baskerville Old Face" w:hAnsi="Baskerville Old Face"/>
        </w:rPr>
        <w:t xml:space="preserve">• </w:t>
      </w:r>
      <w:r w:rsidRPr="006A121F">
        <w:rPr>
          <w:rFonts w:ascii="Baskerville Old Face" w:hAnsi="Baskerville Old Face"/>
          <w:i/>
        </w:rPr>
        <w:t>General discussion</w:t>
      </w:r>
      <w:r w:rsidRPr="006A121F">
        <w:rPr>
          <w:rFonts w:ascii="Baskerville Old Face" w:hAnsi="Baskerville Old Face"/>
        </w:rPr>
        <w:t xml:space="preserve">. Trade secret no disclosure covenants that contain no time restriction are not, as a matter of law, void for failure to include a temporal term. </w:t>
      </w:r>
      <w:r w:rsidRPr="006A121F">
        <w:rPr>
          <w:rFonts w:ascii="Baskerville Old Face" w:hAnsi="Baskerville Old Face"/>
          <w:i/>
        </w:rPr>
        <w:t>Abbott-Interfast Corp. v. Harkabus,</w:t>
      </w:r>
      <w:r w:rsidRPr="006A121F">
        <w:rPr>
          <w:rFonts w:ascii="Baskerville Old Face" w:hAnsi="Baskerville Old Face"/>
        </w:rPr>
        <w:t xml:space="preserve"> 250 Ill. App. 3d 13, 22, 189 Ill. Dec. 288, 295, 619 N.E.2d 1337, 1344 (2d Dist. 1993) (reasoning that “[s]ection 8 of the Illinois Trade Secrets Act provides that ‘a contractual or other duty to maintain secrecy or limit use of a trade secret shall not be deemed to be void or unenforceable solely for lack of durational or geographical limitation on the duty.’” (</w:t>
      </w:r>
      <w:r w:rsidRPr="006A121F">
        <w:rPr>
          <w:rFonts w:ascii="Baskerville Old Face" w:hAnsi="Baskerville Old Face"/>
          <w:i/>
        </w:rPr>
        <w:t>id.</w:t>
      </w:r>
      <w:r w:rsidRPr="006A121F">
        <w:rPr>
          <w:rFonts w:ascii="Baskerville Old Face" w:hAnsi="Baskerville Old Face"/>
        </w:rPr>
        <w:t xml:space="preserve"> (quoting 765 ILCS 1065/8(b)(1) (West 1992)))).</w:t>
      </w:r>
    </w:p>
    <w:p w14:paraId="59EAF41C"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An interesting empirical study of the durational and geographic terms of covenants not to compete is found in Whitmore, </w:t>
      </w:r>
      <w:r w:rsidRPr="006A121F">
        <w:rPr>
          <w:rFonts w:ascii="Baskerville Old Face" w:hAnsi="Baskerville Old Face"/>
          <w:i/>
        </w:rPr>
        <w:t>A Statistical Analysis of Noncompetition Clauses in Employment Contracts,</w:t>
      </w:r>
      <w:r w:rsidRPr="006A121F">
        <w:rPr>
          <w:rFonts w:ascii="Baskerville Old Face" w:hAnsi="Baskerville Old Face"/>
        </w:rPr>
        <w:t xml:space="preserve"> 15 </w:t>
      </w:r>
      <w:r w:rsidRPr="006A121F">
        <w:rPr>
          <w:rFonts w:ascii="Baskerville Old Face" w:hAnsi="Baskerville Old Face"/>
          <w:smallCaps/>
        </w:rPr>
        <w:t>J. Corp. L.</w:t>
      </w:r>
      <w:r w:rsidRPr="006A121F">
        <w:rPr>
          <w:rFonts w:ascii="Baskerville Old Face" w:hAnsi="Baskerville Old Face"/>
        </w:rPr>
        <w:t xml:space="preserve"> 483, 486–87 (1990). The </w:t>
      </w:r>
      <w:r w:rsidRPr="006A121F">
        <w:rPr>
          <w:rFonts w:ascii="Baskerville Old Face" w:hAnsi="Baskerville Old Face"/>
        </w:rPr>
        <w:lastRenderedPageBreak/>
        <w:t xml:space="preserve">article, which was cited with favor in </w:t>
      </w:r>
      <w:r w:rsidRPr="006A121F">
        <w:rPr>
          <w:rFonts w:ascii="Baskerville Old Face" w:hAnsi="Baskerville Old Face"/>
          <w:i/>
        </w:rPr>
        <w:t xml:space="preserve">Decker, </w:t>
      </w:r>
      <w:r w:rsidRPr="006A121F">
        <w:rPr>
          <w:rFonts w:ascii="Baskerville Old Face" w:hAnsi="Baskerville Old Face"/>
        </w:rPr>
        <w:t>587 N.E.2d at 77, notes the author’s findings that: (1) the average distance of mileage restrictions found to be reasonable in the 1980s was 33.9 miles (Whitmore, at 511), (2) that the average time restriction found to be reasonable in the 1980s was 21.3 months (</w:t>
      </w:r>
      <w:r w:rsidRPr="006A121F">
        <w:rPr>
          <w:rFonts w:ascii="Baskerville Old Face" w:hAnsi="Baskerville Old Face"/>
          <w:i/>
        </w:rPr>
        <w:t>id.</w:t>
      </w:r>
      <w:r w:rsidRPr="006A121F">
        <w:rPr>
          <w:rFonts w:ascii="Baskerville Old Face" w:hAnsi="Baskerville Old Face"/>
        </w:rPr>
        <w:t xml:space="preserve"> at 515), (3) that restrictive covenants of a 36-month duration were relatively long (</w:t>
      </w:r>
      <w:r w:rsidRPr="006A121F">
        <w:rPr>
          <w:rFonts w:ascii="Baskerville Old Face" w:hAnsi="Baskerville Old Face"/>
          <w:i/>
        </w:rPr>
        <w:t>id.</w:t>
      </w:r>
      <w:r w:rsidRPr="006A121F">
        <w:rPr>
          <w:rFonts w:ascii="Baskerville Old Face" w:hAnsi="Baskerville Old Face"/>
        </w:rPr>
        <w:t xml:space="preserve"> at 515 n.189), and (4) that “clauses approaching two years rest on more uncertain ground” (</w:t>
      </w:r>
      <w:r w:rsidRPr="006A121F">
        <w:rPr>
          <w:rFonts w:ascii="Baskerville Old Face" w:hAnsi="Baskerville Old Face"/>
          <w:i/>
        </w:rPr>
        <w:t>id.</w:t>
      </w:r>
      <w:r w:rsidRPr="006A121F">
        <w:rPr>
          <w:rFonts w:ascii="Baskerville Old Face" w:hAnsi="Baskerville Old Face"/>
        </w:rPr>
        <w:t xml:space="preserve"> at 516).</w:t>
      </w:r>
    </w:p>
    <w:p w14:paraId="25A3C0CC" w14:textId="77777777" w:rsidR="00020BD9" w:rsidRPr="006A121F" w:rsidRDefault="00020BD9" w:rsidP="00204FD8">
      <w:pPr>
        <w:pStyle w:val="text"/>
        <w:tabs>
          <w:tab w:val="clear" w:pos="2880"/>
        </w:tabs>
        <w:rPr>
          <w:rFonts w:ascii="Baskerville Old Face" w:hAnsi="Baskerville Old Face"/>
        </w:rPr>
      </w:pPr>
      <w:r w:rsidRPr="006A121F">
        <w:rPr>
          <w:rFonts w:ascii="Baskerville Old Face" w:hAnsi="Baskerville Old Face"/>
        </w:rPr>
        <w:t xml:space="preserve">Where restrictions go beyond what is necessary to protect the employer’s interest, they will not be enforced. For example, in </w:t>
      </w:r>
      <w:r w:rsidRPr="006A121F">
        <w:rPr>
          <w:rFonts w:ascii="Baskerville Old Face" w:hAnsi="Baskerville Old Face"/>
          <w:i/>
        </w:rPr>
        <w:t>G&amp;W Electric Co. v. Joslyn Manufacturing &amp; Supply Co.</w:t>
      </w:r>
      <w:r w:rsidRPr="006A121F">
        <w:rPr>
          <w:rFonts w:ascii="Baskerville Old Face" w:hAnsi="Baskerville Old Face"/>
        </w:rPr>
        <w:t>, 127 Ill. App. 3d 44, 468 N.E.2d 449 (1st Dist. 1984), the court refused to enforce a restrictive covenant that provided the employer with the sole authority to decide where a former employee would work for 2 years following his departure, notwithstanding the fact that the employer, an electrical equipment manufacturing company, had agreed to pay the employee’s full base salary during that period.</w:t>
      </w:r>
    </w:p>
    <w:p w14:paraId="162817CC" w14:textId="77777777" w:rsidR="00020BD9" w:rsidRPr="006A121F" w:rsidRDefault="00020BD9" w:rsidP="00020BD9">
      <w:pPr>
        <w:pStyle w:val="bulletedparagraph-"/>
        <w:rPr>
          <w:rFonts w:ascii="Baskerville Old Face" w:hAnsi="Baskerville Old Face"/>
        </w:rPr>
      </w:pPr>
      <w:r w:rsidRPr="006A121F">
        <w:rPr>
          <w:rFonts w:ascii="Baskerville Old Face" w:hAnsi="Baskerville Old Face"/>
          <w:spacing w:val="-1"/>
        </w:rPr>
        <w:t xml:space="preserve">• </w:t>
      </w:r>
      <w:r w:rsidRPr="006A121F">
        <w:rPr>
          <w:rFonts w:ascii="Baskerville Old Face" w:hAnsi="Baskerville Old Face"/>
          <w:i/>
          <w:spacing w:val="-1"/>
        </w:rPr>
        <w:t>Motions to dismiss; Split among appellate courts as to whether reasonableness of restrictive covenant may be determined on motion to dismiss</w:t>
      </w:r>
      <w:r w:rsidRPr="006A121F">
        <w:rPr>
          <w:rFonts w:ascii="Baskerville Old Face" w:hAnsi="Baskerville Old Face"/>
          <w:spacing w:val="-1"/>
        </w:rPr>
        <w:t xml:space="preserve">. “Under Illinois state law, there appears to be a split among the appellate districts regarding whether the reasonableness of a restrictive covenant may be determined on a motion to dismiss.” </w:t>
      </w:r>
      <w:r w:rsidRPr="006A121F">
        <w:rPr>
          <w:rFonts w:ascii="Baskerville Old Face" w:hAnsi="Baskerville Old Face"/>
          <w:i/>
          <w:spacing w:val="-1"/>
        </w:rPr>
        <w:t>Integrated Genomics, Inc. v. Kyrpides</w:t>
      </w:r>
      <w:r w:rsidRPr="006A121F">
        <w:rPr>
          <w:rFonts w:ascii="Baskerville Old Face" w:hAnsi="Baskerville Old Face"/>
          <w:spacing w:val="-1"/>
        </w:rPr>
        <w:t xml:space="preserve">, 2008 U.S. Dist. LEXIS 16838, at *20 (N.D. Ill. Mar. 4, 2008) (comparing, </w:t>
      </w:r>
      <w:r w:rsidRPr="006A121F">
        <w:rPr>
          <w:rFonts w:ascii="Baskerville Old Face" w:hAnsi="Baskerville Old Face"/>
          <w:i/>
          <w:spacing w:val="-1"/>
        </w:rPr>
        <w:t>id.</w:t>
      </w:r>
      <w:r w:rsidRPr="006A121F">
        <w:rPr>
          <w:rFonts w:ascii="Baskerville Old Face" w:hAnsi="Baskerville Old Face"/>
          <w:spacing w:val="-1"/>
        </w:rPr>
        <w:t xml:space="preserve"> at *20–21, </w:t>
      </w:r>
      <w:r w:rsidRPr="006A121F">
        <w:rPr>
          <w:rFonts w:ascii="Baskerville Old Face" w:hAnsi="Baskerville Old Face"/>
          <w:i/>
          <w:spacing w:val="-1"/>
        </w:rPr>
        <w:t>Dryvit Sys., Inc. v. Rushing,</w:t>
      </w:r>
      <w:r w:rsidRPr="006A121F">
        <w:rPr>
          <w:rFonts w:ascii="Baskerville Old Face" w:hAnsi="Baskerville Old Face"/>
          <w:spacing w:val="-1"/>
        </w:rPr>
        <w:t xml:space="preserve"> 132 Ill. App. 3d 9, 87 Ill. Dec. 434, 477 N.E.2d 35, 38–39 (1st Dist. 1985) (granting judgment on pleadings to defendant on finding covenant patently unreasonable), with </w:t>
      </w:r>
      <w:r w:rsidRPr="006A121F">
        <w:rPr>
          <w:rFonts w:ascii="Baskerville Old Face" w:hAnsi="Baskerville Old Face"/>
          <w:i/>
          <w:spacing w:val="-1"/>
        </w:rPr>
        <w:t>Smith v. Burkitt</w:t>
      </w:r>
      <w:r w:rsidRPr="006A121F">
        <w:rPr>
          <w:rFonts w:ascii="Baskerville Old Face" w:hAnsi="Baskerville Old Face"/>
          <w:spacing w:val="-1"/>
        </w:rPr>
        <w:t xml:space="preserve">, 342 Ill. App. 3d 365, 373, 277 Ill. Dec. 18, 795 N.E.2d 385 (5th Dist. 2003) (reversing trial court’s grant of motion to dismiss and stating, “because the agreement itself does not reveal the precise nature of the business purchased by the plaintiffs and what specific business activity the noncompetition clause sought to prohibit, we believe that this issue should not be determined by a motion to dismiss.”)). </w:t>
      </w:r>
      <w:r w:rsidRPr="006A121F">
        <w:rPr>
          <w:rFonts w:ascii="Baskerville Old Face" w:hAnsi="Baskerville Old Face"/>
          <w:b/>
          <w:spacing w:val="-1"/>
        </w:rPr>
        <w:t>[</w:t>
      </w:r>
      <w:r w:rsidRPr="006A121F">
        <w:rPr>
          <w:rFonts w:ascii="Baskerville Old Face" w:hAnsi="Baskerville Old Face"/>
          <w:i/>
          <w:spacing w:val="-1"/>
        </w:rPr>
        <w:t>Editor’s note</w:t>
      </w:r>
      <w:r w:rsidRPr="006A121F">
        <w:rPr>
          <w:rFonts w:ascii="Baskerville Old Face" w:hAnsi="Baskerville Old Face"/>
          <w:spacing w:val="-1"/>
        </w:rPr>
        <w:t xml:space="preserve">: In </w:t>
      </w:r>
      <w:r w:rsidRPr="006A121F">
        <w:rPr>
          <w:rFonts w:ascii="Baskerville Old Face" w:hAnsi="Baskerville Old Face"/>
          <w:i/>
          <w:spacing w:val="-1"/>
        </w:rPr>
        <w:t>Integrated Genomics</w:t>
      </w:r>
      <w:r w:rsidRPr="006A121F">
        <w:rPr>
          <w:rFonts w:ascii="Baskerville Old Face" w:hAnsi="Baskerville Old Face"/>
          <w:spacing w:val="-1"/>
        </w:rPr>
        <w:t xml:space="preserve">, the U.S. District Court for the Northern District of Illinois declined to attempt to predict how the Illinois Supreme Court would resolve the split, “because ‘[i]n a diversity action, the adequacy of the pleadings is assessed in accordance with the federal, </w:t>
      </w:r>
      <w:r w:rsidRPr="006A121F">
        <w:rPr>
          <w:rFonts w:ascii="Baskerville Old Face" w:hAnsi="Baskerville Old Face"/>
          <w:spacing w:val="-1"/>
        </w:rPr>
        <w:lastRenderedPageBreak/>
        <w:t>not state, rules of civil procedure.’” 2008 U.S. Dist. LEXIS 16838,</w:t>
      </w:r>
      <w:r w:rsidRPr="006A121F">
        <w:rPr>
          <w:rFonts w:ascii="Baskerville Old Face" w:hAnsi="Baskerville Old Face"/>
          <w:i/>
          <w:spacing w:val="-1"/>
        </w:rPr>
        <w:t xml:space="preserve"> </w:t>
      </w:r>
      <w:r w:rsidRPr="006A121F">
        <w:rPr>
          <w:rFonts w:ascii="Baskerville Old Face" w:hAnsi="Baskerville Old Face"/>
          <w:spacing w:val="-1"/>
        </w:rPr>
        <w:t>at *21 (citing, inter alia,</w:t>
      </w:r>
      <w:r w:rsidRPr="006A121F">
        <w:rPr>
          <w:rFonts w:ascii="Baskerville Old Face" w:hAnsi="Baskerville Old Face"/>
          <w:i/>
          <w:spacing w:val="-1"/>
        </w:rPr>
        <w:t xml:space="preserve"> Zurich Am. Ins. Co. v. Pillsbury Co.,</w:t>
      </w:r>
      <w:r w:rsidRPr="006A121F">
        <w:rPr>
          <w:rFonts w:ascii="Baskerville Old Face" w:hAnsi="Baskerville Old Face"/>
          <w:spacing w:val="-1"/>
        </w:rPr>
        <w:t xml:space="preserve"> 264 F. Supp. 2d 710, 711 (N.D. Ill. 2003) (not a covenant case; stating that, “[a]s its lawyers must surely have been taught in Civil Procedure, a federal court sitting in diversity applies state substantive law, [citation,] but federal procedural law. </w:t>
      </w:r>
      <w:r w:rsidRPr="006A121F">
        <w:rPr>
          <w:rFonts w:ascii="Baskerville Old Face" w:hAnsi="Baskerville Old Face"/>
          <w:i/>
          <w:spacing w:val="-1"/>
        </w:rPr>
        <w:t>See</w:t>
      </w:r>
      <w:r w:rsidRPr="006A121F">
        <w:rPr>
          <w:rFonts w:ascii="Baskerville Old Face" w:hAnsi="Baskerville Old Face"/>
          <w:spacing w:val="-1"/>
        </w:rPr>
        <w:t xml:space="preserve"> Fed. R. Civ. P. 1 (‘[t]hese rules govern the procedure in the United States district courts in all suits of a civil nature.’)”)). Applying federal procedural law, the </w:t>
      </w:r>
      <w:r w:rsidRPr="006A121F">
        <w:rPr>
          <w:rFonts w:ascii="Baskerville Old Face" w:hAnsi="Baskerville Old Face"/>
          <w:i/>
          <w:spacing w:val="-1"/>
        </w:rPr>
        <w:t xml:space="preserve">Integrated Genomics </w:t>
      </w:r>
      <w:r w:rsidRPr="006A121F">
        <w:rPr>
          <w:rFonts w:ascii="Baskerville Old Face" w:hAnsi="Baskerville Old Face"/>
          <w:spacing w:val="-1"/>
        </w:rPr>
        <w:t xml:space="preserve">court found it inappropriate to determine, on a motion to dismiss, the reasonableness of a postemployment noncompetition covenant where, as there, the court has no information thus far regarding the number and size of rivals that compete with the former employer, the general size of the relevant industry, the existence of other jobs in the former employee’s field of expertise, or the nature of the relationships between the former employer and its clients. </w:t>
      </w:r>
      <w:r w:rsidRPr="006A121F">
        <w:rPr>
          <w:rFonts w:ascii="Baskerville Old Face" w:hAnsi="Baskerville Old Face"/>
          <w:i/>
          <w:spacing w:val="-1"/>
        </w:rPr>
        <w:t>Id</w:t>
      </w:r>
      <w:r w:rsidRPr="006A121F">
        <w:rPr>
          <w:rFonts w:ascii="Baskerville Old Face" w:hAnsi="Baskerville Old Face"/>
          <w:spacing w:val="-1"/>
        </w:rPr>
        <w:t>. at *20–21.</w:t>
      </w:r>
      <w:r w:rsidRPr="006A121F">
        <w:rPr>
          <w:rFonts w:ascii="Baskerville Old Face" w:hAnsi="Baskerville Old Face"/>
          <w:b/>
          <w:spacing w:val="-1"/>
        </w:rPr>
        <w:t xml:space="preserve">] </w:t>
      </w:r>
      <w:r w:rsidRPr="006A121F">
        <w:rPr>
          <w:rFonts w:ascii="Baskerville Old Face" w:hAnsi="Baskerville Old Face"/>
        </w:rPr>
        <w:t>In</w:t>
      </w:r>
      <w:r w:rsidRPr="006A121F">
        <w:rPr>
          <w:rFonts w:ascii="Baskerville Old Face" w:hAnsi="Baskerville Old Face"/>
          <w:i/>
        </w:rPr>
        <w:t xml:space="preserve"> TLS Management &amp; Marketing Services, LLC v. Mardis Financial Services, Inc</w:t>
      </w:r>
      <w:r w:rsidRPr="006A121F">
        <w:rPr>
          <w:rFonts w:ascii="Baskerville Old Face" w:hAnsi="Baskerville Old Face"/>
        </w:rPr>
        <w:t xml:space="preserve">., 2016 BL 400327 (S.D. Miss. Nov. 30, 2016), a federal district court sitting in Mississippi, but applying Illinois law, refused to assess the reasonableness of a noncompetition covenant </w:t>
      </w:r>
      <w:r w:rsidRPr="006A121F">
        <w:rPr>
          <w:rFonts w:ascii="Baskerville Old Face" w:hAnsi="Baskerville Old Face"/>
          <w:i/>
        </w:rPr>
        <w:t>on the pleadings alone</w:t>
      </w:r>
      <w:r w:rsidRPr="006A121F">
        <w:rPr>
          <w:rFonts w:ascii="Baskerville Old Face" w:hAnsi="Baskerville Old Face"/>
        </w:rPr>
        <w:t xml:space="preserve">. “[T]he more accepted and prudent practice is to wait until the factual context surrounding such covenants is fully developed before assessing reasonableness.” </w:t>
      </w:r>
      <w:r w:rsidRPr="006A121F">
        <w:rPr>
          <w:rFonts w:ascii="Baskerville Old Face" w:hAnsi="Baskerville Old Face"/>
          <w:i/>
        </w:rPr>
        <w:t>Id</w:t>
      </w:r>
      <w:r w:rsidRPr="006A121F">
        <w:rPr>
          <w:rFonts w:ascii="Baskerville Old Face" w:hAnsi="Baskerville Old Face"/>
        </w:rPr>
        <w:t xml:space="preserve">. at *7. </w:t>
      </w:r>
    </w:p>
    <w:p w14:paraId="1B259DBE" w14:textId="77777777" w:rsidR="00020BD9" w:rsidRPr="006A121F" w:rsidRDefault="00020BD9" w:rsidP="00020BD9">
      <w:pPr>
        <w:pStyle w:val="bulletedparagraph-"/>
        <w:rPr>
          <w:rFonts w:ascii="Baskerville Old Face" w:hAnsi="Baskerville Old Face"/>
        </w:rPr>
      </w:pPr>
      <w:r w:rsidRPr="006A121F">
        <w:rPr>
          <w:rFonts w:ascii="Baskerville Old Face" w:hAnsi="Baskerville Old Face"/>
        </w:rPr>
        <w:t xml:space="preserve">• </w:t>
      </w:r>
      <w:r w:rsidRPr="006A121F">
        <w:rPr>
          <w:rFonts w:ascii="Baskerville Old Face" w:hAnsi="Baskerville Old Face"/>
          <w:i/>
        </w:rPr>
        <w:t>Waiver of right to present argument as to reasonableness of covenant’s terms on appeal</w:t>
      </w:r>
      <w:r w:rsidRPr="006A121F">
        <w:rPr>
          <w:rFonts w:ascii="Baskerville Old Face" w:hAnsi="Baskerville Old Face"/>
        </w:rPr>
        <w:t xml:space="preserve">. A former employer’s failure to assert in the court of first instance the reasonableness of the terms of a noncompetition covenant it seeks to enforce operates as a waiver of the right to present the argument on appeal, the U.S. Court of Appeals for the Seventh Circuit pointed out in a covenant case handed up by the U.S. District Court for the Northern District of Illinois. </w:t>
      </w:r>
      <w:r w:rsidRPr="006A121F">
        <w:rPr>
          <w:rFonts w:ascii="Baskerville Old Face" w:hAnsi="Baskerville Old Face"/>
          <w:i/>
        </w:rPr>
        <w:t>Cintas Corp. v. Perry</w:t>
      </w:r>
      <w:r w:rsidRPr="006A121F">
        <w:rPr>
          <w:rFonts w:ascii="Baskerville Old Face" w:hAnsi="Baskerville Old Face"/>
        </w:rPr>
        <w:t>, 517 F.3d 459, 466 (7th Cir. 2008).</w:t>
      </w:r>
    </w:p>
    <w:p w14:paraId="0D213115" w14:textId="77777777" w:rsidR="00655396" w:rsidRDefault="00655396" w:rsidP="008B512B">
      <w:pPr>
        <w:pStyle w:val="BodyText"/>
        <w:spacing w:line="240" w:lineRule="auto"/>
      </w:pPr>
    </w:p>
    <w:p w14:paraId="4D64A8CD" w14:textId="77777777" w:rsidR="00655396" w:rsidRDefault="00655396" w:rsidP="008B512B">
      <w:pPr>
        <w:pStyle w:val="BodyText"/>
        <w:spacing w:line="240" w:lineRule="auto"/>
      </w:pPr>
    </w:p>
    <w:p w14:paraId="29ACA6D4" w14:textId="77777777" w:rsidR="00655396" w:rsidRDefault="00655396" w:rsidP="008B512B">
      <w:pPr>
        <w:pStyle w:val="SubQuestion"/>
        <w:spacing w:line="240" w:lineRule="auto"/>
      </w:pPr>
      <w:r>
        <w:t>g.</w:t>
      </w:r>
      <w:r>
        <w:tab/>
        <w:t>Will the court allow a customer restriction to substitute for, or complement, a geographic restriction?</w:t>
      </w:r>
    </w:p>
    <w:p w14:paraId="5F88CB23" w14:textId="77777777" w:rsidR="00655396" w:rsidRDefault="00655396" w:rsidP="008B512B">
      <w:pPr>
        <w:pStyle w:val="BodyText"/>
        <w:spacing w:line="240" w:lineRule="auto"/>
      </w:pPr>
    </w:p>
    <w:p w14:paraId="1DE5D96E" w14:textId="1883564C"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Yes. “The absence of a geographical limitation is not necessarily fatal to a noncompetition agreement.” </w:t>
      </w:r>
      <w:r>
        <w:rPr>
          <w:rFonts w:ascii="Baskerville" w:hAnsi="Baskerville" w:cs="Baskerville"/>
          <w:i/>
          <w:iCs/>
        </w:rPr>
        <w:t xml:space="preserve">Abbott-Interfast Corp. v. </w:t>
      </w:r>
      <w:r>
        <w:rPr>
          <w:rFonts w:ascii="Baskerville" w:hAnsi="Baskerville" w:cs="Baskerville"/>
          <w:i/>
          <w:iCs/>
        </w:rPr>
        <w:lastRenderedPageBreak/>
        <w:t>Harkabus,</w:t>
      </w:r>
      <w:r>
        <w:rPr>
          <w:rFonts w:ascii="Baskerville" w:hAnsi="Baskerville" w:cs="Baskerville"/>
        </w:rPr>
        <w:t xml:space="preserve"> 250 Ill. App. 3d 13, 17–18, 189 Ill. Dec. 288, 292, 619 N.E.2d 1337, 1341 (2d Dist. 1993) (citing, inter alia, </w:t>
      </w:r>
      <w:r>
        <w:rPr>
          <w:rFonts w:ascii="Baskerville" w:hAnsi="Baskerville" w:cs="Baskerville"/>
          <w:i/>
          <w:iCs/>
        </w:rPr>
        <w:t>Arpac Corp. v. Murray</w:t>
      </w:r>
      <w:r>
        <w:rPr>
          <w:rFonts w:ascii="Baskerville" w:hAnsi="Baskerville" w:cs="Baskerville"/>
        </w:rPr>
        <w:t>, 226 Ill. App. 3d 65, 77, 168 Ill. Dec. 240, 589 N.E.2d 640, 649 (1st Dist. 1992) (affirming enforceability of 2-year prohibitions against inducing other employee to quit and against solicitation of any of the employer’s customers of the preceding 5 years)).</w:t>
      </w:r>
      <w:r w:rsidR="00FB1D09">
        <w:rPr>
          <w:rFonts w:ascii="Baskerville" w:hAnsi="Baskerville" w:cs="Baskerville"/>
        </w:rPr>
        <w:t xml:space="preserve"> </w:t>
      </w:r>
      <w:r>
        <w:rPr>
          <w:rFonts w:ascii="Baskerville" w:hAnsi="Baskerville" w:cs="Baskerville"/>
        </w:rPr>
        <w:t>A claim that lack of a geographic limitation automatically voids a covenant not to compete is “overly simplistic if the impermissible actions of the employee are more clearly limited by other means.”</w:t>
      </w:r>
      <w:r w:rsidR="00FB1D09">
        <w:rPr>
          <w:rFonts w:ascii="Baskerville" w:hAnsi="Baskerville" w:cs="Baskerville"/>
        </w:rPr>
        <w:t xml:space="preserve"> </w:t>
      </w:r>
      <w:r>
        <w:rPr>
          <w:rFonts w:ascii="Baskerville" w:hAnsi="Baskerville" w:cs="Baskerville"/>
          <w:i/>
          <w:iCs/>
        </w:rPr>
        <w:t>Eichmann v. National Hosp. &amp; Health Care Servs., Inc.</w:t>
      </w:r>
      <w:r>
        <w:rPr>
          <w:rFonts w:ascii="Baskerville" w:hAnsi="Baskerville" w:cs="Baskerville"/>
        </w:rPr>
        <w:t xml:space="preserve">, 308 Ill. App. 3d 337, 719 N.E.2d 1141, 1148 (1st Dist. 1999) (quoted in </w:t>
      </w:r>
      <w:r>
        <w:rPr>
          <w:rFonts w:ascii="Baskerville" w:hAnsi="Baskerville" w:cs="Baskerville"/>
          <w:i/>
          <w:iCs/>
        </w:rPr>
        <w:t>Videojet Techs., Inc. v. Garcia</w:t>
      </w:r>
      <w:r>
        <w:rPr>
          <w:rFonts w:ascii="Baskerville" w:hAnsi="Baskerville" w:cs="Baskerville"/>
        </w:rPr>
        <w:t>, 2008 U.S. Dist. LEXIS 46045, at *15–16 (M.D. Fla. June 12, 2008) (applying Illinois substantive law)).</w:t>
      </w:r>
      <w:r w:rsidR="00FB1D09">
        <w:rPr>
          <w:rFonts w:ascii="Baskerville" w:hAnsi="Baskerville" w:cs="Baskerville"/>
        </w:rPr>
        <w:t xml:space="preserve"> </w:t>
      </w:r>
      <w:r>
        <w:rPr>
          <w:rFonts w:ascii="Baskerville" w:hAnsi="Baskerville" w:cs="Baskerville"/>
        </w:rPr>
        <w:t xml:space="preserve">“[An] ‘activity’ covenant, designed not to restrict competition, but rather to protect [the employer’s] relationship with its customers </w:t>
      </w:r>
      <w:r w:rsidR="00944F63">
        <w:rPr>
          <w:rFonts w:ascii="Baskerville" w:hAnsi="Baskerville" w:cs="Baskerville"/>
        </w:rPr>
        <w:t>…</w:t>
      </w:r>
      <w:r>
        <w:rPr>
          <w:rFonts w:ascii="Baskerville" w:hAnsi="Baskerville" w:cs="Baskerville"/>
        </w:rPr>
        <w:t xml:space="preserve"> do[es] not require geographic limitations, but must be reasonably related to the employer’s interest in protecting customer relations that its employees developed while working for the employer.” </w:t>
      </w:r>
      <w:r>
        <w:rPr>
          <w:rFonts w:ascii="Baskerville" w:hAnsi="Baskerville" w:cs="Baskerville"/>
          <w:i/>
          <w:iCs/>
        </w:rPr>
        <w:t>Arpac</w:t>
      </w:r>
      <w:r>
        <w:rPr>
          <w:rFonts w:ascii="Baskerville" w:hAnsi="Baskerville" w:cs="Baskerville"/>
        </w:rPr>
        <w:t>, 266 Ill. App. 3d at 76</w:t>
      </w:r>
      <w:r>
        <w:rPr>
          <w:rFonts w:ascii="Baskerville" w:hAnsi="Baskerville" w:cs="Baskerville"/>
          <w:i/>
          <w:iCs/>
        </w:rPr>
        <w:t>,</w:t>
      </w:r>
      <w:r>
        <w:rPr>
          <w:rFonts w:ascii="Baskerville" w:hAnsi="Baskerville" w:cs="Baskerville"/>
        </w:rPr>
        <w:t xml:space="preserve"> 589 N.E.2d at 649) (citing </w:t>
      </w:r>
      <w:r>
        <w:rPr>
          <w:rFonts w:ascii="Baskerville" w:hAnsi="Baskerville" w:cs="Baskerville"/>
          <w:i/>
          <w:iCs/>
        </w:rPr>
        <w:t>Agrimerica v. Mathes,</w:t>
      </w:r>
      <w:r>
        <w:rPr>
          <w:rFonts w:ascii="Baskerville" w:hAnsi="Baskerville" w:cs="Baskerville"/>
        </w:rPr>
        <w:t xml:space="preserve"> 170 Ill. App. 3d 1025, 1034, 120 Ill. Dec. 765, 524 N.E.2d 947, 953 (1st Dist. 1988); </w:t>
      </w:r>
      <w:r>
        <w:rPr>
          <w:rFonts w:ascii="Baskerville" w:hAnsi="Baskerville" w:cs="Baskerville"/>
          <w:i/>
          <w:iCs/>
        </w:rPr>
        <w:t>Corroon &amp; Black of Ill. v. Magner,</w:t>
      </w:r>
      <w:r>
        <w:rPr>
          <w:rFonts w:ascii="Baskerville" w:hAnsi="Baskerville" w:cs="Baskerville"/>
        </w:rPr>
        <w:t xml:space="preserve"> 145 Ill. App. 3d 151, 165, 98 Ill. Dec. 663, 494 N.E.2d 785, 793 (1st Dist. 1986)). </w:t>
      </w:r>
      <w:r>
        <w:rPr>
          <w:rFonts w:ascii="Baskerville" w:hAnsi="Baskerville" w:cs="Baskerville"/>
          <w:i/>
          <w:iCs/>
        </w:rPr>
        <w:t>Accord</w:t>
      </w:r>
      <w:r>
        <w:rPr>
          <w:rFonts w:ascii="Baskerville" w:hAnsi="Baskerville" w:cs="Baskerville"/>
        </w:rPr>
        <w:t>:</w:t>
      </w:r>
      <w:r>
        <w:rPr>
          <w:rFonts w:ascii="Baskerville" w:hAnsi="Baskerville" w:cs="Baskerville"/>
          <w:i/>
          <w:iCs/>
        </w:rPr>
        <w:t xml:space="preserve"> Lawrence &amp; Allen, Inc. v. Cambridge Human Res. Grp., Inc.</w:t>
      </w:r>
      <w:r>
        <w:rPr>
          <w:rFonts w:ascii="Baskerville" w:hAnsi="Baskerville" w:cs="Baskerville"/>
        </w:rPr>
        <w:t xml:space="preserve">, 226 Ill. Dec. 331, 338, 685 N.E.2d 434, 441 (2d Dist. 1997) (citing </w:t>
      </w:r>
      <w:r>
        <w:rPr>
          <w:rFonts w:ascii="Baskerville" w:hAnsi="Baskerville" w:cs="Baskerville"/>
          <w:i/>
          <w:iCs/>
        </w:rPr>
        <w:t>Arpac Corp. v. Murray</w:t>
      </w:r>
      <w:r>
        <w:rPr>
          <w:rFonts w:ascii="Baskerville" w:hAnsi="Baskerville" w:cs="Baskerville"/>
        </w:rPr>
        <w:t>, 226 Ill. App. 3d 65, 76, 168 Ill. Dec. 240, 589 N.E.2d 640 (1992)).</w:t>
      </w:r>
    </w:p>
    <w:p w14:paraId="15D31107"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In </w:t>
      </w:r>
      <w:r>
        <w:rPr>
          <w:rFonts w:ascii="Baskerville" w:hAnsi="Baskerville" w:cs="Baskerville"/>
          <w:i/>
          <w:iCs/>
        </w:rPr>
        <w:t>McRand, Inc. v. Van Beelen</w:t>
      </w:r>
      <w:r>
        <w:rPr>
          <w:rFonts w:ascii="Baskerville" w:hAnsi="Baskerville" w:cs="Baskerville"/>
        </w:rPr>
        <w:t>, 138 Ill. App. 3d 1045, 93 Ill. Dec. 471, 486 N.E.2d 1306 (1st Dist. 1985), the court held:</w:t>
      </w:r>
    </w:p>
    <w:p w14:paraId="5D40F8A2"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208F3672" w14:textId="1FD2C1F1"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Finally, in determining whether the restrictions are necessary to protect the employer’s interest, we look at the reasonableness of the time, territory and activity restrictions. We did not agree with the trial court’s finding that the covenant was unenforceable because it contained no geographic restriction. Illinois Courts have found that covenants containing no geographic limitation to be valid if their purpose is to protect an employer from losing clients to a former employee who gained special knowledge of the client’s needs while employed</w:t>
      </w:r>
      <w:r w:rsidR="00944F63">
        <w:rPr>
          <w:rFonts w:ascii="Baskerville" w:hAnsi="Baskerville" w:cs="Baskerville"/>
          <w:sz w:val="22"/>
          <w:szCs w:val="22"/>
        </w:rPr>
        <w:t>…</w:t>
      </w:r>
      <w:r>
        <w:rPr>
          <w:sz w:val="22"/>
          <w:szCs w:val="22"/>
        </w:rPr>
        <w:t> </w:t>
      </w:r>
      <w:r>
        <w:rPr>
          <w:rFonts w:ascii="Baskerville" w:hAnsi="Baskerville" w:cs="Baskerville"/>
          <w:sz w:val="22"/>
          <w:szCs w:val="22"/>
        </w:rPr>
        <w:t xml:space="preserve">. Activity covenants designed not to prohibit competition but to protect the employer’s relationships with customers, do not </w:t>
      </w:r>
      <w:r>
        <w:rPr>
          <w:rFonts w:ascii="Baskerville" w:hAnsi="Baskerville" w:cs="Baskerville"/>
          <w:sz w:val="22"/>
          <w:szCs w:val="22"/>
        </w:rPr>
        <w:lastRenderedPageBreak/>
        <w:t>require geographical limitations</w:t>
      </w:r>
      <w:r w:rsidR="00944F63">
        <w:rPr>
          <w:rFonts w:ascii="Baskerville" w:hAnsi="Baskerville" w:cs="Baskerville"/>
          <w:sz w:val="22"/>
          <w:szCs w:val="22"/>
        </w:rPr>
        <w:t>…</w:t>
      </w:r>
      <w:r>
        <w:rPr>
          <w:sz w:val="22"/>
          <w:szCs w:val="22"/>
        </w:rPr>
        <w:t> </w:t>
      </w:r>
      <w:r>
        <w:rPr>
          <w:rFonts w:ascii="Baskerville" w:hAnsi="Baskerville" w:cs="Baskerville"/>
          <w:sz w:val="22"/>
          <w:szCs w:val="22"/>
        </w:rPr>
        <w:t>. Therefore, although no geographical limitation is present, the covenant is not void as a matter of law. Instead, the covenant evidences the intent to protect [the employer’s] customer relations</w:t>
      </w:r>
      <w:r w:rsidR="00944F63">
        <w:rPr>
          <w:rFonts w:ascii="Baskerville" w:hAnsi="Baskerville" w:cs="Baskerville"/>
          <w:sz w:val="22"/>
          <w:szCs w:val="22"/>
        </w:rPr>
        <w:t>…</w:t>
      </w:r>
      <w:r>
        <w:rPr>
          <w:sz w:val="22"/>
          <w:szCs w:val="22"/>
        </w:rPr>
        <w:t> </w:t>
      </w:r>
      <w:r>
        <w:rPr>
          <w:rFonts w:ascii="Baskerville" w:hAnsi="Baskerville" w:cs="Baskerville"/>
          <w:sz w:val="22"/>
          <w:szCs w:val="22"/>
        </w:rPr>
        <w:t>. [Citations omitted.]</w:t>
      </w:r>
    </w:p>
    <w:p w14:paraId="312873DB" w14:textId="77777777" w:rsidR="00655396" w:rsidRDefault="00655396" w:rsidP="008B512B">
      <w:pPr>
        <w:pStyle w:val="BodyText"/>
        <w:spacing w:line="240" w:lineRule="auto"/>
      </w:pPr>
    </w:p>
    <w:p w14:paraId="77F15420"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486 N.E.2d at 1315.</w:t>
      </w:r>
    </w:p>
    <w:p w14:paraId="003538FA"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Note that “[a] noncompetition agreement which restricts a specific activity, such as soliciting </w:t>
      </w:r>
      <w:r>
        <w:rPr>
          <w:rFonts w:ascii="Baskerville" w:hAnsi="Baskerville" w:cs="Baskerville"/>
          <w:i/>
          <w:iCs/>
        </w:rPr>
        <w:t>particular clients,</w:t>
      </w:r>
      <w:r>
        <w:rPr>
          <w:rFonts w:ascii="Baskerville" w:hAnsi="Baskerville" w:cs="Baskerville"/>
        </w:rPr>
        <w:t xml:space="preserve"> is subject to a lower degree of scrutiny than an agreement which prohibits the employee from engaging in any type of competition with the employer.” </w:t>
      </w:r>
      <w:r>
        <w:rPr>
          <w:rFonts w:ascii="Baskerville" w:hAnsi="Baskerville" w:cs="Baskerville"/>
          <w:i/>
          <w:iCs/>
        </w:rPr>
        <w:t xml:space="preserve">Abbott-Interfast, </w:t>
      </w:r>
      <w:r>
        <w:rPr>
          <w:rFonts w:ascii="Baskerville" w:hAnsi="Baskerville" w:cs="Baskerville"/>
        </w:rPr>
        <w:t xml:space="preserve">619 N.E.2d at 1341 (emphasis added; citing </w:t>
      </w:r>
      <w:r>
        <w:rPr>
          <w:rFonts w:ascii="Baskerville" w:hAnsi="Baskerville" w:cs="Baskerville"/>
          <w:i/>
          <w:iCs/>
        </w:rPr>
        <w:t xml:space="preserve">Arpac, </w:t>
      </w:r>
      <w:r>
        <w:rPr>
          <w:rFonts w:ascii="Baskerville" w:hAnsi="Baskerville" w:cs="Baskerville"/>
        </w:rPr>
        <w:t xml:space="preserve">226 Ill. App. 3d at 76, and </w:t>
      </w:r>
      <w:r>
        <w:rPr>
          <w:rFonts w:ascii="Baskerville" w:hAnsi="Baskerville" w:cs="Baskerville"/>
          <w:i/>
          <w:iCs/>
        </w:rPr>
        <w:t>Dryvit Sys., Inc. v. Rushing,</w:t>
      </w:r>
      <w:r>
        <w:rPr>
          <w:rFonts w:ascii="Baskerville" w:hAnsi="Baskerville" w:cs="Baskerville"/>
        </w:rPr>
        <w:t xml:space="preserve"> 132 Ill. App. 3d 9, 13, 87 Ill. Dec. 434, 477 N.E.2d 35 (1985)).</w:t>
      </w:r>
    </w:p>
    <w:p w14:paraId="14D79149" w14:textId="34AC0231"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However, “[a] noncompetition agreement </w:t>
      </w:r>
      <w:r w:rsidR="00944F63">
        <w:rPr>
          <w:rFonts w:ascii="Baskerville" w:hAnsi="Baskerville" w:cs="Baskerville"/>
        </w:rPr>
        <w:t>…</w:t>
      </w:r>
      <w:r>
        <w:rPr>
          <w:rFonts w:ascii="Baskerville" w:hAnsi="Baskerville" w:cs="Baskerville"/>
        </w:rPr>
        <w:t xml:space="preserve"> which prohibits an employee from soliciting </w:t>
      </w:r>
      <w:r>
        <w:rPr>
          <w:rFonts w:ascii="Baskerville" w:hAnsi="Baskerville" w:cs="Baskerville"/>
          <w:i/>
          <w:iCs/>
        </w:rPr>
        <w:t>any of the employer’s clients</w:t>
      </w:r>
      <w:r>
        <w:rPr>
          <w:rFonts w:ascii="Baskerville" w:hAnsi="Baskerville" w:cs="Baskerville"/>
        </w:rPr>
        <w:t xml:space="preserve"> is less likely to be upheld as a reasonable restraint on trade than a noncompetition agreement which prohibits an employee only from soliciting clients with which the employee has had contact” while employed by the employer. </w:t>
      </w:r>
      <w:r>
        <w:rPr>
          <w:rFonts w:ascii="Baskerville" w:hAnsi="Baskerville" w:cs="Baskerville"/>
          <w:i/>
          <w:iCs/>
        </w:rPr>
        <w:t>Id.</w:t>
      </w:r>
      <w:r>
        <w:rPr>
          <w:rFonts w:ascii="Baskerville" w:hAnsi="Baskerville" w:cs="Baskerville"/>
        </w:rPr>
        <w:t xml:space="preserve"> at 1342 (citing </w:t>
      </w:r>
      <w:r>
        <w:rPr>
          <w:rFonts w:ascii="Baskerville" w:hAnsi="Baskerville" w:cs="Baskerville"/>
          <w:i/>
          <w:iCs/>
        </w:rPr>
        <w:t>PCx Corp. v. Ross,</w:t>
      </w:r>
      <w:r>
        <w:rPr>
          <w:rFonts w:ascii="Baskerville" w:hAnsi="Baskerville" w:cs="Baskerville"/>
        </w:rPr>
        <w:t xml:space="preserve"> 209 Ill. App. 3d 530, 538–39, 154 Ill. Dec. 311, 568 N.E.2d 311 (1991), and </w:t>
      </w:r>
      <w:r>
        <w:rPr>
          <w:rFonts w:ascii="Baskerville" w:hAnsi="Baskerville" w:cs="Baskerville"/>
          <w:i/>
          <w:iCs/>
        </w:rPr>
        <w:t>McRand, Inc. v. van Beelen,</w:t>
      </w:r>
      <w:r>
        <w:rPr>
          <w:rFonts w:ascii="Baskerville" w:hAnsi="Baskerville" w:cs="Baskerville"/>
        </w:rPr>
        <w:t xml:space="preserve"> 138 Ill. App. 3d 1045, 1058, 93 Ill. Dec. 471, 486 N.E.2d 1306 (1985)).</w:t>
      </w:r>
    </w:p>
    <w:p w14:paraId="2CED556B" w14:textId="2ACE7A24" w:rsidR="00655396" w:rsidRDefault="00655396" w:rsidP="008B512B">
      <w:pPr>
        <w:pStyle w:val="BodyText"/>
        <w:spacing w:line="240" w:lineRule="auto"/>
      </w:pPr>
      <w:r>
        <w:tab/>
        <w:t>As to anti-employee-raiding covenants, the court in</w:t>
      </w:r>
      <w:r>
        <w:rPr>
          <w:i/>
          <w:iCs/>
        </w:rPr>
        <w:t xml:space="preserve"> First Health Group Corp. v. National Prescription Administrators, Inc.</w:t>
      </w:r>
      <w:r>
        <w:t>, 155 F. Supp. 2d 194 (M.D. Pa. 2001), applying Illinois substantive law, found reasonable and enforceable a 1-year anti-employee-raiding covenant that was unbounded by any geographic limitation.</w:t>
      </w:r>
      <w:r w:rsidR="00FB1D09">
        <w:t xml:space="preserve"> </w:t>
      </w:r>
      <w:r>
        <w:rPr>
          <w:i/>
          <w:iCs/>
        </w:rPr>
        <w:t>Id.</w:t>
      </w:r>
      <w:r>
        <w:t xml:space="preserve"> at 231 (“The lack of geographic limitation for this provision is of no concern, as it applies only to the solicitation of employees of [the former employer], and is therefore reasonably limited.”).</w:t>
      </w:r>
    </w:p>
    <w:p w14:paraId="27F2BF0C" w14:textId="3407092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Also note that, for trade secrets, a nondisclosure covenant need not specify any geographical or temporal limitation. </w:t>
      </w:r>
      <w:r>
        <w:rPr>
          <w:rFonts w:ascii="Baskerville" w:hAnsi="Baskerville" w:cs="Baskerville"/>
          <w:i/>
          <w:iCs/>
        </w:rPr>
        <w:t xml:space="preserve">See </w:t>
      </w:r>
      <w:r>
        <w:rPr>
          <w:rFonts w:ascii="Baskerville" w:hAnsi="Baskerville" w:cs="Baskerville"/>
        </w:rPr>
        <w:t xml:space="preserve">Illinois Trade Secrets Act §8, 765 ILCS 1065/8(b)(1) (“a contractual or other duty to maintain secrecy or limit use of a trade secret shall not be deemed to be void or unenforceable solely for lack of durational or geographical limitation;” quoted in </w:t>
      </w:r>
      <w:r>
        <w:rPr>
          <w:rFonts w:ascii="Baskerville" w:hAnsi="Baskerville" w:cs="Baskerville"/>
          <w:i/>
          <w:iCs/>
        </w:rPr>
        <w:t>Abbott-Interfast,</w:t>
      </w:r>
      <w:r w:rsidR="00FB1D09">
        <w:rPr>
          <w:rFonts w:ascii="Baskerville" w:hAnsi="Baskerville" w:cs="Baskerville"/>
          <w:i/>
          <w:iCs/>
        </w:rPr>
        <w:t xml:space="preserve"> </w:t>
      </w:r>
      <w:r>
        <w:rPr>
          <w:rFonts w:ascii="Baskerville" w:hAnsi="Baskerville" w:cs="Baskerville"/>
        </w:rPr>
        <w:t>619 N.E.2d at 1344).</w:t>
      </w:r>
    </w:p>
    <w:p w14:paraId="2697FEDC" w14:textId="77777777" w:rsidR="00230163" w:rsidRDefault="00230163" w:rsidP="008B512B">
      <w:pPr>
        <w:pStyle w:val="NoParagraphStyle"/>
        <w:tabs>
          <w:tab w:val="left" w:pos="480"/>
          <w:tab w:val="left" w:pos="960"/>
          <w:tab w:val="left" w:pos="1440"/>
        </w:tabs>
        <w:spacing w:line="240" w:lineRule="auto"/>
        <w:jc w:val="both"/>
        <w:rPr>
          <w:rFonts w:ascii="Baskerville" w:hAnsi="Baskerville" w:cs="Baskerville"/>
        </w:rPr>
      </w:pPr>
    </w:p>
    <w:p w14:paraId="30190D0C" w14:textId="77777777" w:rsidR="00230163" w:rsidRDefault="00230163" w:rsidP="008B512B">
      <w:pPr>
        <w:pStyle w:val="NoParagraphStyle"/>
        <w:tabs>
          <w:tab w:val="left" w:pos="480"/>
          <w:tab w:val="left" w:pos="960"/>
          <w:tab w:val="left" w:pos="1440"/>
        </w:tabs>
        <w:spacing w:line="240" w:lineRule="auto"/>
        <w:jc w:val="both"/>
        <w:rPr>
          <w:rFonts w:ascii="Baskerville" w:hAnsi="Baskerville" w:cs="Baskerville"/>
        </w:rPr>
      </w:pPr>
    </w:p>
    <w:p w14:paraId="4C165801" w14:textId="77777777" w:rsidR="00655396" w:rsidRDefault="00655396" w:rsidP="008B512B">
      <w:pPr>
        <w:pStyle w:val="Question"/>
        <w:spacing w:line="240" w:lineRule="auto"/>
      </w:pPr>
      <w:r>
        <w:lastRenderedPageBreak/>
        <w:t>4.</w:t>
      </w:r>
      <w:r>
        <w:tab/>
        <w:t>If the restrictions in the covenant not to compete are unenforceable because they are overbroad, are the courts permitted to modify the covenant to make the restrictions more narrow and to make the covenant enforceable? If so, under what circumstances will the courts allow reduction and what form of reduction will the courts permit?</w:t>
      </w:r>
    </w:p>
    <w:p w14:paraId="103B059E" w14:textId="1E64B0C7" w:rsidR="00655396" w:rsidRDefault="00655396" w:rsidP="008B512B">
      <w:pPr>
        <w:pStyle w:val="BodyText"/>
        <w:spacing w:line="240" w:lineRule="auto"/>
      </w:pPr>
    </w:p>
    <w:p w14:paraId="17DE9564" w14:textId="7AD1D411" w:rsidR="00D42341" w:rsidRDefault="00D42341" w:rsidP="00D42341">
      <w:pPr>
        <w:pStyle w:val="BodyText"/>
        <w:spacing w:line="240" w:lineRule="auto"/>
        <w:rPr>
          <w:rFonts w:ascii="Times New Roman" w:hAnsi="Times New Roman" w:cs="Times New Roman"/>
          <w:color w:val="000000" w:themeColor="text1"/>
          <w:shd w:val="clear" w:color="auto" w:fill="FFFFFF"/>
        </w:rPr>
      </w:pPr>
      <w:r>
        <w:tab/>
        <w:t xml:space="preserve">Yes. </w:t>
      </w:r>
      <w:r w:rsidRPr="00D04A83">
        <w:rPr>
          <w:rFonts w:ascii="Times New Roman" w:hAnsi="Times New Roman" w:cs="Times New Roman"/>
          <w:color w:val="000000" w:themeColor="text1"/>
          <w:u w:color="000000"/>
        </w:rPr>
        <w:t xml:space="preserve">Effective January 1, 2022, </w:t>
      </w:r>
      <w:r w:rsidRPr="00D04A83">
        <w:rPr>
          <w:rFonts w:ascii="Times New Roman" w:hAnsi="Times New Roman" w:cs="Times New Roman"/>
          <w:color w:val="000000" w:themeColor="text1"/>
          <w:shd w:val="clear" w:color="auto" w:fill="FFFFFF"/>
        </w:rPr>
        <w:t>the Illinois Freedom to Work Act</w:t>
      </w:r>
      <w:r>
        <w:rPr>
          <w:rFonts w:ascii="Times New Roman" w:hAnsi="Times New Roman" w:cs="Times New Roman"/>
          <w:color w:val="000000" w:themeColor="text1"/>
          <w:shd w:val="clear" w:color="auto" w:fill="FFFFFF"/>
        </w:rPr>
        <w:t xml:space="preserve"> provides: </w:t>
      </w:r>
    </w:p>
    <w:p w14:paraId="45C52F83" w14:textId="77777777" w:rsidR="00D42341" w:rsidRPr="00D42341" w:rsidRDefault="00D42341" w:rsidP="00D42341">
      <w:pPr>
        <w:pStyle w:val="BodyText"/>
        <w:spacing w:line="240" w:lineRule="auto"/>
        <w:rPr>
          <w:rFonts w:cs="Arial"/>
          <w:b/>
          <w:bCs/>
          <w:color w:val="000000" w:themeColor="text1"/>
          <w:sz w:val="20"/>
          <w:szCs w:val="20"/>
        </w:rPr>
      </w:pPr>
    </w:p>
    <w:p w14:paraId="4911B541" w14:textId="38BC8B23" w:rsidR="00D42341" w:rsidRPr="00D42341" w:rsidRDefault="00D42341" w:rsidP="00D42341">
      <w:pPr>
        <w:pStyle w:val="Heading1"/>
        <w:shd w:val="clear" w:color="auto" w:fill="FFFFFF"/>
        <w:spacing w:before="0"/>
        <w:ind w:left="720"/>
        <w:rPr>
          <w:rFonts w:ascii="Baskerville" w:hAnsi="Baskerville" w:cs="Arial"/>
          <w:b/>
          <w:bCs/>
          <w:color w:val="000000" w:themeColor="text1"/>
          <w:sz w:val="20"/>
          <w:szCs w:val="20"/>
          <w:u w:val="none"/>
        </w:rPr>
      </w:pPr>
      <w:r w:rsidRPr="00D42341">
        <w:rPr>
          <w:rFonts w:ascii="Baskerville" w:hAnsi="Baskerville" w:cs="Arial"/>
          <w:b/>
          <w:bCs/>
          <w:color w:val="000000" w:themeColor="text1"/>
          <w:sz w:val="20"/>
          <w:szCs w:val="20"/>
          <w:u w:val="none"/>
        </w:rPr>
        <w:t>Section 820 ILCS 90/35. Reformation</w:t>
      </w:r>
    </w:p>
    <w:p w14:paraId="47635EAC" w14:textId="77777777" w:rsidR="00D42341" w:rsidRPr="00D42341" w:rsidRDefault="00D42341" w:rsidP="00D42341">
      <w:pPr>
        <w:shd w:val="clear" w:color="auto" w:fill="FFFFFF"/>
        <w:ind w:left="720"/>
        <w:rPr>
          <w:rFonts w:ascii="Baskerville" w:hAnsi="Baskerville" w:cs="Open Sans"/>
          <w:color w:val="000000" w:themeColor="text1"/>
          <w:sz w:val="20"/>
          <w:szCs w:val="20"/>
        </w:rPr>
      </w:pPr>
      <w:r w:rsidRPr="00D42341">
        <w:rPr>
          <w:rStyle w:val="enum"/>
          <w:rFonts w:ascii="Baskerville" w:hAnsi="Baskerville" w:cs="Open Sans"/>
          <w:color w:val="000000" w:themeColor="text1"/>
          <w:sz w:val="20"/>
          <w:szCs w:val="20"/>
        </w:rPr>
        <w:t>(a)</w:t>
      </w:r>
      <w:r w:rsidRPr="00D42341">
        <w:rPr>
          <w:rFonts w:ascii="Baskerville" w:hAnsi="Baskerville" w:cs="Open Sans"/>
          <w:color w:val="000000" w:themeColor="text1"/>
          <w:sz w:val="20"/>
          <w:szCs w:val="20"/>
        </w:rPr>
        <w:t> Extensive judicial reformation of a covenant not to compete or a covenant not to solicit may be against the public policy of this State and a court may refrain from wholly rewriting contracts.</w:t>
      </w:r>
    </w:p>
    <w:p w14:paraId="4A33C114" w14:textId="77777777" w:rsidR="00D42341" w:rsidRPr="00D42341" w:rsidRDefault="00D42341" w:rsidP="00D42341">
      <w:pPr>
        <w:shd w:val="clear" w:color="auto" w:fill="FFFFFF"/>
        <w:ind w:left="720"/>
        <w:rPr>
          <w:rFonts w:ascii="Baskerville" w:hAnsi="Baskerville" w:cs="Open Sans"/>
          <w:color w:val="000000" w:themeColor="text1"/>
          <w:sz w:val="20"/>
          <w:szCs w:val="20"/>
        </w:rPr>
      </w:pPr>
      <w:r w:rsidRPr="00D42341">
        <w:rPr>
          <w:rStyle w:val="enum"/>
          <w:rFonts w:ascii="Baskerville" w:hAnsi="Baskerville" w:cs="Open Sans"/>
          <w:color w:val="000000" w:themeColor="text1"/>
          <w:sz w:val="20"/>
          <w:szCs w:val="20"/>
        </w:rPr>
        <w:t>(b)</w:t>
      </w:r>
      <w:r w:rsidRPr="00D42341">
        <w:rPr>
          <w:rFonts w:ascii="Baskerville" w:hAnsi="Baskerville" w:cs="Open Sans"/>
          <w:color w:val="000000" w:themeColor="text1"/>
          <w:sz w:val="20"/>
          <w:szCs w:val="20"/>
        </w:rPr>
        <w:t> In some circumstances, a court may, in its discretion, choose to reform or sever provisions of a covenant not to compete or a covenant not to solicit rather than hold such covenant unenforceable. Factors which may be considered when deciding whether such reformation is appropriate include the fairness of the restraints as originally written, whether the original restriction reflects a good-faith effort to protect a legitimate business interest of the employer, the extent of such reformation, and whether the parties included a clause authorizing such modifications in their agreement.</w:t>
      </w:r>
    </w:p>
    <w:p w14:paraId="11E54BAE" w14:textId="08270EB3" w:rsidR="00D42341" w:rsidRDefault="00D42341" w:rsidP="008B512B">
      <w:pPr>
        <w:pStyle w:val="NoParagraphStyle"/>
        <w:tabs>
          <w:tab w:val="left" w:pos="480"/>
          <w:tab w:val="left" w:pos="960"/>
          <w:tab w:val="left" w:pos="1440"/>
        </w:tabs>
        <w:spacing w:line="240" w:lineRule="auto"/>
        <w:jc w:val="both"/>
        <w:rPr>
          <w:rFonts w:ascii="Baskerville" w:hAnsi="Baskerville" w:cs="Baskerville"/>
        </w:rPr>
      </w:pPr>
    </w:p>
    <w:p w14:paraId="4C323BED" w14:textId="199E1E9B" w:rsidR="00D42341" w:rsidRDefault="00D42341" w:rsidP="00D42341">
      <w:pPr>
        <w:pStyle w:val="NoParagraphStyle"/>
        <w:tabs>
          <w:tab w:val="left" w:pos="480"/>
          <w:tab w:val="left" w:pos="960"/>
          <w:tab w:val="left" w:pos="1440"/>
        </w:tabs>
        <w:spacing w:line="240" w:lineRule="auto"/>
        <w:jc w:val="both"/>
      </w:pPr>
      <w:r>
        <w:rPr>
          <w:smallCaps/>
        </w:rPr>
        <w:t>820 Ill. Comp. Stat.</w:t>
      </w:r>
      <w:r>
        <w:t xml:space="preserve"> 90/35. This statute is consistent with the principle that has</w:t>
      </w:r>
    </w:p>
    <w:p w14:paraId="3BAECCC5" w14:textId="77777777" w:rsidR="00D42341" w:rsidRDefault="00D42341" w:rsidP="00D42341">
      <w:pPr>
        <w:pStyle w:val="NoParagraphStyle"/>
        <w:tabs>
          <w:tab w:val="left" w:pos="480"/>
          <w:tab w:val="left" w:pos="960"/>
          <w:tab w:val="left" w:pos="1440"/>
        </w:tabs>
        <w:spacing w:line="240" w:lineRule="auto"/>
        <w:jc w:val="both"/>
        <w:rPr>
          <w:rFonts w:ascii="Baskerville" w:hAnsi="Baskerville" w:cs="Baskerville"/>
          <w:sz w:val="22"/>
          <w:szCs w:val="22"/>
        </w:rPr>
      </w:pPr>
    </w:p>
    <w:p w14:paraId="0A74C8EA" w14:textId="73B2861A"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long been recognized by the courts of Illinois that if the area covered by a restrictive covenant is found to be unreasonable as to area, it may be limited to an area which is reasonable in order to protect the proper interests of the employer and accomplish the purpose of the covenant.</w:t>
      </w:r>
    </w:p>
    <w:p w14:paraId="3D4C7447" w14:textId="77777777" w:rsidR="00655396" w:rsidRDefault="00655396" w:rsidP="008B512B">
      <w:pPr>
        <w:pStyle w:val="BodyText"/>
        <w:spacing w:line="240" w:lineRule="auto"/>
      </w:pPr>
    </w:p>
    <w:p w14:paraId="39159545"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Gillespie v. Carbondale &amp; Marion Eye Ctrs., Ltd.,</w:t>
      </w:r>
      <w:r>
        <w:rPr>
          <w:rFonts w:ascii="Baskerville" w:hAnsi="Baskerville" w:cs="Baskerville"/>
        </w:rPr>
        <w:t xml:space="preserve"> 251 Ill. App. 3d 625, 629, 190 Ill. Dec. 950, 953, 622 N.E.2d 1267, 1270 (5th Dist. 1993) (quoting </w:t>
      </w:r>
      <w:r>
        <w:rPr>
          <w:rFonts w:ascii="Baskerville" w:hAnsi="Baskerville" w:cs="Baskerville"/>
          <w:i/>
          <w:iCs/>
        </w:rPr>
        <w:t>Total Health Physicians, S.C. v. Barrientos,</w:t>
      </w:r>
      <w:r>
        <w:rPr>
          <w:rFonts w:ascii="Baskerville" w:hAnsi="Baskerville" w:cs="Baskerville"/>
        </w:rPr>
        <w:t xml:space="preserve"> 151 Ill. App. 3d 726, 104 Ill. Dec. 580, 502 N.E.2d 1240 (5th Dist. 1986)).</w:t>
      </w:r>
    </w:p>
    <w:p w14:paraId="0C0C4ADE" w14:textId="77777777" w:rsidR="00655396" w:rsidRDefault="00655396" w:rsidP="008B512B">
      <w:pPr>
        <w:pStyle w:val="BodyText"/>
        <w:spacing w:line="240" w:lineRule="auto"/>
      </w:pPr>
    </w:p>
    <w:p w14:paraId="4EA0CF1C"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i/>
          <w:iCs/>
        </w:rPr>
      </w:pPr>
      <w:r>
        <w:rPr>
          <w:rFonts w:ascii="Baskerville" w:hAnsi="Baskerville" w:cs="Baskerville"/>
          <w:sz w:val="22"/>
          <w:szCs w:val="22"/>
        </w:rPr>
        <w:t>Although a circuit court is not prohibited from modifying restraints embodied in an employment contract, the fairness of the restraint initially imposed is a relevant consideration of the court in equity. (</w:t>
      </w:r>
      <w:r>
        <w:rPr>
          <w:rFonts w:ascii="Baskerville" w:hAnsi="Baskerville" w:cs="Baskerville"/>
          <w:i/>
          <w:iCs/>
          <w:sz w:val="22"/>
          <w:szCs w:val="22"/>
        </w:rPr>
        <w:t xml:space="preserve">House of Vision, Inc. </w:t>
      </w:r>
      <w:r>
        <w:rPr>
          <w:rFonts w:ascii="Baskerville" w:hAnsi="Baskerville" w:cs="Baskerville"/>
          <w:sz w:val="22"/>
          <w:szCs w:val="22"/>
        </w:rPr>
        <w:t>[</w:t>
      </w:r>
      <w:r>
        <w:rPr>
          <w:rFonts w:ascii="Baskerville" w:hAnsi="Baskerville" w:cs="Baskerville"/>
          <w:i/>
          <w:iCs/>
          <w:sz w:val="22"/>
          <w:szCs w:val="22"/>
        </w:rPr>
        <w:t>v. Hiyane</w:t>
      </w:r>
      <w:r>
        <w:rPr>
          <w:rFonts w:ascii="Baskerville" w:hAnsi="Baskerville" w:cs="Baskerville"/>
          <w:sz w:val="22"/>
          <w:szCs w:val="22"/>
        </w:rPr>
        <w:t xml:space="preserve"> (1967)], 37 Ill. 2d 32, 39, 225 N.E.2d 21; </w:t>
      </w:r>
      <w:r>
        <w:rPr>
          <w:rFonts w:ascii="Baskerville" w:hAnsi="Baskerville" w:cs="Baskerville"/>
          <w:i/>
          <w:iCs/>
          <w:sz w:val="22"/>
          <w:szCs w:val="22"/>
        </w:rPr>
        <w:t>Stamatakis Industries, Inc. v. King</w:t>
      </w:r>
      <w:r>
        <w:rPr>
          <w:rFonts w:ascii="Baskerville" w:hAnsi="Baskerville" w:cs="Baskerville"/>
          <w:sz w:val="22"/>
          <w:szCs w:val="22"/>
        </w:rPr>
        <w:t xml:space="preserve"> (1987), 165 Ill. App. 3d </w:t>
      </w:r>
      <w:r>
        <w:rPr>
          <w:rFonts w:ascii="Baskerville" w:hAnsi="Baskerville" w:cs="Baskerville"/>
          <w:sz w:val="22"/>
          <w:szCs w:val="22"/>
        </w:rPr>
        <w:lastRenderedPageBreak/>
        <w:t xml:space="preserve">879, 117 Ill. Dec. 419, 520 N.E.2d 770; </w:t>
      </w:r>
      <w:r>
        <w:rPr>
          <w:rFonts w:ascii="Baskerville" w:hAnsi="Baskerville" w:cs="Baskerville"/>
          <w:i/>
          <w:iCs/>
          <w:sz w:val="22"/>
          <w:szCs w:val="22"/>
        </w:rPr>
        <w:t>Shorr Paper Products, Inc. v. Frary</w:t>
      </w:r>
      <w:r>
        <w:rPr>
          <w:rFonts w:ascii="Baskerville" w:hAnsi="Baskerville" w:cs="Baskerville"/>
          <w:sz w:val="22"/>
          <w:szCs w:val="22"/>
        </w:rPr>
        <w:t xml:space="preserve"> (1979), 74 Ill. App. 3d 498, 507, 30 Ill. Dec. 280, 392 N.E.2d 1148.) The court is not required, however, to follow the terms of the covenant exactly in issuing the injunction. (</w:t>
      </w:r>
      <w:r>
        <w:rPr>
          <w:rFonts w:ascii="Baskerville" w:hAnsi="Baskerville" w:cs="Baskerville"/>
          <w:i/>
          <w:iCs/>
          <w:sz w:val="22"/>
          <w:szCs w:val="22"/>
        </w:rPr>
        <w:t xml:space="preserve">McRand, Inc. </w:t>
      </w:r>
      <w:r>
        <w:rPr>
          <w:rFonts w:ascii="Baskerville" w:hAnsi="Baskerville" w:cs="Baskerville"/>
          <w:sz w:val="22"/>
          <w:szCs w:val="22"/>
        </w:rPr>
        <w:t>[</w:t>
      </w:r>
      <w:r>
        <w:rPr>
          <w:rFonts w:ascii="Baskerville" w:hAnsi="Baskerville" w:cs="Baskerville"/>
          <w:i/>
          <w:iCs/>
          <w:sz w:val="22"/>
          <w:szCs w:val="22"/>
        </w:rPr>
        <w:t>v. van Beelen</w:t>
      </w:r>
      <w:r>
        <w:rPr>
          <w:rFonts w:ascii="Baskerville" w:hAnsi="Baskerville" w:cs="Baskerville"/>
          <w:sz w:val="22"/>
          <w:szCs w:val="22"/>
        </w:rPr>
        <w:t xml:space="preserve"> (1985)], 138 Ill. App. 3d 1045, 1058, 93 Ill. Dec. 471, 486 N.E.2d 1306.) In the instant case, the circuit court modified only slightly the covenant, holding that the balance of the restrictions were reasonable and necessary to protect [the employer’s] legitimate business interests. Furthermore, we do not find modification inappropriate where, as here, the agreement specifically allows, in a severability clause, a court to modify its limits if its restrictions are too broad. See </w:t>
      </w:r>
      <w:r>
        <w:rPr>
          <w:rFonts w:ascii="Baskerville" w:hAnsi="Baskerville" w:cs="Baskerville"/>
          <w:i/>
          <w:iCs/>
          <w:sz w:val="22"/>
          <w:szCs w:val="22"/>
        </w:rPr>
        <w:t>Wyatt v. Dishong</w:t>
      </w:r>
      <w:r>
        <w:rPr>
          <w:rFonts w:ascii="Baskerville" w:hAnsi="Baskerville" w:cs="Baskerville"/>
          <w:sz w:val="22"/>
          <w:szCs w:val="22"/>
        </w:rPr>
        <w:t xml:space="preserve"> (1984), 127 Ill. App. 3d 716, 719, 83 Ill. Dec. 1, 469 N.E.2d 608; </w:t>
      </w:r>
      <w:r>
        <w:rPr>
          <w:rFonts w:ascii="Baskerville" w:hAnsi="Baskerville" w:cs="Baskerville"/>
          <w:i/>
          <w:iCs/>
          <w:sz w:val="22"/>
          <w:szCs w:val="22"/>
        </w:rPr>
        <w:t>cf. Hill v. Names &amp; Addresses, Inc.</w:t>
      </w:r>
      <w:r>
        <w:rPr>
          <w:rFonts w:ascii="Baskerville" w:hAnsi="Baskerville" w:cs="Baskerville"/>
          <w:sz w:val="22"/>
          <w:szCs w:val="22"/>
        </w:rPr>
        <w:t xml:space="preserve"> (1991), 212 Ill. App. 3d 1065, 1088–89, 157 Ill. Dec. 66, 571 N.E.2d 1085 (employment agreement’s covenant not to compete, termed “essential element” of the agreement, in conflict with severability clause).</w:t>
      </w:r>
    </w:p>
    <w:p w14:paraId="0A364250" w14:textId="77777777" w:rsidR="00230163" w:rsidRDefault="00230163" w:rsidP="008B512B">
      <w:pPr>
        <w:pStyle w:val="NoParagraphStyle"/>
        <w:tabs>
          <w:tab w:val="left" w:pos="480"/>
          <w:tab w:val="left" w:pos="960"/>
          <w:tab w:val="left" w:pos="1440"/>
        </w:tabs>
        <w:spacing w:line="240" w:lineRule="auto"/>
        <w:jc w:val="both"/>
        <w:rPr>
          <w:rFonts w:ascii="Baskerville" w:hAnsi="Baskerville" w:cs="Baskerville"/>
          <w:i/>
          <w:iCs/>
        </w:rPr>
      </w:pPr>
    </w:p>
    <w:p w14:paraId="5E9AA212" w14:textId="79241CC2"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Arpac Corp. v. Murray,</w:t>
      </w:r>
      <w:r>
        <w:rPr>
          <w:rFonts w:ascii="Baskerville" w:hAnsi="Baskerville" w:cs="Baskerville"/>
        </w:rPr>
        <w:t xml:space="preserve"> 226 Ill. App. 3d 65, 80, 168 Ill. Dec. 240, 252, 589 N.E.2d 640, 652 (1st Dist. 1992) (affirming circuit court’s order enforcing nonsolicitation restrictions as to employer’s customers and remaining employees, but reversing order enforcing nearly nationwide noncompetition clause on finding it broader than necessary to protect interests already sufficiently protected by nonsolicitation restrictions).</w:t>
      </w:r>
      <w:r w:rsidR="00FB1D09">
        <w:rPr>
          <w:rFonts w:ascii="Baskerville" w:hAnsi="Baskerville" w:cs="Baskerville"/>
        </w:rPr>
        <w:t xml:space="preserve"> </w:t>
      </w:r>
      <w:r>
        <w:rPr>
          <w:rFonts w:ascii="Baskerville" w:hAnsi="Baskerville" w:cs="Baskerville"/>
          <w:i/>
          <w:iCs/>
        </w:rPr>
        <w:t>See also Cambridge Eng’g, Inc. v. Mercury Partners 90 BI, Inc.</w:t>
      </w:r>
      <w:r>
        <w:rPr>
          <w:rFonts w:ascii="Baskerville" w:hAnsi="Baskerville" w:cs="Baskerville"/>
        </w:rPr>
        <w:t>, 378 Ill. App. 3d 437, 457, 879 N.E.2d 512, 530 (1st Dist. 2007).</w:t>
      </w:r>
    </w:p>
    <w:p w14:paraId="6D48706B"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Although the Illinois Supreme Court refused to reform a restrictive covenant in </w:t>
      </w:r>
      <w:r>
        <w:rPr>
          <w:rFonts w:ascii="Baskerville" w:hAnsi="Baskerville" w:cs="Baskerville"/>
          <w:i/>
          <w:iCs/>
        </w:rPr>
        <w:t>House of Vision v. Hiyane</w:t>
      </w:r>
      <w:r>
        <w:rPr>
          <w:rFonts w:ascii="Baskerville" w:hAnsi="Baskerville" w:cs="Baskerville"/>
        </w:rPr>
        <w:t>, 37 Ill. 2d 32, 225 N.E.2d 21 (1967), the court did concede that there may be times when a court may modify a covenant. The court stated:</w:t>
      </w:r>
    </w:p>
    <w:p w14:paraId="0F0D9795" w14:textId="77777777" w:rsidR="00655396" w:rsidRDefault="00655396" w:rsidP="008B512B">
      <w:pPr>
        <w:pStyle w:val="NoParagraphStyle"/>
        <w:tabs>
          <w:tab w:val="left" w:pos="480"/>
          <w:tab w:val="left" w:pos="960"/>
          <w:tab w:val="left" w:pos="1440"/>
        </w:tabs>
        <w:spacing w:line="240" w:lineRule="auto"/>
        <w:ind w:left="480"/>
        <w:jc w:val="both"/>
        <w:rPr>
          <w:rFonts w:ascii="Baskerville" w:hAnsi="Baskerville" w:cs="Baskerville"/>
          <w:i/>
          <w:iCs/>
        </w:rPr>
      </w:pPr>
    </w:p>
    <w:p w14:paraId="177CF963" w14:textId="16DD158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To stake out unrealistic boundaries in time and space, as the employer did in this case, is to impose upon an employee the risk of proceeding at his peril, or the burden of expensive litigation to ascertain the scope of his obligation. While we do not hold that a court of equity may never modify the restraints embodied in a contract of this type and enforce them as modified, the fairness of the restraint initially imposed is a relevant consideration to a court of equity</w:t>
      </w:r>
      <w:r w:rsidR="00944F63">
        <w:rPr>
          <w:rFonts w:ascii="Baskerville" w:hAnsi="Baskerville" w:cs="Baskerville"/>
          <w:sz w:val="22"/>
          <w:szCs w:val="22"/>
        </w:rPr>
        <w:t>…</w:t>
      </w:r>
      <w:r>
        <w:rPr>
          <w:sz w:val="22"/>
          <w:szCs w:val="22"/>
        </w:rPr>
        <w:t> </w:t>
      </w:r>
      <w:r>
        <w:rPr>
          <w:rFonts w:ascii="Baskerville" w:hAnsi="Baskerville" w:cs="Baskerville"/>
          <w:sz w:val="22"/>
          <w:szCs w:val="22"/>
        </w:rPr>
        <w:t>.</w:t>
      </w:r>
    </w:p>
    <w:p w14:paraId="3077FEAB" w14:textId="77777777" w:rsidR="00655396" w:rsidRDefault="00655396" w:rsidP="008B512B">
      <w:pPr>
        <w:pStyle w:val="NoParagraphStyle"/>
        <w:tabs>
          <w:tab w:val="left" w:pos="480"/>
          <w:tab w:val="left" w:pos="960"/>
          <w:tab w:val="left" w:pos="1440"/>
        </w:tabs>
        <w:spacing w:line="240" w:lineRule="auto"/>
        <w:ind w:left="480"/>
        <w:jc w:val="both"/>
        <w:rPr>
          <w:rFonts w:ascii="Baskerville" w:hAnsi="Baskerville" w:cs="Baskerville"/>
          <w:i/>
          <w:iCs/>
        </w:rPr>
      </w:pPr>
    </w:p>
    <w:p w14:paraId="0671A657"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225 N.E.2d at 25.</w:t>
      </w:r>
    </w:p>
    <w:p w14:paraId="5106FE45"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lastRenderedPageBreak/>
        <w:tab/>
        <w:t xml:space="preserve">In </w:t>
      </w:r>
      <w:r>
        <w:rPr>
          <w:rFonts w:ascii="Baskerville" w:hAnsi="Baskerville" w:cs="Baskerville"/>
          <w:i/>
          <w:iCs/>
        </w:rPr>
        <w:t>North American Paper Co. v. Unterberger</w:t>
      </w:r>
      <w:r>
        <w:rPr>
          <w:rFonts w:ascii="Baskerville" w:hAnsi="Baskerville" w:cs="Baskerville"/>
        </w:rPr>
        <w:t>, 172 Ill. App. 3d 410, 526 N.E.2d 621, 3 IER Cases 1057 (1st Dist. 1988), the appellate court also refused to modify a geographical restraint that extended for 100 miles, and added that:</w:t>
      </w:r>
    </w:p>
    <w:p w14:paraId="14556C6B"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2C2D060F"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Here, there is no fairness apparent in the Agreement that [the employer] compelled [the employee] to sign as a condition of employment. Rather, the Agreement is redolent of the historical past when involuntary servitude was an accepted practice.</w:t>
      </w:r>
    </w:p>
    <w:p w14:paraId="564E4856" w14:textId="77777777" w:rsidR="00655396" w:rsidRDefault="00655396" w:rsidP="008B512B">
      <w:pPr>
        <w:pStyle w:val="BodyText"/>
        <w:spacing w:line="240" w:lineRule="auto"/>
      </w:pPr>
    </w:p>
    <w:p w14:paraId="1439F1BF" w14:textId="60DF7971"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xml:space="preserve">, 526 N.E.2d at 625. </w:t>
      </w:r>
      <w:r>
        <w:rPr>
          <w:rFonts w:ascii="Baskerville" w:hAnsi="Baskerville" w:cs="Baskerville"/>
          <w:i/>
          <w:iCs/>
        </w:rPr>
        <w:t>Accord: Lawrence &amp; Allen, Inc. v. Cambridge Human Res. Grp., Inc.</w:t>
      </w:r>
      <w:r>
        <w:rPr>
          <w:rFonts w:ascii="Baskerville" w:hAnsi="Baskerville" w:cs="Baskerville"/>
        </w:rPr>
        <w:t xml:space="preserve">, 226 Ill. Dec. 331, 340, 685 N.E.2d 434, 443 (2d Dist. 1997) (declining to modify overbroad nonsolicitation and noncompetition covenants); </w:t>
      </w:r>
      <w:r>
        <w:rPr>
          <w:rFonts w:ascii="Baskerville" w:hAnsi="Baskerville" w:cs="Baskerville"/>
          <w:i/>
          <w:iCs/>
        </w:rPr>
        <w:t>Prudential Ins. Co. of Am. v. Sempetrean</w:t>
      </w:r>
      <w:r>
        <w:rPr>
          <w:rFonts w:ascii="Baskerville" w:hAnsi="Baskerville" w:cs="Baskerville"/>
        </w:rPr>
        <w:t xml:space="preserve">, 171 Ill. App. 3d 810, 121 Ill. Dec. 709; 525 N.E.2d 1016, 1020 (1st Dist. 1988) (where agreement had no limitations regarding time and geographics, court held it was too vague and ambiguous to be enforced and court should not rewrite it); </w:t>
      </w:r>
      <w:r>
        <w:rPr>
          <w:rFonts w:ascii="Baskerville" w:hAnsi="Baskerville" w:cs="Baskerville"/>
          <w:i/>
          <w:iCs/>
        </w:rPr>
        <w:t>Lee/O’Keefe Ins. Agency v. Ferega</w:t>
      </w:r>
      <w:r>
        <w:rPr>
          <w:rFonts w:ascii="Baskerville" w:hAnsi="Baskerville" w:cs="Baskerville"/>
        </w:rPr>
        <w:t xml:space="preserve">, 163 Ill. App. 3d 997, 114 Ill. Dec. 919, 516 N.E.2d 1313, 1319 (4th Dist. 1987) (affirmed trial court’s decision not to modify terms of employment contract); </w:t>
      </w:r>
      <w:r>
        <w:rPr>
          <w:rFonts w:ascii="Baskerville" w:hAnsi="Baskerville" w:cs="Baskerville"/>
          <w:i/>
          <w:iCs/>
        </w:rPr>
        <w:t>Dryvit Sys. v. Rushing</w:t>
      </w:r>
      <w:r>
        <w:rPr>
          <w:rFonts w:ascii="Baskerville" w:hAnsi="Baskerville" w:cs="Baskerville"/>
        </w:rPr>
        <w:t xml:space="preserve">, 132 Ill. App. 3d 9, 477 N.E.2d 35, 39 (1st Dist. 1985) (affirmed trial court’s refusal to modify restrictive covenants so as to reduce restrictions because agreement’s broad geographical scope was unreasonable). </w:t>
      </w:r>
      <w:r>
        <w:rPr>
          <w:rFonts w:ascii="Baskerville" w:hAnsi="Baskerville" w:cs="Baskerville"/>
          <w:i/>
          <w:iCs/>
        </w:rPr>
        <w:t>See also Akhter v. Shah</w:t>
      </w:r>
      <w:r>
        <w:rPr>
          <w:rFonts w:ascii="Baskerville" w:hAnsi="Baskerville" w:cs="Baskerville"/>
        </w:rPr>
        <w:t xml:space="preserve">, 119 Ill. App. 3d 131, 74 Ill. Dec. 730, 456 N.E.2d 232 (1st Dist. 1983); </w:t>
      </w:r>
      <w:r>
        <w:rPr>
          <w:rFonts w:ascii="Baskerville" w:hAnsi="Baskerville" w:cs="Baskerville"/>
          <w:i/>
          <w:iCs/>
        </w:rPr>
        <w:t>Barrington Trucking Co. v. Casey</w:t>
      </w:r>
      <w:r>
        <w:rPr>
          <w:rFonts w:ascii="Baskerville" w:hAnsi="Baskerville" w:cs="Baskerville"/>
        </w:rPr>
        <w:t xml:space="preserve">, 117 Ill. App. 2d 151, 156, 253 N.E.2d 36 (2d Dist. 1969), </w:t>
      </w:r>
      <w:r>
        <w:rPr>
          <w:rFonts w:ascii="Baskerville" w:hAnsi="Baskerville" w:cs="Baskerville"/>
          <w:i/>
          <w:iCs/>
        </w:rPr>
        <w:t>appeal denied</w:t>
      </w:r>
      <w:r>
        <w:rPr>
          <w:rFonts w:ascii="Baskerville" w:hAnsi="Baskerville" w:cs="Baskerville"/>
        </w:rPr>
        <w:t xml:space="preserve">, 42 Ill. 2d 586 (1970); </w:t>
      </w:r>
      <w:r>
        <w:rPr>
          <w:rFonts w:ascii="Baskerville" w:hAnsi="Baskerville" w:cs="Baskerville"/>
          <w:i/>
          <w:iCs/>
        </w:rPr>
        <w:t>L&amp;R Ins. Agency v. McPhail</w:t>
      </w:r>
      <w:r>
        <w:rPr>
          <w:rFonts w:ascii="Baskerville" w:hAnsi="Baskerville" w:cs="Baskerville"/>
        </w:rPr>
        <w:t xml:space="preserve">, 92 Ill. App. 2d 107, 112, 235 N.E.2d 153 (5th Dist. 1968); </w:t>
      </w:r>
      <w:r>
        <w:rPr>
          <w:rFonts w:ascii="Baskerville" w:hAnsi="Baskerville" w:cs="Baskerville"/>
          <w:i/>
          <w:iCs/>
        </w:rPr>
        <w:t>House of Vision</w:t>
      </w:r>
      <w:r>
        <w:rPr>
          <w:rFonts w:ascii="Baskerville" w:hAnsi="Baskerville" w:cs="Baskerville"/>
        </w:rPr>
        <w:t>,</w:t>
      </w:r>
      <w:r w:rsidR="00FB1D09">
        <w:rPr>
          <w:rFonts w:ascii="Baskerville" w:hAnsi="Baskerville" w:cs="Baskerville"/>
        </w:rPr>
        <w:t xml:space="preserve"> </w:t>
      </w:r>
      <w:r>
        <w:rPr>
          <w:rFonts w:ascii="Baskerville" w:hAnsi="Baskerville" w:cs="Baskerville"/>
        </w:rPr>
        <w:t>37 Ill. 2d at 39, 225 N.E.2d at 25.</w:t>
      </w:r>
    </w:p>
    <w:p w14:paraId="0DFBF273"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Other plaintiffs/employers have successfully enforced broad restrictive covenants by seeking only partial enforcement in the prayer for relief. For example, in </w:t>
      </w:r>
      <w:r>
        <w:rPr>
          <w:rFonts w:ascii="Baskerville" w:hAnsi="Baskerville" w:cs="Baskerville"/>
          <w:i/>
          <w:iCs/>
        </w:rPr>
        <w:t>Cockerill v. Wilson</w:t>
      </w:r>
      <w:r>
        <w:rPr>
          <w:rFonts w:ascii="Baskerville" w:hAnsi="Baskerville" w:cs="Baskerville"/>
        </w:rPr>
        <w:t xml:space="preserve">, 51 Ill. 2d 179, 281 N.E.2d 648, 650, 651 (1972), where the geographic limitation set forth in the restrictive covenant was a 30-mile radius, the Illinois Supreme Court found that the 20-mile geographic limitation sought by the plaintiff in his amended complaint was reasonable. Likewise, in </w:t>
      </w:r>
      <w:r>
        <w:rPr>
          <w:rFonts w:ascii="Baskerville" w:hAnsi="Baskerville" w:cs="Baskerville"/>
          <w:i/>
          <w:iCs/>
        </w:rPr>
        <w:t>Shorr Paper Products v. Frary</w:t>
      </w:r>
      <w:r>
        <w:rPr>
          <w:rFonts w:ascii="Baskerville" w:hAnsi="Baskerville" w:cs="Baskerville"/>
        </w:rPr>
        <w:t xml:space="preserve">, 74 Ill. App. 3d 498, 506, 392 N.E.2d 1148, 1154 (2d Dist. 1979), the restrictive covenant had no </w:t>
      </w:r>
      <w:r>
        <w:rPr>
          <w:rFonts w:ascii="Baskerville" w:hAnsi="Baskerville" w:cs="Baskerville"/>
        </w:rPr>
        <w:lastRenderedPageBreak/>
        <w:t xml:space="preserve">geographic limitation but the appellate court reversed the trial court’s refusal to grant the relief sought in the complaint, in which the plaintiff requested that the defendant be restrained from competing with the plaintiff within an area of 100 miles from its place of business. Similarly, in </w:t>
      </w:r>
      <w:r>
        <w:rPr>
          <w:rFonts w:ascii="Baskerville" w:hAnsi="Baskerville" w:cs="Baskerville"/>
          <w:i/>
          <w:iCs/>
        </w:rPr>
        <w:t>Morrison Metalweld Process Corp. v. Valent</w:t>
      </w:r>
      <w:r>
        <w:rPr>
          <w:rFonts w:ascii="Baskerville" w:hAnsi="Baskerville" w:cs="Baskerville"/>
        </w:rPr>
        <w:t xml:space="preserve">, 97 Ill. App. 3d 373, 379, 52 Ill. Dec. 825, 830, 422 N.E.2d 1034, 1039 (1st Dist. 1981), the covenant purported to restrict competition in six different states. The plaintiff/employer, in its petition for preliminary injunction, sought to bar the defendant from doing business only with the specific customers with whom the former employee had come in contact through his employment with the plaintiff. The </w:t>
      </w:r>
      <w:r>
        <w:rPr>
          <w:rFonts w:ascii="Baskerville" w:hAnsi="Baskerville" w:cs="Baskerville"/>
          <w:i/>
          <w:iCs/>
        </w:rPr>
        <w:t>Morrison</w:t>
      </w:r>
      <w:r>
        <w:rPr>
          <w:rFonts w:ascii="Baskerville" w:hAnsi="Baskerville" w:cs="Baskerville"/>
        </w:rPr>
        <w:t xml:space="preserve"> court concluded that the covenant, with such a reduced geographic limitation, was enforceable.</w:t>
      </w:r>
    </w:p>
    <w:p w14:paraId="1590D2E3"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6FF70F46"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 </w:t>
      </w:r>
      <w:r>
        <w:rPr>
          <w:rFonts w:ascii="Baskerville" w:hAnsi="Baskerville" w:cs="Baskerville"/>
          <w:i/>
          <w:iCs/>
        </w:rPr>
        <w:t>Judicial severability clauses</w:t>
      </w:r>
      <w:r>
        <w:rPr>
          <w:rFonts w:ascii="Baskerville" w:hAnsi="Baskerville" w:cs="Baskerville"/>
        </w:rPr>
        <w:t xml:space="preserve">. Illinois courts are apparently more willing to modify and enforce a restrictive covenant where the covenant itself provides that its terms are severable. </w:t>
      </w:r>
      <w:r>
        <w:rPr>
          <w:rFonts w:ascii="Baskerville" w:hAnsi="Baskerville" w:cs="Baskerville"/>
          <w:i/>
          <w:iCs/>
        </w:rPr>
        <w:t>See Corroon &amp; Black of Ill. v. Magner</w:t>
      </w:r>
      <w:r>
        <w:rPr>
          <w:rFonts w:ascii="Baskerville" w:hAnsi="Baskerville" w:cs="Baskerville"/>
        </w:rPr>
        <w:t xml:space="preserve">, 145 Ill. App. 3d 151, 165, 98 Ill. Dec. 663, 671, 494 N.E.2d 785, 793 (1st Dist. 1986); </w:t>
      </w:r>
      <w:r>
        <w:rPr>
          <w:rFonts w:ascii="Baskerville" w:hAnsi="Baskerville" w:cs="Baskerville"/>
          <w:i/>
          <w:iCs/>
        </w:rPr>
        <w:t>McRand, Inc. v. Van Beelen</w:t>
      </w:r>
      <w:r>
        <w:rPr>
          <w:rFonts w:ascii="Baskerville" w:hAnsi="Baskerville" w:cs="Baskerville"/>
        </w:rPr>
        <w:t xml:space="preserve">, 138 Ill. App. 3d 1045, 1057, 93 Ill. Dec. 471, 480, 486 N.E.2d 1306, 1315 (1st Dist. 1985); </w:t>
      </w:r>
      <w:r>
        <w:rPr>
          <w:rFonts w:ascii="Baskerville" w:hAnsi="Baskerville" w:cs="Baskerville"/>
          <w:i/>
          <w:iCs/>
        </w:rPr>
        <w:t>Wyatt v. Dishong</w:t>
      </w:r>
      <w:r>
        <w:rPr>
          <w:rFonts w:ascii="Baskerville" w:hAnsi="Baskerville" w:cs="Baskerville"/>
        </w:rPr>
        <w:t>, 127 Ill. App. 3d 716, 469 N.E.2d 608, 610 (5th Dist. 1984). The existence of a severability clause in a contract actually “</w:t>
      </w:r>
      <w:r>
        <w:rPr>
          <w:rFonts w:ascii="Baskerville" w:hAnsi="Baskerville" w:cs="Baskerville"/>
          <w:i/>
          <w:iCs/>
        </w:rPr>
        <w:t>strengthens</w:t>
      </w:r>
      <w:r>
        <w:rPr>
          <w:rFonts w:ascii="Baskerville" w:hAnsi="Baskerville" w:cs="Baskerville"/>
        </w:rPr>
        <w:t xml:space="preserve"> the case for severance of unenforceable provisions because it indicates that the parties intended for the lawful portions of the contract to be enforced in the absence of the unlawful portions.” </w:t>
      </w:r>
      <w:r>
        <w:rPr>
          <w:rFonts w:ascii="Baskerville" w:hAnsi="Baskerville" w:cs="Baskerville"/>
          <w:i/>
          <w:iCs/>
        </w:rPr>
        <w:t>Abbott-Interfast Corp. v. Harkabus,</w:t>
      </w:r>
      <w:r>
        <w:rPr>
          <w:rFonts w:ascii="Baskerville" w:hAnsi="Baskerville" w:cs="Baskerville"/>
        </w:rPr>
        <w:t xml:space="preserve"> 250 Ill. App. 3d 13, 20, 189 Ill. Dec. 288, 294, 619 N.E.2d 1337, 1343 (2d Dist. 1993) (emphasis added; discussing issue as principle to be considered on remand; citing </w:t>
      </w:r>
      <w:r>
        <w:rPr>
          <w:rFonts w:ascii="Baskerville" w:hAnsi="Baskerville" w:cs="Baskerville"/>
          <w:i/>
          <w:iCs/>
        </w:rPr>
        <w:t xml:space="preserve">McRand, </w:t>
      </w:r>
      <w:r>
        <w:rPr>
          <w:rFonts w:ascii="Baskerville" w:hAnsi="Baskerville" w:cs="Baskerville"/>
        </w:rPr>
        <w:t>138 Ill. App. 3d at 1058).</w:t>
      </w:r>
    </w:p>
    <w:p w14:paraId="7411F533" w14:textId="0FA01276"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However, a severability clause will not be applied—and a covenant, unreasonable as written, will not be modified and enforced—where the unreasonable provisions are identified by the agreement as “essential.” </w:t>
      </w:r>
      <w:r>
        <w:rPr>
          <w:rFonts w:ascii="Baskerville" w:hAnsi="Baskerville" w:cs="Baskerville"/>
          <w:i/>
          <w:iCs/>
        </w:rPr>
        <w:t>Id.,</w:t>
      </w:r>
      <w:r>
        <w:rPr>
          <w:rFonts w:ascii="Baskerville" w:hAnsi="Baskerville" w:cs="Baskerville"/>
        </w:rPr>
        <w:t xml:space="preserve"> 619 N.E.2d at 1344 (citing </w:t>
      </w:r>
      <w:r>
        <w:rPr>
          <w:rFonts w:ascii="Baskerville" w:hAnsi="Baskerville" w:cs="Baskerville"/>
          <w:i/>
          <w:iCs/>
        </w:rPr>
        <w:t>Hill v. Names &amp; Addresses, Inc.,</w:t>
      </w:r>
      <w:r>
        <w:rPr>
          <w:rFonts w:ascii="Baskerville" w:hAnsi="Baskerville" w:cs="Baskerville"/>
        </w:rPr>
        <w:t xml:space="preserve"> 212 Ill. App. 3d 1065, 1089, 157 Ill. Dec. 66, 571 N.E.2d 1085 (1st Dist. 1991) (court refused to apply severability clause to salvage provision in noncompetition agreement where other provisions in agreement were unenforceable and agreement labeled those provisions as “essential”; court reasoned that </w:t>
      </w:r>
      <w:r>
        <w:rPr>
          <w:rFonts w:ascii="Baskerville" w:hAnsi="Baskerville" w:cs="Baskerville"/>
        </w:rPr>
        <w:lastRenderedPageBreak/>
        <w:t xml:space="preserve">language in agreement labeling unenforceable provisions “essential” conflicted with severability clause, and that “essentiality” clauses took precedence over severability clause because they were “principal and specific.”)). “In determining whether to modify the [a]greement or to sever certain provisions while enforcing others, the trial court should consider the extent to which the provisions operate independently of each other.” </w:t>
      </w:r>
      <w:r>
        <w:rPr>
          <w:rFonts w:ascii="Baskerville" w:hAnsi="Baskerville" w:cs="Baskerville"/>
          <w:i/>
          <w:iCs/>
        </w:rPr>
        <w:t>Id.</w:t>
      </w:r>
      <w:r>
        <w:rPr>
          <w:rFonts w:ascii="Baskerville" w:hAnsi="Baskerville" w:cs="Baskerville"/>
        </w:rPr>
        <w:t xml:space="preserve"> “[Where] the parties </w:t>
      </w:r>
      <w:r w:rsidR="00944F63">
        <w:rPr>
          <w:rFonts w:ascii="Baskerville" w:hAnsi="Baskerville" w:cs="Baskerville"/>
        </w:rPr>
        <w:t>…</w:t>
      </w:r>
      <w:r>
        <w:rPr>
          <w:rFonts w:ascii="Baskerville" w:hAnsi="Baskerville" w:cs="Baskerville"/>
        </w:rPr>
        <w:t xml:space="preserve"> intended the provisions in the [a]greement to be severable, the equities would seem to favor enforcing those provisions in the agreement </w:t>
      </w:r>
      <w:r>
        <w:rPr>
          <w:rFonts w:ascii="Baskerville" w:hAnsi="Baskerville" w:cs="Baskerville"/>
          <w:i/>
          <w:iCs/>
        </w:rPr>
        <w:t>unless they are so closely connected with unenforceable provisions that to do so would be tantamount to rewriting the [a]greement.</w:t>
      </w:r>
      <w:r>
        <w:rPr>
          <w:rFonts w:ascii="Baskerville" w:hAnsi="Baskerville" w:cs="Baskerville"/>
        </w:rPr>
        <w:t xml:space="preserve">” </w:t>
      </w:r>
      <w:r>
        <w:rPr>
          <w:rFonts w:ascii="Baskerville" w:hAnsi="Baskerville" w:cs="Baskerville"/>
          <w:i/>
          <w:iCs/>
        </w:rPr>
        <w:t>Id.</w:t>
      </w:r>
      <w:r>
        <w:rPr>
          <w:rFonts w:ascii="Baskerville" w:hAnsi="Baskerville" w:cs="Baskerville"/>
        </w:rPr>
        <w:t xml:space="preserve"> (emphasis added; citing </w:t>
      </w:r>
      <w:r>
        <w:rPr>
          <w:rFonts w:ascii="Baskerville" w:hAnsi="Baskerville" w:cs="Baskerville"/>
          <w:i/>
          <w:iCs/>
        </w:rPr>
        <w:t>Lee/O’Keefe Ins.</w:t>
      </w:r>
      <w:r w:rsidR="001A419C">
        <w:rPr>
          <w:rFonts w:ascii="Baskerville" w:hAnsi="Baskerville" w:cs="Baskerville"/>
          <w:i/>
          <w:iCs/>
        </w:rPr>
        <w:t xml:space="preserve">, </w:t>
      </w:r>
      <w:r w:rsidR="001A419C">
        <w:rPr>
          <w:rFonts w:ascii="Baskerville" w:hAnsi="Baskerville" w:cs="Baskerville"/>
        </w:rPr>
        <w:t>163</w:t>
      </w:r>
      <w:r>
        <w:rPr>
          <w:rFonts w:ascii="Baskerville" w:hAnsi="Baskerville" w:cs="Baskerville"/>
        </w:rPr>
        <w:t xml:space="preserve"> Ill. App. 3d at 1006–07).</w:t>
      </w:r>
    </w:p>
    <w:p w14:paraId="6FF8A0A2" w14:textId="34A6980D" w:rsidR="00655396" w:rsidRDefault="00655396" w:rsidP="008B512B">
      <w:pPr>
        <w:pStyle w:val="BodyText"/>
        <w:spacing w:line="240" w:lineRule="auto"/>
      </w:pPr>
      <w:r>
        <w:tab/>
        <w:t>Moreover, the existence of a severability clause does not guarantee that a court applying Illinois law will engage in judicial modification where the modification requested “would require a determination of [a] disputed fact, on which [the] court believes it has insufficient information.”</w:t>
      </w:r>
      <w:r w:rsidR="00FB1D09">
        <w:t xml:space="preserve"> </w:t>
      </w:r>
      <w:r>
        <w:rPr>
          <w:i/>
          <w:iCs/>
        </w:rPr>
        <w:t>Pactiv Corp. v. Menasha Corp.</w:t>
      </w:r>
      <w:r>
        <w:t xml:space="preserve">, 261 F. Supp. 2d 1009, 1016 (N.D. Ill. 2003) (also noting, </w:t>
      </w:r>
      <w:r>
        <w:rPr>
          <w:i/>
          <w:iCs/>
        </w:rPr>
        <w:t>id.</w:t>
      </w:r>
      <w:r>
        <w:t xml:space="preserve">, </w:t>
      </w:r>
      <w:r w:rsidR="001A419C">
        <w:t>that “</w:t>
      </w:r>
      <w:r>
        <w:t>in determining whether to modify a restrictive covenant, a court should consider importantly, that the ‘modification could have the potential effect of discouraging the narrow and precise draftsmanship which should be reflected in written agreements’</w:t>
      </w:r>
      <w:r>
        <w:rPr>
          <w:rFonts w:ascii="Times New Roman" w:hAnsi="Times New Roman" w:cs="Times New Roman"/>
        </w:rPr>
        <w:t> </w:t>
      </w:r>
      <w:r>
        <w:t>” (citations omitted)).</w:t>
      </w:r>
    </w:p>
    <w:p w14:paraId="3037517A" w14:textId="77777777" w:rsidR="00655396" w:rsidRDefault="00655396" w:rsidP="008B512B">
      <w:pPr>
        <w:pStyle w:val="BodyText"/>
        <w:spacing w:line="240" w:lineRule="auto"/>
      </w:pPr>
    </w:p>
    <w:p w14:paraId="553D7B14" w14:textId="5DC765E1" w:rsidR="00655396" w:rsidRDefault="00655396" w:rsidP="008B512B">
      <w:pPr>
        <w:pStyle w:val="BodyText"/>
        <w:spacing w:line="240" w:lineRule="auto"/>
      </w:pPr>
      <w:r>
        <w:rPr>
          <w:u w:color="000000"/>
        </w:rPr>
        <w:tab/>
        <w:t xml:space="preserve">• </w:t>
      </w:r>
      <w:r>
        <w:rPr>
          <w:i/>
          <w:iCs/>
          <w:u w:color="000000"/>
        </w:rPr>
        <w:t>Determining intent of modifiability clauses</w:t>
      </w:r>
      <w:r>
        <w:rPr>
          <w:u w:color="000000"/>
        </w:rPr>
        <w:t xml:space="preserve">. In </w:t>
      </w:r>
      <w:r>
        <w:rPr>
          <w:i/>
          <w:iCs/>
          <w:u w:color="000000"/>
        </w:rPr>
        <w:t>Reed v. Getco, LLC</w:t>
      </w:r>
      <w:r>
        <w:rPr>
          <w:u w:color="000000"/>
        </w:rPr>
        <w:t>, 2016 BL 330817 (Ill. Ct. App. 1st Dist. Sept. 30, 2016), the court rejected a former employer’s claim that the former employer had the discretion to unilaterally modify a former employee’s restrictive covenant, which provided in subsection 6(d) that the employer “shall be under no obligation to modify the restrictions …, but may do so in its sole and absolute discretion.”</w:t>
      </w:r>
      <w:r w:rsidR="00FB1D09">
        <w:rPr>
          <w:u w:color="000000"/>
        </w:rPr>
        <w:t xml:space="preserve"> </w:t>
      </w:r>
      <w:r>
        <w:rPr>
          <w:i/>
          <w:iCs/>
          <w:u w:color="000000"/>
        </w:rPr>
        <w:t>Id</w:t>
      </w:r>
      <w:r>
        <w:rPr>
          <w:u w:color="000000"/>
        </w:rPr>
        <w:t xml:space="preserve">. at ¶21. Considering the context of that provision and reading the entire agreement as a whole, the court affirmed the trial court’s ruling that “the parties’ intent was to provide plaintiff with a mechanism to request that his noncompete restrictions be modified in the event that plaintiff was offered other employment he believed would violate his noncompete restrictions. The language in subsection 6(d) expressly provides that it is under such limited circumstances that defendant would have the sole and absolute discretion to allow or deny plaintiff’s request to modify his noncompete restrictions. We further agree with </w:t>
      </w:r>
      <w:r>
        <w:rPr>
          <w:u w:color="000000"/>
        </w:rPr>
        <w:lastRenderedPageBreak/>
        <w:t xml:space="preserve">the trial court that the parties also intended to emphasize that defendant was not obligated to accept plaintiff’s request under these limited circumstances.” </w:t>
      </w:r>
      <w:r>
        <w:rPr>
          <w:i/>
          <w:iCs/>
          <w:u w:color="000000"/>
        </w:rPr>
        <w:t>Id.</w:t>
      </w:r>
    </w:p>
    <w:p w14:paraId="32A78C3A" w14:textId="77777777" w:rsidR="00655396" w:rsidRDefault="00655396" w:rsidP="008B512B">
      <w:pPr>
        <w:pStyle w:val="BodyText"/>
        <w:spacing w:line="240" w:lineRule="auto"/>
      </w:pPr>
    </w:p>
    <w:p w14:paraId="60BB5E5E" w14:textId="1BBABF81" w:rsidR="00655396" w:rsidRDefault="00655396" w:rsidP="008B512B">
      <w:pPr>
        <w:pStyle w:val="BodyText"/>
        <w:spacing w:line="240" w:lineRule="auto"/>
      </w:pPr>
      <w:r>
        <w:tab/>
        <w:t xml:space="preserve">• </w:t>
      </w:r>
      <w:r>
        <w:rPr>
          <w:i/>
          <w:iCs/>
        </w:rPr>
        <w:t>The danger of overreaching</w:t>
      </w:r>
      <w:r>
        <w:t>.</w:t>
      </w:r>
      <w:r w:rsidR="00FB1D09">
        <w:t xml:space="preserve"> </w:t>
      </w:r>
      <w:r>
        <w:rPr>
          <w:i/>
          <w:iCs/>
        </w:rPr>
        <w:t xml:space="preserve">See </w:t>
      </w:r>
      <w:r>
        <w:t xml:space="preserve">W. Andrew Scott, Jeffrey H. Wolf &amp; Allan P. Hillman, </w:t>
      </w:r>
      <w:r>
        <w:rPr>
          <w:i/>
          <w:iCs/>
        </w:rPr>
        <w:t>Franchising From A (Arbitration) to T (Termination)</w:t>
      </w:r>
      <w:r>
        <w:t xml:space="preserve">, 22 </w:t>
      </w:r>
      <w:r>
        <w:rPr>
          <w:smallCaps/>
        </w:rPr>
        <w:t>Franchise L.J.</w:t>
      </w:r>
      <w:r>
        <w:t xml:space="preserve"> 192, 195 (Winter 2003) (citing </w:t>
      </w:r>
      <w:r>
        <w:rPr>
          <w:i/>
          <w:iCs/>
        </w:rPr>
        <w:t>Stunfence, Inc. v. Gallagher Sec. (USA), Inc.</w:t>
      </w:r>
      <w:r>
        <w:t>, 2002 WL 1838128 (N.D. Ill. 2002) (not reported in F. Supp. 2d) (distributorship-context covenant executed by members of nonlethal electric fencing industry), for the principle that “even in jurisdictions that allow partial enforcement of post-termination noncompetition requirements, a franchisor can overreach to the point that it loses all right to enforcement.”).</w:t>
      </w:r>
    </w:p>
    <w:p w14:paraId="0F201910" w14:textId="77777777" w:rsidR="00655396" w:rsidRDefault="00655396" w:rsidP="008B512B">
      <w:pPr>
        <w:pStyle w:val="BodyText"/>
        <w:spacing w:line="240" w:lineRule="auto"/>
        <w:rPr>
          <w:sz w:val="12"/>
          <w:szCs w:val="12"/>
        </w:rPr>
      </w:pPr>
    </w:p>
    <w:p w14:paraId="5D6E3747" w14:textId="77777777" w:rsidR="00655396" w:rsidRDefault="00655396" w:rsidP="008B512B">
      <w:pPr>
        <w:pStyle w:val="BodyText"/>
        <w:spacing w:line="240" w:lineRule="auto"/>
        <w:rPr>
          <w:sz w:val="28"/>
          <w:szCs w:val="28"/>
        </w:rPr>
      </w:pPr>
    </w:p>
    <w:p w14:paraId="684B8F09"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sz w:val="2"/>
          <w:szCs w:val="2"/>
        </w:rPr>
      </w:pPr>
    </w:p>
    <w:p w14:paraId="35BB29DB" w14:textId="77777777" w:rsidR="00655396" w:rsidRDefault="00655396" w:rsidP="008B512B">
      <w:pPr>
        <w:pStyle w:val="Question"/>
        <w:spacing w:line="240" w:lineRule="auto"/>
      </w:pPr>
      <w:r>
        <w:t>5.</w:t>
      </w:r>
      <w:r>
        <w:tab/>
        <w:t>What must the employer prove to obtain a preliminary injunction enforcing the covenant not to compete?</w:t>
      </w:r>
    </w:p>
    <w:p w14:paraId="68418B60" w14:textId="77777777" w:rsidR="00655396" w:rsidRDefault="00655396" w:rsidP="008B512B">
      <w:pPr>
        <w:pStyle w:val="BodyText"/>
        <w:spacing w:line="240" w:lineRule="auto"/>
      </w:pPr>
    </w:p>
    <w:p w14:paraId="358CD364" w14:textId="77777777" w:rsidR="00655396" w:rsidRDefault="00655396" w:rsidP="008B512B">
      <w:pPr>
        <w:pStyle w:val="BodyText"/>
        <w:spacing w:line="240" w:lineRule="auto"/>
      </w:pPr>
      <w:r>
        <w:tab/>
        <w:t xml:space="preserve">• </w:t>
      </w:r>
      <w:r>
        <w:rPr>
          <w:i/>
          <w:iCs/>
        </w:rPr>
        <w:t>State court actions.</w:t>
      </w:r>
      <w:r>
        <w:t xml:space="preserve"> </w:t>
      </w:r>
    </w:p>
    <w:p w14:paraId="76968448" w14:textId="77777777" w:rsidR="00655396" w:rsidRDefault="00655396" w:rsidP="008B512B">
      <w:pPr>
        <w:pStyle w:val="BodyText"/>
        <w:spacing w:line="240" w:lineRule="auto"/>
      </w:pPr>
    </w:p>
    <w:p w14:paraId="075DC003" w14:textId="5BC68354" w:rsidR="00655396" w:rsidRPr="00230163" w:rsidRDefault="00655396" w:rsidP="008B512B">
      <w:pPr>
        <w:pStyle w:val="BQ"/>
        <w:spacing w:line="240" w:lineRule="auto"/>
        <w:rPr>
          <w:b/>
        </w:rPr>
      </w:pPr>
      <w:r w:rsidRPr="00230163">
        <w:tab/>
        <w:t>As a general rule, a preliminary injunction will only be granted where the plaintiff shows it (1) has a clearly ascertainable right that needs protection, (2) will suffer irreparable harm without the protection, (3) has no adequate remedy at law, and (4) is likely to succeed on the merits. [Citation.] This court has also considered whether the benefits of granting the preliminary injunction will exceed the injury to the defendant. [Citations.]</w:t>
      </w:r>
      <w:r w:rsidR="00FB1D09">
        <w:t xml:space="preserve"> </w:t>
      </w:r>
      <w:r w:rsidRPr="00230163">
        <w:t>A plaintiff need only make a prima facie showing of evidence on the requisite elements to obtain injunctive relief. [Citation.]</w:t>
      </w:r>
    </w:p>
    <w:p w14:paraId="329BDE53" w14:textId="77777777" w:rsidR="00655396" w:rsidRDefault="00655396" w:rsidP="008B512B">
      <w:pPr>
        <w:pStyle w:val="BodyText"/>
        <w:spacing w:line="240" w:lineRule="auto"/>
      </w:pPr>
    </w:p>
    <w:p w14:paraId="20ACE893" w14:textId="17775E1C" w:rsidR="00655396" w:rsidRDefault="00655396" w:rsidP="008B512B">
      <w:pPr>
        <w:pStyle w:val="BodyText"/>
        <w:spacing w:line="240" w:lineRule="auto"/>
      </w:pPr>
      <w:r>
        <w:rPr>
          <w:i/>
          <w:iCs/>
        </w:rPr>
        <w:t>Prairie Eye Ctr., Ltd. v. Butler</w:t>
      </w:r>
      <w:r>
        <w:t>, 713 N.E.2d 610, 613 (Ill. Ct. App. 4th Dist. 1999) (rejecting trial court’s finding that former employer failed to show [that] it had a protectable interest in all patients treated by employee ophthalmologist specializing in treatment of glaucoma while in its employ such as to secure preliminary injunction enforcing covenant).</w:t>
      </w:r>
      <w:r w:rsidR="00FB1D09">
        <w:t xml:space="preserve"> </w:t>
      </w:r>
      <w:r>
        <w:rPr>
          <w:i/>
          <w:iCs/>
        </w:rPr>
        <w:t>Accord: Sunbelt Rentals, Inc. v. Ehlers</w:t>
      </w:r>
      <w:r>
        <w:t xml:space="preserve">, 394 Ill. App. 3d 421, 426, 333 Ill. Dec. 791, 795, 915 N.E.2d 862, 866 (4th Dist. 2009) (stating that the party seeking a preliminary injunction is required to demonstrate “(1) a clearly ascertained right in need of protection, (2) </w:t>
      </w:r>
      <w:r>
        <w:lastRenderedPageBreak/>
        <w:t xml:space="preserve">irreparable injury in the absence of an injunction, (3) no adequate remedy at law, and (4) a likelihood of success on the merits of the case”), </w:t>
      </w:r>
      <w:r>
        <w:rPr>
          <w:i/>
          <w:iCs/>
        </w:rPr>
        <w:t>overruled on other grounds by</w:t>
      </w:r>
      <w:r>
        <w:t xml:space="preserve"> </w:t>
      </w:r>
      <w:r>
        <w:rPr>
          <w:i/>
          <w:iCs/>
        </w:rPr>
        <w:t>Reliable Fire Equip. Co. v. Arredondo</w:t>
      </w:r>
      <w:r>
        <w:t>, 358 Ill. Dec. 322, 965 N.E.2d 393, 403 (2011)</w:t>
      </w:r>
      <w:r w:rsidR="00D47546">
        <w:t xml:space="preserve">; </w:t>
      </w:r>
      <w:r>
        <w:rPr>
          <w:i/>
          <w:iCs/>
        </w:rPr>
        <w:t>Citadel Inv. Grp., LLC v. Teza Techs. LLC</w:t>
      </w:r>
      <w:r>
        <w:t>, 924 N.E.2d 95, 104 (Ill. Ct. App. 1st Dist. 2008) (same)</w:t>
      </w:r>
      <w:r w:rsidR="001A419C">
        <w:t>; Virendra</w:t>
      </w:r>
      <w:r>
        <w:rPr>
          <w:i/>
          <w:iCs/>
        </w:rPr>
        <w:t xml:space="preserve"> S. Bisla, M.D., Ltd. v. Parvaiz</w:t>
      </w:r>
      <w:r>
        <w:t xml:space="preserve">, 379 Ill. App. 3d 567, 572, 318 Ill. Dec. 822, 884 N.E.2d 790, 794 (1st Dist. 2008) (ruling, </w:t>
      </w:r>
      <w:r>
        <w:rPr>
          <w:i/>
          <w:iCs/>
        </w:rPr>
        <w:t>id.</w:t>
      </w:r>
      <w:r w:rsidR="001A419C">
        <w:t>, 884</w:t>
      </w:r>
      <w:r>
        <w:t xml:space="preserve"> N.E.2d at 795–96, that former employer “failed to establish any of the criteria necessary to obtain an injunction. He cannot show that the Employment Agreement and covenant not to compete were ascertainable rights in need of protection where the facts reveal that there was no meeting of the minds after [the employer] unilaterally attempted to alter the terms of the agreement [by reducing the equity interest in the employer firm to be offered to the employee] from a 50% share to a 45% share. The Employment Agreement contemplated that ‘no change or modification shall be valid unless the same be in writing and signed by Employee and Corporation.’ [The former employer] cannot show irreparable harm nor an inadequate remedy since the Employment Agreement was not in force [after the employer firm was dissolved]. [The former employer] failed to show a likelihood of success on the merits necessary to obtain an injunction and the trial court properly denied the injunction.”); </w:t>
      </w:r>
      <w:r>
        <w:rPr>
          <w:i/>
          <w:iCs/>
        </w:rPr>
        <w:t>Stenstron Petroleum Servs. Grp. v. Mesch</w:t>
      </w:r>
      <w:r>
        <w:t>, 375 Ill. App. 3d 1077, 1089, 314 Ill. Dec. 594, 605–06, 874 N.E.2d 959, 970–71 (2d Dist. 2007)</w:t>
      </w:r>
      <w:r w:rsidR="00D47546">
        <w:t xml:space="preserve">; </w:t>
      </w:r>
      <w:r>
        <w:rPr>
          <w:i/>
          <w:iCs/>
        </w:rPr>
        <w:t>Lifetec, Inc. v. Edwards</w:t>
      </w:r>
      <w:r>
        <w:t>, 377 Ill. App. 3d 260, 268, 800 N.E.2d 188, 195 (4th Dist. 2007)</w:t>
      </w:r>
      <w:r w:rsidR="00D47546">
        <w:t xml:space="preserve">; </w:t>
      </w:r>
      <w:r>
        <w:rPr>
          <w:i/>
          <w:iCs/>
        </w:rPr>
        <w:t>Mohanty v. St. John Heart Clinic, S.C.</w:t>
      </w:r>
      <w:r>
        <w:t>, 310 Ill. Dec. 274, 280, 866 N.E.2d 85, 91 (2006)</w:t>
      </w:r>
      <w:r w:rsidR="00D47546">
        <w:t xml:space="preserve">; </w:t>
      </w:r>
      <w:r>
        <w:rPr>
          <w:i/>
          <w:iCs/>
        </w:rPr>
        <w:t>Agrimerica v. Mathes</w:t>
      </w:r>
      <w:r>
        <w:t xml:space="preserve">, 170 Ill. App. 3d 1025, 120 Ill. Dec. 765, 524 N.E.2d 947, 950 (1st Dist. 1988); </w:t>
      </w:r>
      <w:r>
        <w:rPr>
          <w:i/>
          <w:iCs/>
        </w:rPr>
        <w:t>Smith Waters, Kuehn, Burnett &amp; Hughes Ltd. v. Burnett</w:t>
      </w:r>
      <w:r>
        <w:t xml:space="preserve">, 192 Ill. App. 3d 693, 139 Ill. Dec. 617, 548 N.E.2d 1331 (3d Dist. 1989); </w:t>
      </w:r>
      <w:r>
        <w:rPr>
          <w:i/>
          <w:iCs/>
        </w:rPr>
        <w:t>PCx Corp. v. Ross</w:t>
      </w:r>
      <w:r>
        <w:t xml:space="preserve">, 168 Ill. App. 3d 1047, 119 Ill. Dec. 474, 522 N.E.2d 1333, 1338 (1st Dist. 1988); </w:t>
      </w:r>
      <w:r>
        <w:rPr>
          <w:i/>
          <w:iCs/>
        </w:rPr>
        <w:t>McRand, Inc. v. Van Beelen</w:t>
      </w:r>
      <w:r>
        <w:t xml:space="preserve">, 138 Ill. App. 3d 1045, 93 Ill. Dec. 471, 486 N.E.2d 1306, 1310 (1st Dist. 1985); </w:t>
      </w:r>
      <w:r>
        <w:rPr>
          <w:i/>
          <w:iCs/>
        </w:rPr>
        <w:t>Shorr Paper Prods. v. Frary</w:t>
      </w:r>
      <w:r>
        <w:t xml:space="preserve">, 74 Ill. App. 3d 498, 392 N.E.2d 1148, 1151 (2d Dist. 1979); </w:t>
      </w:r>
      <w:r>
        <w:rPr>
          <w:i/>
          <w:iCs/>
        </w:rPr>
        <w:t>Office Elecs. v. Grafic Forms</w:t>
      </w:r>
      <w:r>
        <w:t xml:space="preserve">, 56 Ill. App. 3d 395, 372 N.E.2d 125, 128 (2d Dist. 1978); </w:t>
      </w:r>
      <w:r>
        <w:rPr>
          <w:i/>
          <w:iCs/>
        </w:rPr>
        <w:t>McCormick v. Empire Accounts Serv.</w:t>
      </w:r>
      <w:r>
        <w:t xml:space="preserve">, 49 Ill. App. 3d 415, 364 N.E.2d 420, 421 (1st Dist. 1977). </w:t>
      </w:r>
      <w:r>
        <w:rPr>
          <w:i/>
          <w:iCs/>
        </w:rPr>
        <w:t>See also A.B. Dick Co. v. American Pro-Tech</w:t>
      </w:r>
      <w:r>
        <w:t xml:space="preserve">, 159 Ill. App. 3d 786, 791, 112 Ill. </w:t>
      </w:r>
      <w:r>
        <w:lastRenderedPageBreak/>
        <w:t xml:space="preserve">Dec. 649, 514 N.E.2d 45, 2 IER Cases 600 (1st Dist. 1987); </w:t>
      </w:r>
      <w:r>
        <w:rPr>
          <w:i/>
          <w:iCs/>
        </w:rPr>
        <w:t>Hydroaire, Inc. v. Sager</w:t>
      </w:r>
      <w:r>
        <w:t xml:space="preserve">, 98 Ill. App. 3d 758, 53 Ill. Dec. 928, 424 N.E.2d 719 (1st Dist. 1981); </w:t>
      </w:r>
      <w:r>
        <w:rPr>
          <w:i/>
          <w:iCs/>
        </w:rPr>
        <w:t>Booth v. Greber</w:t>
      </w:r>
      <w:r>
        <w:t xml:space="preserve">, 49 Ill. App. 3d 213, 6 Ill. Dec. 477, 363 N.E.2d 6 (1st Dist. 1977). In its formulation of the standard, the court in </w:t>
      </w:r>
      <w:r>
        <w:rPr>
          <w:i/>
          <w:iCs/>
        </w:rPr>
        <w:t>LSBZ Inc. v. Brokis,</w:t>
      </w:r>
      <w:r>
        <w:t xml:space="preserve"> 237 Ill. App. 3d 415, 177 Ill. Dec. 866, 603 N.E.2d 1240, 1247, 1247–48 (2d Dist. 1992), did not mention the fifth element.</w:t>
      </w:r>
    </w:p>
    <w:p w14:paraId="246321C0" w14:textId="76ED625C"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The former employer must establish the requisite elements by a preponderance of the evidence. </w:t>
      </w:r>
      <w:r>
        <w:rPr>
          <w:rFonts w:ascii="Baskerville" w:hAnsi="Baskerville" w:cs="Baskerville"/>
          <w:i/>
          <w:iCs/>
        </w:rPr>
        <w:t>Williams &amp; Montgomery, Ltd. v. Stellato</w:t>
      </w:r>
      <w:r>
        <w:rPr>
          <w:rFonts w:ascii="Baskerville" w:hAnsi="Baskerville" w:cs="Baskerville"/>
        </w:rPr>
        <w:t xml:space="preserve">, 195 Ill. App. 3d 544, 142 Ill. Dec. 359, 552 N.E.2d 1100, 1104 (1st Dist. 1990); </w:t>
      </w:r>
      <w:r>
        <w:rPr>
          <w:rFonts w:ascii="Baskerville" w:hAnsi="Baskerville" w:cs="Baskerville"/>
          <w:i/>
          <w:iCs/>
        </w:rPr>
        <w:t>Hydroaire, Inc. v. Sager</w:t>
      </w:r>
      <w:r>
        <w:rPr>
          <w:rFonts w:ascii="Baskerville" w:hAnsi="Baskerville" w:cs="Baskerville"/>
        </w:rPr>
        <w:t>, 98 Ill. App. 3d 758, 53 Ill. Dec. 928, 424 N.E.2d 719 (1st Dist. 1981).</w:t>
      </w:r>
      <w:r w:rsidR="00FB1D09">
        <w:rPr>
          <w:rFonts w:ascii="Baskerville" w:hAnsi="Baskerville" w:cs="Baskerville"/>
        </w:rPr>
        <w:t xml:space="preserve"> </w:t>
      </w:r>
      <w:r>
        <w:rPr>
          <w:rFonts w:ascii="Baskerville" w:hAnsi="Baskerville" w:cs="Baskerville"/>
        </w:rPr>
        <w:t>However, some courts have articulated that “[b]ecause a preliminary injunction is designed to preserve the status quo pending a decision on the merits, the plaintiff need not carry the same burden of proof that is required to support the ultimate issue.”</w:t>
      </w:r>
      <w:r w:rsidR="00FB1D09">
        <w:rPr>
          <w:rFonts w:ascii="Baskerville" w:hAnsi="Baskerville" w:cs="Baskerville"/>
        </w:rPr>
        <w:t xml:space="preserve"> </w:t>
      </w:r>
      <w:r>
        <w:rPr>
          <w:rFonts w:ascii="Baskerville" w:hAnsi="Baskerville" w:cs="Baskerville"/>
          <w:i/>
          <w:iCs/>
        </w:rPr>
        <w:t>Stenstron Petroleum Servs. Grp.</w:t>
      </w:r>
      <w:r>
        <w:rPr>
          <w:rFonts w:ascii="Baskerville" w:hAnsi="Baskerville" w:cs="Baskerville"/>
        </w:rPr>
        <w:t>, 375 Ill. App. 3d at 1089, 314 Ill. Dec. at 606, 874 N.E.2d at 971.</w:t>
      </w:r>
      <w:r w:rsidR="00FB1D09">
        <w:rPr>
          <w:rFonts w:ascii="Baskerville" w:hAnsi="Baskerville" w:cs="Baskerville"/>
        </w:rPr>
        <w:t xml:space="preserve"> </w:t>
      </w:r>
      <w:r>
        <w:rPr>
          <w:rFonts w:ascii="Baskerville" w:hAnsi="Baskerville" w:cs="Baskerville"/>
        </w:rPr>
        <w:t>“To satisfy the first and fourth requirements, a plaintiff need only raise a fair question as to the existence of the right which it claims and lead the court to believe it will probably be entitled to the relief requested if the proof sustains its allegations.”</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(citation omitted).</w:t>
      </w:r>
      <w:r w:rsidR="00FB1D09">
        <w:rPr>
          <w:rFonts w:ascii="Baskerville" w:hAnsi="Baskerville" w:cs="Baskerville"/>
        </w:rPr>
        <w:t xml:space="preserve"> </w:t>
      </w:r>
      <w:r>
        <w:rPr>
          <w:rFonts w:ascii="Baskerville" w:hAnsi="Baskerville" w:cs="Baskerville"/>
          <w:i/>
          <w:iCs/>
        </w:rPr>
        <w:t>See also</w:t>
      </w:r>
      <w:r>
        <w:rPr>
          <w:rFonts w:ascii="Baskerville" w:hAnsi="Baskerville" w:cs="Baskerville"/>
        </w:rPr>
        <w:t xml:space="preserve"> </w:t>
      </w:r>
      <w:r>
        <w:rPr>
          <w:rFonts w:ascii="Baskerville" w:hAnsi="Baskerville" w:cs="Baskerville"/>
          <w:i/>
          <w:iCs/>
        </w:rPr>
        <w:t xml:space="preserve">Lifetec, </w:t>
      </w:r>
      <w:r>
        <w:rPr>
          <w:rFonts w:ascii="Baskerville" w:hAnsi="Baskerville" w:cs="Baskerville"/>
        </w:rPr>
        <w:t>377 Ill. App. 3d at 269, 316 Ill. Dec. at 718, 880 N.E.2d at 196 (citations omitted</w:t>
      </w:r>
      <w:r w:rsidR="001A419C">
        <w:rPr>
          <w:rFonts w:ascii="Baskerville" w:hAnsi="Baskerville" w:cs="Baskerville"/>
        </w:rPr>
        <w:t>; appearing</w:t>
      </w:r>
      <w:r>
        <w:rPr>
          <w:rFonts w:ascii="Baskerville" w:hAnsi="Baskerville" w:cs="Baskerville"/>
        </w:rPr>
        <w:t xml:space="preserve"> not to limit standard to first and fourth factors).</w:t>
      </w:r>
    </w:p>
    <w:p w14:paraId="0A128E22"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A preliminary injunction to enjoin a violation of a restrictive covenant will be granted “only where an extreme emergency exists and serious harm would result in the absence of the injunction.” </w:t>
      </w:r>
      <w:r>
        <w:rPr>
          <w:rFonts w:ascii="Baskerville" w:hAnsi="Baskerville" w:cs="Baskerville"/>
          <w:i/>
          <w:iCs/>
        </w:rPr>
        <w:t>Peterson-Jorwic Grp. v. Pecora</w:t>
      </w:r>
      <w:r>
        <w:rPr>
          <w:rFonts w:ascii="Baskerville" w:hAnsi="Baskerville" w:cs="Baskerville"/>
        </w:rPr>
        <w:t xml:space="preserve">, 224 Ill. App. 3d 460, 166 Ill. Dec. 718, 586 N.E.2d 676, 677–78 (1st Dist. 1991) (citing </w:t>
      </w:r>
      <w:r>
        <w:rPr>
          <w:rFonts w:ascii="Baskerville" w:hAnsi="Baskerville" w:cs="Baskerville"/>
          <w:i/>
          <w:iCs/>
        </w:rPr>
        <w:t>Tyler Enters. of Elwood v. Shafer</w:t>
      </w:r>
      <w:r>
        <w:rPr>
          <w:rFonts w:ascii="Baskerville" w:hAnsi="Baskerville" w:cs="Baskerville"/>
        </w:rPr>
        <w:t xml:space="preserve">, 214 Ill. App. 3d 145, 148, 158 Ill. Dec. 50, 52, 573 N.E.2d 863, 865 (3d Dist. 1991)). “A party seeking a preliminary injunction must show that (1) he possesses a clear right or interest needing protection; (2) an inadequate remedy at law; (3) irreparable harm will result if it is not granted; and (4) there is a reasonable likelihood of success on the merits.” </w:t>
      </w:r>
      <w:r>
        <w:rPr>
          <w:rFonts w:ascii="Baskerville" w:hAnsi="Baskerville" w:cs="Baskerville"/>
          <w:i/>
          <w:iCs/>
        </w:rPr>
        <w:t>Audio Props., Inc. v. Kovach</w:t>
      </w:r>
      <w:r>
        <w:rPr>
          <w:rFonts w:ascii="Baskerville" w:hAnsi="Baskerville" w:cs="Baskerville"/>
        </w:rPr>
        <w:t xml:space="preserve">, 275 Ill. App. 3d 145, 147, 211 Ill. Dec. 651, 653, 655 N.E.2d 1034, 1036 (1st Dist. 1995) (citing </w:t>
      </w:r>
      <w:r>
        <w:rPr>
          <w:rFonts w:ascii="Baskerville" w:hAnsi="Baskerville" w:cs="Baskerville"/>
          <w:i/>
          <w:iCs/>
        </w:rPr>
        <w:t>Office Mates 5, N. Shore v. Hazen</w:t>
      </w:r>
      <w:r>
        <w:rPr>
          <w:rFonts w:ascii="Baskerville" w:hAnsi="Baskerville" w:cs="Baskerville"/>
        </w:rPr>
        <w:t xml:space="preserve">, 234 Ill. App. 3d 557, 567, 175 Ill. Dec. 58, 65, 599 N.E.2d 1072, 1079 (1st Dist. 1992); upholding denial of former employer’s request for </w:t>
      </w:r>
      <w:r>
        <w:rPr>
          <w:rFonts w:ascii="Baskerville" w:hAnsi="Baskerville" w:cs="Baskerville"/>
        </w:rPr>
        <w:lastRenderedPageBreak/>
        <w:t>preliminary injunctive relief on finding, at 1039, that employer had no protectable interest in its clientele).</w:t>
      </w:r>
    </w:p>
    <w:p w14:paraId="04E3577E"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The former employer must demonstrate how it would suffer injury, pecuniary or otherwise, as a result of a breach of the agreement. </w:t>
      </w:r>
      <w:r>
        <w:rPr>
          <w:rFonts w:ascii="Baskerville" w:hAnsi="Baskerville" w:cs="Baskerville"/>
          <w:i/>
          <w:iCs/>
        </w:rPr>
        <w:t xml:space="preserve">Peterson-Jorwic, </w:t>
      </w:r>
      <w:r>
        <w:rPr>
          <w:rFonts w:ascii="Baskerville" w:hAnsi="Baskerville" w:cs="Baskerville"/>
        </w:rPr>
        <w:t xml:space="preserve">586 N.E.2d at 678. The former employer’s allegations of irreparable injury and lack of an adequate remedy at law must allege, “with certainty and precision, specific facts regarding these elements.” </w:t>
      </w:r>
      <w:r>
        <w:rPr>
          <w:rFonts w:ascii="Baskerville" w:hAnsi="Baskerville" w:cs="Baskerville"/>
          <w:i/>
          <w:iCs/>
        </w:rPr>
        <w:t>Office Elecs. v. Adell,</w:t>
      </w:r>
      <w:r>
        <w:rPr>
          <w:rFonts w:ascii="Baskerville" w:hAnsi="Baskerville" w:cs="Baskerville"/>
        </w:rPr>
        <w:t xml:space="preserve"> 228 Ill. App. 3d 814, 818, 170 Ill. Dec. 843, 846, 593 N.E.2d 732, 735 (1st Dist. 1992) (court affirmed denial of former employer’s motion for preliminary injunction to enforce 1-year nonsolicitation covenant against former salesman of corporation engaged in manufacture and sale of printed business forms; court reasoned that former employer’s allegations of irreparable injury and lack of adequate legal remedy at law were “merely conclusory” and “failed to set forth facts with the detail necessary to support the issuance of a preliminary injunction;” </w:t>
      </w:r>
      <w:r>
        <w:rPr>
          <w:rFonts w:ascii="Baskerville" w:hAnsi="Baskerville" w:cs="Baskerville"/>
          <w:i/>
          <w:iCs/>
        </w:rPr>
        <w:t>id.</w:t>
      </w:r>
      <w:r>
        <w:rPr>
          <w:rFonts w:ascii="Baskerville" w:hAnsi="Baskerville" w:cs="Baskerville"/>
        </w:rPr>
        <w:t xml:space="preserve"> at 736).</w:t>
      </w:r>
    </w:p>
    <w:p w14:paraId="20A02589"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To preserve the status quo indefinitely by means of a permanent injunction, the former employer “must show that it possesses a clear protectable interest for which there is no adequate remedy at law and that irreparable injury would result if the relief is not granted.” </w:t>
      </w:r>
      <w:r>
        <w:rPr>
          <w:rFonts w:ascii="Baskerville" w:hAnsi="Baskerville" w:cs="Baskerville"/>
          <w:i/>
          <w:iCs/>
        </w:rPr>
        <w:t>Hamer Holding Grp. v. Elmore</w:t>
      </w:r>
      <w:r>
        <w:rPr>
          <w:rFonts w:ascii="Baskerville" w:hAnsi="Baskerville" w:cs="Baskerville"/>
        </w:rPr>
        <w:t xml:space="preserve">, 202 Ill. App. 3d 994, 1007, 148 Ill. Dec. 310, 318, 560 N.E.2d 907, 915 (1st Dist. 1990) (sale-of-business context) (citing </w:t>
      </w:r>
      <w:r>
        <w:rPr>
          <w:rFonts w:ascii="Baskerville" w:hAnsi="Baskerville" w:cs="Baskerville"/>
          <w:i/>
          <w:iCs/>
        </w:rPr>
        <w:t>Shapiro v. Regent Printing Co.</w:t>
      </w:r>
      <w:r>
        <w:rPr>
          <w:rFonts w:ascii="Baskerville" w:hAnsi="Baskerville" w:cs="Baskerville"/>
        </w:rPr>
        <w:t xml:space="preserve">, 192 Ill. App. 3d 1005, 1010–11, 140 Ill. Dec. 142, 549 N.E.2d 793 (1st Dist. 1989); </w:t>
      </w:r>
      <w:r>
        <w:rPr>
          <w:rFonts w:ascii="Baskerville" w:hAnsi="Baskerville" w:cs="Baskerville"/>
          <w:i/>
          <w:iCs/>
        </w:rPr>
        <w:t>Buzz Barton &amp; Assocs. v. Giannone</w:t>
      </w:r>
      <w:r>
        <w:rPr>
          <w:rFonts w:ascii="Baskerville" w:hAnsi="Baskerville" w:cs="Baskerville"/>
        </w:rPr>
        <w:t>, 108 Ill. 2d 373, 91 Ill. Dec. 636, 483 N.E.2d 1271 (1985)).</w:t>
      </w:r>
    </w:p>
    <w:p w14:paraId="3ACCCB6B" w14:textId="0CE3C4D7" w:rsidR="00655396" w:rsidRDefault="00655396" w:rsidP="008B512B">
      <w:pPr>
        <w:pStyle w:val="BodyText"/>
        <w:spacing w:line="240" w:lineRule="auto"/>
      </w:pPr>
      <w:r>
        <w:tab/>
        <w:t>Under Illinois law, “ongoing [unfair] competition itself is a sufficient basis” for injunctive relief to enforce a covenant not to compete, and a plaintiff’s “inability to show that particular business has been lost therefore does not foreclose equitable relief.”</w:t>
      </w:r>
      <w:r w:rsidR="00FB1D09">
        <w:t xml:space="preserve"> </w:t>
      </w:r>
      <w:r>
        <w:rPr>
          <w:i/>
          <w:iCs/>
        </w:rPr>
        <w:t>Hess Newmark Owens Wolf, Inc. v. Owens</w:t>
      </w:r>
      <w:r>
        <w:t>, 415 F.3d 630, 633 (7th Cir. 2005).</w:t>
      </w:r>
      <w:r w:rsidR="00FB1D09">
        <w:t xml:space="preserve"> </w:t>
      </w:r>
      <w:r>
        <w:rPr>
          <w:i/>
          <w:iCs/>
        </w:rPr>
        <w:t>See also</w:t>
      </w:r>
      <w:r>
        <w:t xml:space="preserve"> </w:t>
      </w:r>
      <w:r>
        <w:rPr>
          <w:i/>
          <w:iCs/>
        </w:rPr>
        <w:t>Lifetec, Inc. v. Edwards</w:t>
      </w:r>
      <w:r>
        <w:t>, 377 Ill. App. 3d 260, 272, 800 N.E.2d 188, 199 (4th Dist. 2007).</w:t>
      </w:r>
      <w:r w:rsidR="00FB1D09">
        <w:t xml:space="preserve"> </w:t>
      </w:r>
    </w:p>
    <w:p w14:paraId="5DA488C2" w14:textId="2A7A4ACC" w:rsidR="00655396" w:rsidRPr="00F46976" w:rsidRDefault="00655396" w:rsidP="008B512B">
      <w:pPr>
        <w:pStyle w:val="BodyText"/>
        <w:spacing w:line="240" w:lineRule="auto"/>
        <w:rPr>
          <w:lang w:val="nb-NO"/>
        </w:rPr>
      </w:pPr>
      <w:r>
        <w:tab/>
        <w:t>Prolonged interruptions in the continuity of business relationships can cause irremediable damages for which no compensation would be adequate.</w:t>
      </w:r>
      <w:r w:rsidR="00FB1D09">
        <w:t xml:space="preserve"> </w:t>
      </w:r>
      <w:r w:rsidRPr="00F46976">
        <w:rPr>
          <w:i/>
          <w:iCs/>
          <w:lang w:val="nb-NO"/>
        </w:rPr>
        <w:t>Stenstrom Petroleum</w:t>
      </w:r>
      <w:r w:rsidRPr="00F46976">
        <w:rPr>
          <w:lang w:val="nb-NO"/>
        </w:rPr>
        <w:t>, 375 Ill. App. 3d at 1096, 847 N.E.2d at 976.</w:t>
      </w:r>
    </w:p>
    <w:p w14:paraId="0C1F5FDC"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sidRPr="00F46976">
        <w:rPr>
          <w:rFonts w:ascii="Baskerville" w:hAnsi="Baskerville" w:cs="Baskerville"/>
          <w:lang w:val="nb-NO"/>
        </w:rPr>
        <w:tab/>
        <w:t xml:space="preserve"> </w:t>
      </w:r>
      <w:r>
        <w:rPr>
          <w:rFonts w:ascii="Baskerville" w:hAnsi="Baskerville" w:cs="Baskerville"/>
        </w:rPr>
        <w:t xml:space="preserve">“Once a protectable interest is established, irreparable injury is </w:t>
      </w:r>
      <w:r>
        <w:rPr>
          <w:rFonts w:ascii="Baskerville" w:hAnsi="Baskerville" w:cs="Baskerville"/>
        </w:rPr>
        <w:lastRenderedPageBreak/>
        <w:t xml:space="preserve">presumed to ensue if the interest is not protected.” </w:t>
      </w:r>
      <w:r>
        <w:rPr>
          <w:rFonts w:ascii="Baskerville" w:hAnsi="Baskerville" w:cs="Baskerville"/>
          <w:i/>
          <w:iCs/>
        </w:rPr>
        <w:t>Arpac Corp. v. Murray,</w:t>
      </w:r>
      <w:r>
        <w:rPr>
          <w:rFonts w:ascii="Baskerville" w:hAnsi="Baskerville" w:cs="Baskerville"/>
        </w:rPr>
        <w:t xml:space="preserve"> 226 Ill. App. 3d 65, 74, 168 Ill. Dec. 240, 248, 589 N.E.2d 640, 648 (1st Dist. 1992).</w:t>
      </w:r>
    </w:p>
    <w:p w14:paraId="2AAD252F"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spacing w:val="-1"/>
        </w:rPr>
      </w:pPr>
      <w:r>
        <w:rPr>
          <w:rFonts w:ascii="Baskerville" w:hAnsi="Baskerville" w:cs="Baskerville"/>
          <w:spacing w:val="-1"/>
        </w:rPr>
        <w:tab/>
        <w:t xml:space="preserve">Similarly, where the employer’s “protectable interest” in its clientele—in terms of permanency or near-permanency—is “inherent in the relationships alleged,” the “irreparable nature of the injury” is also “inherent.” </w:t>
      </w:r>
      <w:r>
        <w:rPr>
          <w:rFonts w:ascii="Baskerville" w:hAnsi="Baskerville" w:cs="Baskerville"/>
          <w:i/>
          <w:iCs/>
          <w:spacing w:val="-1"/>
        </w:rPr>
        <w:t>Sarah Bush Lincoln Health Ctr. v. Perket,</w:t>
      </w:r>
      <w:r>
        <w:rPr>
          <w:rFonts w:ascii="Baskerville" w:hAnsi="Baskerville" w:cs="Baskerville"/>
          <w:spacing w:val="-1"/>
        </w:rPr>
        <w:t xml:space="preserve"> 238 Ill. App. 3d 958, 1007, 178 Ill. Dec. 819, 823, 605 N.E.2d 613, 617 (4th Dist. 1993).</w:t>
      </w:r>
    </w:p>
    <w:p w14:paraId="4F7840A2"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A showing of irreparable harm is related to proof of a protectable interest. </w:t>
      </w:r>
      <w:r>
        <w:rPr>
          <w:rFonts w:ascii="Baskerville" w:hAnsi="Baskerville" w:cs="Baskerville"/>
          <w:i/>
          <w:iCs/>
        </w:rPr>
        <w:t xml:space="preserve">Tyler Enters., </w:t>
      </w:r>
      <w:r>
        <w:rPr>
          <w:rFonts w:ascii="Baskerville" w:hAnsi="Baskerville" w:cs="Baskerville"/>
        </w:rPr>
        <w:t xml:space="preserve">573 N.E.2d at 866. Irreparable injury can be presumed by the former employee’s establishment of a competing business in breach of a restrictive covenant where long-term customer relationships are at stake. </w:t>
      </w:r>
      <w:r>
        <w:rPr>
          <w:rFonts w:ascii="Baskerville" w:hAnsi="Baskerville" w:cs="Baskerville"/>
          <w:i/>
          <w:iCs/>
        </w:rPr>
        <w:t>Id.</w:t>
      </w:r>
      <w:r>
        <w:rPr>
          <w:rFonts w:ascii="Baskerville" w:hAnsi="Baskerville" w:cs="Baskerville"/>
        </w:rPr>
        <w:t xml:space="preserve"> However, that presumption is rebuttable by evidence that the former employer suffers no loss as a result of the breach. </w:t>
      </w:r>
      <w:r>
        <w:rPr>
          <w:rFonts w:ascii="Baskerville" w:hAnsi="Baskerville" w:cs="Baskerville"/>
          <w:i/>
          <w:iCs/>
        </w:rPr>
        <w:t xml:space="preserve">Peterson-Jorwic, </w:t>
      </w:r>
      <w:r>
        <w:rPr>
          <w:rFonts w:ascii="Baskerville" w:hAnsi="Baskerville" w:cs="Baskerville"/>
        </w:rPr>
        <w:t>586 N.E.2d at 678.</w:t>
      </w:r>
    </w:p>
    <w:p w14:paraId="53546868"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Possibility of irreparable injury was established in </w:t>
      </w:r>
      <w:r>
        <w:rPr>
          <w:rFonts w:ascii="Baskerville" w:hAnsi="Baskerville" w:cs="Baskerville"/>
          <w:i/>
          <w:iCs/>
        </w:rPr>
        <w:t>Arpac Corp., supra,</w:t>
      </w:r>
      <w:r>
        <w:rPr>
          <w:rFonts w:ascii="Baskerville" w:hAnsi="Baskerville" w:cs="Baskerville"/>
        </w:rPr>
        <w:t xml:space="preserve"> where the employer showed the former employee, immediately after leaving employment, set up a competing corporation the sole purpose of which was to compete with the employer. 589 N.E.2d at 648.</w:t>
      </w:r>
    </w:p>
    <w:p w14:paraId="68364AA6"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An employer’s request for monetary damages does not preclude findings of irreparable injury and absence of an adequate remedy at law. </w:t>
      </w:r>
      <w:r>
        <w:rPr>
          <w:rFonts w:ascii="Baskerville" w:hAnsi="Baskerville" w:cs="Baskerville"/>
          <w:i/>
          <w:iCs/>
        </w:rPr>
        <w:t xml:space="preserve">Sarah Bush, </w:t>
      </w:r>
      <w:r>
        <w:rPr>
          <w:rFonts w:ascii="Baskerville" w:hAnsi="Baskerville" w:cs="Baskerville"/>
        </w:rPr>
        <w:t>605 N.E.2d at 617.</w:t>
      </w:r>
    </w:p>
    <w:p w14:paraId="05DABF97"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spacing w:val="-1"/>
        </w:rPr>
      </w:pPr>
      <w:r>
        <w:rPr>
          <w:rFonts w:ascii="Baskerville" w:hAnsi="Baskerville" w:cs="Baskerville"/>
          <w:spacing w:val="-1"/>
        </w:rPr>
        <w:tab/>
        <w:t xml:space="preserve">Proof of only a speculative possibility of injury does not satisfy the irreparable harm requirement. </w:t>
      </w:r>
      <w:r>
        <w:rPr>
          <w:rFonts w:ascii="Baskerville" w:hAnsi="Baskerville" w:cs="Baskerville"/>
          <w:i/>
          <w:iCs/>
          <w:spacing w:val="-1"/>
        </w:rPr>
        <w:t>Smith</w:t>
      </w:r>
      <w:r>
        <w:rPr>
          <w:rFonts w:ascii="Baskerville" w:hAnsi="Baskerville" w:cs="Baskerville"/>
          <w:spacing w:val="-1"/>
        </w:rPr>
        <w:t xml:space="preserve">, 548 N.E.2d at 1337. On this principle, an Illinois court of appeals declined to uphold an injunction enforcing nonsolicitation and noncompetition clauses against an attorney formerly employed by the plaintiff. Although a number of clients discharged the former employer after the attorney’s departure, that fact did not constitute evidence that the attorney had violated the nonsolicitation covenant, especially in light of evidence that the clients were concerned over the firm’s reduced manpower and stability. According to the court, there was no evidence that the attorney solicited or accepted, or intended to solicit or accept, business from the former employer’s clients. “In the absence of such evidence, injunctive relief premised upon the restrictive covenant was improper,” the court ruled, adding that “[i]t would have been sheer </w:t>
      </w:r>
      <w:r>
        <w:rPr>
          <w:rFonts w:ascii="Baskerville" w:hAnsi="Baskerville" w:cs="Baskerville"/>
          <w:spacing w:val="-1"/>
        </w:rPr>
        <w:lastRenderedPageBreak/>
        <w:t xml:space="preserve">speculation for the trial court to have concluded that [the former employer was] likely to suffer irreparable harm, from breaches of the restrictive covenants when they presented no evidence that [the former employee] had violated the covenants or intended to do so.” </w:t>
      </w:r>
      <w:r>
        <w:rPr>
          <w:rFonts w:ascii="Baskerville" w:hAnsi="Baskerville" w:cs="Baskerville"/>
          <w:i/>
          <w:iCs/>
          <w:spacing w:val="-1"/>
        </w:rPr>
        <w:t>Id.</w:t>
      </w:r>
      <w:r>
        <w:rPr>
          <w:rFonts w:ascii="Baskerville" w:hAnsi="Baskerville" w:cs="Baskerville"/>
          <w:spacing w:val="-1"/>
        </w:rPr>
        <w:t xml:space="preserve"> The court specifically distinguished the facts of the case from those in </w:t>
      </w:r>
      <w:r>
        <w:rPr>
          <w:rFonts w:ascii="Baskerville" w:hAnsi="Baskerville" w:cs="Baskerville"/>
          <w:i/>
          <w:iCs/>
          <w:spacing w:val="-1"/>
        </w:rPr>
        <w:t>Armour &amp; Co. v. United American Food Processors</w:t>
      </w:r>
      <w:r>
        <w:rPr>
          <w:rFonts w:ascii="Baskerville" w:hAnsi="Baskerville" w:cs="Baskerville"/>
          <w:spacing w:val="-1"/>
        </w:rPr>
        <w:t xml:space="preserve">, 37 Ill. App. 3d 132, 345 N.E.2d 795 (1st Dist. 1976), in which there was evidence that the former employees intended to solicit the former employer’s customers. </w:t>
      </w:r>
      <w:r>
        <w:rPr>
          <w:rFonts w:ascii="Baskerville" w:hAnsi="Baskerville" w:cs="Baskerville"/>
          <w:i/>
          <w:iCs/>
          <w:spacing w:val="-1"/>
        </w:rPr>
        <w:t>See also Williams &amp; Montgomery v. Stellato</w:t>
      </w:r>
      <w:r>
        <w:rPr>
          <w:rFonts w:ascii="Baskerville" w:hAnsi="Baskerville" w:cs="Baskerville"/>
          <w:spacing w:val="-1"/>
        </w:rPr>
        <w:t xml:space="preserve">, 195 Ill. App. 3d 544, 142 Ill. Dec. 359, 552 N.E.2d 1100 (1st Dist. 1990) (evidence that former partners had made certain lunch or golf appointments with representatives of law firm’s clients did not support firm’s contention that former partners had actually solicited firm’s clients); </w:t>
      </w:r>
      <w:r>
        <w:rPr>
          <w:rFonts w:ascii="Baskerville" w:hAnsi="Baskerville" w:cs="Baskerville"/>
          <w:i/>
          <w:iCs/>
          <w:spacing w:val="-1"/>
        </w:rPr>
        <w:t>Smith Waters, Kuehn, Burnett &amp; Hughes, Ltd. v. Burnett</w:t>
      </w:r>
      <w:r>
        <w:rPr>
          <w:rFonts w:ascii="Baskerville" w:hAnsi="Baskerville" w:cs="Baskerville"/>
          <w:spacing w:val="-1"/>
        </w:rPr>
        <w:t>, 192 Ill. App. 3d 693, 139 Ill. Dec. 617, 548 N.E.2d 1331 (3d Dist. 1989).</w:t>
      </w:r>
    </w:p>
    <w:p w14:paraId="421C69B8" w14:textId="64066CFB" w:rsidR="00E56CAB" w:rsidRPr="006A121F" w:rsidRDefault="00655396" w:rsidP="006A121F">
      <w:pPr>
        <w:shd w:val="clear" w:color="auto" w:fill="FFFFFF"/>
        <w:rPr>
          <w:rFonts w:ascii="Baskerville" w:hAnsi="Baskerville"/>
          <w:color w:val="000000" w:themeColor="text1"/>
        </w:rPr>
      </w:pPr>
      <w:r>
        <w:rPr>
          <w:rFonts w:ascii="Baskerville" w:hAnsi="Baskerville" w:cs="Baskerville"/>
        </w:rPr>
        <w:tab/>
      </w:r>
      <w:r w:rsidRPr="006A121F">
        <w:rPr>
          <w:rFonts w:ascii="Baskerville" w:hAnsi="Baskerville"/>
          <w:color w:val="000000" w:themeColor="text1"/>
        </w:rPr>
        <w:t xml:space="preserve">As to the likelihood of success on the merits, the proof need not be “incontrovertible or complete in every detail.” </w:t>
      </w:r>
      <w:r w:rsidRPr="006A121F">
        <w:rPr>
          <w:rFonts w:ascii="Baskerville" w:hAnsi="Baskerville"/>
          <w:i/>
          <w:color w:val="000000" w:themeColor="text1"/>
        </w:rPr>
        <w:t xml:space="preserve">Tyler Enters., </w:t>
      </w:r>
      <w:r w:rsidRPr="006A121F">
        <w:rPr>
          <w:rFonts w:ascii="Baskerville" w:hAnsi="Baskerville"/>
          <w:color w:val="000000" w:themeColor="text1"/>
        </w:rPr>
        <w:t xml:space="preserve">573 N.E.2d at 867. “All that is necessary is that [the former employer] raise a fair question as to the existence of the right claimed and lead the court to believe he probably will be entitled to the relief prayed for if the proof should sustain his allegations.” </w:t>
      </w:r>
      <w:r w:rsidRPr="006A121F">
        <w:rPr>
          <w:rFonts w:ascii="Baskerville" w:hAnsi="Baskerville"/>
          <w:i/>
          <w:color w:val="000000" w:themeColor="text1"/>
        </w:rPr>
        <w:t>Id.</w:t>
      </w:r>
      <w:r w:rsidRPr="006A121F">
        <w:rPr>
          <w:rFonts w:ascii="Baskerville" w:hAnsi="Baskerville"/>
          <w:color w:val="000000" w:themeColor="text1"/>
        </w:rPr>
        <w:t xml:space="preserve"> (citing </w:t>
      </w:r>
      <w:r w:rsidRPr="006A121F">
        <w:rPr>
          <w:rFonts w:ascii="Baskerville" w:hAnsi="Baskerville"/>
          <w:i/>
          <w:color w:val="000000" w:themeColor="text1"/>
        </w:rPr>
        <w:t>Office Elecs. v. Grafic Forms</w:t>
      </w:r>
      <w:r w:rsidRPr="006A121F">
        <w:rPr>
          <w:rFonts w:ascii="Baskerville" w:hAnsi="Baskerville"/>
          <w:color w:val="000000" w:themeColor="text1"/>
        </w:rPr>
        <w:t xml:space="preserve">, 56 Ill. App. 3d 395, 14 Ill. Dec. 320, 372 N.E.2d 125 (2d Dist. 1978)). Likewise, that is all that is required for the former employer to do to establish that it possesses a clearly ascertained right in need of protection. </w:t>
      </w:r>
      <w:r w:rsidRPr="006A121F">
        <w:rPr>
          <w:rFonts w:ascii="Baskerville" w:hAnsi="Baskerville"/>
          <w:i/>
          <w:color w:val="000000" w:themeColor="text1"/>
        </w:rPr>
        <w:t xml:space="preserve">LSBZ, </w:t>
      </w:r>
      <w:r w:rsidRPr="006A121F">
        <w:rPr>
          <w:rFonts w:ascii="Baskerville" w:hAnsi="Baskerville"/>
          <w:color w:val="000000" w:themeColor="text1"/>
        </w:rPr>
        <w:t>603 N.E.2d at 1247.</w:t>
      </w:r>
      <w:r w:rsidR="003D4127">
        <w:rPr>
          <w:rFonts w:ascii="Baskerville" w:hAnsi="Baskerville" w:cs="Baskerville"/>
          <w:color w:val="000000" w:themeColor="text1"/>
        </w:rPr>
        <w:t xml:space="preserve"> </w:t>
      </w:r>
      <w:r w:rsidR="00E56CAB" w:rsidRPr="00D8286E">
        <w:rPr>
          <w:rFonts w:ascii="Baskerville" w:hAnsi="Baskerville" w:cs="Baskerville"/>
          <w:i/>
          <w:iCs/>
          <w:color w:val="000000" w:themeColor="text1"/>
        </w:rPr>
        <w:t>See</w:t>
      </w:r>
      <w:r w:rsidR="00E56CAB" w:rsidRPr="00D8286E">
        <w:rPr>
          <w:rFonts w:ascii="Baskerville" w:hAnsi="Baskerville" w:cs="Open Sans"/>
          <w:i/>
          <w:iCs/>
          <w:color w:val="000000" w:themeColor="text1"/>
        </w:rPr>
        <w:t xml:space="preserve"> Medcor, Inc. v. Garcia</w:t>
      </w:r>
      <w:r w:rsidR="00E56CAB" w:rsidRPr="00E56CAB">
        <w:rPr>
          <w:rFonts w:ascii="Baskerville" w:hAnsi="Baskerville" w:cs="Open Sans"/>
          <w:color w:val="000000" w:themeColor="text1"/>
        </w:rPr>
        <w:t xml:space="preserve">, 2022 BL 12783, at *7 (N.D. Ill. Jan. 13, 2022) (finding that, on at least one theory, former employer showed “some likelihood” that former employee had breached noncompete, nondisclosure, and nonsolicitation covenants by soliciting customers; finding, </w:t>
      </w:r>
      <w:r w:rsidR="00E56CAB" w:rsidRPr="003D4127">
        <w:rPr>
          <w:rFonts w:ascii="Baskerville" w:hAnsi="Baskerville" w:cs="Open Sans"/>
          <w:i/>
          <w:iCs/>
          <w:color w:val="000000" w:themeColor="text1"/>
        </w:rPr>
        <w:t>id</w:t>
      </w:r>
      <w:r w:rsidR="00E56CAB" w:rsidRPr="00E56CAB">
        <w:rPr>
          <w:rFonts w:ascii="Baskerville" w:hAnsi="Baskerville" w:cs="Open Sans"/>
          <w:color w:val="000000" w:themeColor="text1"/>
        </w:rPr>
        <w:t>. at n.7, that former employer did not show likelihood of success on theory that former employee</w:t>
      </w:r>
      <w:r w:rsidR="003D4127">
        <w:rPr>
          <w:rFonts w:ascii="Baskerville" w:hAnsi="Baskerville" w:cs="Open Sans"/>
          <w:color w:val="000000" w:themeColor="text1"/>
        </w:rPr>
        <w:t xml:space="preserve"> had</w:t>
      </w:r>
      <w:r w:rsidR="00E56CAB" w:rsidRPr="00E56CAB">
        <w:rPr>
          <w:rFonts w:ascii="Baskerville" w:hAnsi="Baskerville" w:cs="Open Sans"/>
          <w:color w:val="000000" w:themeColor="text1"/>
        </w:rPr>
        <w:t xml:space="preserve"> solicited other employees).</w:t>
      </w:r>
    </w:p>
    <w:p w14:paraId="4C751D35"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With respect to likelihood of success, courts applying Illinois law carefully scrutinize restrictive covenants to ensure that they are</w:t>
      </w:r>
    </w:p>
    <w:p w14:paraId="43EE603B" w14:textId="77777777" w:rsidR="00655396" w:rsidRDefault="00655396" w:rsidP="008B512B">
      <w:pPr>
        <w:pStyle w:val="BodyText"/>
        <w:spacing w:line="240" w:lineRule="auto"/>
      </w:pPr>
    </w:p>
    <w:p w14:paraId="2AEE9971" w14:textId="76BD86B9"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connected to legitimate business interests, and not simply intended to stifle competition.</w:t>
      </w:r>
      <w:r w:rsidR="00FB1D09">
        <w:rPr>
          <w:rFonts w:ascii="Baskerville" w:hAnsi="Baskerville" w:cs="Baskerville"/>
          <w:sz w:val="22"/>
          <w:szCs w:val="22"/>
        </w:rPr>
        <w:t xml:space="preserve"> </w:t>
      </w:r>
      <w:r>
        <w:rPr>
          <w:rFonts w:ascii="Baskerville" w:hAnsi="Baskerville" w:cs="Baskerville"/>
          <w:i/>
          <w:iCs/>
          <w:sz w:val="22"/>
          <w:szCs w:val="22"/>
        </w:rPr>
        <w:t>George S. May Int’l Co. v. International Profit Assocs.</w:t>
      </w:r>
      <w:r>
        <w:rPr>
          <w:rFonts w:ascii="Baskerville" w:hAnsi="Baskerville" w:cs="Baskerville"/>
          <w:sz w:val="22"/>
          <w:szCs w:val="22"/>
        </w:rPr>
        <w:t xml:space="preserve">, 256 Ill. App. 3d 779, 195 Ill. Dec. 183, 189, 628 N.E.2d 647, 653 (Ill. App. Ct. 1983), </w:t>
      </w:r>
      <w:r>
        <w:rPr>
          <w:rFonts w:ascii="Baskerville" w:hAnsi="Baskerville" w:cs="Baskerville"/>
          <w:i/>
          <w:iCs/>
          <w:sz w:val="22"/>
          <w:szCs w:val="22"/>
        </w:rPr>
        <w:t>appeal denied</w:t>
      </w:r>
      <w:r>
        <w:rPr>
          <w:rFonts w:ascii="Baskerville" w:hAnsi="Baskerville" w:cs="Baskerville"/>
          <w:sz w:val="22"/>
          <w:szCs w:val="22"/>
        </w:rPr>
        <w:t xml:space="preserve">, 156 Ill. 2d 557, 202 Ill. Dec. </w:t>
      </w:r>
      <w:r>
        <w:rPr>
          <w:rFonts w:ascii="Baskerville" w:hAnsi="Baskerville" w:cs="Baskerville"/>
          <w:sz w:val="22"/>
          <w:szCs w:val="22"/>
        </w:rPr>
        <w:lastRenderedPageBreak/>
        <w:t xml:space="preserve">921, 638 N.E.2d 1115 (Ill. 1994); </w:t>
      </w:r>
      <w:r>
        <w:rPr>
          <w:rFonts w:ascii="Baskerville" w:hAnsi="Baskerville" w:cs="Baskerville"/>
          <w:i/>
          <w:iCs/>
          <w:sz w:val="22"/>
          <w:szCs w:val="22"/>
        </w:rPr>
        <w:t>see Rao v. Rao</w:t>
      </w:r>
      <w:r>
        <w:rPr>
          <w:rFonts w:ascii="Baskerville" w:hAnsi="Baskerville" w:cs="Baskerville"/>
          <w:sz w:val="22"/>
          <w:szCs w:val="22"/>
        </w:rPr>
        <w:t>, 718 F.2d 219, 223 (7th Cir. 1983).</w:t>
      </w:r>
      <w:r w:rsidR="00FB1D09">
        <w:rPr>
          <w:rFonts w:ascii="Baskerville" w:hAnsi="Baskerville" w:cs="Baskerville"/>
          <w:sz w:val="22"/>
          <w:szCs w:val="22"/>
        </w:rPr>
        <w:t xml:space="preserve"> </w:t>
      </w:r>
      <w:r>
        <w:rPr>
          <w:rFonts w:ascii="Baskerville" w:hAnsi="Baskerville" w:cs="Baskerville"/>
          <w:sz w:val="22"/>
          <w:szCs w:val="22"/>
        </w:rPr>
        <w:t>Thus, to be enforceable, a restrictive covenant must be ancillary to either a sales agreement or an employment agreement.</w:t>
      </w:r>
      <w:r w:rsidR="00FB1D09">
        <w:rPr>
          <w:rFonts w:ascii="Baskerville" w:hAnsi="Baskerville" w:cs="Baskerville"/>
          <w:sz w:val="22"/>
          <w:szCs w:val="22"/>
        </w:rPr>
        <w:t xml:space="preserve"> </w:t>
      </w:r>
      <w:r>
        <w:rPr>
          <w:rFonts w:ascii="Baskerville" w:hAnsi="Baskerville" w:cs="Baskerville"/>
          <w:i/>
          <w:iCs/>
          <w:sz w:val="22"/>
          <w:szCs w:val="22"/>
        </w:rPr>
        <w:t>See Business Records Corp. v. Lueth</w:t>
      </w:r>
      <w:r>
        <w:rPr>
          <w:rFonts w:ascii="Baskerville" w:hAnsi="Baskerville" w:cs="Baskerville"/>
          <w:sz w:val="22"/>
          <w:szCs w:val="22"/>
        </w:rPr>
        <w:t xml:space="preserve">, 981 F.2d 957, 959 (7th Cir. 1992); </w:t>
      </w:r>
      <w:r>
        <w:rPr>
          <w:rFonts w:ascii="Baskerville" w:hAnsi="Baskerville" w:cs="Baskerville"/>
          <w:i/>
          <w:iCs/>
          <w:sz w:val="22"/>
          <w:szCs w:val="22"/>
        </w:rPr>
        <w:t>Hamer Holding Group, Inc. v. Elmore</w:t>
      </w:r>
      <w:r>
        <w:rPr>
          <w:rFonts w:ascii="Baskerville" w:hAnsi="Baskerville" w:cs="Baskerville"/>
          <w:sz w:val="22"/>
          <w:szCs w:val="22"/>
        </w:rPr>
        <w:t xml:space="preserve"> (</w:t>
      </w:r>
      <w:r>
        <w:rPr>
          <w:rFonts w:ascii="Baskerville" w:hAnsi="Baskerville" w:cs="Baskerville"/>
          <w:i/>
          <w:iCs/>
          <w:sz w:val="22"/>
          <w:szCs w:val="22"/>
        </w:rPr>
        <w:t>Hamer I</w:t>
      </w:r>
      <w:r>
        <w:rPr>
          <w:rFonts w:ascii="Baskerville" w:hAnsi="Baskerville" w:cs="Baskerville"/>
          <w:sz w:val="22"/>
          <w:szCs w:val="22"/>
        </w:rPr>
        <w:t>), 202 Ill. App. 3d 994, 148 Ill. Dec. 310, 318, 560 N.E.2d 907, 915 (1990).</w:t>
      </w:r>
      <w:r w:rsidR="00FB1D09">
        <w:rPr>
          <w:rFonts w:ascii="Baskerville" w:hAnsi="Baskerville" w:cs="Baskerville"/>
          <w:sz w:val="22"/>
          <w:szCs w:val="22"/>
        </w:rPr>
        <w:t xml:space="preserve"> </w:t>
      </w:r>
      <w:r>
        <w:rPr>
          <w:rFonts w:ascii="Baskerville" w:hAnsi="Baskerville" w:cs="Baskerville"/>
          <w:sz w:val="22"/>
          <w:szCs w:val="22"/>
        </w:rPr>
        <w:t>This distinction is based on the different interests each type of covenant seeks to protect.</w:t>
      </w:r>
    </w:p>
    <w:p w14:paraId="1E814E02" w14:textId="77777777" w:rsidR="00655396" w:rsidRDefault="00655396" w:rsidP="008B512B">
      <w:pPr>
        <w:pStyle w:val="NoParagraphStyle"/>
        <w:tabs>
          <w:tab w:val="left" w:pos="1440"/>
        </w:tabs>
        <w:spacing w:line="240" w:lineRule="auto"/>
        <w:ind w:left="960"/>
        <w:jc w:val="both"/>
        <w:rPr>
          <w:rFonts w:ascii="Baskerville" w:hAnsi="Baskerville" w:cs="Baskerville"/>
          <w:sz w:val="22"/>
          <w:szCs w:val="22"/>
        </w:rPr>
      </w:pPr>
      <w:r>
        <w:rPr>
          <w:rFonts w:ascii="Baskerville" w:hAnsi="Baskerville" w:cs="Baskerville"/>
          <w:sz w:val="22"/>
          <w:szCs w:val="22"/>
        </w:rPr>
        <w:t>Whereas a covenant ancillary to an employment contract shields the employer from the possibility of losing his clientele to an employee who appropriates proprietary customer information for his own benefit, and also shields him from the possibility of losing customers with whom he enjoys a near-permanent relationship; a covenant ancillary to the sale of a business ensures that the former owner will not walk away from the sale with the company’s customers and goodwill, leaving the buyer with an acquisition that turns out to be only chimerical.</w:t>
      </w:r>
    </w:p>
    <w:p w14:paraId="619A60EA" w14:textId="133A42A2"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i/>
          <w:iCs/>
          <w:sz w:val="22"/>
          <w:szCs w:val="22"/>
        </w:rPr>
        <w:t>Hamer I</w:t>
      </w:r>
      <w:r>
        <w:rPr>
          <w:rFonts w:ascii="Baskerville" w:hAnsi="Baskerville" w:cs="Baskerville"/>
          <w:sz w:val="22"/>
          <w:szCs w:val="22"/>
        </w:rPr>
        <w:t xml:space="preserve">, 148 Ill. Dec. at 319, 560 N.E.2d at 916; </w:t>
      </w:r>
      <w:r>
        <w:rPr>
          <w:rFonts w:ascii="Baskerville" w:hAnsi="Baskerville" w:cs="Baskerville"/>
          <w:i/>
          <w:iCs/>
          <w:sz w:val="22"/>
          <w:szCs w:val="22"/>
        </w:rPr>
        <w:t>see Lueth</w:t>
      </w:r>
      <w:r>
        <w:rPr>
          <w:rFonts w:ascii="Baskerville" w:hAnsi="Baskerville" w:cs="Baskerville"/>
          <w:sz w:val="22"/>
          <w:szCs w:val="22"/>
        </w:rPr>
        <w:t>, 981 F.2d at 959–60.</w:t>
      </w:r>
      <w:r w:rsidR="00FB1D09">
        <w:rPr>
          <w:rFonts w:ascii="Baskerville" w:hAnsi="Baskerville" w:cs="Baskerville"/>
          <w:sz w:val="22"/>
          <w:szCs w:val="22"/>
        </w:rPr>
        <w:t xml:space="preserve"> </w:t>
      </w:r>
      <w:r>
        <w:rPr>
          <w:rFonts w:ascii="Baskerville" w:hAnsi="Baskerville" w:cs="Baskerville"/>
          <w:sz w:val="22"/>
          <w:szCs w:val="22"/>
        </w:rPr>
        <w:t>The classification of a covenant into one of these two categories is critical, since a covenant ancillary to the sale of a business need only be reasonable in duration, geographical area, and scope to be enforceable.</w:t>
      </w:r>
      <w:r w:rsidR="00FB1D09">
        <w:rPr>
          <w:rFonts w:ascii="Baskerville" w:hAnsi="Baskerville" w:cs="Baskerville"/>
          <w:sz w:val="22"/>
          <w:szCs w:val="22"/>
        </w:rPr>
        <w:t xml:space="preserve"> </w:t>
      </w:r>
      <w:r>
        <w:rPr>
          <w:rFonts w:ascii="Baskerville" w:hAnsi="Baskerville" w:cs="Baskerville"/>
          <w:i/>
          <w:iCs/>
          <w:sz w:val="22"/>
          <w:szCs w:val="22"/>
        </w:rPr>
        <w:t>Hamer I</w:t>
      </w:r>
      <w:r>
        <w:rPr>
          <w:rFonts w:ascii="Baskerville" w:hAnsi="Baskerville" w:cs="Baskerville"/>
          <w:sz w:val="22"/>
          <w:szCs w:val="22"/>
        </w:rPr>
        <w:t>, 148 Ill. Dec. at 318, 560 N.E.2d at 915.</w:t>
      </w:r>
      <w:r w:rsidR="00FB1D09">
        <w:rPr>
          <w:rFonts w:ascii="Baskerville" w:hAnsi="Baskerville" w:cs="Baskerville"/>
          <w:sz w:val="22"/>
          <w:szCs w:val="22"/>
        </w:rPr>
        <w:t xml:space="preserve"> </w:t>
      </w:r>
      <w:r>
        <w:rPr>
          <w:rFonts w:ascii="Baskerville" w:hAnsi="Baskerville" w:cs="Baskerville"/>
          <w:sz w:val="22"/>
          <w:szCs w:val="22"/>
        </w:rPr>
        <w:t>By contrast, a covenant ancillary to an employment agreement will be enforceable only if the employer demonstrates, in addition to the reasonableness of the restriction, certain special circumstances: (1) a “near-permanent” relationship between the employer and its customers, and that but for his association with the employer, the former employee would not have had contact with the customers; or (2) the acquisition and attempted use of confidential information by the employee.</w:t>
      </w:r>
      <w:r w:rsidR="00FB1D09">
        <w:rPr>
          <w:rFonts w:ascii="Baskerville" w:hAnsi="Baskerville" w:cs="Baskerville"/>
          <w:sz w:val="22"/>
          <w:szCs w:val="22"/>
        </w:rPr>
        <w:t xml:space="preserve"> </w:t>
      </w:r>
      <w:r>
        <w:rPr>
          <w:rFonts w:ascii="Baskerville" w:hAnsi="Baskerville" w:cs="Baskerville"/>
          <w:i/>
          <w:iCs/>
          <w:sz w:val="22"/>
          <w:szCs w:val="22"/>
        </w:rPr>
        <w:t>Audio Properties, Inc. v. Kovach</w:t>
      </w:r>
      <w:r>
        <w:rPr>
          <w:rFonts w:ascii="Baskerville" w:hAnsi="Baskerville" w:cs="Baskerville"/>
          <w:sz w:val="22"/>
          <w:szCs w:val="22"/>
        </w:rPr>
        <w:t xml:space="preserve">, 275 Ill. App. 3d 145, 211 Ill. Dec. 651, 654, 655 N.E.2d at 1034, 1037 ([1st Dist.] 1995); </w:t>
      </w:r>
      <w:r>
        <w:rPr>
          <w:rFonts w:ascii="Baskerville" w:hAnsi="Baskerville" w:cs="Baskerville"/>
          <w:i/>
          <w:iCs/>
          <w:sz w:val="22"/>
          <w:szCs w:val="22"/>
        </w:rPr>
        <w:t>Hamer I</w:t>
      </w:r>
      <w:r>
        <w:rPr>
          <w:rFonts w:ascii="Baskerville" w:hAnsi="Baskerville" w:cs="Baskerville"/>
          <w:sz w:val="22"/>
          <w:szCs w:val="22"/>
        </w:rPr>
        <w:t>, 148 Ill. Dec. at 418–19, 560 N.E.2d at 915–16.</w:t>
      </w:r>
    </w:p>
    <w:p w14:paraId="7A84E811" w14:textId="77777777" w:rsidR="00655396" w:rsidRDefault="00655396" w:rsidP="008B512B">
      <w:pPr>
        <w:pStyle w:val="BodyText"/>
        <w:spacing w:line="240" w:lineRule="auto"/>
      </w:pPr>
    </w:p>
    <w:p w14:paraId="57C7C611" w14:textId="77777777" w:rsidR="00655396" w:rsidRPr="006A121F" w:rsidRDefault="00655396" w:rsidP="008B512B">
      <w:pPr>
        <w:pStyle w:val="NoParagraphStyle"/>
        <w:tabs>
          <w:tab w:val="left" w:pos="480"/>
          <w:tab w:val="left" w:pos="960"/>
          <w:tab w:val="left" w:pos="1440"/>
        </w:tabs>
        <w:spacing w:line="240" w:lineRule="auto"/>
        <w:jc w:val="both"/>
        <w:rPr>
          <w:rFonts w:ascii="Baskerville" w:hAnsi="Baskerville"/>
        </w:rPr>
      </w:pPr>
      <w:r w:rsidRPr="006A121F">
        <w:rPr>
          <w:rFonts w:ascii="Baskerville" w:hAnsi="Baskerville"/>
          <w:i/>
        </w:rPr>
        <w:t>Loewen Grp. Int’l, Inc. v. Haberichter</w:t>
      </w:r>
      <w:r w:rsidRPr="006A121F">
        <w:rPr>
          <w:rFonts w:ascii="Baskerville" w:hAnsi="Baskerville"/>
        </w:rPr>
        <w:t>, 912 F. Supp. 2d 388, 392–93 (N.D. Ill. 1996).</w:t>
      </w:r>
    </w:p>
    <w:p w14:paraId="2606579D" w14:textId="34326521" w:rsidR="00655396" w:rsidRDefault="00655396" w:rsidP="008B512B">
      <w:pPr>
        <w:pStyle w:val="BodyText"/>
        <w:spacing w:line="240" w:lineRule="auto"/>
      </w:pPr>
      <w:r w:rsidRPr="006A121F">
        <w:tab/>
      </w:r>
      <w:r>
        <w:t xml:space="preserve">In </w:t>
      </w:r>
      <w:r>
        <w:rPr>
          <w:i/>
          <w:iCs/>
        </w:rPr>
        <w:t>Center for Sight of Central Illinois, S.C. v. Deranian</w:t>
      </w:r>
      <w:r>
        <w:t>, 712 N.E.2d 417 (Ill. Ct. App. 4th Dist. 1999), an Illinois court of appeals affirmed that an ophthalmology clinic did not have a likelihood of success on the merits in its suit to enforce a noncompetition covenant against a former employee ophthalmologist.</w:t>
      </w:r>
      <w:r w:rsidR="00FB1D09">
        <w:t xml:space="preserve"> </w:t>
      </w:r>
      <w:r>
        <w:rPr>
          <w:i/>
          <w:iCs/>
        </w:rPr>
        <w:t>Id</w:t>
      </w:r>
      <w:r>
        <w:t>. at 421.</w:t>
      </w:r>
      <w:r w:rsidR="00FB1D09">
        <w:t xml:space="preserve"> </w:t>
      </w:r>
      <w:r>
        <w:t xml:space="preserve">The court reasoned that the underlying contract was formed in violation of </w:t>
      </w:r>
      <w:r>
        <w:lastRenderedPageBreak/>
        <w:t>Illinois Medical Corporation Act §13, 805 ILCS 15/13 (West 1996), because it was drafted and negotiated on behalf of the employer by a nonphysician and, importantly, the employer was a “dummy” medical corporation the physician president of which was controlled by nonphysicians.</w:t>
      </w:r>
      <w:r w:rsidR="00FB1D09">
        <w:t xml:space="preserve"> </w:t>
      </w:r>
      <w:r>
        <w:rPr>
          <w:i/>
          <w:iCs/>
        </w:rPr>
        <w:t>Id</w:t>
      </w:r>
      <w:r>
        <w:t>. at 422.</w:t>
      </w:r>
    </w:p>
    <w:p w14:paraId="5C5BE8EA"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Victims of wrongfully issued preliminary injunctions in restrictive covenant cases may recover damages. </w:t>
      </w:r>
      <w:r w:rsidRPr="00F46976">
        <w:rPr>
          <w:rFonts w:ascii="Baskerville" w:hAnsi="Baskerville" w:cs="Baskerville"/>
          <w:i/>
          <w:iCs/>
          <w:lang w:val="it-IT"/>
        </w:rPr>
        <w:t>Buzz Barton &amp; Assocs. v. Giannone</w:t>
      </w:r>
      <w:r w:rsidRPr="00F46976">
        <w:rPr>
          <w:rFonts w:ascii="Baskerville" w:hAnsi="Baskerville" w:cs="Baskerville"/>
          <w:lang w:val="it-IT"/>
        </w:rPr>
        <w:t xml:space="preserve">, 108 Ill. 2d 373, 91 Ill. Dec. 636, 483 N.E.2d 1271 (1985). </w:t>
      </w:r>
      <w:r>
        <w:rPr>
          <w:rFonts w:ascii="Baskerville" w:hAnsi="Baskerville" w:cs="Baskerville"/>
        </w:rPr>
        <w:t xml:space="preserve">This is not the case, however, with respect to permanent injunctions. </w:t>
      </w:r>
      <w:r>
        <w:rPr>
          <w:rFonts w:ascii="Baskerville" w:hAnsi="Baskerville" w:cs="Baskerville"/>
          <w:i/>
          <w:iCs/>
        </w:rPr>
        <w:t>Id.</w:t>
      </w:r>
      <w:r>
        <w:rPr>
          <w:rFonts w:ascii="Baskerville" w:hAnsi="Baskerville" w:cs="Baskerville"/>
        </w:rPr>
        <w:t xml:space="preserve">; </w:t>
      </w:r>
      <w:r>
        <w:rPr>
          <w:rFonts w:ascii="Baskerville" w:hAnsi="Baskerville" w:cs="Baskerville"/>
          <w:i/>
          <w:iCs/>
        </w:rPr>
        <w:t>Shapiro v. Regent Printing Co.</w:t>
      </w:r>
      <w:r>
        <w:rPr>
          <w:rFonts w:ascii="Baskerville" w:hAnsi="Baskerville" w:cs="Baskerville"/>
        </w:rPr>
        <w:t>, 192 Ill. App. 3d 1005, 1012, 140 Ill. Dec. 142, 146, 549 N.E.2d 793, 797 (1st Dist. 1989).</w:t>
      </w:r>
    </w:p>
    <w:p w14:paraId="4D0352C4" w14:textId="1DE519D7" w:rsidR="00655396" w:rsidRDefault="00655396" w:rsidP="008B512B">
      <w:pPr>
        <w:pStyle w:val="BodyText"/>
        <w:spacing w:line="240" w:lineRule="auto"/>
      </w:pPr>
      <w:r>
        <w:tab/>
        <w:t xml:space="preserve">A </w:t>
      </w:r>
      <w:r>
        <w:rPr>
          <w:i/>
          <w:iCs/>
        </w:rPr>
        <w:t>preliminary injunction</w:t>
      </w:r>
      <w:r>
        <w:t xml:space="preserve"> will be granted only “sparingly for a covenant not to compete.”</w:t>
      </w:r>
      <w:r w:rsidR="00FB1D09">
        <w:t xml:space="preserve"> </w:t>
      </w:r>
      <w:r>
        <w:rPr>
          <w:i/>
          <w:iCs/>
        </w:rPr>
        <w:t>Newell Co. v. Lee</w:t>
      </w:r>
      <w:r>
        <w:t xml:space="preserve">, 950 F. Supp. 864, 867 (N.D. Ill. 1997) (citing </w:t>
      </w:r>
      <w:r>
        <w:rPr>
          <w:i/>
          <w:iCs/>
        </w:rPr>
        <w:t>Peterson-Jorwic Grp., Inc. v. Pecora</w:t>
      </w:r>
      <w:r>
        <w:t>, 224 Ill. App. 3d 460, 166 Ill. Dec. 718, 719, 586 N.E.2d 676, 677 (1st Dist. 1991) (preliminary injunction to enjoin violation of restrictive covenant granted only in extreme emergency situations where serious harm would otherwise result).</w:t>
      </w:r>
    </w:p>
    <w:p w14:paraId="138B096A" w14:textId="69EB3771" w:rsidR="00655396" w:rsidRDefault="00655396" w:rsidP="008B512B">
      <w:pPr>
        <w:pStyle w:val="BodyText"/>
        <w:spacing w:line="240" w:lineRule="auto"/>
      </w:pPr>
      <w:r>
        <w:tab/>
      </w:r>
      <w:r>
        <w:rPr>
          <w:i/>
          <w:iCs/>
        </w:rPr>
        <w:t>Permanent injunctive relief</w:t>
      </w:r>
      <w:r>
        <w:t>, “in contrast, depends on the disposition of the merits of the case.”</w:t>
      </w:r>
      <w:r w:rsidR="00FB1D09">
        <w:t xml:space="preserve"> </w:t>
      </w:r>
      <w:r>
        <w:rPr>
          <w:i/>
          <w:iCs/>
        </w:rPr>
        <w:t>Id.</w:t>
      </w:r>
      <w:r>
        <w:t xml:space="preserve"> (citing </w:t>
      </w:r>
      <w:r>
        <w:rPr>
          <w:i/>
          <w:iCs/>
        </w:rPr>
        <w:t>Butler v. USA Volleyball</w:t>
      </w:r>
      <w:r>
        <w:t xml:space="preserve">, </w:t>
      </w:r>
      <w:r>
        <w:br/>
        <w:t xml:space="preserve">285 Ill. App. 3d at 579, 220 Ill. Dec. at 643–44, 673 N.E.2d at 1064–65). </w:t>
      </w:r>
      <w:r>
        <w:rPr>
          <w:i/>
          <w:iCs/>
        </w:rPr>
        <w:t>See also</w:t>
      </w:r>
      <w:r>
        <w:t xml:space="preserve"> </w:t>
      </w:r>
      <w:r>
        <w:rPr>
          <w:i/>
          <w:iCs/>
        </w:rPr>
        <w:t>LSBZ Inc., supra,</w:t>
      </w:r>
      <w:r>
        <w:t xml:space="preserve"> 603 N.E.2d at 1247; </w:t>
      </w:r>
      <w:r>
        <w:rPr>
          <w:i/>
          <w:iCs/>
        </w:rPr>
        <w:t xml:space="preserve">Hamer Holding, </w:t>
      </w:r>
      <w:r>
        <w:t xml:space="preserve">560 N.E.2d at 915 (citing </w:t>
      </w:r>
      <w:r>
        <w:rPr>
          <w:i/>
          <w:iCs/>
        </w:rPr>
        <w:t xml:space="preserve">Shapiro, </w:t>
      </w:r>
      <w:r>
        <w:t xml:space="preserve">549 N.E.2d at 795; </w:t>
      </w:r>
      <w:r>
        <w:rPr>
          <w:i/>
          <w:iCs/>
        </w:rPr>
        <w:t xml:space="preserve">Buzz Barton, </w:t>
      </w:r>
      <w:r>
        <w:t xml:space="preserve">483 N.E.2d at 1277)). In </w:t>
      </w:r>
      <w:r>
        <w:rPr>
          <w:i/>
          <w:iCs/>
        </w:rPr>
        <w:t>Shapiro</w:t>
      </w:r>
      <w:r>
        <w:t xml:space="preserve">, the court emphasized the differing standards for obtaining a preliminary injunction </w:t>
      </w:r>
      <w:r>
        <w:rPr>
          <w:i/>
          <w:iCs/>
        </w:rPr>
        <w:t>vis-à-vis</w:t>
      </w:r>
      <w:r>
        <w:t xml:space="preserve"> a permanent injunction.</w:t>
      </w:r>
    </w:p>
    <w:p w14:paraId="57F4E3AD" w14:textId="77777777" w:rsidR="00655396" w:rsidRDefault="00655396" w:rsidP="008B512B">
      <w:pPr>
        <w:pStyle w:val="BodyText"/>
        <w:spacing w:line="240" w:lineRule="auto"/>
      </w:pPr>
    </w:p>
    <w:p w14:paraId="68CF3837" w14:textId="415CDFA5"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 xml:space="preserve">As the Illinois Supreme Court stated in </w:t>
      </w:r>
      <w:r>
        <w:rPr>
          <w:rFonts w:ascii="Baskerville" w:hAnsi="Baskerville" w:cs="Baskerville"/>
          <w:i/>
          <w:iCs/>
          <w:sz w:val="22"/>
          <w:szCs w:val="22"/>
        </w:rPr>
        <w:t>Buzz Barton &amp; Associates v. Giannone</w:t>
      </w:r>
      <w:r>
        <w:rPr>
          <w:rFonts w:ascii="Baskerville" w:hAnsi="Baskerville" w:cs="Baskerville"/>
          <w:sz w:val="22"/>
          <w:szCs w:val="22"/>
        </w:rPr>
        <w:t xml:space="preserve"> (1985), 108 Ill. 2d 373, 385–86, 91 Ill. Dec. 636, 642, 438 N.E.2d 1271, 1277, “In far too many cases the distinction between </w:t>
      </w:r>
      <w:r w:rsidR="00944F63">
        <w:rPr>
          <w:rFonts w:ascii="Baskerville" w:hAnsi="Baskerville" w:cs="Baskerville"/>
          <w:sz w:val="22"/>
          <w:szCs w:val="22"/>
        </w:rPr>
        <w:t>…</w:t>
      </w:r>
      <w:r>
        <w:rPr>
          <w:rFonts w:ascii="Baskerville" w:hAnsi="Baskerville" w:cs="Baskerville"/>
          <w:sz w:val="22"/>
          <w:szCs w:val="22"/>
        </w:rPr>
        <w:t xml:space="preserve"> a preliminary injunction, and a permanent injunction becomes blurred during the proceedings</w:t>
      </w:r>
      <w:r w:rsidR="00944F63">
        <w:rPr>
          <w:rFonts w:ascii="Baskerville" w:hAnsi="Baskerville" w:cs="Baskerville"/>
          <w:sz w:val="22"/>
          <w:szCs w:val="22"/>
        </w:rPr>
        <w:t>…</w:t>
      </w:r>
      <w:r>
        <w:rPr>
          <w:sz w:val="22"/>
          <w:szCs w:val="22"/>
        </w:rPr>
        <w:t> </w:t>
      </w:r>
      <w:r>
        <w:rPr>
          <w:rFonts w:ascii="Baskerville" w:hAnsi="Baskerville" w:cs="Baskerville"/>
          <w:sz w:val="22"/>
          <w:szCs w:val="22"/>
        </w:rPr>
        <w:t>. The purposes of these two writs are different and distinct. The proof that is required to support them is not the same.”</w:t>
      </w:r>
    </w:p>
    <w:p w14:paraId="70AC840C"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In the pending case, our review of the permanent injunction rests on a different footing than it would if we were presented with the same record on review under Supreme Court Rule 307 [</w:t>
      </w:r>
      <w:r>
        <w:rPr>
          <w:rFonts w:ascii="Baskerville" w:hAnsi="Baskerville" w:cs="Baskerville"/>
          <w:smallCaps/>
          <w:sz w:val="22"/>
          <w:szCs w:val="22"/>
        </w:rPr>
        <w:t>Ill.</w:t>
      </w:r>
      <w:r>
        <w:rPr>
          <w:rFonts w:ascii="Baskerville" w:hAnsi="Baskerville" w:cs="Baskerville"/>
          <w:sz w:val="22"/>
          <w:szCs w:val="22"/>
        </w:rPr>
        <w:t xml:space="preserve"> </w:t>
      </w:r>
      <w:r>
        <w:rPr>
          <w:rFonts w:ascii="Baskerville" w:hAnsi="Baskerville" w:cs="Baskerville"/>
          <w:smallCaps/>
          <w:sz w:val="22"/>
          <w:szCs w:val="22"/>
        </w:rPr>
        <w:t>Rev.</w:t>
      </w:r>
      <w:r>
        <w:rPr>
          <w:rFonts w:ascii="Baskerville" w:hAnsi="Baskerville" w:cs="Baskerville"/>
          <w:sz w:val="22"/>
          <w:szCs w:val="22"/>
        </w:rPr>
        <w:t xml:space="preserve"> </w:t>
      </w:r>
      <w:r>
        <w:rPr>
          <w:rFonts w:ascii="Baskerville" w:hAnsi="Baskerville" w:cs="Baskerville"/>
          <w:smallCaps/>
          <w:sz w:val="22"/>
          <w:szCs w:val="22"/>
        </w:rPr>
        <w:t>Stat.</w:t>
      </w:r>
      <w:r>
        <w:rPr>
          <w:rFonts w:ascii="Baskerville" w:hAnsi="Baskerville" w:cs="Baskerville"/>
          <w:sz w:val="22"/>
          <w:szCs w:val="22"/>
        </w:rPr>
        <w:t xml:space="preserve"> </w:t>
      </w:r>
      <w:r>
        <w:rPr>
          <w:rFonts w:ascii="Baskerville" w:hAnsi="Baskerville" w:cs="Baskerville"/>
          <w:sz w:val="22"/>
          <w:szCs w:val="22"/>
        </w:rPr>
        <w:lastRenderedPageBreak/>
        <w:t xml:space="preserve">ch. 110A, para. 307 (1987)]. The purpose of a preliminary injunction is to </w:t>
      </w:r>
      <w:r>
        <w:rPr>
          <w:rFonts w:ascii="Baskerville" w:hAnsi="Baskerville" w:cs="Baskerville"/>
          <w:i/>
          <w:iCs/>
          <w:sz w:val="22"/>
          <w:szCs w:val="22"/>
        </w:rPr>
        <w:t>raise a fair question</w:t>
      </w:r>
      <w:r>
        <w:rPr>
          <w:rFonts w:ascii="Baskerville" w:hAnsi="Baskerville" w:cs="Baskerville"/>
          <w:sz w:val="22"/>
          <w:szCs w:val="22"/>
        </w:rPr>
        <w:t xml:space="preserve"> as to the existence of a right needing protection, not to decide controverted facts or the ultimate merits. </w:t>
      </w:r>
      <w:r>
        <w:rPr>
          <w:rFonts w:ascii="Baskerville" w:hAnsi="Baskerville" w:cs="Baskerville"/>
          <w:i/>
          <w:iCs/>
          <w:sz w:val="22"/>
          <w:szCs w:val="22"/>
        </w:rPr>
        <w:t>Buzz Barton &amp; Associates v. Giannone</w:t>
      </w:r>
      <w:r>
        <w:rPr>
          <w:rFonts w:ascii="Baskerville" w:hAnsi="Baskerville" w:cs="Baskerville"/>
          <w:sz w:val="22"/>
          <w:szCs w:val="22"/>
        </w:rPr>
        <w:t xml:space="preserve">[, </w:t>
      </w:r>
      <w:r>
        <w:rPr>
          <w:rFonts w:ascii="Baskerville" w:hAnsi="Baskerville" w:cs="Baskerville"/>
          <w:i/>
          <w:iCs/>
          <w:sz w:val="22"/>
          <w:szCs w:val="22"/>
        </w:rPr>
        <w:t>supra</w:t>
      </w:r>
      <w:r>
        <w:rPr>
          <w:rFonts w:ascii="Baskerville" w:hAnsi="Baskerville" w:cs="Baskerville"/>
          <w:sz w:val="22"/>
          <w:szCs w:val="22"/>
        </w:rPr>
        <w:t>, at] 86, 91, Ill. Dec. [at] 642, 438 N.E.2d [at] 1277.</w:t>
      </w:r>
    </w:p>
    <w:p w14:paraId="2552BA0B" w14:textId="60086218"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Both sides focus on the existence of a protectable business interest as determining the question of whether the </w:t>
      </w:r>
      <w:r w:rsidR="00944F63">
        <w:rPr>
          <w:rFonts w:ascii="Baskerville" w:hAnsi="Baskerville" w:cs="Baskerville"/>
          <w:sz w:val="22"/>
          <w:szCs w:val="22"/>
        </w:rPr>
        <w:t>…</w:t>
      </w:r>
      <w:r>
        <w:rPr>
          <w:rFonts w:ascii="Baskerville" w:hAnsi="Baskerville" w:cs="Baskerville"/>
          <w:sz w:val="22"/>
          <w:szCs w:val="22"/>
        </w:rPr>
        <w:t xml:space="preserve"> restrictive covenant is enforceable. Most of the decisions cited in the parties’ briefs involving the validity of restrictive covenants are appeals from entry of preliminary injunctive relief, however. These cases provide limited guidance as to the validity of the permanent injunction that was entered in the pending case. It is true that if a party cannot establish the existence of a protectable business interest, he or she will not be entitled to either preliminary or permanent injunction. (</w:t>
      </w:r>
      <w:r>
        <w:rPr>
          <w:rFonts w:ascii="Baskerville" w:hAnsi="Baskerville" w:cs="Baskerville"/>
          <w:i/>
          <w:iCs/>
          <w:sz w:val="22"/>
          <w:szCs w:val="22"/>
        </w:rPr>
        <w:t>Buzz Barton &amp; Associates</w:t>
      </w:r>
      <w:r>
        <w:rPr>
          <w:rFonts w:ascii="Baskerville" w:hAnsi="Baskerville" w:cs="Baskerville"/>
          <w:sz w:val="22"/>
          <w:szCs w:val="22"/>
        </w:rPr>
        <w:t>.) Even if a party establishes a clear right entitled to protection, however, he must satisfy the other elements of permanent injunctive relief. A substantial likelihood of success on the merits will sustain the entry of a preliminary injunction; more proof is needed to support a permanent injunction.</w:t>
      </w:r>
    </w:p>
    <w:p w14:paraId="71B8113C"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p>
    <w:p w14:paraId="3D7A1173"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549 N.E.2d at 795.</w:t>
      </w:r>
    </w:p>
    <w:p w14:paraId="0EFC3CED"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A preliminary injunction is “a provisional remedy granted before the hearing of a case on its merits in order to preserve the status quo, which is the last peaceable, uncontested status which preceded the pending litigation.” </w:t>
      </w:r>
      <w:r>
        <w:rPr>
          <w:rFonts w:ascii="Baskerville" w:hAnsi="Baskerville" w:cs="Baskerville"/>
          <w:i/>
          <w:iCs/>
        </w:rPr>
        <w:t>Southern Ill. Med. Bus. Assocs. v. Camillo</w:t>
      </w:r>
      <w:r>
        <w:rPr>
          <w:rFonts w:ascii="Baskerville" w:hAnsi="Baskerville" w:cs="Baskerville"/>
        </w:rPr>
        <w:t>, 190 Ill. App. 3d 664, 671, 138 Ill. Dec. 4, 9, 546 N.E.2d 1059, 1064 (5th Dist. 1989).</w:t>
      </w:r>
    </w:p>
    <w:p w14:paraId="7DBA02E5"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640E113C" w14:textId="38317213" w:rsidR="00655396" w:rsidRDefault="00655396" w:rsidP="008B512B">
      <w:pPr>
        <w:pStyle w:val="BodyText"/>
        <w:spacing w:line="240" w:lineRule="auto"/>
      </w:pPr>
      <w:r>
        <w:tab/>
        <w:t xml:space="preserve">•• </w:t>
      </w:r>
      <w:r>
        <w:rPr>
          <w:i/>
          <w:iCs/>
        </w:rPr>
        <w:t>State court actions: Public policy analysis</w:t>
      </w:r>
      <w:r>
        <w:t>.</w:t>
      </w:r>
      <w:r w:rsidR="00FB1D09">
        <w:t xml:space="preserve"> </w:t>
      </w:r>
      <w:r>
        <w:t>Under Illinois law, a postemployment noncompetition covenant against a physician is not necessarily against public policy.</w:t>
      </w:r>
      <w:r w:rsidR="00FB1D09">
        <w:t xml:space="preserve"> </w:t>
      </w:r>
      <w:r>
        <w:rPr>
          <w:i/>
          <w:iCs/>
        </w:rPr>
        <w:t>See Mohanty v. St. John Heart Clinic, S.C.</w:t>
      </w:r>
      <w:r>
        <w:t>, 225 Ill. 2d 52, 69–70, 866 N.E.2d 85, 95 (2006) (noting that when a party seeks to show that a contract term is against</w:t>
      </w:r>
      <w:r w:rsidR="00FB1D09">
        <w:t xml:space="preserve"> </w:t>
      </w:r>
      <w:r>
        <w:t>public policy of state, that party bears the burden of showing that the contract term is clearly contrary to what the constitution, the statutes, or the decisions of the courts have declared to be the public policy or that the contract is manifestly injurious to the public welfare</w:t>
      </w:r>
      <w:r w:rsidR="00D47546">
        <w:t xml:space="preserve">; </w:t>
      </w:r>
      <w:r>
        <w:t xml:space="preserve">finding, in the instant case, that “plaintiffs have failed to show that physician restrictive covenants are contrary to the constitution, statutes or judicial decisions of this state. Nor have they shown that these </w:t>
      </w:r>
      <w:r>
        <w:lastRenderedPageBreak/>
        <w:t>covenants are manifestly injurious to the public welfare. Although plaintiffs have offered reasons for finding that restrictive covenants should be disfavored in physician employment contracts, countervailing reasons exist which would militate against any deviation from our long-standing practice of finding reasonable restrictive covenants in medical employment contracts enforceable. Restrictive covenants protect the business interests of established physicians and, in this way, encourage them to take on younger, inexperienced doctors. Accordingly, restrictive covenants can have a positive impact on patient care. We do not know, and are ill-equipped to determine, what the possible consequences might be if we were to adopt the sweeping changes plaintiffs advocate. It is possible that patients would be more adversely affected if we were to ban reasonable restrictive covenants in physician employment contracts. For this reason, we believe that prohibiting restrictive covenants in medical practice contracts is a decision better left to the legislature, where the competing interests can be fully aired.”).</w:t>
      </w:r>
    </w:p>
    <w:p w14:paraId="0AB8295B" w14:textId="77777777" w:rsidR="00655396" w:rsidRDefault="00655396" w:rsidP="008B512B">
      <w:pPr>
        <w:pStyle w:val="BodyText"/>
        <w:spacing w:line="240" w:lineRule="auto"/>
      </w:pPr>
    </w:p>
    <w:p w14:paraId="457D5FBF" w14:textId="3CA82C1A" w:rsidR="00FE7E0B" w:rsidRDefault="00655396" w:rsidP="008B512B">
      <w:pPr>
        <w:pStyle w:val="BodyText"/>
        <w:spacing w:line="240" w:lineRule="auto"/>
      </w:pPr>
      <w:r>
        <w:rPr>
          <w:spacing w:val="-1"/>
        </w:rPr>
        <w:tab/>
        <w:t xml:space="preserve">• </w:t>
      </w:r>
      <w:r>
        <w:rPr>
          <w:i/>
          <w:iCs/>
          <w:spacing w:val="-1"/>
        </w:rPr>
        <w:t>Federal court actions: Preliminary injunctions.</w:t>
      </w:r>
      <w:r w:rsidR="00FB1D09">
        <w:rPr>
          <w:i/>
          <w:iCs/>
          <w:spacing w:val="-1"/>
        </w:rPr>
        <w:t xml:space="preserve"> </w:t>
      </w:r>
      <w:r>
        <w:t>In order to obtain from a federal district court sitting in Illinois a preliminary injunction enforcing a postemployment covenant not to compete, the former employer must show: (1) no adequate remedy at law exists; (2) it will suffer irreparable harm if the injunction is not granted; (3) it has a reasonable likelihood of success on the merits of the underlying claim; (4) the irreparable harm it will suffer without injunctive relief is greater than the harm the opposing party will suffer if the injunction is granted</w:t>
      </w:r>
      <w:r w:rsidR="00D47546">
        <w:t xml:space="preserve">; </w:t>
      </w:r>
      <w:r>
        <w:t xml:space="preserve">and (5) the injunction will not harm the public interest. </w:t>
      </w:r>
      <w:r>
        <w:rPr>
          <w:i/>
          <w:iCs/>
        </w:rPr>
        <w:t xml:space="preserve">Peckham v. Metal Mgmt., Inc., </w:t>
      </w:r>
      <w:r>
        <w:t>2010 WL 1838060, at *2 (S.D. Ill. May 5, 2010).</w:t>
      </w:r>
    </w:p>
    <w:p w14:paraId="56173384" w14:textId="74D6E62E" w:rsidR="00655396" w:rsidRDefault="00FE7E0B" w:rsidP="008B512B">
      <w:pPr>
        <w:pStyle w:val="BodyText"/>
        <w:spacing w:line="240" w:lineRule="auto"/>
        <w:rPr>
          <w:spacing w:val="-1"/>
        </w:rPr>
      </w:pPr>
      <w:r>
        <w:tab/>
      </w:r>
      <w:r w:rsidR="00655396">
        <w:rPr>
          <w:spacing w:val="-1"/>
        </w:rPr>
        <w:t xml:space="preserve">To obtain a preliminary injunction in federal courts in the Seventh Circuit, it has also been stated that the former employer must demonstrate (1) that its case has some likelihood of success on the merits, (2) that no adequate remedy at law exists, and (3) that it will suffer irreparable harm if the injunction is not granted. </w:t>
      </w:r>
      <w:r w:rsidR="00655396">
        <w:rPr>
          <w:i/>
          <w:iCs/>
          <w:spacing w:val="-1"/>
        </w:rPr>
        <w:t>Baskin-Robbins v. Patel</w:t>
      </w:r>
      <w:r w:rsidR="00655396">
        <w:rPr>
          <w:spacing w:val="-1"/>
        </w:rPr>
        <w:t xml:space="preserve">, 264 F. Supp. 2d 607, 609 (N.D. Ill. 2003) (citing </w:t>
      </w:r>
      <w:r w:rsidR="00655396">
        <w:rPr>
          <w:i/>
          <w:iCs/>
          <w:spacing w:val="-1"/>
        </w:rPr>
        <w:t>Promatek Indus., Ltd. v. Equitrac Corp.</w:t>
      </w:r>
      <w:r w:rsidR="00655396">
        <w:rPr>
          <w:spacing w:val="-1"/>
        </w:rPr>
        <w:t xml:space="preserve">, 300 F.3d 808, 811 (7th Cir. 2002)); </w:t>
      </w:r>
      <w:r w:rsidR="00655396">
        <w:rPr>
          <w:i/>
          <w:iCs/>
          <w:spacing w:val="-1"/>
        </w:rPr>
        <w:t>Loewen Grp. Int’l, Inc. v. Haberichter</w:t>
      </w:r>
      <w:r w:rsidR="00655396">
        <w:rPr>
          <w:spacing w:val="-1"/>
        </w:rPr>
        <w:t xml:space="preserve">, 912 F. Supp. 388, 392 (N.D. Ill. 1996) (quoting </w:t>
      </w:r>
      <w:r w:rsidR="00655396">
        <w:rPr>
          <w:i/>
          <w:iCs/>
          <w:spacing w:val="-1"/>
        </w:rPr>
        <w:t>Duct-O-Wire Co. v. U.S. Crane, Inc.</w:t>
      </w:r>
      <w:r w:rsidR="00655396">
        <w:rPr>
          <w:spacing w:val="-1"/>
        </w:rPr>
        <w:t>, 31 F.3d 506, 509 (7th Cir. 1994)).</w:t>
      </w:r>
      <w:r w:rsidR="00FB1D09">
        <w:rPr>
          <w:spacing w:val="-1"/>
        </w:rPr>
        <w:t xml:space="preserve"> </w:t>
      </w:r>
      <w:r w:rsidR="00655396">
        <w:rPr>
          <w:spacing w:val="-1"/>
        </w:rPr>
        <w:t xml:space="preserve">Once the former employer satisfies </w:t>
      </w:r>
      <w:r w:rsidR="00655396">
        <w:rPr>
          <w:spacing w:val="-1"/>
        </w:rPr>
        <w:lastRenderedPageBreak/>
        <w:t>these three threshold requirements, the court then balances the harm to the non-movant if the injunction is granted against the harm to the movant if the injunction is denied.</w:t>
      </w:r>
      <w:r w:rsidR="00FB1D09">
        <w:rPr>
          <w:spacing w:val="-1"/>
        </w:rPr>
        <w:t xml:space="preserve"> </w:t>
      </w:r>
      <w:r w:rsidR="00655396">
        <w:rPr>
          <w:i/>
          <w:iCs/>
          <w:spacing w:val="-1"/>
        </w:rPr>
        <w:t>AMFM Broad., Inc. v. Osowiec</w:t>
      </w:r>
      <w:r w:rsidR="00655396">
        <w:rPr>
          <w:spacing w:val="-1"/>
        </w:rPr>
        <w:t>, 2008 U.S. Dist. LEXIS 31700, at *2 (N.D. Ill. Apr. 11, 2008)</w:t>
      </w:r>
      <w:r w:rsidR="001A419C">
        <w:rPr>
          <w:spacing w:val="-1"/>
        </w:rPr>
        <w:t xml:space="preserve">; </w:t>
      </w:r>
      <w:r w:rsidR="001A419C" w:rsidRPr="006A121F">
        <w:rPr>
          <w:i/>
          <w:spacing w:val="-1"/>
        </w:rPr>
        <w:t>Loewen</w:t>
      </w:r>
      <w:r w:rsidR="00655396">
        <w:rPr>
          <w:i/>
          <w:iCs/>
          <w:spacing w:val="-1"/>
        </w:rPr>
        <w:t xml:space="preserve"> Grp.</w:t>
      </w:r>
      <w:r w:rsidR="00655396">
        <w:rPr>
          <w:spacing w:val="-1"/>
        </w:rPr>
        <w:t xml:space="preserve">, 912 F. Supp. 392 (citing </w:t>
      </w:r>
      <w:r w:rsidR="00655396">
        <w:rPr>
          <w:i/>
          <w:iCs/>
          <w:spacing w:val="-1"/>
        </w:rPr>
        <w:t>Vencor, Inc. v. Webb</w:t>
      </w:r>
      <w:r w:rsidR="00655396">
        <w:rPr>
          <w:spacing w:val="-1"/>
        </w:rPr>
        <w:t>, 33 F.3d 840, 845 (7th Cir. 1994)).</w:t>
      </w:r>
      <w:r w:rsidR="00FB1D09">
        <w:rPr>
          <w:spacing w:val="-1"/>
        </w:rPr>
        <w:t xml:space="preserve"> </w:t>
      </w:r>
      <w:r w:rsidR="00655396">
        <w:rPr>
          <w:spacing w:val="-1"/>
        </w:rPr>
        <w:t xml:space="preserve">The balancing is conducted on a “sliding scale”: the greater the former employer’s chance of success on the merits, the less strong a showing must it make that the balance of harms is in its favor; </w:t>
      </w:r>
      <w:proofErr w:type="gramStart"/>
      <w:r w:rsidR="00655396">
        <w:rPr>
          <w:spacing w:val="-1"/>
        </w:rPr>
        <w:t>by the same token</w:t>
      </w:r>
      <w:proofErr w:type="gramEnd"/>
      <w:r w:rsidR="00655396">
        <w:rPr>
          <w:spacing w:val="-1"/>
        </w:rPr>
        <w:t>, the less likely it is that the former employer will succeed on the merits, the more the balance need weigh towards its side.</w:t>
      </w:r>
      <w:r w:rsidR="00FB1D09">
        <w:rPr>
          <w:spacing w:val="-1"/>
        </w:rPr>
        <w:t xml:space="preserve"> </w:t>
      </w:r>
      <w:r w:rsidR="00655396">
        <w:rPr>
          <w:i/>
          <w:iCs/>
          <w:spacing w:val="-1"/>
        </w:rPr>
        <w:t>Loewen Group, supra</w:t>
      </w:r>
      <w:r w:rsidR="00655396">
        <w:rPr>
          <w:spacing w:val="-1"/>
        </w:rPr>
        <w:t xml:space="preserve"> (quoting </w:t>
      </w:r>
      <w:r w:rsidR="00655396">
        <w:rPr>
          <w:i/>
          <w:iCs/>
          <w:spacing w:val="-1"/>
        </w:rPr>
        <w:t>Duct-O-Wire</w:t>
      </w:r>
      <w:r w:rsidR="00655396">
        <w:rPr>
          <w:spacing w:val="-1"/>
        </w:rPr>
        <w:t>, 31 F.3d at 509).</w:t>
      </w:r>
      <w:r w:rsidR="00FB1D09">
        <w:rPr>
          <w:spacing w:val="-1"/>
        </w:rPr>
        <w:t xml:space="preserve"> </w:t>
      </w:r>
      <w:r w:rsidR="00655396">
        <w:rPr>
          <w:spacing w:val="-1"/>
        </w:rPr>
        <w:t xml:space="preserve">Finally, the court must give consideration to the public interest at risk in the event that the relief is granted or denied. </w:t>
      </w:r>
      <w:r w:rsidR="00655396">
        <w:rPr>
          <w:i/>
          <w:iCs/>
          <w:spacing w:val="-1"/>
        </w:rPr>
        <w:t>Id.</w:t>
      </w:r>
      <w:r w:rsidR="00655396">
        <w:rPr>
          <w:spacing w:val="-1"/>
        </w:rPr>
        <w:t xml:space="preserve"> (citing </w:t>
      </w:r>
      <w:r w:rsidR="00655396">
        <w:rPr>
          <w:i/>
          <w:iCs/>
          <w:spacing w:val="-1"/>
        </w:rPr>
        <w:t>Duct-O-Wire</w:t>
      </w:r>
      <w:r w:rsidR="00655396">
        <w:rPr>
          <w:spacing w:val="-1"/>
        </w:rPr>
        <w:t>, 31 F.3d at 509).</w:t>
      </w:r>
    </w:p>
    <w:p w14:paraId="73496F77" w14:textId="1E6DDA4B" w:rsidR="00622FD9" w:rsidRPr="00622FD9" w:rsidRDefault="00622FD9" w:rsidP="00622FD9">
      <w:pPr>
        <w:shd w:val="clear" w:color="auto" w:fill="FFFFFF"/>
        <w:rPr>
          <w:rFonts w:ascii="Baskerville" w:hAnsi="Baskerville" w:cs="Open Sans"/>
          <w:color w:val="000000" w:themeColor="text1"/>
        </w:rPr>
      </w:pPr>
      <w:r>
        <w:rPr>
          <w:rFonts w:ascii="Open Sans" w:hAnsi="Open Sans" w:cs="Open Sans"/>
          <w:color w:val="505558"/>
        </w:rPr>
        <w:tab/>
      </w:r>
      <w:r w:rsidRPr="00622FD9">
        <w:rPr>
          <w:rFonts w:ascii="Baskerville" w:hAnsi="Baskerville" w:cs="Open Sans"/>
          <w:color w:val="000000" w:themeColor="text1"/>
        </w:rPr>
        <w:t xml:space="preserve">“With respect to public interest considerations, while the public has an interest in workplace mobility and free and fair competition, it has an equally compelling interest in upholding valid and reasonable contracts as well as honoring obligations for which individuals bargained </w:t>
      </w:r>
      <w:r w:rsidR="00495F5C">
        <w:rPr>
          <w:rFonts w:ascii="Baskerville" w:hAnsi="Baskerville" w:cs="Open Sans"/>
          <w:color w:val="000000" w:themeColor="text1"/>
        </w:rPr>
        <w:t>…</w:t>
      </w:r>
      <w:r w:rsidRPr="00622FD9">
        <w:rPr>
          <w:rFonts w:ascii="Baskerville" w:hAnsi="Baskerville" w:cs="Open Sans"/>
          <w:color w:val="000000" w:themeColor="text1"/>
        </w:rPr>
        <w:t xml:space="preserve"> and derived significant benefits.” </w:t>
      </w:r>
      <w:r w:rsidRPr="00622FD9">
        <w:rPr>
          <w:rFonts w:ascii="Baskerville" w:hAnsi="Baskerville" w:cs="Open Sans"/>
          <w:i/>
          <w:iCs/>
          <w:color w:val="000000" w:themeColor="text1"/>
        </w:rPr>
        <w:t>Groupon, Inc. v. Shin</w:t>
      </w:r>
      <w:r w:rsidRPr="00622FD9">
        <w:rPr>
          <w:rFonts w:ascii="Baskerville" w:hAnsi="Baskerville" w:cs="Open Sans"/>
          <w:color w:val="000000" w:themeColor="text1"/>
        </w:rPr>
        <w:t xml:space="preserve">, 2022 BL 4736, at *8 (N.D. Ill. Jan. 6, 2022) (concluding that “any harm a preliminary injunction may cause to </w:t>
      </w:r>
      <w:r>
        <w:rPr>
          <w:rFonts w:ascii="Baskerville" w:hAnsi="Baskerville" w:cs="Open Sans"/>
          <w:color w:val="000000" w:themeColor="text1"/>
        </w:rPr>
        <w:t xml:space="preserve">[the former employee] </w:t>
      </w:r>
      <w:r w:rsidRPr="00622FD9">
        <w:rPr>
          <w:rFonts w:ascii="Baskerville" w:hAnsi="Baskerville" w:cs="Open Sans"/>
          <w:color w:val="000000" w:themeColor="text1"/>
        </w:rPr>
        <w:t xml:space="preserve">is outweighed by the injury that a failure to impose the injunction may cause </w:t>
      </w:r>
      <w:r>
        <w:rPr>
          <w:rFonts w:ascii="Baskerville" w:hAnsi="Baskerville" w:cs="Open Sans"/>
          <w:color w:val="000000" w:themeColor="text1"/>
        </w:rPr>
        <w:t>[the former employer]</w:t>
      </w:r>
      <w:r w:rsidRPr="00622FD9">
        <w:rPr>
          <w:rFonts w:ascii="Baskerville" w:hAnsi="Baskerville" w:cs="Open Sans"/>
          <w:color w:val="000000" w:themeColor="text1"/>
        </w:rPr>
        <w:t xml:space="preserve">. The public will not be harmed by holding </w:t>
      </w:r>
      <w:r>
        <w:rPr>
          <w:rFonts w:ascii="Baskerville" w:hAnsi="Baskerville" w:cs="Open Sans"/>
          <w:color w:val="000000" w:themeColor="text1"/>
        </w:rPr>
        <w:t xml:space="preserve">[the former employer] </w:t>
      </w:r>
      <w:r w:rsidRPr="00622FD9">
        <w:rPr>
          <w:rFonts w:ascii="Baskerville" w:hAnsi="Baskerville" w:cs="Open Sans"/>
          <w:color w:val="000000" w:themeColor="text1"/>
        </w:rPr>
        <w:t>to his word and the contractual obligations for which he bargained.”).</w:t>
      </w:r>
    </w:p>
    <w:p w14:paraId="5889F40D" w14:textId="25A9ED66" w:rsidR="00C0291B" w:rsidRPr="00FE472E" w:rsidRDefault="00C0291B" w:rsidP="00FE472E">
      <w:pPr>
        <w:shd w:val="clear" w:color="auto" w:fill="FFFFFF"/>
        <w:ind w:firstLine="720"/>
        <w:rPr>
          <w:rFonts w:ascii="Baskerville" w:hAnsi="Baskerville" w:cs="Open Sans"/>
          <w:color w:val="000000" w:themeColor="text1"/>
        </w:rPr>
      </w:pPr>
      <w:r w:rsidRPr="00FE472E">
        <w:rPr>
          <w:rFonts w:ascii="Baskerville" w:hAnsi="Baskerville" w:cs="Open Sans"/>
          <w:color w:val="000000" w:themeColor="text1"/>
        </w:rPr>
        <w:t>Factual allegations underpinning a request for injunctive relief must have some evidentiary support, and failure to support factual allegations with eviden</w:t>
      </w:r>
      <w:r w:rsidR="008126CF">
        <w:rPr>
          <w:rFonts w:ascii="Baskerville" w:hAnsi="Baskerville" w:cs="Open Sans"/>
          <w:color w:val="000000" w:themeColor="text1"/>
        </w:rPr>
        <w:t>ce</w:t>
      </w:r>
      <w:r w:rsidR="00876D21">
        <w:rPr>
          <w:rFonts w:ascii="Baskerville" w:hAnsi="Baskerville" w:cs="Open Sans"/>
          <w:color w:val="000000" w:themeColor="text1"/>
        </w:rPr>
        <w:t xml:space="preserve"> likely </w:t>
      </w:r>
      <w:r w:rsidR="00FE472E" w:rsidRPr="00FE472E">
        <w:rPr>
          <w:rFonts w:ascii="Baskerville" w:hAnsi="Baskerville" w:cs="Open Sans"/>
          <w:color w:val="000000" w:themeColor="text1"/>
        </w:rPr>
        <w:t>doom</w:t>
      </w:r>
      <w:r w:rsidR="00876D21">
        <w:rPr>
          <w:rFonts w:ascii="Baskerville" w:hAnsi="Baskerville" w:cs="Open Sans"/>
          <w:color w:val="000000" w:themeColor="text1"/>
        </w:rPr>
        <w:t>s</w:t>
      </w:r>
      <w:r w:rsidR="00FE472E" w:rsidRPr="00FE472E">
        <w:rPr>
          <w:rFonts w:ascii="Baskerville" w:hAnsi="Baskerville" w:cs="Open Sans"/>
          <w:color w:val="000000" w:themeColor="text1"/>
        </w:rPr>
        <w:t xml:space="preserve"> a request for injunctive relief. </w:t>
      </w:r>
      <w:r w:rsidR="00FE472E" w:rsidRPr="00FE472E">
        <w:rPr>
          <w:rFonts w:ascii="Baskerville" w:hAnsi="Baskerville" w:cs="Open Sans"/>
          <w:i/>
          <w:iCs/>
          <w:color w:val="000000" w:themeColor="text1"/>
        </w:rPr>
        <w:t xml:space="preserve">See </w:t>
      </w:r>
      <w:r w:rsidRPr="00FE472E">
        <w:rPr>
          <w:rFonts w:ascii="Baskerville" w:hAnsi="Baskerville" w:cs="Open Sans"/>
          <w:i/>
          <w:iCs/>
          <w:color w:val="000000" w:themeColor="text1"/>
        </w:rPr>
        <w:t>ML Fashion, LLC v. Nobelle GW, LLC</w:t>
      </w:r>
      <w:r w:rsidRPr="00FE472E">
        <w:rPr>
          <w:rFonts w:ascii="Baskerville" w:hAnsi="Baskerville" w:cs="Open Sans"/>
          <w:color w:val="000000" w:themeColor="text1"/>
        </w:rPr>
        <w:t>, 2021 BL 17187, at *5 (N.D. Ill. Jan. 19, 2021)</w:t>
      </w:r>
      <w:r w:rsidR="00FE472E">
        <w:rPr>
          <w:rFonts w:ascii="Baskerville" w:hAnsi="Baskerville" w:cs="Open Sans"/>
          <w:color w:val="000000" w:themeColor="text1"/>
        </w:rPr>
        <w:t>.</w:t>
      </w:r>
    </w:p>
    <w:p w14:paraId="53203647" w14:textId="77777777" w:rsidR="00655396" w:rsidRDefault="00655396" w:rsidP="008B512B">
      <w:pPr>
        <w:pStyle w:val="BodyText"/>
        <w:spacing w:line="240" w:lineRule="auto"/>
      </w:pPr>
    </w:p>
    <w:p w14:paraId="15CF2E24" w14:textId="1AB0C52D" w:rsidR="00655396" w:rsidRDefault="00655396" w:rsidP="008B512B">
      <w:pPr>
        <w:pStyle w:val="BodyText"/>
        <w:spacing w:line="240" w:lineRule="auto"/>
      </w:pPr>
      <w:r>
        <w:tab/>
        <w:t xml:space="preserve">•• </w:t>
      </w:r>
      <w:r>
        <w:rPr>
          <w:i/>
          <w:iCs/>
        </w:rPr>
        <w:t>Federal court actions</w:t>
      </w:r>
      <w:r w:rsidR="00D47546">
        <w:rPr>
          <w:i/>
          <w:iCs/>
        </w:rPr>
        <w:t xml:space="preserve">: </w:t>
      </w:r>
      <w:r>
        <w:rPr>
          <w:i/>
          <w:iCs/>
        </w:rPr>
        <w:t>Preliminary injunctions</w:t>
      </w:r>
      <w:r w:rsidR="00D47546">
        <w:rPr>
          <w:i/>
          <w:iCs/>
        </w:rPr>
        <w:t xml:space="preserve">: </w:t>
      </w:r>
      <w:r>
        <w:rPr>
          <w:i/>
          <w:iCs/>
        </w:rPr>
        <w:t>Motions to dismiss versus motions for preliminary injunction</w:t>
      </w:r>
      <w:r>
        <w:t>.</w:t>
      </w:r>
      <w:r w:rsidR="00FB1D09">
        <w:t xml:space="preserve"> </w:t>
      </w:r>
      <w:r>
        <w:t>As pointed out by the U.S. District Court for the Northern District of Illinois, while a federal court deciding a motion to dismiss is limited to the facts presented in the complaint and must accept those facts as true, a court considering a preliminary injunction is permitted to conduct an evidentiary hearing and make determinations based on the evidence.</w:t>
      </w:r>
      <w:r w:rsidR="00FB1D09">
        <w:t xml:space="preserve"> </w:t>
      </w:r>
      <w:r>
        <w:rPr>
          <w:i/>
          <w:iCs/>
        </w:rPr>
        <w:t>SKF USA, Inc. v. Bjerkness</w:t>
      </w:r>
      <w:r>
        <w:t xml:space="preserve">, 636 F. Supp. 2d 696, 703 (N.D. Ill. </w:t>
      </w:r>
      <w:r>
        <w:lastRenderedPageBreak/>
        <w:t>2009) (citing, inter alia, Fed. R. Civ. P. 65(a)).</w:t>
      </w:r>
    </w:p>
    <w:p w14:paraId="4829E794" w14:textId="77777777" w:rsidR="00655396" w:rsidRDefault="00655396" w:rsidP="008B512B">
      <w:pPr>
        <w:pStyle w:val="BodyText"/>
        <w:spacing w:line="240" w:lineRule="auto"/>
      </w:pPr>
    </w:p>
    <w:p w14:paraId="0AA60411" w14:textId="4BC50687" w:rsidR="00655396" w:rsidRPr="006A121F" w:rsidRDefault="00655396" w:rsidP="006A121F">
      <w:pPr>
        <w:shd w:val="clear" w:color="auto" w:fill="FFFFFF"/>
        <w:rPr>
          <w:color w:val="000000" w:themeColor="text1"/>
        </w:rPr>
      </w:pPr>
      <w:r w:rsidRPr="006A121F">
        <w:rPr>
          <w:rFonts w:ascii="Baskerville" w:hAnsi="Baskerville"/>
          <w:color w:val="000000" w:themeColor="text1"/>
        </w:rPr>
        <w:tab/>
        <w:t xml:space="preserve">• </w:t>
      </w:r>
      <w:r w:rsidRPr="006A121F">
        <w:rPr>
          <w:rFonts w:ascii="Baskerville" w:hAnsi="Baskerville"/>
          <w:i/>
          <w:color w:val="000000" w:themeColor="text1"/>
        </w:rPr>
        <w:t>Federal court actions</w:t>
      </w:r>
      <w:r w:rsidR="00D47546" w:rsidRPr="006A121F">
        <w:rPr>
          <w:rFonts w:ascii="Baskerville" w:hAnsi="Baskerville"/>
          <w:color w:val="000000" w:themeColor="text1"/>
        </w:rPr>
        <w:t xml:space="preserve">: </w:t>
      </w:r>
      <w:r w:rsidRPr="006A121F">
        <w:rPr>
          <w:rFonts w:ascii="Baskerville" w:hAnsi="Baskerville"/>
          <w:i/>
          <w:color w:val="000000" w:themeColor="text1"/>
        </w:rPr>
        <w:t>Temporary restraining orders</w:t>
      </w:r>
      <w:r w:rsidRPr="006A121F">
        <w:rPr>
          <w:rFonts w:ascii="Baskerville" w:hAnsi="Baskerville"/>
          <w:color w:val="000000" w:themeColor="text1"/>
        </w:rPr>
        <w:t>.</w:t>
      </w:r>
      <w:r w:rsidR="00FE7E0B" w:rsidRPr="006A121F">
        <w:rPr>
          <w:rFonts w:ascii="Baskerville" w:hAnsi="Baskerville"/>
          <w:color w:val="000000" w:themeColor="text1"/>
        </w:rPr>
        <w:t xml:space="preserve"> </w:t>
      </w:r>
      <w:r w:rsidRPr="006A121F">
        <w:rPr>
          <w:rFonts w:ascii="Baskerville" w:hAnsi="Baskerville"/>
          <w:color w:val="000000" w:themeColor="text1"/>
        </w:rPr>
        <w:t>In an action before a federal district court sitting in Illinois, “[a] party seeking a temporary restraining order must demonstrate as a threshold matter that (1) its case has some likelihood of succeeding on the merits; (2) no adequate remedy at law exists; and (3) it will suffer irreparable harm if preliminary relief is denied.”</w:t>
      </w:r>
      <w:r w:rsidR="00FB1D09" w:rsidRPr="006A121F">
        <w:rPr>
          <w:rFonts w:ascii="Baskerville" w:hAnsi="Baskerville"/>
          <w:color w:val="000000" w:themeColor="text1"/>
        </w:rPr>
        <w:t xml:space="preserve"> </w:t>
      </w:r>
      <w:r w:rsidRPr="006A121F">
        <w:rPr>
          <w:rFonts w:ascii="Baskerville" w:hAnsi="Baskerville"/>
          <w:i/>
          <w:color w:val="000000" w:themeColor="text1"/>
        </w:rPr>
        <w:t>Mintel Int’l Grp., Ltd. v. Neergheen</w:t>
      </w:r>
      <w:r w:rsidRPr="006A121F">
        <w:rPr>
          <w:rFonts w:ascii="Baskerville" w:hAnsi="Baskerville"/>
          <w:color w:val="000000" w:themeColor="text1"/>
        </w:rPr>
        <w:t>, 2008 U.S. Dist. LEXIS 54119, at *5 (N.D. Ill. July 16, 2008).</w:t>
      </w:r>
    </w:p>
    <w:p w14:paraId="609839AA" w14:textId="16442FBD" w:rsidR="00FE7E0B" w:rsidRPr="00A63DD7" w:rsidRDefault="00FE7E0B" w:rsidP="00A63DD7">
      <w:pPr>
        <w:shd w:val="clear" w:color="auto" w:fill="FFFFFF"/>
        <w:rPr>
          <w:rFonts w:ascii="Baskerville" w:hAnsi="Baskerville"/>
          <w:color w:val="000000" w:themeColor="text1"/>
        </w:rPr>
      </w:pPr>
      <w:r w:rsidRPr="00FE7E0B">
        <w:rPr>
          <w:rFonts w:ascii="Baskerville" w:hAnsi="Baskerville" w:cs="Open Sans"/>
          <w:color w:val="000000" w:themeColor="text1"/>
        </w:rPr>
        <w:tab/>
        <w:t>“</w:t>
      </w:r>
      <w:r w:rsidRPr="00FE7E0B">
        <w:rPr>
          <w:rStyle w:val="legalprinciplestatement"/>
          <w:rFonts w:ascii="Baskerville" w:hAnsi="Baskerville" w:cs="Open Sans"/>
          <w:color w:val="000000" w:themeColor="text1"/>
        </w:rPr>
        <w:t xml:space="preserve">The standards for issuing a temporary restraining order and a preliminary injunction are identical.” </w:t>
      </w:r>
      <w:r w:rsidRPr="00FE7E0B">
        <w:rPr>
          <w:rFonts w:ascii="Baskerville" w:hAnsi="Baskerville" w:cs="Open Sans"/>
          <w:i/>
          <w:iCs/>
          <w:color w:val="000000" w:themeColor="text1"/>
        </w:rPr>
        <w:t>Medcor, Inc. v. Garcia</w:t>
      </w:r>
      <w:r w:rsidRPr="00FE7E0B">
        <w:rPr>
          <w:rFonts w:ascii="Baskerville" w:hAnsi="Baskerville" w:cs="Open Sans"/>
          <w:color w:val="000000" w:themeColor="text1"/>
        </w:rPr>
        <w:t>, 2022 BL 12783, at *1 (N.D. Ill. Jan. 13, 2022).</w:t>
      </w:r>
    </w:p>
    <w:p w14:paraId="1DF6B7DA" w14:textId="77777777" w:rsidR="00655396" w:rsidRDefault="00655396" w:rsidP="008B512B">
      <w:pPr>
        <w:pStyle w:val="BodyText"/>
        <w:spacing w:line="240" w:lineRule="auto"/>
      </w:pPr>
    </w:p>
    <w:p w14:paraId="1CF7D81A" w14:textId="77777777" w:rsidR="00A05A11" w:rsidRPr="00DA4A8D" w:rsidRDefault="00655396" w:rsidP="0090071E">
      <w:pPr>
        <w:pStyle w:val="Question"/>
        <w:spacing w:line="240" w:lineRule="auto"/>
      </w:pPr>
      <w:r>
        <w:t>6.</w:t>
      </w:r>
      <w:r>
        <w:tab/>
        <w:t>If it is a necessary element of proof, how does the employer establish irreparable harm?</w:t>
      </w:r>
    </w:p>
    <w:p w14:paraId="6B2A0FDF" w14:textId="77777777" w:rsidR="00A05A11" w:rsidRPr="006A121F" w:rsidRDefault="00A05A11" w:rsidP="00A05A11">
      <w:pPr>
        <w:pStyle w:val="bulletedparagraph-"/>
        <w:rPr>
          <w:rFonts w:ascii="Baskerville Old Face" w:hAnsi="Baskerville Old Face"/>
        </w:rPr>
      </w:pPr>
      <w:r w:rsidRPr="006A121F">
        <w:rPr>
          <w:rFonts w:ascii="Baskerville Old Face" w:hAnsi="Baskerville Old Face"/>
        </w:rPr>
        <w:t xml:space="preserve">• </w:t>
      </w:r>
      <w:r w:rsidRPr="006A121F">
        <w:rPr>
          <w:rFonts w:ascii="Baskerville Old Face" w:hAnsi="Baskerville Old Face"/>
          <w:i/>
        </w:rPr>
        <w:t xml:space="preserve">State court actions. </w:t>
      </w:r>
      <w:r w:rsidRPr="006A121F">
        <w:rPr>
          <w:rFonts w:ascii="Baskerville Old Face" w:hAnsi="Baskerville Old Face"/>
        </w:rPr>
        <w:t xml:space="preserve">Irreparable harm is a necessary element of proof, and in </w:t>
      </w:r>
      <w:r w:rsidRPr="006A121F">
        <w:rPr>
          <w:rFonts w:ascii="Baskerville Old Face" w:hAnsi="Baskerville Old Face"/>
          <w:i/>
        </w:rPr>
        <w:t>McRand, Inc. v. Van Beelen</w:t>
      </w:r>
      <w:r w:rsidRPr="006A121F">
        <w:rPr>
          <w:rFonts w:ascii="Baskerville Old Face" w:hAnsi="Baskerville Old Face"/>
        </w:rPr>
        <w:t>, 138 Ill. App. 3d 1045, 93 Ill. Dec. 471, 486 N.E.2d 1306 (1st Dist. 1985), the court held:</w:t>
      </w:r>
    </w:p>
    <w:p w14:paraId="47AFC137" w14:textId="05DB733E" w:rsidR="00A05A11" w:rsidRPr="0016514A" w:rsidRDefault="00A05A11" w:rsidP="00A05A11">
      <w:pPr>
        <w:pStyle w:val="block-f"/>
        <w:rPr>
          <w:rFonts w:ascii="Baskerville Old Face" w:hAnsi="Baskerville Old Face" w:cs="Times New Roman"/>
        </w:rPr>
      </w:pPr>
      <w:r w:rsidRPr="0016514A">
        <w:rPr>
          <w:rFonts w:ascii="Baskerville Old Face" w:hAnsi="Baskerville Old Face" w:cs="Times New Roman"/>
        </w:rPr>
        <w:t>The trial court also found that [the employer] failed to show any irreparable injury and that it had an adequate remedy at law. Once a protectable interest is established, irreparable injury is presumed to follow if the interest is not protected.</w:t>
      </w:r>
      <w:r w:rsidRPr="00A05A11">
        <w:rPr>
          <w:rFonts w:cs="Times New Roman"/>
        </w:rPr>
        <w:t> </w:t>
      </w:r>
      <w:r w:rsidR="00944F63">
        <w:rPr>
          <w:rFonts w:ascii="Baskerville Old Face" w:hAnsi="Baskerville Old Face" w:cs="Times New Roman"/>
        </w:rPr>
        <w:t>…</w:t>
      </w:r>
      <w:r w:rsidRPr="00A05A11">
        <w:rPr>
          <w:rFonts w:cs="Times New Roman"/>
        </w:rPr>
        <w:t> </w:t>
      </w:r>
      <w:r w:rsidRPr="0016514A">
        <w:rPr>
          <w:rFonts w:ascii="Baskerville Old Face" w:hAnsi="Baskerville Old Face" w:cs="Times New Roman"/>
        </w:rPr>
        <w:t>In the present case, while working for [the employer, the former employees] set up a corporation to compete with [the employer] and later solicited its customers, thereby creating a situation threatening great and immediate harm to [the employer].</w:t>
      </w:r>
    </w:p>
    <w:p w14:paraId="3C9447B4" w14:textId="77777777" w:rsidR="00A05A11" w:rsidRPr="0016514A" w:rsidRDefault="00A05A11" w:rsidP="00A05A11">
      <w:pPr>
        <w:pStyle w:val="textflush"/>
        <w:rPr>
          <w:rFonts w:ascii="Baskerville Old Face" w:hAnsi="Baskerville Old Face" w:cs="Times New Roman"/>
        </w:rPr>
      </w:pPr>
      <w:r w:rsidRPr="0016514A">
        <w:rPr>
          <w:rFonts w:ascii="Baskerville Old Face" w:hAnsi="Baskerville Old Face" w:cs="Times New Roman"/>
          <w:i/>
          <w:iCs/>
        </w:rPr>
        <w:t>Id.</w:t>
      </w:r>
      <w:r w:rsidRPr="0016514A">
        <w:rPr>
          <w:rFonts w:ascii="Baskerville Old Face" w:hAnsi="Baskerville Old Face" w:cs="Times New Roman"/>
        </w:rPr>
        <w:t xml:space="preserve">, 486 N.E.2d at 1313. </w:t>
      </w:r>
      <w:r w:rsidRPr="0016514A">
        <w:rPr>
          <w:rFonts w:ascii="Baskerville Old Face" w:hAnsi="Baskerville Old Face" w:cs="Times New Roman"/>
          <w:i/>
          <w:iCs/>
        </w:rPr>
        <w:t>Accord TSD Enters., LLC v. Secora</w:t>
      </w:r>
      <w:r w:rsidRPr="0016514A">
        <w:rPr>
          <w:rFonts w:ascii="Baskerville Old Face" w:hAnsi="Baskerville Old Face" w:cs="Times New Roman"/>
        </w:rPr>
        <w:t xml:space="preserve">, 2016 BL 311106, at *6 (Ill. 5th Dist. Ct. App. Sept. 21, 2016) (finding that plaintiff “sufficiently alleged that it had an inadequate remedy at law, in order to seek a preliminary injunction”); </w:t>
      </w:r>
      <w:r w:rsidRPr="0016514A">
        <w:rPr>
          <w:rFonts w:ascii="Baskerville Old Face" w:hAnsi="Baskerville Old Face" w:cs="Times New Roman"/>
          <w:i/>
          <w:iCs/>
        </w:rPr>
        <w:t>A.B. Dick Co. v. American Pro-Tech</w:t>
      </w:r>
      <w:r w:rsidRPr="0016514A">
        <w:rPr>
          <w:rFonts w:ascii="Baskerville Old Face" w:hAnsi="Baskerville Old Face" w:cs="Times New Roman"/>
        </w:rPr>
        <w:t xml:space="preserve">, 159 Ill. App. 3d 786, 112 Ill. Dec. 649, 514 N.E.2d 45, 2 IER Cases 600 (1st Dist. 1987). </w:t>
      </w:r>
      <w:r w:rsidRPr="0016514A">
        <w:rPr>
          <w:rFonts w:ascii="Baskerville Old Face" w:hAnsi="Baskerville Old Face" w:cs="Times New Roman"/>
          <w:i/>
          <w:iCs/>
        </w:rPr>
        <w:t>See also</w:t>
      </w:r>
      <w:r w:rsidRPr="0016514A">
        <w:rPr>
          <w:rFonts w:ascii="Baskerville Old Face" w:hAnsi="Baskerville Old Face" w:cs="Times New Roman"/>
        </w:rPr>
        <w:t xml:space="preserve"> </w:t>
      </w:r>
      <w:r w:rsidRPr="0016514A">
        <w:rPr>
          <w:rFonts w:ascii="Baskerville Old Face" w:hAnsi="Baskerville Old Face" w:cs="Times New Roman"/>
          <w:i/>
          <w:iCs/>
        </w:rPr>
        <w:t>Lifetec, Inc. v. Edwards</w:t>
      </w:r>
      <w:r w:rsidRPr="0016514A">
        <w:rPr>
          <w:rFonts w:ascii="Baskerville Old Face" w:hAnsi="Baskerville Old Face" w:cs="Times New Roman"/>
        </w:rPr>
        <w:t>, 377 Ill. App. 3d 260, 272, 800 N.E.2d 188, 199 (4th Dist. 2007).</w:t>
      </w:r>
    </w:p>
    <w:p w14:paraId="1F8F8D60" w14:textId="77777777" w:rsidR="00A05A11" w:rsidRPr="006A121F" w:rsidRDefault="00A05A11" w:rsidP="00A05A11">
      <w:pPr>
        <w:pStyle w:val="text"/>
        <w:rPr>
          <w:rFonts w:ascii="Baskerville Old Face" w:hAnsi="Baskerville Old Face"/>
        </w:rPr>
      </w:pPr>
      <w:r w:rsidRPr="006A121F">
        <w:rPr>
          <w:rFonts w:ascii="Baskerville Old Face" w:hAnsi="Baskerville Old Face"/>
        </w:rPr>
        <w:t xml:space="preserve">To show irreparable injury, the plaintiff is not required to show that the injury is beyond repair or that compensation in </w:t>
      </w:r>
      <w:r w:rsidRPr="006A121F">
        <w:rPr>
          <w:rFonts w:ascii="Baskerville Old Face" w:hAnsi="Baskerville Old Face"/>
        </w:rPr>
        <w:lastRenderedPageBreak/>
        <w:t xml:space="preserve">damages is not possible, but need only show transgressions of a continuing nature. </w:t>
      </w:r>
      <w:r w:rsidRPr="006A121F">
        <w:rPr>
          <w:rFonts w:ascii="Baskerville Old Face" w:hAnsi="Baskerville Old Face"/>
          <w:i/>
        </w:rPr>
        <w:t>Stenstrom Petroleum Servs. Grp., Inc. v. Mesch</w:t>
      </w:r>
      <w:r w:rsidRPr="006A121F">
        <w:rPr>
          <w:rFonts w:ascii="Baskerville Old Face" w:hAnsi="Baskerville Old Face"/>
        </w:rPr>
        <w:t xml:space="preserve">, 375 Ill. App. 3d 1077, 1096, 847 N.E.2d 959, 976 (2d Dist. 2007). Injuries flowing from violations of a noncompetition covenant are “a canonical form of irreparable harm” because such injuries “are difficult to prove and quantify.” </w:t>
      </w:r>
      <w:r w:rsidRPr="006A121F">
        <w:rPr>
          <w:rFonts w:ascii="Baskerville Old Face" w:hAnsi="Baskerville Old Face"/>
          <w:i/>
        </w:rPr>
        <w:t>PrimeSource Bldg. Prods., Inc. v. Huttig Bldg. Prods., Inc</w:t>
      </w:r>
      <w:r w:rsidRPr="006A121F">
        <w:rPr>
          <w:rFonts w:ascii="Baskerville Old Face" w:hAnsi="Baskerville Old Face"/>
        </w:rPr>
        <w:t>., 2017 BL 441001, at *15 (N.D. Ill. Dec. 9, 2017) (citation omitted).</w:t>
      </w:r>
    </w:p>
    <w:p w14:paraId="612F4C34" w14:textId="77777777" w:rsidR="00A05A11" w:rsidRPr="006A121F" w:rsidRDefault="00A05A11" w:rsidP="00A05A11">
      <w:pPr>
        <w:pStyle w:val="text"/>
        <w:rPr>
          <w:rFonts w:ascii="Baskerville Old Face" w:hAnsi="Baskerville Old Face"/>
        </w:rPr>
      </w:pPr>
      <w:r w:rsidRPr="006A121F">
        <w:rPr>
          <w:rFonts w:ascii="Baskerville Old Face" w:hAnsi="Baskerville Old Face"/>
        </w:rPr>
        <w:t xml:space="preserve">Harm to an employer’s client relationships is presumed to cause irreparable injury. </w:t>
      </w:r>
      <w:r w:rsidRPr="006A121F">
        <w:rPr>
          <w:rFonts w:ascii="Baskerville Old Face" w:hAnsi="Baskerville Old Face"/>
          <w:i/>
        </w:rPr>
        <w:t>Scheffel Fin. Servs., Inc. v. Heil</w:t>
      </w:r>
      <w:r w:rsidRPr="006A121F">
        <w:rPr>
          <w:rFonts w:ascii="Baskerville Old Face" w:hAnsi="Baskerville Old Face"/>
        </w:rPr>
        <w:t>, 2014 IL App (5th) 130600, 384 Ill. Dec. 289, 16 N.E.3d 385 (5th Dist. 2014).</w:t>
      </w:r>
    </w:p>
    <w:p w14:paraId="6E8B46CC" w14:textId="77777777" w:rsidR="00A05A11" w:rsidRPr="006A121F" w:rsidRDefault="00A05A11" w:rsidP="00204FD8">
      <w:pPr>
        <w:pStyle w:val="text"/>
        <w:tabs>
          <w:tab w:val="clear" w:pos="2880"/>
        </w:tabs>
        <w:rPr>
          <w:rFonts w:ascii="Baskerville Old Face" w:hAnsi="Baskerville Old Face"/>
        </w:rPr>
      </w:pPr>
      <w:r w:rsidRPr="006A121F">
        <w:rPr>
          <w:rFonts w:ascii="Baskerville Old Face" w:hAnsi="Baskerville Old Face"/>
        </w:rPr>
        <w:t xml:space="preserve">If there is a possibility that, without the preliminary injunction, the employer might never know which customers the former employee took, no adequate remedy exists at law. </w:t>
      </w:r>
      <w:r w:rsidRPr="006A121F">
        <w:rPr>
          <w:rFonts w:ascii="Baskerville Old Face" w:hAnsi="Baskerville Old Face"/>
          <w:i/>
        </w:rPr>
        <w:t>A.B. Dick Co.</w:t>
      </w:r>
      <w:r w:rsidRPr="006A121F">
        <w:rPr>
          <w:rFonts w:ascii="Baskerville Old Face" w:hAnsi="Baskerville Old Face"/>
        </w:rPr>
        <w:t xml:space="preserve">, </w:t>
      </w:r>
      <w:r w:rsidRPr="006A121F">
        <w:rPr>
          <w:rFonts w:ascii="Baskerville Old Face" w:hAnsi="Baskerville Old Face"/>
          <w:i/>
        </w:rPr>
        <w:t>supra.</w:t>
      </w:r>
      <w:r w:rsidRPr="006A121F">
        <w:rPr>
          <w:rFonts w:ascii="Baskerville Old Face" w:hAnsi="Baskerville Old Face"/>
        </w:rPr>
        <w:t xml:space="preserve"> </w:t>
      </w:r>
      <w:r w:rsidRPr="006A121F">
        <w:rPr>
          <w:rFonts w:ascii="Baskerville Old Face" w:hAnsi="Baskerville Old Face"/>
          <w:i/>
        </w:rPr>
        <w:t>See also Morrison Metalweld Process Corp. v. Valent</w:t>
      </w:r>
      <w:r w:rsidRPr="006A121F">
        <w:rPr>
          <w:rFonts w:ascii="Baskerville Old Face" w:hAnsi="Baskerville Old Face"/>
        </w:rPr>
        <w:t xml:space="preserve">, 97 Ill. App. 3d 373, 52 Ill. Dec. 825, 422 N.E.2d 1034, 1039 (1st Dist. 1981); </w:t>
      </w:r>
      <w:r w:rsidRPr="006A121F">
        <w:rPr>
          <w:rFonts w:ascii="Baskerville Old Face" w:hAnsi="Baskerville Old Face"/>
          <w:i/>
        </w:rPr>
        <w:t>Office Elecs. v. Grafic Forms</w:t>
      </w:r>
      <w:r w:rsidRPr="006A121F">
        <w:rPr>
          <w:rFonts w:ascii="Baskerville Old Face" w:hAnsi="Baskerville Old Face"/>
        </w:rPr>
        <w:t>, 56 Ill. App. 3d 395, 372 N.E.2d 125, 128–29 (2d Dist. 1978).</w:t>
      </w:r>
    </w:p>
    <w:p w14:paraId="7027ED21" w14:textId="77777777" w:rsidR="00A05A11" w:rsidRPr="006A121F" w:rsidRDefault="00A05A11" w:rsidP="00204FD8">
      <w:pPr>
        <w:pStyle w:val="text"/>
        <w:tabs>
          <w:tab w:val="clear" w:pos="2880"/>
        </w:tabs>
        <w:rPr>
          <w:rFonts w:ascii="Baskerville Old Face" w:hAnsi="Baskerville Old Face"/>
        </w:rPr>
      </w:pPr>
      <w:r w:rsidRPr="006A121F">
        <w:rPr>
          <w:rFonts w:ascii="Baskerville Old Face" w:hAnsi="Baskerville Old Face"/>
        </w:rPr>
        <w:t xml:space="preserve">If a former employer fails to establish a protectable interest, it also cannot show that it is suffering an irreparable injury or has an inadequate remedy at law. </w:t>
      </w:r>
      <w:r w:rsidRPr="006A121F">
        <w:rPr>
          <w:rFonts w:ascii="Baskerville Old Face" w:hAnsi="Baskerville Old Face"/>
          <w:i/>
        </w:rPr>
        <w:t>Southern Ill. Med. Bus. Assocs. v. Camillo</w:t>
      </w:r>
      <w:r w:rsidRPr="006A121F">
        <w:rPr>
          <w:rFonts w:ascii="Baskerville Old Face" w:hAnsi="Baskerville Old Face"/>
        </w:rPr>
        <w:t xml:space="preserve">, 190 Ill. App. 3d 664, 138 Ill. Dec. 4, 546 N.E.2d 1059, 1067 (6th Dist. 1989); </w:t>
      </w:r>
      <w:r w:rsidRPr="006A121F">
        <w:rPr>
          <w:rFonts w:ascii="Baskerville Old Face" w:hAnsi="Baskerville Old Face"/>
          <w:i/>
        </w:rPr>
        <w:t>Hydroaire, Inc. v. Sager</w:t>
      </w:r>
      <w:r w:rsidRPr="006A121F">
        <w:rPr>
          <w:rFonts w:ascii="Baskerville Old Face" w:hAnsi="Baskerville Old Face"/>
        </w:rPr>
        <w:t>, 98 Ill. App. 3d 758, 767, 53 Ill. Dec. 928, 935, 424 N.F.2d 719, 726 (1st Dist. 1981).</w:t>
      </w:r>
    </w:p>
    <w:p w14:paraId="46C0EFEB" w14:textId="77777777" w:rsidR="00A05A11" w:rsidRPr="006A121F" w:rsidRDefault="00A05A11" w:rsidP="00204FD8">
      <w:pPr>
        <w:pStyle w:val="text"/>
        <w:tabs>
          <w:tab w:val="clear" w:pos="2880"/>
        </w:tabs>
        <w:rPr>
          <w:rFonts w:ascii="Baskerville Old Face" w:hAnsi="Baskerville Old Face"/>
          <w:i/>
        </w:rPr>
      </w:pPr>
      <w:r w:rsidRPr="006A121F">
        <w:rPr>
          <w:rFonts w:ascii="Baskerville Old Face" w:hAnsi="Baskerville Old Face"/>
        </w:rPr>
        <w:t xml:space="preserve">The former employer need only raise a “fair question” as to the existence of a protectable right or interest. </w:t>
      </w:r>
      <w:r w:rsidRPr="006A121F">
        <w:rPr>
          <w:rFonts w:ascii="Baskerville Old Face" w:hAnsi="Baskerville Old Face"/>
          <w:i/>
        </w:rPr>
        <w:t>Williams &amp; Montgomery v. Stellato</w:t>
      </w:r>
      <w:r w:rsidRPr="006A121F">
        <w:rPr>
          <w:rFonts w:ascii="Baskerville Old Face" w:hAnsi="Baskerville Old Face"/>
        </w:rPr>
        <w:t xml:space="preserve">, 195 Ill. App. 3d 544, 142 Ill. Dec. 359, 552 N.E.2d 1100, 1104 (1st Dist. 1900); </w:t>
      </w:r>
      <w:r w:rsidRPr="006A121F">
        <w:rPr>
          <w:rFonts w:ascii="Baskerville Old Face" w:hAnsi="Baskerville Old Face"/>
          <w:i/>
        </w:rPr>
        <w:t>A.B. Dick Co., supra.</w:t>
      </w:r>
    </w:p>
    <w:p w14:paraId="72C0D79F" w14:textId="2EC26024" w:rsidR="00A05A11" w:rsidRPr="006A121F" w:rsidRDefault="00A05A11" w:rsidP="00204FD8">
      <w:pPr>
        <w:pStyle w:val="text"/>
        <w:tabs>
          <w:tab w:val="clear" w:pos="2880"/>
        </w:tabs>
        <w:rPr>
          <w:rFonts w:ascii="Baskerville" w:hAnsi="Baskerville"/>
          <w:color w:val="000000" w:themeColor="text1"/>
        </w:rPr>
      </w:pPr>
      <w:r w:rsidRPr="006A121F">
        <w:rPr>
          <w:rFonts w:ascii="Baskerville" w:hAnsi="Baskerville"/>
          <w:i/>
          <w:color w:val="000000" w:themeColor="text1"/>
        </w:rPr>
        <w:t>See also</w:t>
      </w:r>
      <w:r w:rsidRPr="006A121F">
        <w:rPr>
          <w:rFonts w:ascii="Baskerville" w:hAnsi="Baskerville"/>
          <w:color w:val="000000" w:themeColor="text1"/>
        </w:rPr>
        <w:t xml:space="preserve"> the discussion in the answer to Question 5, </w:t>
      </w:r>
      <w:r w:rsidRPr="006A121F">
        <w:rPr>
          <w:rFonts w:ascii="Baskerville" w:hAnsi="Baskerville"/>
          <w:i/>
          <w:color w:val="000000" w:themeColor="text1"/>
        </w:rPr>
        <w:t>supra</w:t>
      </w:r>
      <w:r w:rsidRPr="006A121F">
        <w:rPr>
          <w:rFonts w:ascii="Baskerville" w:hAnsi="Baskerville"/>
          <w:color w:val="000000" w:themeColor="text1"/>
        </w:rPr>
        <w:t>.</w:t>
      </w:r>
    </w:p>
    <w:p w14:paraId="71EF1FBD" w14:textId="4EE0B6C3" w:rsidR="00DD239C" w:rsidRPr="00DD239C" w:rsidRDefault="00DD239C" w:rsidP="00DD239C">
      <w:pPr>
        <w:rPr>
          <w:lang w:eastAsia="pt-PT"/>
        </w:rPr>
      </w:pPr>
    </w:p>
    <w:p w14:paraId="75777BEE" w14:textId="15BD8837" w:rsidR="00DD239C" w:rsidRPr="006A121F" w:rsidRDefault="00DD239C" w:rsidP="006A121F">
      <w:pPr>
        <w:shd w:val="clear" w:color="auto" w:fill="FFFFFF"/>
        <w:rPr>
          <w:rFonts w:ascii="Baskerville" w:hAnsi="Baskerville"/>
          <w:color w:val="000000" w:themeColor="text1"/>
        </w:rPr>
      </w:pPr>
      <w:r>
        <w:rPr>
          <w:rFonts w:ascii="Baskerville" w:hAnsi="Baskerville"/>
          <w:color w:val="000000" w:themeColor="text1"/>
        </w:rPr>
        <w:tab/>
      </w:r>
      <w:r w:rsidR="00A05A11" w:rsidRPr="00DD239C">
        <w:rPr>
          <w:rFonts w:ascii="Baskerville" w:hAnsi="Baskerville"/>
          <w:color w:val="000000" w:themeColor="text1"/>
        </w:rPr>
        <w:t xml:space="preserve">• </w:t>
      </w:r>
      <w:r w:rsidR="00A05A11" w:rsidRPr="006A121F">
        <w:rPr>
          <w:rFonts w:ascii="Baskerville" w:hAnsi="Baskerville"/>
          <w:i/>
          <w:color w:val="000000" w:themeColor="text1"/>
        </w:rPr>
        <w:t>Federal court actions</w:t>
      </w:r>
      <w:r w:rsidR="00A05A11" w:rsidRPr="006A121F">
        <w:rPr>
          <w:rFonts w:ascii="Baskerville" w:hAnsi="Baskerville"/>
          <w:color w:val="000000" w:themeColor="text1"/>
        </w:rPr>
        <w:t xml:space="preserve">. According to a federal district court sitting in Illinois, “[t]he loss of clients and sales and the continuing threat of further loss due to the distribution of [the former employer’s] client lists and marketing data are sufficient to constitute irreparable injury.” </w:t>
      </w:r>
      <w:r w:rsidR="00A05A11" w:rsidRPr="006A121F">
        <w:rPr>
          <w:rFonts w:ascii="Baskerville" w:hAnsi="Baskerville"/>
          <w:i/>
          <w:color w:val="000000" w:themeColor="text1"/>
        </w:rPr>
        <w:t>Mintel Int’l Grp., Ltd. v. Neergheen</w:t>
      </w:r>
      <w:r w:rsidR="00A05A11" w:rsidRPr="006A121F">
        <w:rPr>
          <w:rFonts w:ascii="Baskerville" w:hAnsi="Baskerville"/>
          <w:color w:val="000000" w:themeColor="text1"/>
        </w:rPr>
        <w:t xml:space="preserve">, 2008 U.S. Dist. LEXIS 54119, at *14 (N.D. Ill. July 16, 2008) (and noting, </w:t>
      </w:r>
      <w:r w:rsidR="00A05A11" w:rsidRPr="006A121F">
        <w:rPr>
          <w:rFonts w:ascii="Baskerville" w:hAnsi="Baskerville"/>
          <w:i/>
          <w:color w:val="000000" w:themeColor="text1"/>
        </w:rPr>
        <w:t xml:space="preserve">id. </w:t>
      </w:r>
      <w:r w:rsidR="00A05A11" w:rsidRPr="006A121F">
        <w:rPr>
          <w:rFonts w:ascii="Baskerville" w:hAnsi="Baskerville"/>
          <w:color w:val="000000" w:themeColor="text1"/>
        </w:rPr>
        <w:t>at *15, that “irreparable harm includes the impossibility of ascertaining with any accuracy the extent of the loss.”).</w:t>
      </w:r>
      <w:r w:rsidRPr="00DD239C">
        <w:rPr>
          <w:rFonts w:ascii="Baskerville" w:hAnsi="Baskerville"/>
          <w:color w:val="000000" w:themeColor="text1"/>
        </w:rPr>
        <w:t xml:space="preserve"> </w:t>
      </w:r>
      <w:r w:rsidRPr="00DD239C">
        <w:rPr>
          <w:rFonts w:ascii="Baskerville" w:hAnsi="Baskerville"/>
          <w:i/>
          <w:iCs/>
          <w:color w:val="000000" w:themeColor="text1"/>
        </w:rPr>
        <w:t xml:space="preserve">See </w:t>
      </w:r>
      <w:r w:rsidRPr="00DD239C">
        <w:rPr>
          <w:rFonts w:ascii="Baskerville" w:hAnsi="Baskerville" w:cs="Open Sans"/>
          <w:i/>
          <w:iCs/>
          <w:color w:val="000000" w:themeColor="text1"/>
        </w:rPr>
        <w:t xml:space="preserve">Medcor, </w:t>
      </w:r>
      <w:r w:rsidRPr="00DD239C">
        <w:rPr>
          <w:rFonts w:ascii="Baskerville" w:hAnsi="Baskerville" w:cs="Open Sans"/>
          <w:i/>
          <w:iCs/>
          <w:color w:val="000000" w:themeColor="text1"/>
        </w:rPr>
        <w:lastRenderedPageBreak/>
        <w:t>Inc. v. Garcia</w:t>
      </w:r>
      <w:r w:rsidRPr="00DD239C">
        <w:rPr>
          <w:rFonts w:ascii="Baskerville" w:hAnsi="Baskerville" w:cs="Open Sans"/>
          <w:color w:val="000000" w:themeColor="text1"/>
        </w:rPr>
        <w:t>, 2022 BL 12783, at *13 (N.D. Ill. Jan. 13, 2022) (“Because [the former employer] has shown some likelihood that its customer losses may be difficult to identify, its associated revenue losses are at least partly irreparable.”).</w:t>
      </w:r>
    </w:p>
    <w:p w14:paraId="4BD81BCA" w14:textId="77777777" w:rsidR="00A05A11" w:rsidRPr="006A121F" w:rsidRDefault="00A05A11" w:rsidP="00A05A11">
      <w:pPr>
        <w:pStyle w:val="bulletedparagraph-"/>
        <w:rPr>
          <w:rFonts w:ascii="Baskerville Old Face" w:hAnsi="Baskerville Old Face"/>
        </w:rPr>
      </w:pPr>
      <w:r w:rsidRPr="0016514A">
        <w:rPr>
          <w:rFonts w:ascii="Baskerville Old Face" w:hAnsi="Baskerville Old Face" w:cs="Times New Roman"/>
        </w:rPr>
        <w:t xml:space="preserve">• </w:t>
      </w:r>
      <w:r w:rsidRPr="006A121F">
        <w:rPr>
          <w:rFonts w:ascii="Baskerville Old Face" w:hAnsi="Baskerville Old Face"/>
        </w:rPr>
        <w:t xml:space="preserve">• </w:t>
      </w:r>
      <w:r w:rsidRPr="006A121F">
        <w:rPr>
          <w:rFonts w:ascii="Baskerville Old Face" w:hAnsi="Baskerville Old Face"/>
          <w:i/>
        </w:rPr>
        <w:t>Federal court actions: Ongoing competition</w:t>
      </w:r>
      <w:r w:rsidRPr="006A121F">
        <w:rPr>
          <w:rFonts w:ascii="Baskerville Old Face" w:hAnsi="Baskerville Old Face"/>
        </w:rPr>
        <w:t xml:space="preserve">. Under Illinois law, “ongoing [unfair] competition itself is a sufficient basis” for injunctive relief to enforce a covenant not to compete, and a plaintiff’s “inability to show that particular business has been lost therefore does not foreclose equitable relief.” </w:t>
      </w:r>
      <w:r w:rsidRPr="006A121F">
        <w:rPr>
          <w:rFonts w:ascii="Baskerville Old Face" w:hAnsi="Baskerville Old Face"/>
          <w:i/>
        </w:rPr>
        <w:t>Hess Newmark Owens Wolf, Inc. v. Owens</w:t>
      </w:r>
      <w:r w:rsidRPr="006A121F">
        <w:rPr>
          <w:rFonts w:ascii="Baskerville Old Face" w:hAnsi="Baskerville Old Face"/>
        </w:rPr>
        <w:t>, 415 F.3d 630, 633 (7th Cir. 2005).</w:t>
      </w:r>
      <w:r w:rsidRPr="006A121F">
        <w:rPr>
          <w:rFonts w:ascii="Baskerville Old Face" w:hAnsi="Baskerville Old Face"/>
          <w:i/>
        </w:rPr>
        <w:t xml:space="preserve"> See Arjo, Inc. v. Handicare USA, Inc</w:t>
      </w:r>
      <w:r w:rsidRPr="006A121F">
        <w:rPr>
          <w:rFonts w:ascii="Baskerville Old Face" w:hAnsi="Baskerville Old Face"/>
        </w:rPr>
        <w:t xml:space="preserve">., 2018 BL 394345, *12 (N.D. Ill. Oct. 25, 2018) (involving distributorship agreement nondisclosure covenant; “Arjo relies on </w:t>
      </w:r>
      <w:r w:rsidRPr="006A121F">
        <w:rPr>
          <w:rFonts w:ascii="Baskerville Old Face" w:hAnsi="Baskerville Old Face"/>
          <w:i/>
        </w:rPr>
        <w:t>Hess Newmark Owens Wolf, Inc. v. Owens</w:t>
      </w:r>
      <w:r w:rsidRPr="006A121F">
        <w:rPr>
          <w:rFonts w:ascii="Baskerville Old Face" w:hAnsi="Baskerville Old Face"/>
        </w:rPr>
        <w:t xml:space="preserve">, 415 F.3d 630 (7th Cir. 2005), to argue that it need not show ‘actual loss’ to satisfy the standard. Its reliance is misplaced. </w:t>
      </w:r>
      <w:r w:rsidRPr="006A121F">
        <w:rPr>
          <w:rFonts w:ascii="Baskerville Old Face" w:hAnsi="Baskerville Old Face"/>
          <w:i/>
        </w:rPr>
        <w:t>Hess</w:t>
      </w:r>
      <w:r w:rsidRPr="006A121F">
        <w:rPr>
          <w:rFonts w:ascii="Baskerville Old Face" w:hAnsi="Baskerville Old Face"/>
        </w:rPr>
        <w:t xml:space="preserve"> concerned whether a plaintiff had to establish specific </w:t>
      </w:r>
      <w:r w:rsidRPr="006A121F">
        <w:rPr>
          <w:rFonts w:ascii="Baskerville Old Face" w:hAnsi="Baskerville Old Face"/>
          <w:i/>
        </w:rPr>
        <w:t>past</w:t>
      </w:r>
      <w:r w:rsidRPr="006A121F">
        <w:rPr>
          <w:rFonts w:ascii="Baskerville Old Face" w:hAnsi="Baskerville Old Face"/>
        </w:rPr>
        <w:t xml:space="preserve"> injury to demonstrate irreparable harm sufficient to warrant a preliminary injunction. </w:t>
      </w:r>
      <w:r w:rsidRPr="006A121F">
        <w:rPr>
          <w:rFonts w:ascii="Baskerville Old Face" w:hAnsi="Baskerville Old Face"/>
          <w:i/>
        </w:rPr>
        <w:t>Id.</w:t>
      </w:r>
      <w:r w:rsidRPr="006A121F">
        <w:rPr>
          <w:rFonts w:ascii="Baskerville Old Face" w:hAnsi="Baskerville Old Face"/>
        </w:rPr>
        <w:t xml:space="preserve"> at 632. The Seventh Circuit held that concrete past injury was not necessary. After all, a preliminary injunction is a prospective form of relief designed to </w:t>
      </w:r>
      <w:r w:rsidRPr="006A121F">
        <w:rPr>
          <w:rFonts w:ascii="Baskerville Old Face" w:hAnsi="Baskerville Old Face"/>
          <w:i/>
        </w:rPr>
        <w:t>prevent</w:t>
      </w:r>
      <w:r w:rsidRPr="006A121F">
        <w:rPr>
          <w:rFonts w:ascii="Baskerville Old Face" w:hAnsi="Baskerville Old Face"/>
        </w:rPr>
        <w:t xml:space="preserve"> irreparable harms. Therefore, because the defendant in </w:t>
      </w:r>
      <w:r w:rsidRPr="006A121F">
        <w:rPr>
          <w:rFonts w:ascii="Baskerville Old Face" w:hAnsi="Baskerville Old Face"/>
          <w:i/>
        </w:rPr>
        <w:t>Hess</w:t>
      </w:r>
      <w:r w:rsidRPr="006A121F">
        <w:rPr>
          <w:rFonts w:ascii="Baskerville Old Face" w:hAnsi="Baskerville Old Face"/>
        </w:rPr>
        <w:t xml:space="preserve"> was ‘engaged in ongoing competition’ against the plaintiff resulting in ‘ongoing diversion of business’ in violation of an ongoing non-compete agreement, irreparable harm was sufficiently established. </w:t>
      </w:r>
      <w:r w:rsidRPr="006A121F">
        <w:rPr>
          <w:rFonts w:ascii="Baskerville Old Face" w:hAnsi="Baskerville Old Face"/>
          <w:i/>
        </w:rPr>
        <w:t>Id.</w:t>
      </w:r>
      <w:r w:rsidRPr="006A121F">
        <w:rPr>
          <w:rFonts w:ascii="Baskerville Old Face" w:hAnsi="Baskerville Old Face"/>
        </w:rPr>
        <w:t xml:space="preserve"> at 632–33. Here, in contrast, there is no evidence of ongoing irreparable harm. And, regarding the two contracts Arjo emphasized at the hearing on this motion, all parties agree that the provision of the distributor agreement that allegedly rendered them unlawful was in effect for at most ninety days after the termination of the distributor agreement and thus cannot be the basis for a future injury.”).</w:t>
      </w:r>
    </w:p>
    <w:p w14:paraId="3CAEFE68" w14:textId="7F6FA7E5" w:rsidR="00A05A11" w:rsidRPr="006A121F" w:rsidRDefault="00A05A11" w:rsidP="00A05A11">
      <w:pPr>
        <w:pStyle w:val="bulletedparagraph-"/>
        <w:rPr>
          <w:rFonts w:ascii="Baskerville Old Face" w:hAnsi="Baskerville Old Face"/>
        </w:rPr>
      </w:pPr>
      <w:r w:rsidRPr="0016514A">
        <w:rPr>
          <w:rFonts w:ascii="Baskerville Old Face" w:hAnsi="Baskerville Old Face" w:cs="Times New Roman"/>
        </w:rPr>
        <w:t xml:space="preserve">•• </w:t>
      </w:r>
      <w:r w:rsidRPr="006A121F">
        <w:rPr>
          <w:rFonts w:ascii="Baskerville Old Face" w:hAnsi="Baskerville Old Face"/>
          <w:i/>
        </w:rPr>
        <w:t xml:space="preserve">Federal court actions: Clauses acknowledging irreparable harm and entitlement to injunctive relief. </w:t>
      </w:r>
      <w:r w:rsidRPr="006A121F">
        <w:rPr>
          <w:rFonts w:ascii="Baskerville Old Face" w:hAnsi="Baskerville Old Face"/>
        </w:rPr>
        <w:t xml:space="preserve">“Because the nature of the alleged [covenant] breach and its consequences are unknown when a contract is executed, a question exists as to whether the parties can effectively waive a judicial determination on this crucial element” under Illinois law. </w:t>
      </w:r>
      <w:r w:rsidRPr="006A121F">
        <w:rPr>
          <w:rFonts w:ascii="Baskerville Old Face" w:hAnsi="Baskerville Old Face"/>
          <w:i/>
        </w:rPr>
        <w:t>First Health Grp. Corp. v. National Prescription Adm’rs, Inc.</w:t>
      </w:r>
      <w:r w:rsidRPr="006A121F">
        <w:rPr>
          <w:rFonts w:ascii="Baskerville Old Face" w:hAnsi="Baskerville Old Face"/>
        </w:rPr>
        <w:t xml:space="preserve">, 155 F. Supp. 2d 194, 234–35 (M.D. Pa. 2001) </w:t>
      </w:r>
      <w:r w:rsidRPr="006A121F">
        <w:rPr>
          <w:rFonts w:ascii="Baskerville Old Face" w:hAnsi="Baskerville Old Face"/>
        </w:rPr>
        <w:lastRenderedPageBreak/>
        <w:t xml:space="preserve">(applying Illinois substantive law to covenant issues; finding ineffective an irreparable harm clause providing that employer shall be entitled to injunctive relief enjoining any actual or threatened covenant breach, and also providing that employee “acknowledges that [employer’s] remedy at law is inadequate and that [employer] will suffer irreparable injury if such conduct is not prohibited;” noting that former employer had not cited, and court had not found, any authority in support of proposition that parties may contractually bind themselves and court to injunctive relief before any breach has occurred). </w:t>
      </w:r>
      <w:r w:rsidRPr="006A121F">
        <w:rPr>
          <w:rFonts w:ascii="Baskerville Old Face" w:hAnsi="Baskerville Old Face"/>
          <w:i/>
        </w:rPr>
        <w:t>See also Baskin-Robbins v. Patel</w:t>
      </w:r>
      <w:r w:rsidRPr="006A121F">
        <w:rPr>
          <w:rFonts w:ascii="Baskerville Old Face" w:hAnsi="Baskerville Old Face"/>
        </w:rPr>
        <w:t>, 264 F. Supp. 2d 607, 609 (N.D. Ill. 2003) (despite existence of irreparable harm clause in franchise agreement, which specifically stated that “a violation of any of the terms</w:t>
      </w:r>
      <w:r w:rsidRPr="00A05A11">
        <w:rPr>
          <w:rFonts w:cs="Times New Roman"/>
        </w:rPr>
        <w:t> </w:t>
      </w:r>
      <w:r w:rsidR="00944F63">
        <w:rPr>
          <w:rFonts w:ascii="Baskerville Old Face" w:hAnsi="Baskerville Old Face" w:cs="Times New Roman"/>
        </w:rPr>
        <w:t>…</w:t>
      </w:r>
      <w:r w:rsidRPr="00A05A11">
        <w:rPr>
          <w:rFonts w:cs="Times New Roman"/>
        </w:rPr>
        <w:t> </w:t>
      </w:r>
      <w:r w:rsidRPr="006A121F">
        <w:rPr>
          <w:rFonts w:ascii="Baskerville Old Face" w:hAnsi="Baskerville Old Face"/>
        </w:rPr>
        <w:t xml:space="preserve">would result in irreparable harm to [the plaintiff franchisor] for which no adequate remedy at law may be available,” court concluded that plaintiff failed to demonstrate the requisite irreparable harm in view of evidence that plaintiff had permitted other former franchisees to operate in their former locations; court also noted, </w:t>
      </w:r>
      <w:r w:rsidRPr="006A121F">
        <w:rPr>
          <w:rFonts w:ascii="Baskerville Old Face" w:hAnsi="Baskerville Old Face"/>
          <w:i/>
        </w:rPr>
        <w:t>id.</w:t>
      </w:r>
      <w:r w:rsidRPr="006A121F">
        <w:rPr>
          <w:rFonts w:ascii="Baskerville Old Face" w:hAnsi="Baskerville Old Face"/>
        </w:rPr>
        <w:t xml:space="preserve"> at 611–12, need for more information through an evidentiary hearing before it could “comfortably assess the relative, and irreparable, nature” of the harm alleged); Deborah S. Coldwell, Michael J. Lockerby &amp; James R. Sims III, </w:t>
      </w:r>
      <w:r w:rsidRPr="006A121F">
        <w:rPr>
          <w:rFonts w:ascii="Baskerville Old Face" w:hAnsi="Baskerville Old Face"/>
          <w:i/>
        </w:rPr>
        <w:t>The More, The Merrier? N.Y. Federal Court Refuses to Dismiss Replacement Dealers Named as Co-Defendants</w:t>
      </w:r>
      <w:r w:rsidRPr="006A121F">
        <w:rPr>
          <w:rFonts w:ascii="Baskerville Old Face" w:hAnsi="Baskerville Old Face"/>
        </w:rPr>
        <w:t xml:space="preserve">, 23 </w:t>
      </w:r>
      <w:r w:rsidRPr="006A121F">
        <w:rPr>
          <w:rFonts w:ascii="Baskerville Old Face" w:hAnsi="Baskerville Old Face"/>
          <w:smallCaps/>
        </w:rPr>
        <w:t>Franchise L.J.</w:t>
      </w:r>
      <w:r w:rsidRPr="006A121F">
        <w:rPr>
          <w:rFonts w:ascii="Baskerville Old Face" w:hAnsi="Baskerville Old Face"/>
        </w:rPr>
        <w:t xml:space="preserve"> 120 (Fall 2003) (citing, </w:t>
      </w:r>
      <w:r w:rsidRPr="006A121F">
        <w:rPr>
          <w:rFonts w:ascii="Baskerville Old Face" w:hAnsi="Baskerville Old Face"/>
          <w:i/>
        </w:rPr>
        <w:t>id.</w:t>
      </w:r>
      <w:r w:rsidRPr="006A121F">
        <w:rPr>
          <w:rFonts w:ascii="Baskerville Old Face" w:hAnsi="Baskerville Old Face"/>
        </w:rPr>
        <w:t xml:space="preserve"> at 129, </w:t>
      </w:r>
      <w:r w:rsidRPr="006A121F">
        <w:rPr>
          <w:rFonts w:ascii="Baskerville Old Face" w:hAnsi="Baskerville Old Face"/>
          <w:i/>
        </w:rPr>
        <w:t>Baskin-Robbins</w:t>
      </w:r>
      <w:r w:rsidRPr="006A121F">
        <w:rPr>
          <w:rFonts w:ascii="Baskerville Old Face" w:hAnsi="Baskerville Old Face"/>
        </w:rPr>
        <w:t xml:space="preserve">, </w:t>
      </w:r>
      <w:r w:rsidRPr="006A121F">
        <w:rPr>
          <w:rFonts w:ascii="Baskerville Old Face" w:hAnsi="Baskerville Old Face"/>
          <w:i/>
        </w:rPr>
        <w:t>supra</w:t>
      </w:r>
      <w:r w:rsidRPr="006A121F">
        <w:rPr>
          <w:rFonts w:ascii="Baskerville Old Face" w:hAnsi="Baskerville Old Face"/>
        </w:rPr>
        <w:t>, as demonstrating “the need for a party seeking preliminary injunctive relief to make an actual showing of irreparable harm rather than relying upon statutory or contractual presumptions or conclusory statements.”).</w:t>
      </w:r>
    </w:p>
    <w:p w14:paraId="2062B672" w14:textId="7988FF03" w:rsidR="00655396" w:rsidRDefault="00A05A11" w:rsidP="00A05A11">
      <w:pPr>
        <w:pStyle w:val="NoParagraphStyle"/>
        <w:tabs>
          <w:tab w:val="left" w:pos="480"/>
          <w:tab w:val="left" w:pos="960"/>
          <w:tab w:val="left" w:pos="1440"/>
        </w:tabs>
        <w:spacing w:line="240" w:lineRule="auto"/>
        <w:jc w:val="both"/>
      </w:pPr>
      <w:r w:rsidRPr="0016514A">
        <w:rPr>
          <w:rFonts w:ascii="Baskerville Old Face" w:hAnsi="Baskerville Old Face"/>
        </w:rPr>
        <w:tab/>
        <w:t xml:space="preserve">•• </w:t>
      </w:r>
      <w:r w:rsidRPr="0016514A">
        <w:rPr>
          <w:rFonts w:ascii="Baskerville Old Face" w:hAnsi="Baskerville Old Face"/>
          <w:i/>
          <w:iCs/>
        </w:rPr>
        <w:t>Federal court actions: Trade secrets</w:t>
      </w:r>
      <w:r w:rsidRPr="0016514A">
        <w:rPr>
          <w:rFonts w:ascii="Baskerville Old Face" w:hAnsi="Baskerville Old Face"/>
        </w:rPr>
        <w:t xml:space="preserve">. The existence of irreparable harm in the absence of injunctive relief is presumed if trade secrets are misappropriated. </w:t>
      </w:r>
      <w:r w:rsidRPr="0016514A">
        <w:rPr>
          <w:rFonts w:ascii="Baskerville Old Face" w:hAnsi="Baskerville Old Face"/>
          <w:i/>
          <w:iCs/>
        </w:rPr>
        <w:t>Ultraviolet Devices, Inc. v. Kubitz</w:t>
      </w:r>
      <w:r w:rsidRPr="0016514A">
        <w:rPr>
          <w:rFonts w:ascii="Baskerville Old Face" w:hAnsi="Baskerville Old Face"/>
        </w:rPr>
        <w:t xml:space="preserve">, 2009 U.S. Dist. LEXIS 106375, 2009 WL 3824724, at *3 (N.D. Ill. Nov. 13, 2009) (trade secret case) (citing </w:t>
      </w:r>
      <w:r w:rsidRPr="0016514A">
        <w:rPr>
          <w:rFonts w:ascii="Baskerville Old Face" w:hAnsi="Baskerville Old Face"/>
          <w:i/>
          <w:iCs/>
        </w:rPr>
        <w:t xml:space="preserve">Jano Justice Sys., Inc. v. Burton, </w:t>
      </w:r>
      <w:r w:rsidRPr="0016514A">
        <w:rPr>
          <w:rFonts w:ascii="Baskerville Old Face" w:hAnsi="Baskerville Old Face"/>
        </w:rPr>
        <w:t>636 F. Supp. 2d 763, 767 (C.D. Ill. 2009) (not a covenant case; trade secret case; stating that, “in cases of trade secret misappropriation and copyright infringement, there is a presumption of irreparable harm.”)).</w:t>
      </w:r>
    </w:p>
    <w:p w14:paraId="05FE0504" w14:textId="77777777" w:rsidR="00655396" w:rsidRDefault="00655396" w:rsidP="008B512B">
      <w:pPr>
        <w:pStyle w:val="BodyText"/>
        <w:spacing w:line="240" w:lineRule="auto"/>
      </w:pPr>
    </w:p>
    <w:p w14:paraId="7D131682" w14:textId="77777777" w:rsidR="00655396" w:rsidRDefault="00655396" w:rsidP="008B512B">
      <w:pPr>
        <w:pStyle w:val="BodyText"/>
        <w:spacing w:line="240" w:lineRule="auto"/>
      </w:pPr>
    </w:p>
    <w:p w14:paraId="605371EF" w14:textId="77777777" w:rsidR="00655396" w:rsidRDefault="00655396" w:rsidP="008B512B">
      <w:pPr>
        <w:pStyle w:val="Question"/>
        <w:spacing w:line="240" w:lineRule="auto"/>
      </w:pPr>
      <w:r>
        <w:t>7.</w:t>
      </w:r>
      <w:r>
        <w:tab/>
        <w:t>What is the standard of review on appeal of a trial judge’s decision, following a preliminary injunction hearing, enforcing or refusing to enforce a covenant not to compete?</w:t>
      </w:r>
    </w:p>
    <w:p w14:paraId="7C46CFA3" w14:textId="77777777" w:rsidR="00655396" w:rsidRDefault="00655396" w:rsidP="008B512B">
      <w:pPr>
        <w:pStyle w:val="NoParagraphStyle"/>
        <w:tabs>
          <w:tab w:val="left" w:pos="480"/>
          <w:tab w:val="left" w:pos="960"/>
          <w:tab w:val="left" w:pos="1440"/>
        </w:tabs>
        <w:spacing w:line="240" w:lineRule="auto"/>
        <w:ind w:left="480" w:hanging="480"/>
        <w:jc w:val="both"/>
        <w:rPr>
          <w:rFonts w:ascii="Baskerville" w:hAnsi="Baskerville" w:cs="Baskerville"/>
          <w:b/>
          <w:bCs/>
        </w:rPr>
      </w:pPr>
    </w:p>
    <w:p w14:paraId="43989D0C" w14:textId="090110F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 </w:t>
      </w:r>
      <w:r>
        <w:rPr>
          <w:rFonts w:ascii="Baskerville" w:hAnsi="Baskerville" w:cs="Baskerville"/>
          <w:i/>
          <w:iCs/>
        </w:rPr>
        <w:t>State court actions.</w:t>
      </w:r>
      <w:r w:rsidR="00FB1D09">
        <w:rPr>
          <w:rFonts w:ascii="Baskerville" w:hAnsi="Baskerville" w:cs="Baskerville"/>
          <w:i/>
          <w:iCs/>
        </w:rPr>
        <w:t xml:space="preserve"> </w:t>
      </w:r>
    </w:p>
    <w:p w14:paraId="50CDA083"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7B93A28B"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In Illinois, the trial court has discretion in determining whether to grant an injunction to enforce a restrictive covenant in an employment contract; and the reviewing court shall uphold the order of the trial court unless it is contrary to the manifest weight of the evidence. </w:t>
      </w:r>
      <w:r>
        <w:rPr>
          <w:rFonts w:ascii="Baskerville" w:hAnsi="Baskerville" w:cs="Baskerville"/>
          <w:i/>
          <w:iCs/>
          <w:sz w:val="22"/>
          <w:szCs w:val="22"/>
        </w:rPr>
        <w:t>Retina Services, Ltd. v. Garoon</w:t>
      </w:r>
      <w:r>
        <w:rPr>
          <w:rFonts w:ascii="Baskerville" w:hAnsi="Baskerville" w:cs="Baskerville"/>
          <w:sz w:val="22"/>
          <w:szCs w:val="22"/>
        </w:rPr>
        <w:t xml:space="preserve"> (1989), 182 Ill. App. 3d 851, 131 Ill. Dec. 276, 538 N.E.2d 651.</w:t>
      </w:r>
    </w:p>
    <w:p w14:paraId="69CFB058" w14:textId="2572CAC4"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Gillespie v. Carbondale &amp; Marion Eye Ctrs., Ltd.,</w:t>
      </w:r>
      <w:r>
        <w:rPr>
          <w:rFonts w:ascii="Baskerville" w:hAnsi="Baskerville" w:cs="Baskerville"/>
        </w:rPr>
        <w:t xml:space="preserve"> 251 Ill. App. 3d 625, 626, 190 Ill. Dec. 950, 951, 622 N.E.2d 1267, 1268 (5th Dist. 1993).</w:t>
      </w:r>
      <w:r w:rsidR="00FB1D09">
        <w:rPr>
          <w:rFonts w:ascii="Baskerville" w:hAnsi="Baskerville" w:cs="Baskerville"/>
        </w:rPr>
        <w:t xml:space="preserve"> </w:t>
      </w:r>
      <w:r>
        <w:rPr>
          <w:rFonts w:ascii="Baskerville" w:hAnsi="Baskerville" w:cs="Baskerville"/>
          <w:i/>
          <w:iCs/>
        </w:rPr>
        <w:t>Accord: Virendra S. Bisla, M.D., Ltd. v. Parvaiz</w:t>
      </w:r>
      <w:r>
        <w:rPr>
          <w:rFonts w:ascii="Baskerville" w:hAnsi="Baskerville" w:cs="Baskerville"/>
        </w:rPr>
        <w:t>, 379 Ill. App. 3d 567, 572, 318 Ill. Dec. 822, 884 N.E.2d 790, 794 (1st Dist. 2008) (stating that an Illinois court of appeals reviews the decision of a trial court “by a manifest weight of the evidence standard.”).</w:t>
      </w:r>
    </w:p>
    <w:p w14:paraId="5FAD17ED" w14:textId="77777777" w:rsidR="00655396" w:rsidRDefault="00655396" w:rsidP="008B512B">
      <w:pPr>
        <w:pStyle w:val="BodyText"/>
        <w:spacing w:line="240" w:lineRule="auto"/>
      </w:pPr>
    </w:p>
    <w:p w14:paraId="0E7BD7E3"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The decision to grant or deny injunctive relief rests within the sound discretion of the trial court and will not be disturbed absent a clear showing of abuse. (</w:t>
      </w:r>
      <w:r>
        <w:rPr>
          <w:rFonts w:ascii="Baskerville" w:hAnsi="Baskerville" w:cs="Baskerville"/>
          <w:i/>
          <w:iCs/>
          <w:sz w:val="22"/>
          <w:szCs w:val="22"/>
        </w:rPr>
        <w:t xml:space="preserve">Southern Illinois Medical Business Associates v. Camillo </w:t>
      </w:r>
      <w:r>
        <w:rPr>
          <w:rFonts w:ascii="Baskerville" w:hAnsi="Baskerville" w:cs="Baskerville"/>
          <w:sz w:val="22"/>
          <w:szCs w:val="22"/>
        </w:rPr>
        <w:t xml:space="preserve">(1989), 190 Ill. App. 3d 664, 672, 138 Ill. Dec. 4, 546 N.E.2d 1059.) Because the court’s findings may not be disturbed absent an abuse of discretion, the reviewing court’s role is limited to determining whether those findings are contrary to the manifest weight of the evidence. </w:t>
      </w:r>
      <w:r>
        <w:rPr>
          <w:rFonts w:ascii="Baskerville" w:hAnsi="Baskerville" w:cs="Baskerville"/>
          <w:i/>
          <w:iCs/>
          <w:sz w:val="22"/>
          <w:szCs w:val="22"/>
        </w:rPr>
        <w:t>Reinhardt Printing Co. v. Feld</w:t>
      </w:r>
      <w:r>
        <w:rPr>
          <w:rFonts w:ascii="Baskerville" w:hAnsi="Baskerville" w:cs="Baskerville"/>
          <w:sz w:val="22"/>
          <w:szCs w:val="22"/>
        </w:rPr>
        <w:t xml:space="preserve"> (1986), 142 Ill. App. 3d 9, 15, 96 Ill. Dec. 97, 490 N.E.2d 1302.</w:t>
      </w:r>
    </w:p>
    <w:p w14:paraId="4015CB73"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1F2AC628"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Label Printers v. Pflug</w:t>
      </w:r>
      <w:r>
        <w:rPr>
          <w:rFonts w:ascii="Baskerville" w:hAnsi="Baskerville" w:cs="Baskerville"/>
        </w:rPr>
        <w:t xml:space="preserve">, 206 Ill. App. 3d 483, 490–91, 151 Ill. Dec. 720, 725, 564 N.E.2d 1382, 1387, 6 IER Cases 214 (2d Dist. 1991). </w:t>
      </w:r>
      <w:r>
        <w:rPr>
          <w:rFonts w:ascii="Baskerville" w:hAnsi="Baskerville" w:cs="Baskerville"/>
          <w:i/>
          <w:iCs/>
        </w:rPr>
        <w:t>In accord Capstone Fin. Advisors, Inc. v. Plywaczynski</w:t>
      </w:r>
      <w:r>
        <w:rPr>
          <w:rFonts w:ascii="Baskerville" w:hAnsi="Baskerville" w:cs="Baskerville"/>
        </w:rPr>
        <w:t xml:space="preserve">, 399 Ill. Dec. 381, 386, 46 N.E.3d 419, 424 (2d Dist. Ct. App. 2015); </w:t>
      </w:r>
      <w:r>
        <w:rPr>
          <w:rFonts w:ascii="Baskerville" w:hAnsi="Baskerville" w:cs="Baskerville"/>
          <w:i/>
          <w:iCs/>
        </w:rPr>
        <w:t>Audio Props., Inc. v. Kovach</w:t>
      </w:r>
      <w:r>
        <w:rPr>
          <w:rFonts w:ascii="Baskerville" w:hAnsi="Baskerville" w:cs="Baskerville"/>
        </w:rPr>
        <w:t xml:space="preserve">, 275 Ill. App. 3d 145, 211 Ill. Dec. 651, 655 N.E.2d 1034, 1036 (1st Dist. 1995); </w:t>
      </w:r>
      <w:r>
        <w:rPr>
          <w:rFonts w:ascii="Baskerville" w:hAnsi="Baskerville" w:cs="Baskerville"/>
          <w:i/>
          <w:iCs/>
        </w:rPr>
        <w:t>Arpac Corp. v. Murray</w:t>
      </w:r>
      <w:r>
        <w:rPr>
          <w:rFonts w:ascii="Baskerville" w:hAnsi="Baskerville" w:cs="Baskerville"/>
        </w:rPr>
        <w:t xml:space="preserve">, 226 Ill. App. 3d 65, 168 Ill. Dec. 240, 589 N.E.2d 640, 647 (1st Dist. 1992); </w:t>
      </w:r>
      <w:r>
        <w:rPr>
          <w:rFonts w:ascii="Baskerville" w:hAnsi="Baskerville" w:cs="Baskerville"/>
          <w:i/>
          <w:iCs/>
        </w:rPr>
        <w:t>PCx Corp. v. Ross,</w:t>
      </w:r>
      <w:r>
        <w:rPr>
          <w:rFonts w:ascii="Baskerville" w:hAnsi="Baskerville" w:cs="Baskerville"/>
        </w:rPr>
        <w:t xml:space="preserve"> 209 Ill. App. 3d 530, 154 Ill. Dec. 311, 568 N.E.2d 311, 315–16 (1st Dist. 1991); </w:t>
      </w:r>
      <w:r>
        <w:rPr>
          <w:rFonts w:ascii="Baskerville" w:hAnsi="Baskerville" w:cs="Baskerville"/>
          <w:i/>
          <w:iCs/>
        </w:rPr>
        <w:t>Millard Maint. Serv. Co. v. Bernero</w:t>
      </w:r>
      <w:r>
        <w:rPr>
          <w:rFonts w:ascii="Baskerville" w:hAnsi="Baskerville" w:cs="Baskerville"/>
        </w:rPr>
        <w:t xml:space="preserve">, 207 Ill. App. 3d 736, 152 Ill. Dec. 692, 566 N.E.2d 379 (1st </w:t>
      </w:r>
      <w:r>
        <w:rPr>
          <w:rFonts w:ascii="Baskerville" w:hAnsi="Baskerville" w:cs="Baskerville"/>
        </w:rPr>
        <w:lastRenderedPageBreak/>
        <w:t xml:space="preserve">Dist. 1990). </w:t>
      </w:r>
      <w:r>
        <w:rPr>
          <w:rFonts w:ascii="Baskerville" w:hAnsi="Baskerville" w:cs="Baskerville"/>
          <w:i/>
          <w:iCs/>
        </w:rPr>
        <w:t>Cf. Mohanty v. St. John Heart Clinic, S.C.</w:t>
      </w:r>
      <w:r>
        <w:rPr>
          <w:rFonts w:ascii="Baskerville" w:hAnsi="Baskerville" w:cs="Baskerville"/>
        </w:rPr>
        <w:t>, 310 Ill. Dec. 274, 280, 866 N.E.2d 85, 91 (2006) (on appeal, court examines whether party seeking injunction has demonstrated prima facie case that there is fair question concerning existence of claimed rights)</w:t>
      </w:r>
      <w:r w:rsidR="00D47546">
        <w:rPr>
          <w:rFonts w:ascii="Baskerville" w:hAnsi="Baskerville" w:cs="Baskerville"/>
        </w:rPr>
        <w:t xml:space="preserve">; </w:t>
      </w:r>
      <w:r>
        <w:rPr>
          <w:rFonts w:ascii="Baskerville" w:hAnsi="Baskerville" w:cs="Baskerville"/>
          <w:i/>
          <w:iCs/>
        </w:rPr>
        <w:t>Hamer Holding Grp. v. Elmore</w:t>
      </w:r>
      <w:r>
        <w:rPr>
          <w:rFonts w:ascii="Baskerville" w:hAnsi="Baskerville" w:cs="Baskerville"/>
        </w:rPr>
        <w:t xml:space="preserve">, 202 Ill. App. 3d 994, 148 Ill. Dec. 310, 560 N.E.2d 907, 914 (1st Dist. 1990) (in reviewing discretion exercised by trial court, appellate court traditionally may decide only whether party seeking injunction has demonstrated a prima facie case that there is a fair question as to existence of rights claimed, that circumstances lead to a reasonable belief that that party probably will be entitled to relief sought if evidence sustains allegations, and that matters should be kept in status quo until case can be decided on merits); </w:t>
      </w:r>
      <w:r>
        <w:rPr>
          <w:rFonts w:ascii="Baskerville" w:hAnsi="Baskerville" w:cs="Baskerville"/>
          <w:i/>
          <w:iCs/>
        </w:rPr>
        <w:t>Reinhardt Printing Co. v. Feld,</w:t>
      </w:r>
      <w:r>
        <w:rPr>
          <w:rFonts w:ascii="Baskerville" w:hAnsi="Baskerville" w:cs="Baskerville"/>
        </w:rPr>
        <w:t xml:space="preserve"> 142 Ill. App. 3d 9, 15, 96 Ill. Dec. 97, 490 N.E.2d 1302 (1st Dist. 1986).</w:t>
      </w:r>
    </w:p>
    <w:p w14:paraId="4700BC08"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sz w:val="22"/>
          <w:szCs w:val="22"/>
        </w:rPr>
      </w:pPr>
    </w:p>
    <w:p w14:paraId="023A4E09"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The decision to grant or deny preliminary injunctive relief rests within the sound discretion of the trial court and, thus, the role of a reviewing court is limited to a determination of whether the findings of the trial court are contrary to the manifest weight of the evidence.</w:t>
      </w:r>
    </w:p>
    <w:p w14:paraId="11D05B8E"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0155177B" w14:textId="77777777" w:rsidR="00655396" w:rsidRPr="0090071E" w:rsidRDefault="00655396" w:rsidP="008B512B">
      <w:pPr>
        <w:pStyle w:val="NoParagraphStyle"/>
        <w:tabs>
          <w:tab w:val="left" w:pos="480"/>
          <w:tab w:val="left" w:pos="960"/>
          <w:tab w:val="left" w:pos="1440"/>
        </w:tabs>
        <w:spacing w:line="240" w:lineRule="auto"/>
        <w:jc w:val="both"/>
        <w:rPr>
          <w:rFonts w:ascii="Baskerville" w:hAnsi="Baskerville" w:cs="Baskerville"/>
          <w:lang w:val="da-DK"/>
        </w:rPr>
      </w:pPr>
      <w:r w:rsidRPr="0090071E">
        <w:rPr>
          <w:rFonts w:ascii="Baskerville" w:hAnsi="Baskerville" w:cs="Baskerville"/>
          <w:i/>
          <w:iCs/>
          <w:lang w:val="da-DK"/>
        </w:rPr>
        <w:t xml:space="preserve">PCx Corp., </w:t>
      </w:r>
      <w:r w:rsidRPr="0090071E">
        <w:rPr>
          <w:rFonts w:ascii="Baskerville" w:hAnsi="Baskerville" w:cs="Baskerville"/>
          <w:lang w:val="da-DK"/>
        </w:rPr>
        <w:t>522 N.E.2d at 1338.</w:t>
      </w:r>
    </w:p>
    <w:p w14:paraId="38727957" w14:textId="77777777" w:rsidR="00655396" w:rsidRPr="0090071E" w:rsidRDefault="00655396" w:rsidP="008B512B">
      <w:pPr>
        <w:pStyle w:val="NoParagraphStyle"/>
        <w:tabs>
          <w:tab w:val="left" w:pos="480"/>
          <w:tab w:val="left" w:pos="960"/>
          <w:tab w:val="left" w:pos="1440"/>
        </w:tabs>
        <w:spacing w:line="240" w:lineRule="auto"/>
        <w:jc w:val="both"/>
        <w:rPr>
          <w:rFonts w:ascii="Baskerville" w:hAnsi="Baskerville" w:cs="Baskerville"/>
          <w:lang w:val="da-DK"/>
        </w:rPr>
      </w:pPr>
    </w:p>
    <w:p w14:paraId="1AA5C62A"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[T]he decision to grant or deny injunctive relief rests with the sound discretion of the trial court and will not be disturbed absent a clear showing of abuse.</w:t>
      </w:r>
    </w:p>
    <w:p w14:paraId="64B00A1B"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50808746"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 xml:space="preserve">Southern Ill. Med. Bus. Assocs., </w:t>
      </w:r>
      <w:r>
        <w:rPr>
          <w:rFonts w:ascii="Baskerville" w:hAnsi="Baskerville" w:cs="Baskerville"/>
        </w:rPr>
        <w:t xml:space="preserve">546 N.E.2d at 1064. </w:t>
      </w:r>
      <w:r>
        <w:rPr>
          <w:rFonts w:ascii="Baskerville" w:hAnsi="Baskerville" w:cs="Baskerville"/>
          <w:i/>
          <w:iCs/>
        </w:rPr>
        <w:t>See also Smith, Walters, Kuehn, Burnett &amp; Hughes v. Burnett</w:t>
      </w:r>
      <w:r>
        <w:rPr>
          <w:rFonts w:ascii="Baskerville" w:hAnsi="Baskerville" w:cs="Baskerville"/>
        </w:rPr>
        <w:t xml:space="preserve">, 192 Ill. App. 3d 693, 139 Ill. Dec. 617, 548 N.E.2d 1331 (3d Dist. 1989); </w:t>
      </w:r>
      <w:r>
        <w:rPr>
          <w:rFonts w:ascii="Baskerville" w:hAnsi="Baskerville" w:cs="Baskerville"/>
          <w:i/>
          <w:iCs/>
        </w:rPr>
        <w:t>Hydroaire, Inc. v. Sager</w:t>
      </w:r>
      <w:r>
        <w:rPr>
          <w:rFonts w:ascii="Baskerville" w:hAnsi="Baskerville" w:cs="Baskerville"/>
        </w:rPr>
        <w:t>, 98 Ill. App. 3d 758, 53 Ill. Dec. 928, 424 N.E.2d 719 (1st Dist. 1981).</w:t>
      </w:r>
    </w:p>
    <w:p w14:paraId="6DD25D9F"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3A5E8AC2" w14:textId="04F9C4F0" w:rsidR="00655396" w:rsidRDefault="00655396" w:rsidP="008B512B">
      <w:pPr>
        <w:pStyle w:val="BodyText"/>
        <w:spacing w:line="240" w:lineRule="auto"/>
      </w:pPr>
      <w:r>
        <w:tab/>
        <w:t xml:space="preserve">•• </w:t>
      </w:r>
      <w:r>
        <w:rPr>
          <w:i/>
          <w:iCs/>
        </w:rPr>
        <w:t>State court actions</w:t>
      </w:r>
      <w:r w:rsidR="00D47546">
        <w:rPr>
          <w:i/>
          <w:iCs/>
        </w:rPr>
        <w:t xml:space="preserve">: </w:t>
      </w:r>
      <w:r>
        <w:rPr>
          <w:i/>
          <w:iCs/>
        </w:rPr>
        <w:t xml:space="preserve">Standard of review </w:t>
      </w:r>
      <w:r w:rsidR="001A419C">
        <w:rPr>
          <w:i/>
          <w:iCs/>
        </w:rPr>
        <w:t>of determinations</w:t>
      </w:r>
      <w:r>
        <w:rPr>
          <w:i/>
          <w:iCs/>
        </w:rPr>
        <w:t xml:space="preserve"> </w:t>
      </w:r>
      <w:r w:rsidR="001A419C">
        <w:rPr>
          <w:i/>
          <w:iCs/>
        </w:rPr>
        <w:t>of issues</w:t>
      </w:r>
      <w:r>
        <w:rPr>
          <w:i/>
          <w:iCs/>
        </w:rPr>
        <w:t xml:space="preserve"> of law and fact as to the reasonableness of covenants not to compete</w:t>
      </w:r>
      <w:r>
        <w:t>.</w:t>
      </w:r>
      <w:r w:rsidR="00FB1D09">
        <w:t xml:space="preserve"> </w:t>
      </w:r>
      <w:r>
        <w:t xml:space="preserve">In </w:t>
      </w:r>
      <w:r>
        <w:rPr>
          <w:i/>
          <w:iCs/>
        </w:rPr>
        <w:t>Agency, Inc. v. Grove</w:t>
      </w:r>
      <w:r>
        <w:t>, 362 Ill. App. 3d 206, 298 Ill. Dec. 283, 839 N.E.2d 606 (2d Dist. 2005), an Illinois court of appeals lamented that Illinois appellate cases involving issues of law and fact as to the reasonableness of covenants not to compete “are peculiarly silent as to how such issues of law and fact are to be reviewed” (</w:t>
      </w:r>
      <w:r>
        <w:rPr>
          <w:i/>
          <w:iCs/>
        </w:rPr>
        <w:t>id.</w:t>
      </w:r>
      <w:r>
        <w:t xml:space="preserve">, </w:t>
      </w:r>
      <w:r>
        <w:lastRenderedPageBreak/>
        <w:t>839 N.E.2d at 614), and proposed a two-step standard-of-review analysis.</w:t>
      </w:r>
      <w:r w:rsidR="00FB1D09">
        <w:t xml:space="preserve"> </w:t>
      </w:r>
      <w:r>
        <w:t>It stated:</w:t>
      </w:r>
    </w:p>
    <w:p w14:paraId="57FE00D4"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4672A260" w14:textId="22B6EF2D" w:rsidR="00655396" w:rsidRPr="00655396" w:rsidRDefault="00655396" w:rsidP="008B512B">
      <w:pPr>
        <w:pStyle w:val="BQ"/>
        <w:spacing w:line="240" w:lineRule="auto"/>
        <w:rPr>
          <w:b/>
        </w:rPr>
      </w:pPr>
      <w:r w:rsidRPr="00655396">
        <w:t>Our research discloses only one case that actually states a standard of review [for cases involving issues of law and fact as to the reasonableness of covenants not to compete].</w:t>
      </w:r>
      <w:r w:rsidR="00FB1D09">
        <w:t xml:space="preserve"> </w:t>
      </w:r>
      <w:r w:rsidRPr="00655396">
        <w:t xml:space="preserve">In </w:t>
      </w:r>
      <w:r w:rsidRPr="00655396">
        <w:rPr>
          <w:bCs w:val="0"/>
          <w:i/>
          <w:iCs/>
        </w:rPr>
        <w:t>Hamer Holding Group, Inc. v. Elmore</w:t>
      </w:r>
      <w:r w:rsidRPr="00655396">
        <w:t>, 244 Ill. App. 3d 1069, 1080, 613 N.E.2d 1190, 184 Ill. Dec. 598 (1993), the First District Appellate Court declares</w:t>
      </w:r>
      <w:r w:rsidR="00D47546">
        <w:t xml:space="preserve">: </w:t>
      </w:r>
      <w:r w:rsidRPr="00655396">
        <w:t>“Since the reasonableness of the restraint is a question of law, we review the trial court’s determination de novo.”</w:t>
      </w:r>
      <w:r w:rsidR="00FB1D09">
        <w:t xml:space="preserve"> </w:t>
      </w:r>
      <w:r w:rsidRPr="00655396">
        <w:t>Here arises the difficulty.</w:t>
      </w:r>
      <w:r w:rsidR="00FB1D09">
        <w:t xml:space="preserve"> </w:t>
      </w:r>
      <w:r w:rsidRPr="00655396">
        <w:t xml:space="preserve">If </w:t>
      </w:r>
      <w:r w:rsidR="00944F63">
        <w:t>…</w:t>
      </w:r>
      <w:r w:rsidRPr="00655396">
        <w:t xml:space="preserve"> a trial court’s determination of enforceability [indeed] entails the resolution of disputed factual matters as well as legal issues, then de novo review cannot be the only standard applied.</w:t>
      </w:r>
      <w:r w:rsidR="00FB1D09">
        <w:t xml:space="preserve"> </w:t>
      </w:r>
      <w:r w:rsidRPr="00655396">
        <w:t>“In Illinois, a judge’s or jury’s findings of fact in a civil case are generally accorded manifest-weight review,” but “[a] judge’s rulings of law in a civil or criminal case are reviewed under the nondeferential de novo standard.”</w:t>
      </w:r>
      <w:r w:rsidR="00FB1D09">
        <w:t xml:space="preserve"> </w:t>
      </w:r>
      <w:r w:rsidRPr="00655396">
        <w:rPr>
          <w:bCs w:val="0"/>
          <w:i/>
          <w:iCs/>
        </w:rPr>
        <w:t>Franz v. Calaco Development Corp.</w:t>
      </w:r>
      <w:r w:rsidRPr="00655396">
        <w:t>, 352 Ill. App. 3d 1129, 1139, 818 N.E.2d 357, 288 Ill. Dec. 669 (2004).</w:t>
      </w:r>
      <w:r w:rsidR="00FB1D09">
        <w:t xml:space="preserve"> </w:t>
      </w:r>
      <w:r w:rsidRPr="00655396">
        <w:t xml:space="preserve">In our assessment, </w:t>
      </w:r>
      <w:r w:rsidRPr="00655396">
        <w:rPr>
          <w:bCs w:val="0"/>
          <w:i/>
          <w:iCs/>
        </w:rPr>
        <w:t>the enforceability of a restrictive covenant is best viewed as presenting separate questions of law and fact</w:t>
      </w:r>
      <w:r w:rsidRPr="00655396">
        <w:t>, in the same way as a ruling on a motion to suppress is currently viewed in Illinois.</w:t>
      </w:r>
      <w:r w:rsidR="00FB1D09">
        <w:t xml:space="preserve"> </w:t>
      </w:r>
      <w:r w:rsidRPr="00655396">
        <w:t>A ruling on a motion to suppress is reviewed as follows:</w:t>
      </w:r>
    </w:p>
    <w:p w14:paraId="36CC2327" w14:textId="65DE7C2D" w:rsidR="00655396" w:rsidRPr="00655396" w:rsidRDefault="00655396" w:rsidP="008B512B">
      <w:pPr>
        <w:pStyle w:val="BQ2"/>
        <w:spacing w:line="240" w:lineRule="auto"/>
        <w:rPr>
          <w:b/>
        </w:rPr>
      </w:pPr>
      <w:r w:rsidRPr="00655396">
        <w:t>“First, we uphold the trial court’s findings of historical fact unless such findings are against the manifest weight of the evidence.</w:t>
      </w:r>
      <w:r w:rsidR="00FB1D09">
        <w:t xml:space="preserve"> </w:t>
      </w:r>
      <w:r w:rsidRPr="00655396">
        <w:t>[Citation.] The trial court is in a superior position to determine and weigh the credibility of the witnesses, observe the witnesses’ demeanor, and resolve conflicts in their testimony.</w:t>
      </w:r>
      <w:r w:rsidR="00FB1D09">
        <w:t xml:space="preserve"> </w:t>
      </w:r>
      <w:r w:rsidRPr="00655396">
        <w:t>[Citation.] However, this court remains free to undertake its own assessment of the facts in relation to the issues presented and may draw its own conclusions when deciding what relief should be granted.</w:t>
      </w:r>
      <w:r w:rsidR="00FB1D09">
        <w:t xml:space="preserve"> </w:t>
      </w:r>
      <w:r w:rsidRPr="00655396">
        <w:t>[Citation.] Accordingly, we review de novo the ultimate question of whether the evidence should be suppressed.</w:t>
      </w:r>
      <w:r w:rsidR="00FB1D09">
        <w:t xml:space="preserve"> </w:t>
      </w:r>
      <w:r w:rsidRPr="00655396">
        <w:t>[Citation.]”</w:t>
      </w:r>
      <w:r w:rsidR="00FB1D09">
        <w:t xml:space="preserve"> </w:t>
      </w:r>
      <w:r w:rsidRPr="00655396">
        <w:rPr>
          <w:bCs w:val="0"/>
          <w:i/>
          <w:iCs/>
        </w:rPr>
        <w:t>People v. Conner</w:t>
      </w:r>
      <w:r w:rsidRPr="00655396">
        <w:t>, 358 Ill. App. 3d 945, 948–49, 832 N.E.2d 442, 295 Ill. Dec. 291 (2005).</w:t>
      </w:r>
    </w:p>
    <w:p w14:paraId="506D66AF" w14:textId="3BC9E0A2" w:rsidR="00655396" w:rsidRPr="00655396" w:rsidRDefault="00655396" w:rsidP="008B512B">
      <w:pPr>
        <w:pStyle w:val="BQ"/>
        <w:spacing w:line="240" w:lineRule="auto"/>
        <w:rPr>
          <w:b/>
        </w:rPr>
      </w:pPr>
      <w:r w:rsidRPr="00655396">
        <w:t>Where there are no disputed facts, the review is entirely de novo.</w:t>
      </w:r>
      <w:r w:rsidR="00FB1D09">
        <w:t xml:space="preserve"> </w:t>
      </w:r>
      <w:r w:rsidRPr="00655396">
        <w:rPr>
          <w:bCs w:val="0"/>
          <w:i/>
          <w:iCs/>
        </w:rPr>
        <w:t>People v. Miles</w:t>
      </w:r>
      <w:r w:rsidRPr="00655396">
        <w:t>, 343 Ill. App. 3d 1026, 1030, 798 N.E.2d 1279, 278 Ill. Dec. 522 (2003).</w:t>
      </w:r>
      <w:r w:rsidR="00FB1D09">
        <w:t xml:space="preserve"> </w:t>
      </w:r>
      <w:r w:rsidRPr="00655396">
        <w:t>Courts in other jurisdictions have taken this two-tiered approach to restrictive covenants.</w:t>
      </w:r>
      <w:r w:rsidR="00FB1D09">
        <w:t xml:space="preserve"> </w:t>
      </w:r>
      <w:r w:rsidRPr="00655396">
        <w:rPr>
          <w:bCs w:val="0"/>
          <w:i/>
          <w:iCs/>
        </w:rPr>
        <w:t>See, e.g., Turner v. Caplan</w:t>
      </w:r>
      <w:r w:rsidRPr="00655396">
        <w:t>, 268 Va. 122, 125, 596 S.E.2d 525, 527 (Va. 2004)</w:t>
      </w:r>
      <w:r w:rsidR="00D47546">
        <w:t xml:space="preserve">; </w:t>
      </w:r>
      <w:r w:rsidRPr="00655396">
        <w:rPr>
          <w:bCs w:val="0"/>
          <w:i/>
          <w:iCs/>
        </w:rPr>
        <w:t>Mutual Service Casualty Insurance Co. v. Brass</w:t>
      </w:r>
      <w:r w:rsidRPr="00655396">
        <w:t>, 2001 WI App 92, 242 Wis. 2d 733, 737, 625 N.W.2d 648, 651 (Wis. App. 2001).</w:t>
      </w:r>
      <w:r w:rsidR="00CD7A12">
        <w:t xml:space="preserve"> </w:t>
      </w:r>
      <w:r w:rsidRPr="00655396">
        <w:t xml:space="preserve">We hold that, where the existence of a legitimate business interest turns on an issue of </w:t>
      </w:r>
      <w:r w:rsidRPr="00655396">
        <w:lastRenderedPageBreak/>
        <w:t>disputed fact, such issue is reviewed under the manifest-weight standard, but the question of whether a covenant is enforceable under the facts is a legal question subject to de novo review.</w:t>
      </w:r>
      <w:r w:rsidR="00FB1D09">
        <w:t xml:space="preserve"> </w:t>
      </w:r>
      <w:r w:rsidRPr="00655396">
        <w:t>Of course, where the issue on review is whether a preliminary injunction should issue to enforce a restrictive covenant whose validity is in question</w:t>
      </w:r>
      <w:r w:rsidR="001A419C" w:rsidRPr="00655396">
        <w:t>, the</w:t>
      </w:r>
      <w:r w:rsidRPr="00655396">
        <w:t xml:space="preserve"> reviewing court may find itself applying three different standards.</w:t>
      </w:r>
      <w:r w:rsidR="00FB1D09">
        <w:t xml:space="preserve"> </w:t>
      </w:r>
      <w:r w:rsidRPr="00655396">
        <w:t>The manifest-weight and de novo standards will apply to the question of enforceability, and whether a covenant is enforceable or not will become a factor in the ultimate analysis of whether a preliminary injunction should issue, such analysis being reviewable for abuse of discretion.</w:t>
      </w:r>
    </w:p>
    <w:p w14:paraId="10092769" w14:textId="77777777" w:rsidR="00655396" w:rsidRDefault="00655396" w:rsidP="008B512B">
      <w:pPr>
        <w:pStyle w:val="BQ"/>
        <w:spacing w:line="240" w:lineRule="auto"/>
        <w:rPr>
          <w:b/>
          <w:bCs w:val="0"/>
          <w:i/>
          <w:iCs/>
        </w:rPr>
      </w:pPr>
    </w:p>
    <w:p w14:paraId="4A39A6D5" w14:textId="77777777" w:rsidR="00655396" w:rsidRDefault="00655396" w:rsidP="008B512B">
      <w:pPr>
        <w:pStyle w:val="BodyText"/>
        <w:spacing w:line="240" w:lineRule="auto"/>
      </w:pPr>
      <w:r>
        <w:rPr>
          <w:i/>
          <w:iCs/>
        </w:rPr>
        <w:t>Id.</w:t>
      </w:r>
      <w:r w:rsidR="001A419C">
        <w:t>, 839</w:t>
      </w:r>
      <w:r>
        <w:t xml:space="preserve"> N.E.2d at 614–15 (emphasis added).</w:t>
      </w:r>
    </w:p>
    <w:p w14:paraId="20C2225B" w14:textId="77777777" w:rsidR="00655396" w:rsidRDefault="00655396" w:rsidP="008B512B">
      <w:pPr>
        <w:pStyle w:val="BodyText"/>
        <w:spacing w:line="240" w:lineRule="auto"/>
      </w:pPr>
    </w:p>
    <w:p w14:paraId="52ACC2E4" w14:textId="05782F5C" w:rsidR="00655396" w:rsidRDefault="00655396" w:rsidP="008B512B">
      <w:pPr>
        <w:pStyle w:val="BodyText"/>
        <w:spacing w:line="240" w:lineRule="auto"/>
      </w:pPr>
      <w:r>
        <w:tab/>
        <w:t xml:space="preserve">•• </w:t>
      </w:r>
      <w:r>
        <w:rPr>
          <w:i/>
          <w:iCs/>
        </w:rPr>
        <w:t>State court actions: Summary judgment.</w:t>
      </w:r>
      <w:r>
        <w:t xml:space="preserve"> In state court actions, on appellate review of a summary judgment ruling “</w:t>
      </w:r>
      <w:r>
        <w:rPr>
          <w:rFonts w:ascii="Times New Roman" w:hAnsi="Times New Roman" w:cs="Times New Roman"/>
        </w:rPr>
        <w:t> </w:t>
      </w:r>
      <w:r>
        <w:t>‘the appellant may only refer to the record as it existed at the time the trial court ruled, outline the arguments made at that time, and explain why the trial court erred in granting summary judgment.’</w:t>
      </w:r>
      <w:r>
        <w:rPr>
          <w:rFonts w:ascii="Times New Roman" w:hAnsi="Times New Roman" w:cs="Times New Roman"/>
        </w:rPr>
        <w:t> </w:t>
      </w:r>
      <w:r>
        <w:t>”</w:t>
      </w:r>
      <w:r w:rsidR="00FB1D09">
        <w:t xml:space="preserve"> </w:t>
      </w:r>
      <w:r>
        <w:rPr>
          <w:i/>
          <w:iCs/>
        </w:rPr>
        <w:t>Lawrence &amp; Allen, Inc. v. Cambridge Human Res. Grp., Inc.</w:t>
      </w:r>
      <w:r>
        <w:t xml:space="preserve">, 226 Ill. Dec. 331, 336, 685 N.E.2d 434, 439 (Ct. App. 2d Dist. 1997) (quoting </w:t>
      </w:r>
      <w:r>
        <w:rPr>
          <w:i/>
          <w:iCs/>
        </w:rPr>
        <w:t>Rayner Covering Sys., Inc. v. Danvers Farmers Elevator Co.</w:t>
      </w:r>
      <w:r>
        <w:t>, 226 Ill. App. 3d 507, 509–10, 168 Ill. Dec. 634, 589 N.E.2d 1034 (1992)).</w:t>
      </w:r>
      <w:r w:rsidR="00FB1D09">
        <w:t xml:space="preserve"> </w:t>
      </w:r>
      <w:r>
        <w:t xml:space="preserve">“[O]n </w:t>
      </w:r>
      <w:r>
        <w:rPr>
          <w:i/>
          <w:iCs/>
        </w:rPr>
        <w:t>de novo</w:t>
      </w:r>
      <w:r>
        <w:t xml:space="preserve"> review, [Illinois state courts of appeal] are free to consider any pleadings, depositions, admissions, and affidavits on file at the time of the hearing regardless of whether facts contained therein were presented to the trial court in response to the motion for summary judgment.”</w:t>
      </w:r>
      <w:r w:rsidR="00FB1D09">
        <w:t xml:space="preserve"> </w:t>
      </w:r>
      <w:r>
        <w:rPr>
          <w:i/>
          <w:iCs/>
        </w:rPr>
        <w:t>Id.</w:t>
      </w:r>
      <w:r>
        <w:t xml:space="preserve"> at 337, 685 N.E.2d at 440 (citing, inter alia, 735 </w:t>
      </w:r>
      <w:r>
        <w:rPr>
          <w:smallCaps/>
        </w:rPr>
        <w:t>Ill. Comp. Stat.</w:t>
      </w:r>
      <w:r>
        <w:t xml:space="preserve"> 5/2-1005 (West 1996); distinguishing </w:t>
      </w:r>
      <w:r>
        <w:rPr>
          <w:i/>
          <w:iCs/>
        </w:rPr>
        <w:t>Rayner Covering Sys</w:t>
      </w:r>
      <w:r>
        <w:t xml:space="preserve">., 226 Ill. App. 3d at 510, 168 Ill. Dec. 634, 589 N.E.2d 1034, on ground that the appellant in that case attempted to rely on facts added to the record </w:t>
      </w:r>
      <w:r>
        <w:rPr>
          <w:i/>
          <w:iCs/>
        </w:rPr>
        <w:t>after</w:t>
      </w:r>
      <w:r>
        <w:t xml:space="preserve"> the trial court had ruled on motion for summary judgment: the appellant in that case referred to facts from trial testimony and an affidavit attached to a motion to reconsider which were not yet of record when the trial court granted summary judgment).</w:t>
      </w:r>
    </w:p>
    <w:p w14:paraId="48BD89C2" w14:textId="77777777" w:rsidR="00655396" w:rsidRDefault="00655396" w:rsidP="008B512B">
      <w:pPr>
        <w:pStyle w:val="BodyText"/>
        <w:spacing w:line="240" w:lineRule="auto"/>
        <w:rPr>
          <w:sz w:val="16"/>
          <w:szCs w:val="16"/>
        </w:rPr>
      </w:pPr>
    </w:p>
    <w:p w14:paraId="2A5AA4A8" w14:textId="7B150767" w:rsidR="00655396" w:rsidRDefault="00655396" w:rsidP="008B512B">
      <w:pPr>
        <w:pStyle w:val="BodyText"/>
        <w:spacing w:line="240" w:lineRule="auto"/>
      </w:pPr>
      <w:r>
        <w:tab/>
        <w:t xml:space="preserve">• </w:t>
      </w:r>
      <w:r>
        <w:rPr>
          <w:i/>
          <w:iCs/>
        </w:rPr>
        <w:t>Federal court actions.</w:t>
      </w:r>
      <w:r>
        <w:t xml:space="preserve"> “When [a federal] district court grants a preliminary injunction[,] [the U.S. Court of Appeals for the Seventh Circuit] review[s] conclusions of law de novo and findings of fact </w:t>
      </w:r>
      <w:r>
        <w:lastRenderedPageBreak/>
        <w:t>under a clearly erroneous standard, while at the same time, [it] give[s] substantial deference to the district court’s discretionary acts of weighing evidence or balancing equitable factors.”</w:t>
      </w:r>
      <w:r w:rsidR="00FB1D09">
        <w:t xml:space="preserve"> </w:t>
      </w:r>
      <w:r>
        <w:rPr>
          <w:i/>
          <w:iCs/>
        </w:rPr>
        <w:t>Advent Elecs., Inc. v. Buckman</w:t>
      </w:r>
      <w:r>
        <w:t xml:space="preserve">, 112 F.3d 267, 274 (7th Cir. 1997) (citing </w:t>
      </w:r>
      <w:r>
        <w:rPr>
          <w:i/>
          <w:iCs/>
        </w:rPr>
        <w:t>Stewart v. Taylor</w:t>
      </w:r>
      <w:r>
        <w:t>, 104 F.3d 965, 970 (7th Cir. 1997)).</w:t>
      </w:r>
    </w:p>
    <w:p w14:paraId="726B77F3" w14:textId="3F14205F" w:rsidR="00655396" w:rsidRDefault="00655396" w:rsidP="008B512B">
      <w:pPr>
        <w:pStyle w:val="BodyText"/>
        <w:spacing w:line="240" w:lineRule="auto"/>
      </w:pPr>
      <w:r>
        <w:tab/>
        <w:t>In state court actions, the grant or denial of preliminary injunction is reviewed under an abuse of discretion standard.</w:t>
      </w:r>
      <w:r w:rsidR="00FB1D09">
        <w:t xml:space="preserve"> </w:t>
      </w:r>
      <w:r>
        <w:rPr>
          <w:i/>
          <w:iCs/>
        </w:rPr>
        <w:t>Midwest Tel., Inc. v. Oloffson</w:t>
      </w:r>
      <w:r>
        <w:t>, 298 Ill. App. 3d 548, 559, 232 Ill. Dec. 783, 790, 699 N.E.2d 230, 237 (3d Dist. 1998)</w:t>
      </w:r>
      <w:r w:rsidR="001A419C">
        <w:t>; Prairie</w:t>
      </w:r>
      <w:r>
        <w:rPr>
          <w:i/>
          <w:iCs/>
        </w:rPr>
        <w:t xml:space="preserve"> Eye Ctr., Ltd. v. Butler</w:t>
      </w:r>
      <w:r>
        <w:t xml:space="preserve">, 713 N.E.2d 610, 613 (Ill. Ct. App. 4th Dist. 1999) (decision </w:t>
      </w:r>
      <w:r w:rsidR="001A419C">
        <w:t>of trial</w:t>
      </w:r>
      <w:r>
        <w:t xml:space="preserve"> court will not be disturbed absent an abuse of discretion)</w:t>
      </w:r>
      <w:r w:rsidR="001A419C">
        <w:t>; Center</w:t>
      </w:r>
      <w:r>
        <w:rPr>
          <w:i/>
          <w:iCs/>
        </w:rPr>
        <w:t xml:space="preserve"> for Sight of Cent. Ill., S.C. v. Deranian</w:t>
      </w:r>
      <w:r>
        <w:t>, 712 N.E.2d 417, 420 (Ill. Ct. App. 4th Dist. 1999) (same).</w:t>
      </w:r>
      <w:r w:rsidR="00FB1D09">
        <w:t xml:space="preserve"> </w:t>
      </w:r>
      <w:r>
        <w:t>Where the former employer establishes a prima facie case supporting the issuance of a preliminary injunction, the trial court does not abuse its discretion in granting such relief.</w:t>
      </w:r>
      <w:r w:rsidR="00FB1D09">
        <w:t xml:space="preserve"> </w:t>
      </w:r>
      <w:r>
        <w:rPr>
          <w:i/>
          <w:iCs/>
        </w:rPr>
        <w:t>Midwest</w:t>
      </w:r>
      <w:r>
        <w:t>, 232 Ill. Dec. at 790, 699 N.E.2d at 237.</w:t>
      </w:r>
    </w:p>
    <w:p w14:paraId="1FE5AAF4" w14:textId="77777777" w:rsidR="00655396" w:rsidRDefault="00655396" w:rsidP="008B512B">
      <w:pPr>
        <w:pStyle w:val="BodyText"/>
        <w:spacing w:line="240" w:lineRule="auto"/>
        <w:rPr>
          <w:sz w:val="16"/>
          <w:szCs w:val="16"/>
        </w:rPr>
      </w:pPr>
    </w:p>
    <w:p w14:paraId="48DC07EA" w14:textId="5A1D2BDF" w:rsidR="00655396" w:rsidRDefault="00655396" w:rsidP="008B512B">
      <w:pPr>
        <w:pStyle w:val="BodyText"/>
        <w:spacing w:line="240" w:lineRule="auto"/>
      </w:pPr>
      <w:r>
        <w:tab/>
      </w:r>
      <w:r>
        <w:rPr>
          <w:b/>
          <w:bCs/>
        </w:rPr>
        <w:t>••</w:t>
      </w:r>
      <w:r>
        <w:t xml:space="preserve"> </w:t>
      </w:r>
      <w:r>
        <w:rPr>
          <w:i/>
          <w:iCs/>
        </w:rPr>
        <w:t>Federal court actions: Standard of review for grant or denial of summary judgment</w:t>
      </w:r>
      <w:r>
        <w:t>.</w:t>
      </w:r>
      <w:r w:rsidR="00FB1D09">
        <w:t xml:space="preserve"> </w:t>
      </w:r>
      <w:r>
        <w:t xml:space="preserve">On a related point, note that the U.S. Court of Appeals for the Seventh Circuit reviews a federal district court’s </w:t>
      </w:r>
      <w:r>
        <w:rPr>
          <w:i/>
          <w:iCs/>
        </w:rPr>
        <w:t>summary judgment</w:t>
      </w:r>
      <w:r>
        <w:t xml:space="preserve"> ruling, “including [any] conclusion that [a] contractual provision in question is unambiguous, </w:t>
      </w:r>
      <w:r>
        <w:rPr>
          <w:i/>
          <w:iCs/>
        </w:rPr>
        <w:t>de novo</w:t>
      </w:r>
      <w:r>
        <w:t>, applying the usual standards.”</w:t>
      </w:r>
      <w:r w:rsidR="00FB1D09">
        <w:t xml:space="preserve"> </w:t>
      </w:r>
      <w:r>
        <w:rPr>
          <w:i/>
          <w:iCs/>
        </w:rPr>
        <w:t>Emergency Med. Care, Inc. v. Marion Mem’l Hosp.</w:t>
      </w:r>
      <w:r>
        <w:t xml:space="preserve">, 94 F.3d 1059, 1061 (7th Cir. 1996) (citing </w:t>
      </w:r>
      <w:r>
        <w:rPr>
          <w:smallCaps/>
        </w:rPr>
        <w:t>Fed. R. Civ. P.</w:t>
      </w:r>
      <w:r>
        <w:t xml:space="preserve"> 56; affirming, at 1062, district court’s finding that restriction was not ambiguous and entry of summary judgment for party against whom enforcement of restriction was sought).</w:t>
      </w:r>
    </w:p>
    <w:p w14:paraId="3C287B78" w14:textId="77777777" w:rsidR="00655396" w:rsidRDefault="00655396" w:rsidP="008B512B">
      <w:pPr>
        <w:pStyle w:val="BodyText"/>
        <w:spacing w:line="240" w:lineRule="auto"/>
      </w:pPr>
    </w:p>
    <w:p w14:paraId="78156DCD" w14:textId="77777777" w:rsidR="00655396" w:rsidRDefault="00655396" w:rsidP="008B512B">
      <w:pPr>
        <w:pStyle w:val="BodyText"/>
        <w:spacing w:line="240" w:lineRule="auto"/>
        <w:rPr>
          <w:sz w:val="16"/>
          <w:szCs w:val="16"/>
        </w:rPr>
      </w:pPr>
    </w:p>
    <w:p w14:paraId="69224F0D" w14:textId="77777777" w:rsidR="00655396" w:rsidRDefault="00655396" w:rsidP="008B512B">
      <w:pPr>
        <w:pStyle w:val="Question"/>
        <w:spacing w:line="240" w:lineRule="auto"/>
      </w:pPr>
      <w:r>
        <w:t>8.</w:t>
      </w:r>
      <w:r>
        <w:tab/>
        <w:t>If the employer terminates the employment relationship, is the covenant enforceable?</w:t>
      </w:r>
    </w:p>
    <w:p w14:paraId="643F900B" w14:textId="77777777" w:rsidR="00655396" w:rsidRDefault="00655396" w:rsidP="008B512B">
      <w:pPr>
        <w:pStyle w:val="BodyText"/>
        <w:spacing w:line="240" w:lineRule="auto"/>
      </w:pPr>
    </w:p>
    <w:p w14:paraId="7585EC88" w14:textId="39A57DC1"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Yes, except where termination is the result of bad faith on the part of the employer or where the employer has committed a prior breach.</w:t>
      </w:r>
      <w:r w:rsidR="00FB1D09">
        <w:rPr>
          <w:rFonts w:ascii="Baskerville" w:hAnsi="Baskerville" w:cs="Baskerville"/>
        </w:rPr>
        <w:t xml:space="preserve"> </w:t>
      </w:r>
      <w:r>
        <w:rPr>
          <w:rFonts w:ascii="Baskerville" w:hAnsi="Baskerville" w:cs="Baskerville"/>
        </w:rPr>
        <w:t xml:space="preserve">In </w:t>
      </w:r>
      <w:r>
        <w:rPr>
          <w:rFonts w:ascii="Baskerville" w:hAnsi="Baskerville" w:cs="Baskerville"/>
          <w:i/>
          <w:iCs/>
        </w:rPr>
        <w:t>Rao v. Rao</w:t>
      </w:r>
      <w:r>
        <w:rPr>
          <w:rFonts w:ascii="Baskerville" w:hAnsi="Baskerville" w:cs="Baskerville"/>
        </w:rPr>
        <w:t xml:space="preserve">, 718 F.2d 219, 224, 1 IER Cases 267 (7th Cir. 1983), the court refused to enforce a restrictive covenant where the court found that the employer had dismissed the employee to prevent him from exercising his right under a stock option plan, and concluded that such termination constituted bad faith. The </w:t>
      </w:r>
      <w:r>
        <w:rPr>
          <w:rFonts w:ascii="Baskerville" w:hAnsi="Baskerville" w:cs="Baskerville"/>
          <w:i/>
          <w:iCs/>
        </w:rPr>
        <w:t>Rao</w:t>
      </w:r>
      <w:r>
        <w:rPr>
          <w:rFonts w:ascii="Baskerville" w:hAnsi="Baskerville" w:cs="Baskerville"/>
        </w:rPr>
        <w:t xml:space="preserve"> court </w:t>
      </w:r>
      <w:r>
        <w:rPr>
          <w:rFonts w:ascii="Baskerville" w:hAnsi="Baskerville" w:cs="Baskerville"/>
        </w:rPr>
        <w:lastRenderedPageBreak/>
        <w:t xml:space="preserve">correctly observed that there were no Illinois cases on point, and that the cases cited by the plaintiff did not require the court to take a contrary position. In </w:t>
      </w:r>
      <w:r>
        <w:rPr>
          <w:rFonts w:ascii="Baskerville" w:hAnsi="Baskerville" w:cs="Baskerville"/>
          <w:i/>
          <w:iCs/>
        </w:rPr>
        <w:t>Cockerill v. Wilson</w:t>
      </w:r>
      <w:r>
        <w:rPr>
          <w:rFonts w:ascii="Baskerville" w:hAnsi="Baskerville" w:cs="Baskerville"/>
        </w:rPr>
        <w:t xml:space="preserve">, 51 Ill. 2d 179, 281 N.E.2d 648 (1972), a case cited by the employee, the employer dismissed the employee and the court still enforced the restrictive covenant. The </w:t>
      </w:r>
      <w:r>
        <w:rPr>
          <w:rFonts w:ascii="Baskerville" w:hAnsi="Baskerville" w:cs="Baskerville"/>
          <w:i/>
          <w:iCs/>
        </w:rPr>
        <w:t>Cockerill</w:t>
      </w:r>
      <w:r>
        <w:rPr>
          <w:rFonts w:ascii="Baskerville" w:hAnsi="Baskerville" w:cs="Baskerville"/>
        </w:rPr>
        <w:t xml:space="preserve"> court’s opinion does not, however, state the reason for the dismissal, and the court in </w:t>
      </w:r>
      <w:r>
        <w:rPr>
          <w:rFonts w:ascii="Baskerville" w:hAnsi="Baskerville" w:cs="Baskerville"/>
          <w:i/>
          <w:iCs/>
        </w:rPr>
        <w:t>Rao</w:t>
      </w:r>
      <w:r>
        <w:rPr>
          <w:rFonts w:ascii="Baskerville" w:hAnsi="Baskerville" w:cs="Baskerville"/>
        </w:rPr>
        <w:t xml:space="preserve"> concluded that </w:t>
      </w:r>
      <w:r>
        <w:rPr>
          <w:rFonts w:ascii="Baskerville" w:hAnsi="Baskerville" w:cs="Baskerville"/>
          <w:i/>
          <w:iCs/>
        </w:rPr>
        <w:t>Cockerill</w:t>
      </w:r>
      <w:r>
        <w:rPr>
          <w:rFonts w:ascii="Baskerville" w:hAnsi="Baskerville" w:cs="Baskerville"/>
        </w:rPr>
        <w:t xml:space="preserve"> was distinguishable because the employee there was not dismissed to prevent the exercise of a right in his employment contract. Two other cases cited by the plaintiff in </w:t>
      </w:r>
      <w:r>
        <w:rPr>
          <w:rFonts w:ascii="Baskerville" w:hAnsi="Baskerville" w:cs="Baskerville"/>
          <w:i/>
          <w:iCs/>
        </w:rPr>
        <w:t>Rao, Booth v. Greber</w:t>
      </w:r>
      <w:r>
        <w:rPr>
          <w:rFonts w:ascii="Baskerville" w:hAnsi="Baskerville" w:cs="Baskerville"/>
        </w:rPr>
        <w:t xml:space="preserve">, 48 Ill. App. 3d 213, 6 Ill. Dec. 477, 363 N.E.2d 6 (1st Dist. 1977), and </w:t>
      </w:r>
      <w:r>
        <w:rPr>
          <w:rFonts w:ascii="Baskerville" w:hAnsi="Baskerville" w:cs="Baskerville"/>
          <w:i/>
          <w:iCs/>
        </w:rPr>
        <w:t>C.G. Caster Co. v. Regan</w:t>
      </w:r>
      <w:r>
        <w:rPr>
          <w:rFonts w:ascii="Baskerville" w:hAnsi="Baskerville" w:cs="Baskerville"/>
        </w:rPr>
        <w:t xml:space="preserve">, 43 Ill. App. 3d 663, 357 N.E.2d 162 (1st Dist. 1976), both involved dismissals for cause, and </w:t>
      </w:r>
      <w:r>
        <w:rPr>
          <w:rFonts w:ascii="Baskerville" w:hAnsi="Baskerville" w:cs="Baskerville"/>
          <w:i/>
          <w:iCs/>
        </w:rPr>
        <w:t>Wessel Co. v. Busa</w:t>
      </w:r>
      <w:r>
        <w:rPr>
          <w:rFonts w:ascii="Baskerville" w:hAnsi="Baskerville" w:cs="Baskerville"/>
        </w:rPr>
        <w:t xml:space="preserve">, 28 Ill. App. 3d 686, 329 N.E.2d 414 (1st Dist. 1975), involved a termination of employment by mutual agreement between the employer and employee. Finally, the </w:t>
      </w:r>
      <w:r>
        <w:rPr>
          <w:rFonts w:ascii="Baskerville" w:hAnsi="Baskerville" w:cs="Baskerville"/>
          <w:i/>
          <w:iCs/>
        </w:rPr>
        <w:t>Rao</w:t>
      </w:r>
      <w:r>
        <w:rPr>
          <w:rFonts w:ascii="Baskerville" w:hAnsi="Baskerville" w:cs="Baskerville"/>
        </w:rPr>
        <w:t xml:space="preserve"> court noted that in dictum the court in </w:t>
      </w:r>
      <w:r>
        <w:rPr>
          <w:rFonts w:ascii="Baskerville" w:hAnsi="Baskerville" w:cs="Baskerville"/>
          <w:i/>
          <w:iCs/>
        </w:rPr>
        <w:t xml:space="preserve">Caster, </w:t>
      </w:r>
      <w:r>
        <w:rPr>
          <w:rFonts w:ascii="Baskerville" w:hAnsi="Baskerville" w:cs="Baskerville"/>
        </w:rPr>
        <w:t>357 N.E.2d at 165, stated “that the ‘lack of cause for termination’ could render ‘void the restrictive covenant.’</w:t>
      </w:r>
      <w:r>
        <w:t> </w:t>
      </w:r>
      <w:r>
        <w:rPr>
          <w:rFonts w:ascii="Baskerville" w:hAnsi="Baskerville" w:cs="Baskerville"/>
        </w:rPr>
        <w:t>”</w:t>
      </w:r>
    </w:p>
    <w:p w14:paraId="2DD004E2"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It should also be noted that in </w:t>
      </w:r>
      <w:r>
        <w:rPr>
          <w:rFonts w:ascii="Baskerville" w:hAnsi="Baskerville" w:cs="Baskerville"/>
          <w:i/>
          <w:iCs/>
        </w:rPr>
        <w:t>Wyatt v. Dishong</w:t>
      </w:r>
      <w:r>
        <w:rPr>
          <w:rFonts w:ascii="Baskerville" w:hAnsi="Baskerville" w:cs="Baskerville"/>
        </w:rPr>
        <w:t>, 127 Ill. App. 3d 716, 469 N.E.2d 608 (5th Dist. 1984), the court held:</w:t>
      </w:r>
    </w:p>
    <w:p w14:paraId="20582619" w14:textId="77777777" w:rsidR="00655396" w:rsidRDefault="00655396" w:rsidP="008B512B">
      <w:pPr>
        <w:pStyle w:val="BodyText"/>
        <w:spacing w:line="240" w:lineRule="auto"/>
      </w:pPr>
    </w:p>
    <w:p w14:paraId="70BA584F" w14:textId="6C6EEC7D"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 xml:space="preserve">The fact that the defendant was hired for an indefinite period of time and was thus an employee at will does not make the restrictions unconscionable. The right to terminate an at will employment relationship is subject to any termination provisions in the employment contract </w:t>
      </w:r>
      <w:r w:rsidR="00944F63">
        <w:rPr>
          <w:rFonts w:ascii="Baskerville" w:hAnsi="Baskerville" w:cs="Baskerville"/>
          <w:sz w:val="22"/>
          <w:szCs w:val="22"/>
        </w:rPr>
        <w:t>…</w:t>
      </w:r>
      <w:r>
        <w:rPr>
          <w:rFonts w:ascii="Baskerville" w:hAnsi="Baskerville" w:cs="Baskerville"/>
          <w:sz w:val="22"/>
          <w:szCs w:val="22"/>
        </w:rPr>
        <w:t xml:space="preserve"> including a covenant not to compete</w:t>
      </w:r>
      <w:r w:rsidR="00944F63">
        <w:rPr>
          <w:rFonts w:ascii="Baskerville" w:hAnsi="Baskerville" w:cs="Baskerville"/>
          <w:sz w:val="22"/>
          <w:szCs w:val="22"/>
        </w:rPr>
        <w:t>…</w:t>
      </w:r>
      <w:r>
        <w:rPr>
          <w:sz w:val="22"/>
          <w:szCs w:val="22"/>
        </w:rPr>
        <w:t> </w:t>
      </w:r>
      <w:r>
        <w:rPr>
          <w:rFonts w:ascii="Baskerville" w:hAnsi="Baskerville" w:cs="Baskerville"/>
          <w:sz w:val="22"/>
          <w:szCs w:val="22"/>
        </w:rPr>
        <w:t>.</w:t>
      </w:r>
    </w:p>
    <w:p w14:paraId="37DAB6A0" w14:textId="77777777" w:rsidR="00655396" w:rsidRDefault="00655396" w:rsidP="008B512B">
      <w:pPr>
        <w:pStyle w:val="BodyText"/>
        <w:spacing w:line="240" w:lineRule="auto"/>
      </w:pPr>
    </w:p>
    <w:p w14:paraId="5C9CEF91"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469 N.E.2d at 610.</w:t>
      </w:r>
    </w:p>
    <w:p w14:paraId="0B9F668B" w14:textId="5DA39188" w:rsidR="00655396" w:rsidRDefault="00655396" w:rsidP="008B512B">
      <w:pPr>
        <w:pStyle w:val="BodyText"/>
        <w:spacing w:line="240" w:lineRule="auto"/>
      </w:pPr>
      <w:r>
        <w:tab/>
        <w:t>Prior breach of the underlying contract by the employer can render a restrictive covenant unenforceable (</w:t>
      </w:r>
      <w:r>
        <w:rPr>
          <w:i/>
          <w:iCs/>
        </w:rPr>
        <w:t>Mohanty v. St. John Heart Clinic, S.C.</w:t>
      </w:r>
      <w:r>
        <w:t>, 310 Ill. Dec. 274, 280, 866 N.E.2d 85, 91 (2006) (but holding that employer had not committed any prior breach)), but the breach must be material to have such an effect.</w:t>
      </w:r>
      <w:r w:rsidR="00FB1D09">
        <w:t xml:space="preserve"> </w:t>
      </w:r>
      <w:r>
        <w:rPr>
          <w:i/>
          <w:iCs/>
        </w:rPr>
        <w:t>Bisla v. Parvaiz</w:t>
      </w:r>
      <w:r>
        <w:t>, 379 Ill. App. 3d 567, 572, 884 N.E.2d 790, 795 (1st Dist. 2008) (holding that, where employer failed to offer 50% equity in corporation, as agreed in employment contract, employer materially had breached contract, and defendant was, accordingly, released from effect of covenant not to compete).</w:t>
      </w:r>
    </w:p>
    <w:p w14:paraId="7D2DA64E" w14:textId="77777777" w:rsidR="00655396" w:rsidRDefault="00655396" w:rsidP="008B512B">
      <w:pPr>
        <w:pStyle w:val="BodyText"/>
        <w:spacing w:line="240" w:lineRule="auto"/>
      </w:pPr>
    </w:p>
    <w:p w14:paraId="5B51E6EF" w14:textId="5B05AED3" w:rsidR="00655396" w:rsidRDefault="00655396" w:rsidP="008B512B">
      <w:pPr>
        <w:pStyle w:val="BodyText"/>
        <w:spacing w:line="240" w:lineRule="auto"/>
      </w:pPr>
      <w:r>
        <w:lastRenderedPageBreak/>
        <w:tab/>
      </w:r>
      <w:r>
        <w:rPr>
          <w:b/>
          <w:bCs/>
        </w:rPr>
        <w:t>•</w:t>
      </w:r>
      <w:r>
        <w:t xml:space="preserve"> </w:t>
      </w:r>
      <w:r>
        <w:rPr>
          <w:i/>
          <w:iCs/>
        </w:rPr>
        <w:t>Determination of consideration supplied by continued employment is not limited to numerical formula</w:t>
      </w:r>
      <w:r w:rsidR="00D47546">
        <w:rPr>
          <w:i/>
          <w:iCs/>
        </w:rPr>
        <w:t xml:space="preserve">; </w:t>
      </w:r>
      <w:r>
        <w:rPr>
          <w:i/>
          <w:iCs/>
        </w:rPr>
        <w:t>Whether employee was involuntarily terminated by employer may need to be considered</w:t>
      </w:r>
      <w:r>
        <w:t>.</w:t>
      </w:r>
      <w:r w:rsidR="00FB1D09">
        <w:t xml:space="preserve"> </w:t>
      </w:r>
      <w:r>
        <w:t>On a related point, in dictum, the First District of the Illinois Court of Appeals has stated:</w:t>
      </w:r>
    </w:p>
    <w:p w14:paraId="70154E8A" w14:textId="77777777" w:rsidR="00655396" w:rsidRDefault="00655396" w:rsidP="008B512B">
      <w:pPr>
        <w:pStyle w:val="BodyText"/>
        <w:spacing w:line="240" w:lineRule="auto"/>
      </w:pPr>
    </w:p>
    <w:p w14:paraId="7C72FDAA" w14:textId="1213A624"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We do not believe case law limits the courts’ review [of the question whether substantial continued employment supplies the necessary consideration for a covenant entered into after the inception of the employment] to a numerical formula for what constitutes substantial continued employment.</w:t>
      </w:r>
      <w:r w:rsidR="00FB1D09">
        <w:rPr>
          <w:rFonts w:ascii="Baskerville" w:hAnsi="Baskerville" w:cs="Baskerville"/>
          <w:sz w:val="22"/>
          <w:szCs w:val="22"/>
        </w:rPr>
        <w:t xml:space="preserve"> </w:t>
      </w:r>
      <w:r>
        <w:rPr>
          <w:rFonts w:ascii="Baskerville" w:hAnsi="Baskerville" w:cs="Baskerville"/>
          <w:sz w:val="22"/>
          <w:szCs w:val="22"/>
        </w:rPr>
        <w:t>Factors other than the time period of the continued employment, such as whether the employee or the employer terminated [the] employment, may need to be considered to properly review the issue of consideration.</w:t>
      </w:r>
    </w:p>
    <w:p w14:paraId="627A5492" w14:textId="77777777" w:rsidR="00655396" w:rsidRDefault="00655396" w:rsidP="008B512B">
      <w:pPr>
        <w:pStyle w:val="BodyText"/>
        <w:spacing w:line="240" w:lineRule="auto"/>
      </w:pPr>
    </w:p>
    <w:p w14:paraId="0A0B61F3" w14:textId="310E9B6B" w:rsidR="00655396" w:rsidRDefault="00655396" w:rsidP="008B512B">
      <w:pPr>
        <w:pStyle w:val="BodyText"/>
        <w:spacing w:line="240" w:lineRule="auto"/>
      </w:pPr>
      <w:r>
        <w:rPr>
          <w:i/>
          <w:iCs/>
        </w:rPr>
        <w:t>Woodfield Grp., Inc. v. DeLisle</w:t>
      </w:r>
      <w:r>
        <w:t>, 295 Ill. App. 3d 935, 943, 230 Ill. Dec. 335, 340, 693 N.E.2d 464, 469, 13 IER Cases 1646 (1st Dist. 1998).</w:t>
      </w:r>
      <w:r w:rsidR="00FB1D09">
        <w:t xml:space="preserve"> </w:t>
      </w:r>
      <w:r>
        <w:rPr>
          <w:i/>
          <w:iCs/>
        </w:rPr>
        <w:t>See LKQ Corp. v. Thrasher</w:t>
      </w:r>
      <w:r>
        <w:t xml:space="preserve">, 785 F. Supp. 2d 737, 743–44 (N.D. Ill. 2011) (discussing </w:t>
      </w:r>
      <w:r>
        <w:rPr>
          <w:i/>
          <w:iCs/>
        </w:rPr>
        <w:t>Woodfield</w:t>
      </w:r>
      <w:r>
        <w:t>).</w:t>
      </w:r>
    </w:p>
    <w:p w14:paraId="71B952E2" w14:textId="77777777" w:rsidR="00655396" w:rsidRDefault="00655396" w:rsidP="008B512B">
      <w:pPr>
        <w:pStyle w:val="Question"/>
        <w:spacing w:line="240" w:lineRule="auto"/>
      </w:pPr>
    </w:p>
    <w:p w14:paraId="6DAD9D5D" w14:textId="77777777" w:rsidR="00655396" w:rsidRDefault="00655396" w:rsidP="008B512B">
      <w:pPr>
        <w:pStyle w:val="Question"/>
        <w:spacing w:line="240" w:lineRule="auto"/>
      </w:pPr>
    </w:p>
    <w:p w14:paraId="387ADCF7" w14:textId="77777777" w:rsidR="00655396" w:rsidRDefault="00655396" w:rsidP="008B512B">
      <w:pPr>
        <w:pStyle w:val="Question"/>
        <w:spacing w:line="240" w:lineRule="auto"/>
      </w:pPr>
      <w:r>
        <w:t>9.</w:t>
      </w:r>
      <w:r>
        <w:tab/>
        <w:t>If the court finds the employee has breached the restrictive covenant, will the court measure the period of injunction from the date of termination of employment or from the date of the court order?</w:t>
      </w:r>
    </w:p>
    <w:p w14:paraId="5C7BC406" w14:textId="77777777" w:rsidR="00655396" w:rsidRDefault="00655396" w:rsidP="008B512B">
      <w:pPr>
        <w:pStyle w:val="BodyText"/>
        <w:spacing w:line="240" w:lineRule="auto"/>
      </w:pPr>
    </w:p>
    <w:p w14:paraId="131C0149" w14:textId="4DDEC7C0" w:rsidR="00655396" w:rsidRDefault="00655396" w:rsidP="008B512B">
      <w:pPr>
        <w:pStyle w:val="BodyText"/>
        <w:spacing w:line="240" w:lineRule="auto"/>
      </w:pPr>
      <w:r>
        <w:tab/>
        <w:t>An injunction granted for breach of a covenant not to compete is enforceable only for the period of time specified in the covenant’s temporal term, absent any provision that would prolong the specified time period in the event of covenant breach.</w:t>
      </w:r>
      <w:r w:rsidR="00FB1D09">
        <w:t xml:space="preserve"> </w:t>
      </w:r>
      <w:r>
        <w:rPr>
          <w:i/>
          <w:iCs/>
        </w:rPr>
        <w:t>Stenstrom Petroleum Servs. Grp., Inc. v. Mesch</w:t>
      </w:r>
      <w:r>
        <w:t>, 375 Ill. App. 3d 1077, 1089, 847 N.E.2d 959, 970 (2d Dist. 2007).</w:t>
      </w:r>
      <w:r w:rsidR="00FB1D09">
        <w:t xml:space="preserve"> </w:t>
      </w:r>
      <w:r>
        <w:t xml:space="preserve">In </w:t>
      </w:r>
      <w:r>
        <w:rPr>
          <w:i/>
          <w:iCs/>
        </w:rPr>
        <w:t>Stenstrom</w:t>
      </w:r>
      <w:r>
        <w:t>, the court held that the plaintiff was entitled to injunctive relief for the 6-month period specified by the covenant, starting from when the employee left the employer’s employ, where the covenant did not contain an extension-of-time provision.</w:t>
      </w:r>
    </w:p>
    <w:p w14:paraId="3469FE99" w14:textId="3B3045DC"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The court in </w:t>
      </w:r>
      <w:r>
        <w:rPr>
          <w:rFonts w:ascii="Baskerville" w:hAnsi="Baskerville" w:cs="Baskerville"/>
          <w:i/>
          <w:iCs/>
        </w:rPr>
        <w:t>Loewen Group International, Inc. v. Haberichter</w:t>
      </w:r>
      <w:r>
        <w:rPr>
          <w:rFonts w:ascii="Baskerville" w:hAnsi="Baskerville" w:cs="Baskerville"/>
        </w:rPr>
        <w:t xml:space="preserve">, 912 F. Supp. 388 (N.D. Ill. 1996), “question[ed] whether [the former </w:t>
      </w:r>
      <w:r>
        <w:rPr>
          <w:rFonts w:ascii="Baskerville" w:hAnsi="Baskerville" w:cs="Baskerville"/>
        </w:rPr>
        <w:br/>
        <w:t xml:space="preserve">employer] is entitled to” an injunction running for three years </w:t>
      </w:r>
      <w:r>
        <w:rPr>
          <w:rFonts w:ascii="Baskerville" w:hAnsi="Baskerville" w:cs="Baskerville"/>
          <w:i/>
          <w:iCs/>
        </w:rPr>
        <w:t xml:space="preserve">from </w:t>
      </w:r>
      <w:r>
        <w:rPr>
          <w:rFonts w:ascii="Baskerville" w:hAnsi="Baskerville" w:cs="Baskerville"/>
          <w:i/>
          <w:iCs/>
        </w:rPr>
        <w:lastRenderedPageBreak/>
        <w:t>the date of the injunction</w:t>
      </w:r>
      <w:r>
        <w:rPr>
          <w:rFonts w:ascii="Baskerville" w:hAnsi="Baskerville" w:cs="Baskerville"/>
        </w:rPr>
        <w:t xml:space="preserve">, at least where the covenant itself “appears to limit the duration of the covenant to three years </w:t>
      </w:r>
      <w:r>
        <w:rPr>
          <w:rFonts w:ascii="Baskerville" w:hAnsi="Baskerville" w:cs="Baskerville"/>
          <w:i/>
          <w:iCs/>
        </w:rPr>
        <w:t>from the date of termination</w:t>
      </w:r>
      <w:r>
        <w:rPr>
          <w:rFonts w:ascii="Baskerville" w:hAnsi="Baskerville" w:cs="Baskerville"/>
        </w:rPr>
        <w:t>.”</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393 n.7 (emphasis added).</w:t>
      </w:r>
    </w:p>
    <w:p w14:paraId="61590C72"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303F5B97"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09A97219" w14:textId="77777777" w:rsidR="00655396" w:rsidRDefault="00655396" w:rsidP="008B512B">
      <w:pPr>
        <w:pStyle w:val="Question"/>
        <w:spacing w:line="240" w:lineRule="auto"/>
      </w:pPr>
      <w:r>
        <w:t>10.</w:t>
      </w:r>
      <w:r>
        <w:tab/>
        <w:t>What damages may an employer recover and from whom for breach of a covenant not to compete?</w:t>
      </w:r>
    </w:p>
    <w:p w14:paraId="448ACC13" w14:textId="77777777" w:rsidR="00655396" w:rsidRDefault="00655396" w:rsidP="008B512B">
      <w:pPr>
        <w:pStyle w:val="BodyText"/>
        <w:spacing w:line="240" w:lineRule="auto"/>
      </w:pPr>
    </w:p>
    <w:p w14:paraId="1BC3C813" w14:textId="5B1FCD61" w:rsidR="00655396" w:rsidRDefault="00655396" w:rsidP="008B512B">
      <w:pPr>
        <w:pStyle w:val="BodyText"/>
        <w:spacing w:line="240" w:lineRule="auto"/>
      </w:pPr>
      <w:r>
        <w:tab/>
        <w:t>To recover damages for breach of contract under Illinois law, “a plaintiff must establish that it sustained damages and that there is a reasonable basis for computation of the damages.”</w:t>
      </w:r>
      <w:r w:rsidR="00FB1D09">
        <w:t xml:space="preserve"> </w:t>
      </w:r>
      <w:r>
        <w:rPr>
          <w:i/>
          <w:iCs/>
        </w:rPr>
        <w:t>Westway Holdings Corp. v. Tate &amp; Lyle PLC</w:t>
      </w:r>
      <w:r>
        <w:t xml:space="preserve">, 2011 U.S. Dist. LEXIS 88679, at *13 (D. Del. 2011) (applying Illinois law as to damages; citing </w:t>
      </w:r>
      <w:r>
        <w:rPr>
          <w:i/>
          <w:iCs/>
        </w:rPr>
        <w:t>TAS Distrib. Co. v. Cummins Engine Co</w:t>
      </w:r>
      <w:r>
        <w:t>., 491 F.3d 625, 632 (7th Cir. 2007) (not a covenant case)).</w:t>
      </w:r>
    </w:p>
    <w:p w14:paraId="40DF4C35" w14:textId="7DA40155" w:rsidR="00655396" w:rsidRDefault="00655396" w:rsidP="008B512B">
      <w:pPr>
        <w:pStyle w:val="BodyText"/>
        <w:spacing w:line="240" w:lineRule="auto"/>
      </w:pPr>
      <w:r>
        <w:tab/>
        <w:t>Under Illinois law, the appropriate measure of damages for breach of a contract is “expectancy damages, i.e., damages to place the plaintiff in the position it would have been in had the contract been performed.”</w:t>
      </w:r>
      <w:r w:rsidR="00FB1D09">
        <w:t xml:space="preserve"> </w:t>
      </w:r>
      <w:r>
        <w:rPr>
          <w:i/>
          <w:iCs/>
        </w:rPr>
        <w:t>Id</w:t>
      </w:r>
      <w:r>
        <w:t>. at *14.</w:t>
      </w:r>
    </w:p>
    <w:p w14:paraId="517B55C9" w14:textId="3C464708" w:rsidR="00655396" w:rsidRDefault="00655396" w:rsidP="008B512B">
      <w:pPr>
        <w:pStyle w:val="BodyText"/>
        <w:spacing w:line="240" w:lineRule="auto"/>
      </w:pPr>
      <w:r>
        <w:tab/>
        <w:t>Former employers may recover lost profits, as expectancy damages, arising from the breach of a noncompetition covenant if the evidence of lost profits, while not mathematically conclusive, is sufficient to provide a reasonable basis for the award.</w:t>
      </w:r>
      <w:r w:rsidR="00FB1D09">
        <w:t xml:space="preserve"> </w:t>
      </w:r>
      <w:r>
        <w:rPr>
          <w:i/>
          <w:iCs/>
        </w:rPr>
        <w:t>Prairie Eye Ctr., Ltd. v. Butler</w:t>
      </w:r>
      <w:r>
        <w:t>, 329 Ill. App. 3d 293, 302–04, 263 Ill. Dec. 654, 662–63, 768 N.E.2d 414, 422–23 (4th Dist. 2002),</w:t>
      </w:r>
      <w:r>
        <w:rPr>
          <w:i/>
          <w:iCs/>
        </w:rPr>
        <w:t xml:space="preserve"> appeal denied by Prairie Eye Ctr., Ltd. v. Butler</w:t>
      </w:r>
      <w:r>
        <w:t>, 202 Ill. 2d 661, 272 Ill. Dec. 354, 787 N.E.2d 169 (2002) (finding that evidence was sufficient to provide reasonable basis for award of lost profits despite former employee’s contentions that</w:t>
      </w:r>
      <w:r w:rsidR="00D47546">
        <w:t xml:space="preserve">: </w:t>
      </w:r>
      <w:r>
        <w:t>(1) expert based his opinion on experience and not on statistics</w:t>
      </w:r>
      <w:r w:rsidR="00D47546">
        <w:t xml:space="preserve">; </w:t>
      </w:r>
      <w:r>
        <w:t>(2) expert’s testimony revealed that glaucoma patients tend to be more loyal and follow their ophthalmologist when they relocate</w:t>
      </w:r>
      <w:r w:rsidR="00D47546">
        <w:t xml:space="preserve">; </w:t>
      </w:r>
      <w:r>
        <w:t>(3) expert based his conclusion on transition where departing ophthalmologist encourages patients to stay with current practice</w:t>
      </w:r>
      <w:r w:rsidR="00D47546">
        <w:t xml:space="preserve">; </w:t>
      </w:r>
      <w:r>
        <w:t>and (4) evidence showed that ophthalmologist competed outside geographical areas restricted in noncompetition covenant).</w:t>
      </w:r>
      <w:r w:rsidR="00FB1D09">
        <w:t xml:space="preserve"> </w:t>
      </w:r>
      <w:r>
        <w:rPr>
          <w:i/>
          <w:iCs/>
        </w:rPr>
        <w:t>See also Westway Holdings</w:t>
      </w:r>
      <w:r>
        <w:t>, 2011 U.S. Dist. LEXIS 88679 at *16 (in sale of business context, finding that plaintiffs provided reasonable basis for calculating profits plaintiffs would have made on three sales of various quantities of molasses</w:t>
      </w:r>
      <w:r w:rsidR="00FB1D09">
        <w:t xml:space="preserve"> </w:t>
      </w:r>
      <w:r>
        <w:t xml:space="preserve">executed in violation of </w:t>
      </w:r>
      <w:r>
        <w:lastRenderedPageBreak/>
        <w:t xml:space="preserve">noncompetition agreement). </w:t>
      </w:r>
    </w:p>
    <w:p w14:paraId="0396D345" w14:textId="395E0957" w:rsidR="00655396" w:rsidRPr="006A121F" w:rsidRDefault="00655396" w:rsidP="008B512B">
      <w:pPr>
        <w:pStyle w:val="NoParagraphStyle"/>
        <w:tabs>
          <w:tab w:val="left" w:pos="480"/>
          <w:tab w:val="left" w:pos="960"/>
          <w:tab w:val="left" w:pos="1440"/>
        </w:tabs>
        <w:spacing w:line="240" w:lineRule="auto"/>
        <w:jc w:val="both"/>
        <w:rPr>
          <w:rFonts w:ascii="Baskerville" w:hAnsi="Baskerville"/>
          <w:color w:val="000000" w:themeColor="text1"/>
        </w:rPr>
      </w:pPr>
      <w:r w:rsidRPr="006A121F">
        <w:rPr>
          <w:rFonts w:ascii="Baskerville" w:hAnsi="Baskerville"/>
          <w:color w:val="000000" w:themeColor="text1"/>
        </w:rPr>
        <w:tab/>
        <w:t xml:space="preserve">Under Illinois law, an employer may be entitled to damages as well as lost profits from a former employee, and such damages may also be available from the new employer where the evidence shows the inducement of the former employee’s breach. </w:t>
      </w:r>
      <w:r w:rsidRPr="006A121F">
        <w:rPr>
          <w:rFonts w:ascii="Baskerville" w:hAnsi="Baskerville"/>
          <w:i/>
          <w:color w:val="000000" w:themeColor="text1"/>
        </w:rPr>
        <w:t>See Tower Oil &amp; Tech. Co. v. Buckley</w:t>
      </w:r>
      <w:r w:rsidRPr="006A121F">
        <w:rPr>
          <w:rFonts w:ascii="Baskerville" w:hAnsi="Baskerville"/>
          <w:color w:val="000000" w:themeColor="text1"/>
        </w:rPr>
        <w:t>, 99 Ill. App. 3d 637, 54 Ill. Dec. 843, 425 N.E.2d 1060 (1st Dist. 1981) (appellate court affirmed jury verdict of $14,700 in compensatory damages against all defendants and $53,200 against former employee’s new employer, new employer’s general manager, and principal shareholder, for inducement and conspiracy in connection with former employee’s breach of covenant not to compete).</w:t>
      </w:r>
    </w:p>
    <w:p w14:paraId="442B082F" w14:textId="767371FD" w:rsidR="00C62F54" w:rsidRPr="00C62F54" w:rsidRDefault="00C62F54" w:rsidP="00C62F54">
      <w:pPr>
        <w:pStyle w:val="NoParagraphStyle"/>
        <w:tabs>
          <w:tab w:val="left" w:pos="480"/>
          <w:tab w:val="left" w:pos="960"/>
          <w:tab w:val="left" w:pos="1440"/>
        </w:tabs>
        <w:spacing w:line="240" w:lineRule="auto"/>
        <w:jc w:val="both"/>
        <w:rPr>
          <w:rFonts w:ascii="Baskerville" w:hAnsi="Baskerville"/>
          <w:color w:val="000000" w:themeColor="text1"/>
        </w:rPr>
      </w:pPr>
      <w:r w:rsidRPr="00C62F54">
        <w:rPr>
          <w:rFonts w:ascii="Baskerville" w:hAnsi="Baskerville"/>
          <w:color w:val="000000" w:themeColor="text1"/>
        </w:rPr>
        <w:tab/>
        <w:t xml:space="preserve">Punitive damages are generally not recoverable foe breach of contract. </w:t>
      </w:r>
      <w:r w:rsidRPr="00C62F54">
        <w:rPr>
          <w:rFonts w:ascii="Baskerville" w:hAnsi="Baskerville"/>
          <w:i/>
          <w:iCs/>
          <w:color w:val="000000" w:themeColor="text1"/>
        </w:rPr>
        <w:t>Morrow v. LA Goldschmidt Assocs., Inc</w:t>
      </w:r>
      <w:r w:rsidRPr="00C62F54">
        <w:rPr>
          <w:rFonts w:ascii="Baskerville" w:hAnsi="Baskerville"/>
          <w:color w:val="000000" w:themeColor="text1"/>
        </w:rPr>
        <w:t>., 112 Ill. 2d 87, 94–95 (1986).</w:t>
      </w:r>
    </w:p>
    <w:p w14:paraId="4C33A9F9" w14:textId="49355BBF" w:rsidR="00655396" w:rsidRPr="006A121F" w:rsidRDefault="00655396" w:rsidP="008B512B">
      <w:pPr>
        <w:pStyle w:val="NoParagraphStyle"/>
        <w:tabs>
          <w:tab w:val="left" w:pos="480"/>
          <w:tab w:val="left" w:pos="960"/>
          <w:tab w:val="left" w:pos="1440"/>
        </w:tabs>
        <w:spacing w:line="240" w:lineRule="auto"/>
        <w:jc w:val="both"/>
        <w:rPr>
          <w:rFonts w:ascii="Baskerville" w:hAnsi="Baskerville"/>
          <w:color w:val="000000" w:themeColor="text1"/>
        </w:rPr>
      </w:pPr>
      <w:r w:rsidRPr="00C62F54">
        <w:rPr>
          <w:rFonts w:ascii="Baskerville" w:hAnsi="Baskerville" w:cs="Baskerville"/>
          <w:color w:val="000000" w:themeColor="text1"/>
        </w:rPr>
        <w:tab/>
      </w:r>
      <w:r w:rsidR="00C62F54">
        <w:rPr>
          <w:rFonts w:ascii="Baskerville" w:hAnsi="Baskerville" w:cs="Baskerville"/>
          <w:color w:val="000000" w:themeColor="text1"/>
        </w:rPr>
        <w:t>However, p</w:t>
      </w:r>
      <w:r w:rsidRPr="00C62F54">
        <w:rPr>
          <w:rFonts w:ascii="Baskerville" w:hAnsi="Baskerville" w:cs="Baskerville"/>
          <w:color w:val="000000" w:themeColor="text1"/>
        </w:rPr>
        <w:t>unitive</w:t>
      </w:r>
      <w:r w:rsidRPr="006A121F">
        <w:rPr>
          <w:rFonts w:ascii="Baskerville" w:hAnsi="Baskerville"/>
          <w:color w:val="000000" w:themeColor="text1"/>
        </w:rPr>
        <w:t xml:space="preserve"> damages are appropriate where the defendant’s actions are accompanied by aggravated circumstances such as wantonness, willfulness, malice, fraud, oppression, violence, and recklessness. </w:t>
      </w:r>
      <w:r w:rsidRPr="006A121F">
        <w:rPr>
          <w:rFonts w:ascii="Baskerville" w:hAnsi="Baskerville"/>
          <w:i/>
          <w:color w:val="000000" w:themeColor="text1"/>
        </w:rPr>
        <w:t>PCx Corp. v. Ross</w:t>
      </w:r>
      <w:r w:rsidRPr="006A121F">
        <w:rPr>
          <w:rFonts w:ascii="Baskerville" w:hAnsi="Baskerville"/>
          <w:color w:val="000000" w:themeColor="text1"/>
        </w:rPr>
        <w:t>, 209 Ill. App. 3d 530, 541, 154 Ill. Dec. 311, 317, 568 N.E.2d 311, 317 (1st Dist. 1991) (</w:t>
      </w:r>
      <w:r w:rsidR="00C62F54">
        <w:rPr>
          <w:rFonts w:ascii="Baskerville" w:hAnsi="Baskerville" w:cs="Baskerville"/>
          <w:color w:val="000000" w:themeColor="text1"/>
        </w:rPr>
        <w:t xml:space="preserve">but </w:t>
      </w:r>
      <w:r w:rsidRPr="006A121F">
        <w:rPr>
          <w:rFonts w:ascii="Baskerville" w:hAnsi="Baskerville"/>
          <w:color w:val="000000" w:themeColor="text1"/>
        </w:rPr>
        <w:t>holding that failure of sales consultant’s new employer to carefully monitor its own guidelines to avoid conflict with terms of consultant’s employment agreement with former employer did not rise to level of aggravated circumstances warranting award of punitive damages based on tortious interference with contract).</w:t>
      </w:r>
    </w:p>
    <w:p w14:paraId="12D77F84" w14:textId="77777777" w:rsidR="00D1564A" w:rsidRDefault="00655396" w:rsidP="008B512B">
      <w:pPr>
        <w:pStyle w:val="BodyText"/>
        <w:spacing w:line="240" w:lineRule="auto"/>
      </w:pPr>
      <w:r>
        <w:tab/>
        <w:t>Moreover, former employers may be entitled to both monetary damages and injunctive relief upon the breach of a covenant not to compete.</w:t>
      </w:r>
      <w:r w:rsidR="00FB1D09">
        <w:t xml:space="preserve"> </w:t>
      </w:r>
      <w:r>
        <w:rPr>
          <w:i/>
          <w:iCs/>
        </w:rPr>
        <w:t xml:space="preserve">Prairie Eye Ctr., </w:t>
      </w:r>
      <w:r>
        <w:t>329 Ill. App. 3d at 304, 263 Ill. Dec. at 664, 768 N.E.2d at 424 (damages award for lost profits and diminished value of business would not, standing alone,</w:t>
      </w:r>
      <w:r w:rsidR="00FB1D09">
        <w:t xml:space="preserve"> </w:t>
      </w:r>
      <w:r>
        <w:t>give eye clinic benefit of its bargain, i.e., the noncompete covenant, but only restore parties to position that they would have been in had ophthalmologist not breached employment agreement</w:t>
      </w:r>
      <w:r w:rsidR="00D47546">
        <w:t xml:space="preserve">; </w:t>
      </w:r>
      <w:r>
        <w:t>the injunction, on the other hand, actually gave clinic agreed-upon period of noncompetition).</w:t>
      </w:r>
    </w:p>
    <w:p w14:paraId="750CA03A" w14:textId="2041AEB1" w:rsidR="00655396" w:rsidRDefault="00655396" w:rsidP="008B512B">
      <w:pPr>
        <w:pStyle w:val="BodyText"/>
        <w:spacing w:line="240" w:lineRule="auto"/>
      </w:pPr>
      <w:r>
        <w:t xml:space="preserve"> </w:t>
      </w:r>
    </w:p>
    <w:p w14:paraId="006BCB0F" w14:textId="24FCA167" w:rsidR="00655396" w:rsidRDefault="00655396" w:rsidP="008B512B">
      <w:pPr>
        <w:pStyle w:val="BodyText"/>
        <w:spacing w:line="240" w:lineRule="auto"/>
      </w:pPr>
      <w:r>
        <w:tab/>
        <w:t>As to mitigation of damages, note that a party injured by a breach of contract “is required to use all reasonable means to mitigate his damages” (</w:t>
      </w:r>
      <w:r>
        <w:rPr>
          <w:i/>
          <w:iCs/>
        </w:rPr>
        <w:t>Westway Holdings</w:t>
      </w:r>
      <w:r>
        <w:t xml:space="preserve">, 2011 U.S. Dist. LEXIS 88679, at *19), and the defendant has the burden to prove that the plaintiff </w:t>
      </w:r>
      <w:r>
        <w:lastRenderedPageBreak/>
        <w:t>failed to mitigate its damages after the defendant’s breach.</w:t>
      </w:r>
      <w:r w:rsidR="00FB1D09">
        <w:t xml:space="preserve"> </w:t>
      </w:r>
      <w:r>
        <w:rPr>
          <w:i/>
          <w:iCs/>
        </w:rPr>
        <w:t>Id</w:t>
      </w:r>
      <w:r>
        <w:t xml:space="preserve">. (ruling, </w:t>
      </w:r>
      <w:r>
        <w:rPr>
          <w:i/>
          <w:iCs/>
        </w:rPr>
        <w:t>id</w:t>
      </w:r>
      <w:r>
        <w:t>., that defendants had not met their burden of proving that plaintiffs failed to mitigate damages).</w:t>
      </w:r>
    </w:p>
    <w:p w14:paraId="4259A6D6" w14:textId="77777777" w:rsidR="00655396" w:rsidRDefault="00655396" w:rsidP="008B512B">
      <w:pPr>
        <w:pStyle w:val="BodyText"/>
        <w:spacing w:line="240" w:lineRule="auto"/>
      </w:pPr>
    </w:p>
    <w:p w14:paraId="046235EA" w14:textId="77777777" w:rsidR="00655396" w:rsidRDefault="00655396" w:rsidP="008B512B">
      <w:pPr>
        <w:pStyle w:val="BodyText"/>
        <w:spacing w:line="240" w:lineRule="auto"/>
      </w:pPr>
    </w:p>
    <w:p w14:paraId="46BB0C9A" w14:textId="77777777" w:rsidR="00655396" w:rsidRDefault="00655396" w:rsidP="008B512B">
      <w:pPr>
        <w:pStyle w:val="Question"/>
        <w:spacing w:line="240" w:lineRule="auto"/>
      </w:pPr>
      <w:r>
        <w:t>11.</w:t>
      </w:r>
      <w:r>
        <w:tab/>
        <w:t>Does a liquidated damage clause for breach of the covenant not to compete preclude injunctive relief to enforce the covenant?</w:t>
      </w:r>
    </w:p>
    <w:p w14:paraId="10DF4B70"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615DB2D8" w14:textId="522B9201"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No. Absent express language in a noncompetition agreement providing that liquidated damages are to be the sole remedy in the event of breach or that the provision for liquidated damages precludes injunctive relief, the presence of a liquidated damages clause does not preclude injunctive relief and, thus, does not support striking a prayer for equitable relief. </w:t>
      </w:r>
      <w:r>
        <w:rPr>
          <w:rFonts w:ascii="Baskerville" w:hAnsi="Baskerville" w:cs="Baskerville"/>
          <w:i/>
          <w:iCs/>
        </w:rPr>
        <w:t>Brian McDonagh S.C. v. Moss</w:t>
      </w:r>
      <w:r>
        <w:rPr>
          <w:rFonts w:ascii="Baskerville" w:hAnsi="Baskerville" w:cs="Baskerville"/>
        </w:rPr>
        <w:t>, 207 Ill. App. 3d 62, 151 Ill. Dec. 888, 565 N.E.2d 159 (1st Dist. 1990).</w:t>
      </w:r>
      <w:r w:rsidR="00FB1D09">
        <w:rPr>
          <w:rFonts w:ascii="Baskerville" w:hAnsi="Baskerville" w:cs="Baskerville"/>
        </w:rPr>
        <w:t xml:space="preserve"> </w:t>
      </w:r>
      <w:r>
        <w:rPr>
          <w:rFonts w:ascii="Baskerville" w:hAnsi="Baskerville" w:cs="Baskerville"/>
        </w:rPr>
        <w:t xml:space="preserve">As the </w:t>
      </w:r>
      <w:r>
        <w:rPr>
          <w:rFonts w:ascii="Baskerville" w:hAnsi="Baskerville" w:cs="Baskerville"/>
          <w:i/>
          <w:iCs/>
        </w:rPr>
        <w:t>McDonagh</w:t>
      </w:r>
      <w:r>
        <w:rPr>
          <w:rFonts w:ascii="Baskerville" w:hAnsi="Baskerville" w:cs="Baskerville"/>
        </w:rPr>
        <w:t xml:space="preserve"> court explained:</w:t>
      </w:r>
    </w:p>
    <w:p w14:paraId="62A2FA48"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216898FD" w14:textId="4925B392"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 xml:space="preserve">[A] provision for liquidated damages in the event of a breach does not in itself make specific performance of the Agreement unavailable as a remedy. </w:t>
      </w:r>
      <w:r>
        <w:rPr>
          <w:rFonts w:ascii="Baskerville" w:hAnsi="Baskerville" w:cs="Baskerville"/>
          <w:i/>
          <w:iCs/>
          <w:sz w:val="22"/>
          <w:szCs w:val="22"/>
        </w:rPr>
        <w:t>Bauer v. Sawyer</w:t>
      </w:r>
      <w:r>
        <w:rPr>
          <w:rFonts w:ascii="Baskerville" w:hAnsi="Baskerville" w:cs="Baskerville"/>
          <w:sz w:val="22"/>
          <w:szCs w:val="22"/>
        </w:rPr>
        <w:t xml:space="preserve"> (1956), 8 Ill. 2d 351, 134 N.E.2d 329. Such a provision for liquidated damages, absent a clear contrary showing, is merely an added security in the event of a breach, and not a loophole of escape from performance. See </w:t>
      </w:r>
      <w:r>
        <w:rPr>
          <w:rFonts w:ascii="Baskerville" w:hAnsi="Baskerville" w:cs="Baskerville"/>
          <w:smallCaps/>
          <w:sz w:val="22"/>
          <w:szCs w:val="22"/>
        </w:rPr>
        <w:t>Restatement (Second) of Contracts</w:t>
      </w:r>
      <w:r>
        <w:rPr>
          <w:rFonts w:ascii="Baskerville" w:hAnsi="Baskerville" w:cs="Baskerville"/>
          <w:sz w:val="22"/>
          <w:szCs w:val="22"/>
        </w:rPr>
        <w:t xml:space="preserve"> §361; 5A Corbin, Contracts §1213. Here, there is no clear showing that the provision for liquidated damages </w:t>
      </w:r>
      <w:r w:rsidR="00944F63">
        <w:rPr>
          <w:rFonts w:ascii="Baskerville" w:hAnsi="Baskerville" w:cs="Baskerville"/>
          <w:sz w:val="22"/>
          <w:szCs w:val="22"/>
        </w:rPr>
        <w:t>…</w:t>
      </w:r>
      <w:r>
        <w:rPr>
          <w:rFonts w:ascii="Baskerville" w:hAnsi="Baskerville" w:cs="Baskerville"/>
          <w:sz w:val="22"/>
          <w:szCs w:val="22"/>
        </w:rPr>
        <w:t xml:space="preserve"> was intended to preclude injunctive relief in the event of a breach. If the parties had intended that the provision for liquidated damages precluded injunctive relief, they could have included explicit language to that effect in the Agreement, or they could have included explicit language that the liquidated damages was to be the sole remedy in the event of a breach.</w:t>
      </w:r>
    </w:p>
    <w:p w14:paraId="44C1ECEA"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p>
    <w:p w14:paraId="5EAAA007" w14:textId="77777777" w:rsidR="00655396" w:rsidRDefault="00655396" w:rsidP="008B512B">
      <w:pPr>
        <w:pStyle w:val="NoParagraphStyle"/>
        <w:tabs>
          <w:tab w:val="left" w:pos="960"/>
          <w:tab w:val="left" w:pos="1440"/>
        </w:tabs>
        <w:spacing w:line="240" w:lineRule="auto"/>
        <w:ind w:left="480"/>
        <w:jc w:val="center"/>
        <w:rPr>
          <w:rFonts w:ascii="Baskerville" w:hAnsi="Baskerville" w:cs="Baskerville"/>
          <w:sz w:val="22"/>
          <w:szCs w:val="22"/>
        </w:rPr>
      </w:pPr>
      <w:r>
        <w:rPr>
          <w:rFonts w:ascii="Baskerville" w:hAnsi="Baskerville" w:cs="Baskerville"/>
          <w:sz w:val="22"/>
          <w:szCs w:val="22"/>
        </w:rPr>
        <w:t>* * * *</w:t>
      </w:r>
    </w:p>
    <w:p w14:paraId="52CA1046"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In order to be a complete bar to equitable relief, there must be clear language in an agreement that the liquidated damages are to be the sole remedy in the event of a breach.</w:t>
      </w:r>
    </w:p>
    <w:p w14:paraId="2CDF1E34" w14:textId="77777777" w:rsidR="00655396" w:rsidRDefault="00655396" w:rsidP="008B512B">
      <w:pPr>
        <w:pStyle w:val="BodyText"/>
        <w:spacing w:line="240" w:lineRule="auto"/>
        <w:rPr>
          <w:sz w:val="20"/>
          <w:szCs w:val="20"/>
        </w:rPr>
      </w:pPr>
    </w:p>
    <w:p w14:paraId="06968364"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565 N.E.2d at 160–61 (citation omitted).</w:t>
      </w:r>
    </w:p>
    <w:p w14:paraId="573B4647"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Likewise, a request for unliquidated monetary damages does not preclude an injunction. </w:t>
      </w:r>
      <w:r>
        <w:rPr>
          <w:rFonts w:ascii="Baskerville" w:hAnsi="Baskerville" w:cs="Baskerville"/>
          <w:i/>
          <w:iCs/>
        </w:rPr>
        <w:t>Sarah Bush Lincoln Health Ctr. v. Perket,</w:t>
      </w:r>
      <w:r>
        <w:rPr>
          <w:rFonts w:ascii="Baskerville" w:hAnsi="Baskerville" w:cs="Baskerville"/>
        </w:rPr>
        <w:t xml:space="preserve"> </w:t>
      </w:r>
      <w:r>
        <w:rPr>
          <w:rFonts w:ascii="Baskerville" w:hAnsi="Baskerville" w:cs="Baskerville"/>
        </w:rPr>
        <w:lastRenderedPageBreak/>
        <w:t>238 Ill. App. 3d 958, 963, 178 Ill. Dec. 819, 823, 605 N.E.2d 613, 617 (4th Dist. 1993).</w:t>
      </w:r>
    </w:p>
    <w:p w14:paraId="1803FF6A"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In </w:t>
      </w:r>
      <w:r>
        <w:rPr>
          <w:rFonts w:ascii="Baskerville" w:hAnsi="Baskerville" w:cs="Baskerville"/>
          <w:i/>
          <w:iCs/>
        </w:rPr>
        <w:t>McRand, Inc. v. Van Beelen</w:t>
      </w:r>
      <w:r>
        <w:rPr>
          <w:rFonts w:ascii="Baskerville" w:hAnsi="Baskerville" w:cs="Baskerville"/>
        </w:rPr>
        <w:t>, 138 Ill. App. 3d 1045, 93 Ill. Dec. 471, 486 N.E.2d 1306 (1st Dist. 1985), the court held:</w:t>
      </w:r>
    </w:p>
    <w:p w14:paraId="6C6A5561" w14:textId="77777777" w:rsidR="00655396" w:rsidRDefault="00655396" w:rsidP="008B512B">
      <w:pPr>
        <w:pStyle w:val="BodyText"/>
        <w:spacing w:line="240" w:lineRule="auto"/>
        <w:rPr>
          <w:sz w:val="20"/>
          <w:szCs w:val="20"/>
        </w:rPr>
      </w:pPr>
    </w:p>
    <w:p w14:paraId="465A5C34" w14:textId="69161370"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Furthermore, we find that it would be difficult to ascertain money damages here, as the effect may be more far reaching than the time set out in the employment agreement</w:t>
      </w:r>
      <w:r w:rsidR="00944F63">
        <w:rPr>
          <w:rFonts w:ascii="Baskerville" w:hAnsi="Baskerville" w:cs="Baskerville"/>
          <w:sz w:val="22"/>
          <w:szCs w:val="22"/>
        </w:rPr>
        <w:t>…</w:t>
      </w:r>
      <w:r>
        <w:rPr>
          <w:sz w:val="22"/>
          <w:szCs w:val="22"/>
        </w:rPr>
        <w:t> </w:t>
      </w:r>
      <w:r>
        <w:rPr>
          <w:rFonts w:ascii="Baskerville" w:hAnsi="Baskerville" w:cs="Baskerville"/>
          <w:sz w:val="22"/>
          <w:szCs w:val="22"/>
        </w:rPr>
        <w:t xml:space="preserve">. We also hold that the employment agreement’s liquidated damages provision will not </w:t>
      </w:r>
      <w:r>
        <w:rPr>
          <w:rFonts w:ascii="Baskerville" w:hAnsi="Baskerville" w:cs="Baskerville"/>
          <w:sz w:val="22"/>
          <w:szCs w:val="22"/>
        </w:rPr>
        <w:br/>
        <w:t>operate as a bar to injunctive relief enforcing a covenant not to compete. [Citations omitted.]</w:t>
      </w:r>
    </w:p>
    <w:p w14:paraId="13901B5F"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1A76D53E"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486 N.E.2d at 1313.</w:t>
      </w:r>
    </w:p>
    <w:p w14:paraId="5BDF7B2C"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As to liquidated damages, note that:</w:t>
      </w:r>
    </w:p>
    <w:p w14:paraId="2785240C"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39C4AAC4"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For a liquidated damages provision to be held enforceable, two conditions must exist: (1) the damages resulting from a breach must be difficult to calculate; and (2) the amount of fixed damages must be a reasonable forecast of the damage likely to occur.</w:t>
      </w:r>
    </w:p>
    <w:p w14:paraId="48D7E2D7"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1D263071" w14:textId="299A64A4"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Tomei v. Tomei,</w:t>
      </w:r>
      <w:r>
        <w:rPr>
          <w:rFonts w:ascii="Baskerville" w:hAnsi="Baskerville" w:cs="Baskerville"/>
        </w:rPr>
        <w:t xml:space="preserve"> 235 Ill. App. 3d 166, 172, 176 Ill. Dec. 716, 720, 602 N.E.2d 23, 27 (1st Dist. 1992). </w:t>
      </w:r>
      <w:r>
        <w:rPr>
          <w:rFonts w:ascii="Baskerville" w:hAnsi="Baskerville" w:cs="Baskerville"/>
          <w:i/>
          <w:iCs/>
        </w:rPr>
        <w:t>See also</w:t>
      </w:r>
      <w:r>
        <w:rPr>
          <w:rFonts w:ascii="Baskerville" w:hAnsi="Baskerville" w:cs="Baskerville"/>
        </w:rPr>
        <w:t xml:space="preserve"> </w:t>
      </w:r>
      <w:r>
        <w:rPr>
          <w:rFonts w:ascii="Baskerville" w:hAnsi="Baskerville" w:cs="Baskerville"/>
          <w:i/>
          <w:iCs/>
        </w:rPr>
        <w:t>Callahan v. L.G. Balfour</w:t>
      </w:r>
      <w:r>
        <w:rPr>
          <w:rFonts w:ascii="Baskerville" w:hAnsi="Baskerville" w:cs="Baskerville"/>
        </w:rPr>
        <w:t xml:space="preserve">, 179 Ill. App. 3d 372, 386, 534 N.E.2d 565, 568 (1st Dist. 1989); </w:t>
      </w:r>
      <w:r>
        <w:rPr>
          <w:rFonts w:ascii="Baskerville" w:hAnsi="Baskerville" w:cs="Baskerville"/>
          <w:i/>
          <w:iCs/>
        </w:rPr>
        <w:t>Bauer v. Sawyer</w:t>
      </w:r>
      <w:r>
        <w:rPr>
          <w:rFonts w:ascii="Baskerville" w:hAnsi="Baskerville" w:cs="Baskerville"/>
        </w:rPr>
        <w:t>, 8 Ill. 2d 351, 359, 134 N.E.2d 329 (1956).</w:t>
      </w:r>
    </w:p>
    <w:p w14:paraId="2313BA14" w14:textId="02500769" w:rsidR="006B14C5" w:rsidRPr="006A121F" w:rsidRDefault="006B14C5" w:rsidP="008B512B">
      <w:pPr>
        <w:pStyle w:val="NoParagraphStyle"/>
        <w:tabs>
          <w:tab w:val="left" w:pos="480"/>
          <w:tab w:val="left" w:pos="960"/>
          <w:tab w:val="left" w:pos="1440"/>
        </w:tabs>
        <w:spacing w:line="240" w:lineRule="auto"/>
        <w:jc w:val="both"/>
        <w:rPr>
          <w:rFonts w:ascii="Baskerville" w:hAnsi="Baskerville"/>
        </w:rPr>
      </w:pPr>
    </w:p>
    <w:p w14:paraId="434D8952" w14:textId="77777777" w:rsidR="00655396" w:rsidRDefault="00655396" w:rsidP="008B512B">
      <w:pPr>
        <w:pStyle w:val="Question"/>
        <w:spacing w:line="240" w:lineRule="auto"/>
      </w:pPr>
      <w:r>
        <w:t>12.</w:t>
      </w:r>
      <w:r>
        <w:tab/>
        <w:t>What choice of law rules apply to determine which state’s law will govern an action seeking to enforce a covenant not to compete?</w:t>
      </w:r>
    </w:p>
    <w:p w14:paraId="1099F37F"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7D1F0768" w14:textId="77777777" w:rsidR="00655396" w:rsidRDefault="00655396" w:rsidP="008B512B">
      <w:pPr>
        <w:pStyle w:val="SubQuestion"/>
        <w:spacing w:line="240" w:lineRule="auto"/>
      </w:pPr>
      <w:r>
        <w:t>a.</w:t>
      </w:r>
      <w:r>
        <w:tab/>
        <w:t>What rule does the state apply when considering a choice of law provision in a covenant not to compete case?</w:t>
      </w:r>
    </w:p>
    <w:p w14:paraId="2A6C0A6F"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0DD8FC4D" w14:textId="33CC1049" w:rsidR="00655396" w:rsidRPr="00C45169" w:rsidRDefault="00655396" w:rsidP="00C45169">
      <w:pPr>
        <w:shd w:val="clear" w:color="auto" w:fill="FFFFFF"/>
        <w:rPr>
          <w:rFonts w:ascii="Baskerville" w:hAnsi="Baskerville"/>
          <w:color w:val="000000" w:themeColor="text1"/>
        </w:rPr>
      </w:pPr>
      <w:r w:rsidRPr="00C45169">
        <w:rPr>
          <w:rFonts w:ascii="Baskerville" w:hAnsi="Baskerville"/>
          <w:color w:val="000000" w:themeColor="text1"/>
        </w:rPr>
        <w:tab/>
        <w:t xml:space="preserve">“Under Illinois law, a court will enforce a contractual choice of law provision unless the law to be applied is ‘repugnant to a strong and fundamental policy of Illinois’ or there is no relationship between the parties and the state whose law is to be applied.” </w:t>
      </w:r>
      <w:r w:rsidRPr="00C45169">
        <w:rPr>
          <w:rFonts w:ascii="Baskerville" w:hAnsi="Baskerville"/>
          <w:i/>
          <w:iCs/>
          <w:color w:val="000000" w:themeColor="text1"/>
        </w:rPr>
        <w:t>Labor Ready, Inc. v. Williams Staffing, LLC</w:t>
      </w:r>
      <w:r w:rsidRPr="00C45169">
        <w:rPr>
          <w:rFonts w:ascii="Baskerville" w:hAnsi="Baskerville"/>
          <w:color w:val="000000" w:themeColor="text1"/>
        </w:rPr>
        <w:t>, 149 F. Supp. 2d 398, 405 (N.D. Ill. 2001) (finding Washington law not repugnant</w:t>
      </w:r>
      <w:r w:rsidR="00D47546" w:rsidRPr="00C45169">
        <w:rPr>
          <w:rFonts w:ascii="Baskerville" w:hAnsi="Baskerville"/>
          <w:color w:val="000000" w:themeColor="text1"/>
        </w:rPr>
        <w:t xml:space="preserve">; </w:t>
      </w:r>
      <w:r w:rsidRPr="00C45169">
        <w:rPr>
          <w:rFonts w:ascii="Baskerville" w:hAnsi="Baskerville"/>
          <w:color w:val="000000" w:themeColor="text1"/>
        </w:rPr>
        <w:t xml:space="preserve">footnote omitted; noting, </w:t>
      </w:r>
      <w:r w:rsidRPr="00C45169">
        <w:rPr>
          <w:rFonts w:ascii="Baskerville" w:hAnsi="Baskerville"/>
          <w:i/>
          <w:iCs/>
          <w:color w:val="000000" w:themeColor="text1"/>
        </w:rPr>
        <w:t>id.</w:t>
      </w:r>
      <w:r w:rsidRPr="00C45169">
        <w:rPr>
          <w:rFonts w:ascii="Baskerville" w:hAnsi="Baskerville"/>
          <w:color w:val="000000" w:themeColor="text1"/>
        </w:rPr>
        <w:t xml:space="preserve"> at n.6, that “[o]ther courts have followed a slightly different test;” finding, </w:t>
      </w:r>
      <w:r w:rsidRPr="00C45169">
        <w:rPr>
          <w:rFonts w:ascii="Baskerville" w:hAnsi="Baskerville"/>
          <w:i/>
          <w:iCs/>
          <w:color w:val="000000" w:themeColor="text1"/>
        </w:rPr>
        <w:t>id.</w:t>
      </w:r>
      <w:r w:rsidRPr="00C45169">
        <w:rPr>
          <w:rFonts w:ascii="Baskerville" w:hAnsi="Baskerville"/>
          <w:color w:val="000000" w:themeColor="text1"/>
        </w:rPr>
        <w:t xml:space="preserve"> at 406, that no-relationship </w:t>
      </w:r>
      <w:r w:rsidRPr="00C45169">
        <w:rPr>
          <w:rFonts w:ascii="Baskerville" w:hAnsi="Baskerville"/>
          <w:color w:val="000000" w:themeColor="text1"/>
        </w:rPr>
        <w:lastRenderedPageBreak/>
        <w:t>exception does not apply in instant case involving Washington</w:t>
      </w:r>
      <w:r w:rsidR="00E97E5E">
        <w:rPr>
          <w:rFonts w:ascii="Baskerville" w:hAnsi="Baskerville"/>
          <w:color w:val="000000" w:themeColor="text1"/>
        </w:rPr>
        <w:t xml:space="preserve"> choice </w:t>
      </w:r>
      <w:r w:rsidRPr="00C45169">
        <w:rPr>
          <w:rFonts w:ascii="Baskerville" w:hAnsi="Baskerville"/>
          <w:color w:val="000000" w:themeColor="text1"/>
        </w:rPr>
        <w:t>of</w:t>
      </w:r>
      <w:r w:rsidR="00E97E5E">
        <w:rPr>
          <w:rFonts w:ascii="Baskerville" w:hAnsi="Baskerville"/>
          <w:color w:val="000000" w:themeColor="text1"/>
        </w:rPr>
        <w:t xml:space="preserve"> </w:t>
      </w:r>
      <w:r w:rsidRPr="00C45169">
        <w:rPr>
          <w:rFonts w:ascii="Baskerville" w:hAnsi="Baskerville"/>
          <w:color w:val="000000" w:themeColor="text1"/>
        </w:rPr>
        <w:t xml:space="preserve">law clause “because plaintiff is a Washington corporation, indicating that there is a relationship between the parties and Washington law;” noting, </w:t>
      </w:r>
      <w:r w:rsidRPr="00C45169">
        <w:rPr>
          <w:rFonts w:ascii="Baskerville" w:hAnsi="Baskerville"/>
          <w:i/>
          <w:iCs/>
          <w:color w:val="000000" w:themeColor="text1"/>
        </w:rPr>
        <w:t>id.</w:t>
      </w:r>
      <w:r w:rsidRPr="00C45169">
        <w:rPr>
          <w:rFonts w:ascii="Baskerville" w:hAnsi="Baskerville"/>
          <w:color w:val="000000" w:themeColor="text1"/>
        </w:rPr>
        <w:t xml:space="preserve"> at n.6, that “court need not determine whether Illinois has a ‘materially greater interest’ in this litigation, however, because </w:t>
      </w:r>
      <w:r w:rsidR="00944F63">
        <w:rPr>
          <w:rFonts w:ascii="Baskerville" w:hAnsi="Baskerville"/>
          <w:color w:val="000000" w:themeColor="text1"/>
        </w:rPr>
        <w:t>…</w:t>
      </w:r>
      <w:r w:rsidRPr="00C45169">
        <w:rPr>
          <w:rFonts w:ascii="Baskerville" w:hAnsi="Baskerville"/>
          <w:color w:val="000000" w:themeColor="text1"/>
        </w:rPr>
        <w:t xml:space="preserve"> the court finds that the contractual choice of law provision [calling for the application of Washington substantive law to covenant enforceability issues] in the instant case does not violate the fundamental public policy of Illinois”). </w:t>
      </w:r>
      <w:r w:rsidR="00C45169" w:rsidRPr="00C45169">
        <w:rPr>
          <w:rFonts w:ascii="Baskerville" w:hAnsi="Baskerville"/>
          <w:i/>
          <w:iCs/>
          <w:color w:val="000000" w:themeColor="text1"/>
        </w:rPr>
        <w:t>See</w:t>
      </w:r>
      <w:r w:rsidR="00C45169" w:rsidRPr="00C45169">
        <w:rPr>
          <w:rFonts w:ascii="Baskerville" w:hAnsi="Baskerville" w:cs="Open Sans"/>
          <w:i/>
          <w:iCs/>
          <w:color w:val="000000" w:themeColor="text1"/>
        </w:rPr>
        <w:t xml:space="preserve"> Zeigler Auto Grp. II, Inc. v. Chavez</w:t>
      </w:r>
      <w:r w:rsidR="00C45169" w:rsidRPr="00C45169">
        <w:rPr>
          <w:rFonts w:ascii="Baskerville" w:hAnsi="Baskerville" w:cs="Open Sans"/>
          <w:color w:val="000000" w:themeColor="text1"/>
        </w:rPr>
        <w:t>, 2020 BL 14169, at *7 (N.D. Ill. Jan. 15, 2020) (because enforcing the contract as written, with a Missouri choice of law clause, “does not violate fundamental Illinois public policy, this Court</w:t>
      </w:r>
      <w:r w:rsidR="005C6F0C">
        <w:rPr>
          <w:rFonts w:ascii="Baskerville" w:hAnsi="Baskerville" w:cs="Open Sans"/>
          <w:color w:val="000000" w:themeColor="text1"/>
        </w:rPr>
        <w:t>’</w:t>
      </w:r>
      <w:r w:rsidR="00C45169" w:rsidRPr="00C45169">
        <w:rPr>
          <w:rFonts w:ascii="Baskerville" w:hAnsi="Baskerville" w:cs="Open Sans"/>
          <w:color w:val="000000" w:themeColor="text1"/>
        </w:rPr>
        <w:t>s analysis is complete,” but further finding that “Illinois has no materially greater interest in this litigation than Michigan”);</w:t>
      </w:r>
      <w:r w:rsidR="00C45169" w:rsidRPr="00C45169">
        <w:rPr>
          <w:rFonts w:ascii="Baskerville" w:hAnsi="Baskerville"/>
          <w:i/>
          <w:iCs/>
          <w:color w:val="000000" w:themeColor="text1"/>
        </w:rPr>
        <w:t xml:space="preserve"> </w:t>
      </w:r>
      <w:r w:rsidRPr="00C45169">
        <w:rPr>
          <w:rFonts w:ascii="Baskerville" w:hAnsi="Baskerville"/>
          <w:i/>
          <w:iCs/>
          <w:color w:val="000000" w:themeColor="text1"/>
        </w:rPr>
        <w:t>Brown &amp; Brown, Inc. v. Mudron</w:t>
      </w:r>
      <w:r w:rsidRPr="00C45169">
        <w:rPr>
          <w:rFonts w:ascii="Baskerville" w:hAnsi="Baskerville"/>
          <w:color w:val="000000" w:themeColor="text1"/>
        </w:rPr>
        <w:t>, 379 Ill. App. 3d 724 (3d Dist. 2008) (declining to give effect of Florida choice of law provision on finding that Florida law, which specifically prohibited consideration of the hardship imposed by the covenant when determining its reasonableness, was contrary to Illinois law and policy</w:t>
      </w:r>
      <w:r w:rsidR="00D47546" w:rsidRPr="00C45169">
        <w:rPr>
          <w:rFonts w:ascii="Baskerville" w:hAnsi="Baskerville"/>
          <w:color w:val="000000" w:themeColor="text1"/>
        </w:rPr>
        <w:t xml:space="preserve">; </w:t>
      </w:r>
      <w:r w:rsidRPr="00C45169">
        <w:rPr>
          <w:rFonts w:ascii="Baskerville" w:hAnsi="Baskerville"/>
          <w:color w:val="000000" w:themeColor="text1"/>
        </w:rPr>
        <w:t>also ruling that Illinois had a materially greater interest in the dispute in that (1) relevant agency involved was located in Illinois, (2) all of the listed defendants were located in Illinois, (3) customers allegedly solicited or serviced were located in Illinois, and (4) the actions of the alleged breach of agreement took place in Illinois).</w:t>
      </w:r>
    </w:p>
    <w:p w14:paraId="5853BD62" w14:textId="033613D0"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Illinois courts will not honor a choice of law provision in a covenant not to compete where there is an “insufficient connection” between the contract and the state whose law is designated. </w:t>
      </w:r>
      <w:r>
        <w:rPr>
          <w:rFonts w:ascii="Baskerville" w:hAnsi="Baskerville" w:cs="Baskerville"/>
          <w:i/>
          <w:iCs/>
        </w:rPr>
        <w:t>Curtis 1000, Inc. v. Suess,</w:t>
      </w:r>
      <w:r>
        <w:rPr>
          <w:rFonts w:ascii="Baskerville" w:hAnsi="Baskerville" w:cs="Baskerville"/>
        </w:rPr>
        <w:t xml:space="preserve"> 24 F.3d 941, 948 (7th Cir. 1994) (declining to apply Delaware law).</w:t>
      </w:r>
    </w:p>
    <w:p w14:paraId="1F954746" w14:textId="794BE461"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In</w:t>
      </w:r>
      <w:r>
        <w:rPr>
          <w:rFonts w:ascii="Baskerville" w:hAnsi="Baskerville" w:cs="Baskerville"/>
          <w:i/>
          <w:iCs/>
        </w:rPr>
        <w:t xml:space="preserve"> American Food Management v. Henson</w:t>
      </w:r>
      <w:r>
        <w:rPr>
          <w:rFonts w:ascii="Baskerville" w:hAnsi="Baskerville" w:cs="Baskerville"/>
        </w:rPr>
        <w:t xml:space="preserve">, 105 Ill. App. 3d 141, 434 N.E.2d 59, 62 (5th Dist. 1982), the court followed the covenant’s choice of Missouri law, explaining that in any event the enforceability issue is the same under Missouri or Illinois law. Later in the opinion, the court applied Illinois law on the issue of whether irreparable harm had been proven. </w:t>
      </w:r>
      <w:r>
        <w:rPr>
          <w:rFonts w:ascii="Baskerville" w:hAnsi="Baskerville" w:cs="Baskerville"/>
          <w:i/>
          <w:iCs/>
        </w:rPr>
        <w:t>Id.</w:t>
      </w:r>
      <w:r>
        <w:rPr>
          <w:rFonts w:ascii="Baskerville" w:hAnsi="Baskerville" w:cs="Baskerville"/>
        </w:rPr>
        <w:t>, 434 N.E.2d at 64.</w:t>
      </w:r>
      <w:r w:rsidR="00FB1D09">
        <w:rPr>
          <w:rFonts w:ascii="Baskerville" w:hAnsi="Baskerville" w:cs="Baskerville"/>
        </w:rPr>
        <w:t xml:space="preserve"> </w:t>
      </w:r>
      <w:r>
        <w:rPr>
          <w:rFonts w:ascii="Baskerville" w:hAnsi="Baskerville" w:cs="Baskerville"/>
          <w:i/>
          <w:iCs/>
        </w:rPr>
        <w:t>See also Cambridge Eng’g, Inc. v. Mercury Partners 90 BI, Inc.</w:t>
      </w:r>
      <w:r>
        <w:rPr>
          <w:rFonts w:ascii="Baskerville" w:hAnsi="Baskerville" w:cs="Baskerville"/>
        </w:rPr>
        <w:t xml:space="preserve">, 378 Ill. App. 3d 437, 448, 316 Ill. Dec. 445, 456, 879 N.E.2d 512, 523 (1st Dist. 2007) (indicating that Missouri law and Illinois law adopt “essentially the same standard for enforceability, with some nondispositive </w:t>
      </w:r>
      <w:r>
        <w:rPr>
          <w:rFonts w:ascii="Baskerville" w:hAnsi="Baskerville" w:cs="Baskerville"/>
        </w:rPr>
        <w:lastRenderedPageBreak/>
        <w:t>variation regarding permissible territorial scope”).</w:t>
      </w:r>
    </w:p>
    <w:p w14:paraId="3CDC06C5" w14:textId="695BD56F"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In </w:t>
      </w:r>
      <w:r>
        <w:rPr>
          <w:rFonts w:ascii="Baskerville" w:hAnsi="Baskerville" w:cs="Baskerville"/>
          <w:i/>
          <w:iCs/>
        </w:rPr>
        <w:t>English Co. v. Northwest Envirocon, Inc.</w:t>
      </w:r>
      <w:r>
        <w:rPr>
          <w:rFonts w:ascii="Baskerville" w:hAnsi="Baskerville" w:cs="Baskerville"/>
        </w:rPr>
        <w:t>, 663 N.E.2d 448 (Ill. Ct. App. 2d Dist. 1996), a case not involving a covenant, the court noted that “Illinois generally follows the modern approach to choice-of-law questions, which places the greatest importance on the public policy of the State in which the case was brought.”</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452.</w:t>
      </w:r>
    </w:p>
    <w:p w14:paraId="5FFC9233" w14:textId="51A85345"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The parties in </w:t>
      </w:r>
      <w:r>
        <w:rPr>
          <w:rFonts w:ascii="Baskerville" w:hAnsi="Baskerville" w:cs="Baskerville"/>
          <w:i/>
          <w:iCs/>
        </w:rPr>
        <w:t>English</w:t>
      </w:r>
      <w:r>
        <w:rPr>
          <w:rFonts w:ascii="Baskerville" w:hAnsi="Baskerville" w:cs="Baskerville"/>
        </w:rPr>
        <w:t xml:space="preserve"> operated under an agreement containing a clause stating that Illinois law would provide the rules of decision for any conflict arising thereunder.</w:t>
      </w:r>
      <w:r w:rsidR="00FB1D09">
        <w:rPr>
          <w:rFonts w:ascii="Baskerville" w:hAnsi="Baskerville" w:cs="Baskerville"/>
        </w:rPr>
        <w:t xml:space="preserve"> </w:t>
      </w:r>
      <w:r>
        <w:rPr>
          <w:rFonts w:ascii="Baskerville" w:hAnsi="Baskerville" w:cs="Baskerville"/>
        </w:rPr>
        <w:t>As to such express choice</w:t>
      </w:r>
      <w:r w:rsidR="00E97E5E">
        <w:rPr>
          <w:rFonts w:ascii="Baskerville" w:hAnsi="Baskerville" w:cs="Baskerville"/>
        </w:rPr>
        <w:t xml:space="preserve"> </w:t>
      </w:r>
      <w:r>
        <w:rPr>
          <w:rFonts w:ascii="Baskerville" w:hAnsi="Baskerville" w:cs="Baskerville"/>
        </w:rPr>
        <w:t>of</w:t>
      </w:r>
      <w:r w:rsidR="00E97E5E">
        <w:rPr>
          <w:rFonts w:ascii="Baskerville" w:hAnsi="Baskerville" w:cs="Baskerville"/>
        </w:rPr>
        <w:t xml:space="preserve"> </w:t>
      </w:r>
      <w:r>
        <w:rPr>
          <w:rFonts w:ascii="Baskerville" w:hAnsi="Baskerville" w:cs="Baskerville"/>
        </w:rPr>
        <w:t xml:space="preserve">law clauses, the court observed that Illinois courts follow the analysis of the </w:t>
      </w:r>
      <w:r>
        <w:rPr>
          <w:rFonts w:ascii="Baskerville" w:hAnsi="Baskerville" w:cs="Baskerville"/>
          <w:smallCaps/>
        </w:rPr>
        <w:t>Restatement (Second) of Conflict of Laws</w:t>
      </w:r>
      <w:r>
        <w:rPr>
          <w:rFonts w:ascii="Baskerville" w:hAnsi="Baskerville" w:cs="Baskerville"/>
        </w:rPr>
        <w:t xml:space="preserve"> §187 (1971).</w:t>
      </w:r>
      <w:r w:rsidR="00FB1D09">
        <w:rPr>
          <w:rFonts w:ascii="Baskerville" w:hAnsi="Baskerville" w:cs="Baskerville"/>
        </w:rPr>
        <w:t xml:space="preserve"> </w:t>
      </w:r>
      <w:r>
        <w:rPr>
          <w:rFonts w:ascii="Baskerville" w:hAnsi="Baskerville" w:cs="Baskerville"/>
          <w:i/>
          <w:iCs/>
        </w:rPr>
        <w:t>Id.</w:t>
      </w:r>
      <w:r w:rsidR="00FB1D09">
        <w:rPr>
          <w:rFonts w:ascii="Baskerville" w:hAnsi="Baskerville" w:cs="Baskerville"/>
        </w:rPr>
        <w:t xml:space="preserve"> </w:t>
      </w:r>
      <w:r>
        <w:rPr>
          <w:rFonts w:ascii="Baskerville" w:hAnsi="Baskerville" w:cs="Baskerville"/>
        </w:rPr>
        <w:t xml:space="preserve">“[U]nder section 187 of the Restatement, when an express choice of law is made, it will be given effect in Illinois unless it would </w:t>
      </w:r>
      <w:r>
        <w:rPr>
          <w:rFonts w:ascii="Baskerville" w:hAnsi="Baskerville" w:cs="Baskerville"/>
          <w:i/>
          <w:iCs/>
        </w:rPr>
        <w:t>both</w:t>
      </w:r>
      <w:r>
        <w:rPr>
          <w:rFonts w:ascii="Baskerville" w:hAnsi="Baskerville" w:cs="Baskerville"/>
        </w:rPr>
        <w:t xml:space="preserve"> violate fundamental Illinois public policy </w:t>
      </w:r>
      <w:r>
        <w:rPr>
          <w:rFonts w:ascii="Baskerville" w:hAnsi="Baskerville" w:cs="Baskerville"/>
          <w:i/>
          <w:iCs/>
        </w:rPr>
        <w:t>and</w:t>
      </w:r>
      <w:r>
        <w:rPr>
          <w:rFonts w:ascii="Baskerville" w:hAnsi="Baskerville" w:cs="Baskerville"/>
        </w:rPr>
        <w:t xml:space="preserve"> Illinois has a materially greater interest in the litigation than the chosen state.”</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(court’s emphasis retained; citations omitted).</w:t>
      </w:r>
    </w:p>
    <w:p w14:paraId="7781982C" w14:textId="0418AABB"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In federal diversity actions, Illinois’ choice of law rules determine the applicable substantive law. </w:t>
      </w:r>
      <w:r>
        <w:rPr>
          <w:rFonts w:ascii="Baskerville" w:hAnsi="Baskerville" w:cs="Baskerville"/>
          <w:i/>
          <w:iCs/>
        </w:rPr>
        <w:t>Certainteed Corp. v. Williams</w:t>
      </w:r>
      <w:r>
        <w:rPr>
          <w:rFonts w:ascii="Baskerville" w:hAnsi="Baskerville" w:cs="Baskerville"/>
        </w:rPr>
        <w:t>, 507 F. Supp. 2d 847, 849 (N.D. Ill. 2007) (indicating that Illinois choice of law rules had been used to apply Pennsylvania law to restrictive covenant issues)</w:t>
      </w:r>
      <w:r w:rsidR="00D47546">
        <w:rPr>
          <w:rFonts w:ascii="Baskerville" w:hAnsi="Baskerville" w:cs="Baskerville"/>
        </w:rPr>
        <w:t xml:space="preserve">; </w:t>
      </w:r>
      <w:r>
        <w:rPr>
          <w:rFonts w:ascii="Baskerville" w:hAnsi="Baskerville" w:cs="Baskerville"/>
          <w:i/>
          <w:iCs/>
        </w:rPr>
        <w:t>Baskin-Robbins, Inc. v. Patel</w:t>
      </w:r>
      <w:r>
        <w:rPr>
          <w:rFonts w:ascii="Baskerville" w:hAnsi="Baskerville" w:cs="Baskerville"/>
        </w:rPr>
        <w:t>, 264 F. Supp. 2d 607, 610 (N.D. Ill.</w:t>
      </w:r>
      <w:r w:rsidR="00FB1D09">
        <w:rPr>
          <w:rFonts w:ascii="Baskerville" w:hAnsi="Baskerville" w:cs="Baskerville"/>
        </w:rPr>
        <w:t xml:space="preserve"> </w:t>
      </w:r>
      <w:r>
        <w:rPr>
          <w:rFonts w:ascii="Baskerville" w:hAnsi="Baskerville" w:cs="Baskerville"/>
        </w:rPr>
        <w:t xml:space="preserve">2003); </w:t>
      </w:r>
      <w:r>
        <w:rPr>
          <w:rFonts w:ascii="Baskerville" w:hAnsi="Baskerville" w:cs="Baskerville"/>
          <w:i/>
          <w:iCs/>
        </w:rPr>
        <w:t>Kohler v. Leslie Hindman, Inc.</w:t>
      </w:r>
      <w:r>
        <w:rPr>
          <w:rFonts w:ascii="Baskerville" w:hAnsi="Baskerville" w:cs="Baskerville"/>
        </w:rPr>
        <w:t xml:space="preserve">, 80 F.3d 1181, 1184 (7th Cir. 1996) (not a covenant case; citing </w:t>
      </w:r>
      <w:r>
        <w:rPr>
          <w:rFonts w:ascii="Baskerville" w:hAnsi="Baskerville" w:cs="Baskerville"/>
          <w:i/>
          <w:iCs/>
        </w:rPr>
        <w:t>Klaxon Co. v. Stentor Elec. Mfg. Co.</w:t>
      </w:r>
      <w:r>
        <w:rPr>
          <w:rFonts w:ascii="Baskerville" w:hAnsi="Baskerville" w:cs="Baskerville"/>
        </w:rPr>
        <w:t>, 313 U.S. 487 (1941)).</w:t>
      </w:r>
      <w:r w:rsidR="00FB1D09">
        <w:rPr>
          <w:rFonts w:ascii="Baskerville" w:hAnsi="Baskerville" w:cs="Baskerville"/>
        </w:rPr>
        <w:t xml:space="preserve"> </w:t>
      </w:r>
      <w:r>
        <w:rPr>
          <w:rFonts w:ascii="Baskerville" w:hAnsi="Baskerville" w:cs="Baskerville"/>
        </w:rPr>
        <w:t xml:space="preserve">The </w:t>
      </w:r>
      <w:r>
        <w:rPr>
          <w:rFonts w:ascii="Baskerville" w:hAnsi="Baskerville" w:cs="Baskerville"/>
          <w:i/>
          <w:iCs/>
        </w:rPr>
        <w:t>Kohler</w:t>
      </w:r>
      <w:r>
        <w:rPr>
          <w:rFonts w:ascii="Baskerville" w:hAnsi="Baskerville" w:cs="Baskerville"/>
        </w:rPr>
        <w:t xml:space="preserve"> court, like the </w:t>
      </w:r>
      <w:r>
        <w:rPr>
          <w:rFonts w:ascii="Baskerville" w:hAnsi="Baskerville" w:cs="Baskerville"/>
          <w:i/>
          <w:iCs/>
        </w:rPr>
        <w:t>English</w:t>
      </w:r>
      <w:r>
        <w:rPr>
          <w:rFonts w:ascii="Baskerville" w:hAnsi="Baskerville" w:cs="Baskerville"/>
        </w:rPr>
        <w:t xml:space="preserve"> court, acknowledged that “Illinois law respects [a] contract’s choice-of-law clause as long as the contract is valid.”</w:t>
      </w:r>
      <w:r w:rsidR="00FB1D09">
        <w:rPr>
          <w:rFonts w:ascii="Baskerville" w:hAnsi="Baskerville" w:cs="Baskerville"/>
        </w:rPr>
        <w:t xml:space="preserve"> </w:t>
      </w:r>
      <w:r>
        <w:rPr>
          <w:rFonts w:ascii="Baskerville" w:hAnsi="Baskerville" w:cs="Baskerville"/>
          <w:i/>
          <w:iCs/>
        </w:rPr>
        <w:t>Kohler</w:t>
      </w:r>
      <w:r>
        <w:rPr>
          <w:rFonts w:ascii="Baskerville" w:hAnsi="Baskerville" w:cs="Baskerville"/>
        </w:rPr>
        <w:t xml:space="preserve">, 80 F.38 at 1185 (citing </w:t>
      </w:r>
      <w:r>
        <w:rPr>
          <w:rFonts w:ascii="Baskerville" w:hAnsi="Baskerville" w:cs="Baskerville"/>
          <w:i/>
          <w:iCs/>
        </w:rPr>
        <w:t>Vencor, Inc. v. Webb</w:t>
      </w:r>
      <w:r>
        <w:rPr>
          <w:rFonts w:ascii="Baskerville" w:hAnsi="Baskerville" w:cs="Baskerville"/>
        </w:rPr>
        <w:t>, 33 F.3d 840, 844 (7th Cir. 1994)).</w:t>
      </w:r>
    </w:p>
    <w:p w14:paraId="41B7D488"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44614BAF" w14:textId="6A4E0C3E" w:rsidR="00655396" w:rsidRDefault="00655396" w:rsidP="008B512B">
      <w:pPr>
        <w:pStyle w:val="BodyText"/>
        <w:spacing w:line="240" w:lineRule="auto"/>
      </w:pPr>
      <w:r>
        <w:tab/>
      </w:r>
      <w:r>
        <w:rPr>
          <w:b/>
          <w:bCs/>
        </w:rPr>
        <w:t>•</w:t>
      </w:r>
      <w:r>
        <w:t xml:space="preserve"> </w:t>
      </w:r>
      <w:r>
        <w:rPr>
          <w:i/>
          <w:iCs/>
        </w:rPr>
        <w:t>Cases in which a court of a sister state has applied Illinois law</w:t>
      </w:r>
      <w:r w:rsidR="00D47546">
        <w:rPr>
          <w:i/>
          <w:iCs/>
        </w:rPr>
        <w:t xml:space="preserve">; </w:t>
      </w:r>
      <w:r>
        <w:rPr>
          <w:i/>
          <w:iCs/>
        </w:rPr>
        <w:t>Effective choice of law clauses</w:t>
      </w:r>
      <w:r>
        <w:t>.</w:t>
      </w:r>
      <w:r w:rsidR="00FB1D09">
        <w:t xml:space="preserve"> </w:t>
      </w:r>
      <w:r>
        <w:t xml:space="preserve">In </w:t>
      </w:r>
      <w:r>
        <w:rPr>
          <w:i/>
          <w:iCs/>
        </w:rPr>
        <w:t>APAC Teleservices, Inc. v. McRae</w:t>
      </w:r>
      <w:r>
        <w:t>, 985 F. Supp. 852 (N.D. Iowa 1997), the U.S. District Court for the Northern District of Iowa applied Iowa choice of law principles to determine that Illinois law would govern the analysis of a restrictive covenant that contained an Illinois choice of law clause and was executed by an outsource telemarketing technology consultant while employed in—and working for a firm based in—Illinois.</w:t>
      </w:r>
      <w:r w:rsidR="00FB1D09">
        <w:t xml:space="preserve"> </w:t>
      </w:r>
      <w:r>
        <w:rPr>
          <w:i/>
          <w:iCs/>
        </w:rPr>
        <w:t>Id.</w:t>
      </w:r>
      <w:r>
        <w:t xml:space="preserve"> at 856.</w:t>
      </w:r>
    </w:p>
    <w:p w14:paraId="63A15017" w14:textId="77777777" w:rsidR="00655396" w:rsidRDefault="00655396" w:rsidP="008B512B">
      <w:pPr>
        <w:pStyle w:val="BodyText"/>
        <w:spacing w:line="240" w:lineRule="auto"/>
      </w:pPr>
      <w:r>
        <w:tab/>
        <w:t xml:space="preserve">The court observed that, under Iowa law, if the parties to a contract—such as a covenant not to compete—have selected the law </w:t>
      </w:r>
      <w:r>
        <w:lastRenderedPageBreak/>
        <w:t>that will apply to their contract,</w:t>
      </w:r>
    </w:p>
    <w:p w14:paraId="3E8A6230"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5DE5B17D" w14:textId="65E5F9ED"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the court follows a three-step process to determine whether to honor that selection of law.</w:t>
      </w:r>
      <w:r w:rsidR="00FB1D09">
        <w:rPr>
          <w:rFonts w:ascii="Baskerville" w:hAnsi="Baskerville" w:cs="Baskerville"/>
          <w:sz w:val="22"/>
          <w:szCs w:val="22"/>
        </w:rPr>
        <w:t xml:space="preserve"> </w:t>
      </w:r>
      <w:r>
        <w:rPr>
          <w:rFonts w:ascii="Baskerville" w:hAnsi="Baskerville" w:cs="Baskerville"/>
          <w:i/>
          <w:iCs/>
          <w:sz w:val="22"/>
          <w:szCs w:val="22"/>
        </w:rPr>
        <w:t>Curtiss 1000, Inc. v. Youngblade</w:t>
      </w:r>
      <w:r>
        <w:rPr>
          <w:rFonts w:ascii="Baskerville" w:hAnsi="Baskerville" w:cs="Baskerville"/>
          <w:sz w:val="22"/>
          <w:szCs w:val="22"/>
        </w:rPr>
        <w:t xml:space="preserve">, 878 F. Supp. 1224, 1253 (N.D. Iowa 1995), citing </w:t>
      </w:r>
      <w:r>
        <w:rPr>
          <w:rFonts w:ascii="Baskerville" w:hAnsi="Baskerville" w:cs="Baskerville"/>
          <w:i/>
          <w:iCs/>
          <w:sz w:val="22"/>
          <w:szCs w:val="22"/>
        </w:rPr>
        <w:t>Baxter</w:t>
      </w:r>
      <w:r>
        <w:rPr>
          <w:rFonts w:ascii="Baskerville" w:hAnsi="Baskerville" w:cs="Baskerville"/>
          <w:sz w:val="22"/>
          <w:szCs w:val="22"/>
        </w:rPr>
        <w:t xml:space="preserve"> [</w:t>
      </w:r>
      <w:r>
        <w:rPr>
          <w:rFonts w:ascii="Baskerville" w:hAnsi="Baskerville" w:cs="Baskerville"/>
          <w:i/>
          <w:iCs/>
          <w:sz w:val="22"/>
          <w:szCs w:val="22"/>
        </w:rPr>
        <w:t>Int’l, Inc. v. Morris</w:t>
      </w:r>
      <w:r>
        <w:rPr>
          <w:rFonts w:ascii="Baskerville" w:hAnsi="Baskerville" w:cs="Baskerville"/>
          <w:sz w:val="22"/>
          <w:szCs w:val="22"/>
        </w:rPr>
        <w:t>], 976 F.2d [1189,] 1195–96 [(8th Cir. 1992)].</w:t>
      </w:r>
      <w:r w:rsidR="00FB1D09">
        <w:rPr>
          <w:rFonts w:ascii="Baskerville" w:hAnsi="Baskerville" w:cs="Baskerville"/>
          <w:sz w:val="22"/>
          <w:szCs w:val="22"/>
        </w:rPr>
        <w:t xml:space="preserve"> </w:t>
      </w:r>
      <w:r>
        <w:rPr>
          <w:rFonts w:ascii="Baskerville" w:hAnsi="Baskerville" w:cs="Baskerville"/>
          <w:sz w:val="22"/>
          <w:szCs w:val="22"/>
        </w:rPr>
        <w:t>The court first determines “which state’s law would apply in default under [the most significant relationship analysis] in the absence of an effective choice of law by the parties.”</w:t>
      </w:r>
      <w:r w:rsidR="00FB1D09">
        <w:rPr>
          <w:rFonts w:ascii="Baskerville" w:hAnsi="Baskerville" w:cs="Baskerville"/>
          <w:sz w:val="22"/>
          <w:szCs w:val="22"/>
        </w:rPr>
        <w:t xml:space="preserve"> </w:t>
      </w:r>
      <w:r>
        <w:rPr>
          <w:rFonts w:ascii="Baskerville" w:hAnsi="Baskerville" w:cs="Baskerville"/>
          <w:i/>
          <w:iCs/>
          <w:sz w:val="22"/>
          <w:szCs w:val="22"/>
        </w:rPr>
        <w:t>Id.</w:t>
      </w:r>
      <w:r w:rsidR="00FB1D09">
        <w:rPr>
          <w:rFonts w:ascii="Baskerville" w:hAnsi="Baskerville" w:cs="Baskerville"/>
          <w:sz w:val="22"/>
          <w:szCs w:val="22"/>
        </w:rPr>
        <w:t xml:space="preserve"> </w:t>
      </w:r>
      <w:r>
        <w:rPr>
          <w:rFonts w:ascii="Baskerville" w:hAnsi="Baskerville" w:cs="Baskerville"/>
          <w:sz w:val="22"/>
          <w:szCs w:val="22"/>
        </w:rPr>
        <w:t>Second, it decides “whether the default state has a materially greater interest in the outcome of the particular issue than the chosen state.”</w:t>
      </w:r>
      <w:r w:rsidR="00FB1D09">
        <w:rPr>
          <w:rFonts w:ascii="Baskerville" w:hAnsi="Baskerville" w:cs="Baskerville"/>
          <w:sz w:val="22"/>
          <w:szCs w:val="22"/>
        </w:rPr>
        <w:t xml:space="preserve"> </w:t>
      </w:r>
      <w:r>
        <w:rPr>
          <w:rFonts w:ascii="Baskerville" w:hAnsi="Baskerville" w:cs="Baskerville"/>
          <w:i/>
          <w:iCs/>
          <w:sz w:val="22"/>
          <w:szCs w:val="22"/>
        </w:rPr>
        <w:t>Id.</w:t>
      </w:r>
      <w:r w:rsidR="00FB1D09">
        <w:rPr>
          <w:rFonts w:ascii="Baskerville" w:hAnsi="Baskerville" w:cs="Baskerville"/>
          <w:sz w:val="22"/>
          <w:szCs w:val="22"/>
        </w:rPr>
        <w:t xml:space="preserve"> </w:t>
      </w:r>
      <w:r>
        <w:rPr>
          <w:rFonts w:ascii="Baskerville" w:hAnsi="Baskerville" w:cs="Baskerville"/>
          <w:sz w:val="22"/>
          <w:szCs w:val="22"/>
        </w:rPr>
        <w:t>And last, the court determines “whether application of the law of the chosen state would be contrary to a fundamental policy of the default state.”</w:t>
      </w:r>
      <w:r w:rsidR="00FB1D09">
        <w:rPr>
          <w:rFonts w:ascii="Baskerville" w:hAnsi="Baskerville" w:cs="Baskerville"/>
          <w:sz w:val="22"/>
          <w:szCs w:val="22"/>
        </w:rPr>
        <w:t xml:space="preserve"> </w:t>
      </w:r>
      <w:r>
        <w:rPr>
          <w:rFonts w:ascii="Baskerville" w:hAnsi="Baskerville" w:cs="Baskerville"/>
          <w:i/>
          <w:iCs/>
          <w:sz w:val="22"/>
          <w:szCs w:val="22"/>
        </w:rPr>
        <w:t>Id.</w:t>
      </w:r>
    </w:p>
    <w:p w14:paraId="4FD6F162"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03F728CD" w14:textId="77777777" w:rsidR="00655396" w:rsidRDefault="00655396" w:rsidP="008B512B">
      <w:pPr>
        <w:pStyle w:val="BodyText"/>
        <w:spacing w:line="240" w:lineRule="auto"/>
      </w:pPr>
      <w:r>
        <w:rPr>
          <w:i/>
          <w:iCs/>
        </w:rPr>
        <w:t>Id.</w:t>
      </w:r>
    </w:p>
    <w:p w14:paraId="3BE4FF0A" w14:textId="77777777" w:rsidR="00655396" w:rsidRDefault="00655396" w:rsidP="008B512B">
      <w:pPr>
        <w:pStyle w:val="BodyText"/>
        <w:spacing w:line="240" w:lineRule="auto"/>
      </w:pPr>
      <w:r>
        <w:tab/>
        <w:t xml:space="preserve">En route to determining that Illinois law would govern the analysis of the restrictive covenant, the </w:t>
      </w:r>
      <w:r>
        <w:rPr>
          <w:i/>
          <w:iCs/>
        </w:rPr>
        <w:t>APAC Teleservices</w:t>
      </w:r>
      <w:r>
        <w:t xml:space="preserve"> court </w:t>
      </w:r>
      <w:r>
        <w:br/>
        <w:t>explained:</w:t>
      </w:r>
    </w:p>
    <w:p w14:paraId="5B18EFCF" w14:textId="77777777" w:rsidR="00655396" w:rsidRDefault="00655396" w:rsidP="008B512B">
      <w:pPr>
        <w:pStyle w:val="BodyText"/>
        <w:spacing w:line="240" w:lineRule="auto"/>
      </w:pPr>
    </w:p>
    <w:p w14:paraId="66B4B57C" w14:textId="3CBF1E4C"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[The former employer] contends, and the [former employee, now employed in—and working for a firm based in—Iowa, and his co-defendant new employer] have not argued otherwise, that the parties’ choice of law, Illinois law, [should be applied to analyze the validity of the covenant].</w:t>
      </w:r>
      <w:r w:rsidR="00FB1D09">
        <w:rPr>
          <w:rFonts w:ascii="Baskerville" w:hAnsi="Baskerville" w:cs="Baskerville"/>
          <w:sz w:val="22"/>
          <w:szCs w:val="22"/>
        </w:rPr>
        <w:t xml:space="preserve"> </w:t>
      </w:r>
      <w:r>
        <w:rPr>
          <w:rFonts w:ascii="Baskerville" w:hAnsi="Baskerville" w:cs="Baskerville"/>
          <w:sz w:val="22"/>
          <w:szCs w:val="22"/>
        </w:rPr>
        <w:t>Although Iowa law would apply in default under the most significant relationships analysis, Iowa does not necessarily have a materially greater interest in the outcome than does Illinois, and applying Illinois law would not be contrary to a fundamental policy of Iowa.</w:t>
      </w:r>
    </w:p>
    <w:p w14:paraId="3DA3355B"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3942BFB2" w14:textId="77777777" w:rsidR="00655396" w:rsidRDefault="00655396" w:rsidP="008B512B">
      <w:pPr>
        <w:pStyle w:val="BodyText"/>
        <w:spacing w:line="240" w:lineRule="auto"/>
        <w:rPr>
          <w:i/>
          <w:iCs/>
        </w:rPr>
      </w:pPr>
      <w:r>
        <w:rPr>
          <w:i/>
          <w:iCs/>
        </w:rPr>
        <w:t>Id.</w:t>
      </w:r>
    </w:p>
    <w:p w14:paraId="50C0EF1F" w14:textId="77777777" w:rsidR="00655396" w:rsidRDefault="00655396" w:rsidP="008B512B">
      <w:pPr>
        <w:pStyle w:val="BodyText"/>
        <w:spacing w:line="240" w:lineRule="auto"/>
        <w:rPr>
          <w:i/>
          <w:iCs/>
        </w:rPr>
      </w:pPr>
    </w:p>
    <w:p w14:paraId="14A261D7" w14:textId="38A7AA87" w:rsidR="00655396" w:rsidRDefault="00655396" w:rsidP="008B512B">
      <w:pPr>
        <w:pStyle w:val="BodyText"/>
        <w:spacing w:line="240" w:lineRule="auto"/>
      </w:pPr>
      <w:r>
        <w:tab/>
        <w:t xml:space="preserve">• </w:t>
      </w:r>
      <w:r>
        <w:rPr>
          <w:i/>
          <w:iCs/>
        </w:rPr>
        <w:t>Illinois over Florida law</w:t>
      </w:r>
      <w:r w:rsidR="00D47546">
        <w:rPr>
          <w:i/>
          <w:iCs/>
        </w:rPr>
        <w:t xml:space="preserve">; </w:t>
      </w:r>
      <w:r>
        <w:rPr>
          <w:i/>
          <w:iCs/>
        </w:rPr>
        <w:t>Declining to give effect to Florida choice of law provision.</w:t>
      </w:r>
      <w:r w:rsidR="00FB1D09">
        <w:t xml:space="preserve"> </w:t>
      </w:r>
      <w:r>
        <w:t xml:space="preserve">Declining to give effect to a Florida choice of law provision and applying, instead, Illinois substantive law, the Illinois court of appeal in </w:t>
      </w:r>
      <w:r>
        <w:rPr>
          <w:i/>
          <w:iCs/>
        </w:rPr>
        <w:t>Brown &amp; Brown, Inc. v. Mudron</w:t>
      </w:r>
      <w:r>
        <w:t>, 379 Ill. App. 3d 724, 887 N.E.2d 437 (3d Dist. 2008), stated:</w:t>
      </w:r>
    </w:p>
    <w:p w14:paraId="349025F6"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190D1254" w14:textId="77777777" w:rsidR="00655396" w:rsidRPr="00655396" w:rsidRDefault="00655396" w:rsidP="008B512B">
      <w:pPr>
        <w:pStyle w:val="BQ"/>
        <w:spacing w:line="240" w:lineRule="auto"/>
        <w:rPr>
          <w:b/>
          <w:spacing w:val="-1"/>
        </w:rPr>
      </w:pPr>
      <w:r w:rsidRPr="00655396">
        <w:rPr>
          <w:spacing w:val="-1"/>
        </w:rPr>
        <w:t xml:space="preserve">Illinois courts have adopted the Restatement (Second) of Conflict of Laws. </w:t>
      </w:r>
      <w:r w:rsidRPr="00655396">
        <w:rPr>
          <w:bCs w:val="0"/>
          <w:i/>
          <w:iCs/>
          <w:spacing w:val="-1"/>
        </w:rPr>
        <w:t>International Surplus Lines Insurance Co. v. Pioneer Life Insurance Co. of Illinois</w:t>
      </w:r>
      <w:r w:rsidRPr="00655396">
        <w:rPr>
          <w:spacing w:val="-1"/>
        </w:rPr>
        <w:t xml:space="preserve">, 209 Ill. App. 3d 144, 152, 568 N.E.2d 9, 13-14, 154 Ill. Dec. 9 (1990). The Restatement provides that a choice of </w:t>
      </w:r>
      <w:r w:rsidRPr="00655396">
        <w:rPr>
          <w:spacing w:val="-1"/>
        </w:rPr>
        <w:lastRenderedPageBreak/>
        <w:t xml:space="preserve">law provision contained in a contract will govern unless: (1) the chosen state has no substantial relationship to the parties or the transaction; or (2) application of the chosen law would be contrary to a fundamental public policy of a state with a materially greater interest in the issue in dispute. Restatement (Second) of Conflict of Laws, §187 (1971); </w:t>
      </w:r>
      <w:r w:rsidRPr="00655396">
        <w:rPr>
          <w:bCs w:val="0"/>
          <w:i/>
          <w:iCs/>
          <w:spacing w:val="-1"/>
        </w:rPr>
        <w:t>International Surplus Lines Insurance Co.</w:t>
      </w:r>
      <w:r w:rsidRPr="00655396">
        <w:rPr>
          <w:spacing w:val="-1"/>
        </w:rPr>
        <w:t>, 209 Ill. App. 3d at 152, 568 N.E.2d at 14.</w:t>
      </w:r>
    </w:p>
    <w:p w14:paraId="2584F0B1" w14:textId="395AF1DE" w:rsidR="00655396" w:rsidRPr="00655396" w:rsidRDefault="00655396" w:rsidP="008B512B">
      <w:pPr>
        <w:pStyle w:val="BQ"/>
        <w:spacing w:line="240" w:lineRule="auto"/>
        <w:rPr>
          <w:b/>
        </w:rPr>
      </w:pPr>
      <w:r w:rsidRPr="00655396">
        <w:tab/>
        <w:t>Applying that rule in the present case, it is clear that Illinois law will control the outcome of this dispute.</w:t>
      </w:r>
      <w:r w:rsidR="00FB1D09">
        <w:t xml:space="preserve"> </w:t>
      </w:r>
      <w:r w:rsidRPr="00655396">
        <w:t>Under Illinois law, in determining whether a restrictive covenant is reasonable, a court</w:t>
      </w:r>
      <w:r w:rsidR="00FB1D09">
        <w:t xml:space="preserve"> </w:t>
      </w:r>
      <w:r w:rsidRPr="00655396">
        <w:t xml:space="preserve">must consider the hardship the covenant imposes upon the individual employee. </w:t>
      </w:r>
      <w:r w:rsidRPr="00655396">
        <w:rPr>
          <w:bCs w:val="0"/>
          <w:i/>
          <w:iCs/>
        </w:rPr>
        <w:t>Lawrence &amp; Allen, Inc. v. Cambridge Human Resource Group, Inc.</w:t>
      </w:r>
      <w:r w:rsidRPr="00655396">
        <w:t>, 292 Ill. App. 3d 131, 138, 685 N.E.2d 434, 441, 226 Ill. Dec. 331 (1997). Florida law, however, specifically prohibits considering that factor. Fla. Stat. Ann. §542.335(1)(g)(1) (West 2007). Thus, as a matter of fundamental public policy, Illinois has chosen to provide its workers greater protection from the negative effects of restrictive covenants. Florida law, which specifically prohibits considering the hardship a restrictive covenant imposes upon an individual employee, is contrary to Illinois’s fundamental public policy. Furthermore, the facts presented in this case establish that Illinois has a materially greater interest in this dispute than does Florida. The particular agency involved in this dispute is located in Illinois, all of the listed defendants are located in Illinois, the customers allegedly solicited or serviced are located in Illinois, and the actions alleged to be in breach of the agreement took place in Illinois. The only connection that Florida has to this case is that Brown is a Florida corporation.</w:t>
      </w:r>
    </w:p>
    <w:p w14:paraId="78127769" w14:textId="77777777" w:rsidR="00655396" w:rsidRDefault="00655396" w:rsidP="008B512B">
      <w:pPr>
        <w:pStyle w:val="BodyText"/>
        <w:spacing w:line="240" w:lineRule="auto"/>
      </w:pPr>
    </w:p>
    <w:p w14:paraId="777BF16D" w14:textId="77777777" w:rsidR="00655396" w:rsidRDefault="00655396" w:rsidP="008B512B">
      <w:pPr>
        <w:pStyle w:val="BodyText"/>
        <w:spacing w:line="240" w:lineRule="auto"/>
      </w:pPr>
      <w:r>
        <w:rPr>
          <w:i/>
          <w:iCs/>
        </w:rPr>
        <w:t>Id.</w:t>
      </w:r>
      <w:r>
        <w:t xml:space="preserve"> at 727–28, 887 N.E.2d at 439–40.</w:t>
      </w:r>
    </w:p>
    <w:p w14:paraId="68E9CD38" w14:textId="77777777" w:rsidR="00655396" w:rsidRDefault="00655396" w:rsidP="008B512B">
      <w:pPr>
        <w:pStyle w:val="BodyText"/>
        <w:spacing w:line="240" w:lineRule="auto"/>
      </w:pPr>
      <w:r>
        <w:tab/>
        <w:t xml:space="preserve">Pursuant to </w:t>
      </w:r>
      <w:r>
        <w:rPr>
          <w:smallCaps/>
        </w:rPr>
        <w:t xml:space="preserve">Restatement (Second) of Conflicts </w:t>
      </w:r>
      <w:r>
        <w:t xml:space="preserve">§187, a federal district court sitting in Illinois also declined to give effect to a Florida choice of law clause in </w:t>
      </w:r>
      <w:r>
        <w:rPr>
          <w:i/>
          <w:iCs/>
        </w:rPr>
        <w:t>Del Monte Fresh Produce, N.A., Inc. v. Chiquita Brands International, Inc</w:t>
      </w:r>
      <w:r>
        <w:t xml:space="preserve">., 616 F. Supp. 2d 805, 816 (N.D. Ill. 2009) (finding “persuasive” the reasoning of </w:t>
      </w:r>
      <w:r>
        <w:rPr>
          <w:i/>
          <w:iCs/>
        </w:rPr>
        <w:t>Brown &amp; Brown</w:t>
      </w:r>
      <w:r>
        <w:t xml:space="preserve">, </w:t>
      </w:r>
      <w:r>
        <w:rPr>
          <w:i/>
          <w:iCs/>
        </w:rPr>
        <w:t>supra</w:t>
      </w:r>
      <w:r w:rsidR="00D47546">
        <w:t xml:space="preserve">; </w:t>
      </w:r>
      <w:r>
        <w:t xml:space="preserve">reasoning, 616 F. Supp. 2d 816, that, although former employer Del Monte had a reasonable basis for including Florida law in the contract in that the particular Del Monte entity involved was incorporated in Florida, (1) Del Monte chose to sue former employee Kinnavy for, among other things, breach of a covenant not to compete in an Illinois state court; (2) Kinnavy is an Illinois resident; (3) </w:t>
      </w:r>
      <w:r>
        <w:lastRenderedPageBreak/>
        <w:t>Kinnavy worked in Del Monte’s Illinois office; (4) Kinnavy signed the underlying contract in Illinois and “(4) the laws of Florida regarding restrictive covenants are contrary to the fundamental policy of the laws of Illinois.”).</w:t>
      </w:r>
    </w:p>
    <w:p w14:paraId="6C72C976" w14:textId="77777777" w:rsidR="00655396" w:rsidRDefault="00655396" w:rsidP="008B512B">
      <w:pPr>
        <w:pStyle w:val="BodyText"/>
        <w:spacing w:line="240" w:lineRule="auto"/>
      </w:pPr>
    </w:p>
    <w:p w14:paraId="0AA7B832" w14:textId="4E07B353" w:rsidR="00655396" w:rsidRDefault="00655396" w:rsidP="008B512B">
      <w:pPr>
        <w:pStyle w:val="BodyText"/>
        <w:spacing w:line="240" w:lineRule="auto"/>
      </w:pPr>
      <w:r>
        <w:tab/>
        <w:t xml:space="preserve">• </w:t>
      </w:r>
      <w:r>
        <w:rPr>
          <w:i/>
          <w:iCs/>
        </w:rPr>
        <w:t>Washington over Florida law</w:t>
      </w:r>
      <w:r>
        <w:t>.</w:t>
      </w:r>
      <w:r w:rsidR="00FB1D09">
        <w:t xml:space="preserve"> </w:t>
      </w:r>
      <w:r>
        <w:rPr>
          <w:i/>
          <w:iCs/>
        </w:rPr>
        <w:t>See Labor Ready, Inc. v. Williams Staffing, LLC</w:t>
      </w:r>
      <w:r>
        <w:t xml:space="preserve">, 149 F. Supp. 2d 398, 405–06 (N.D. Ill. 2001) (giving effect to Washington choice of law clause). </w:t>
      </w:r>
    </w:p>
    <w:p w14:paraId="5F52013F" w14:textId="77777777" w:rsidR="00655396" w:rsidRDefault="00655396" w:rsidP="008B512B">
      <w:pPr>
        <w:pStyle w:val="BodyText"/>
        <w:spacing w:line="240" w:lineRule="auto"/>
      </w:pPr>
    </w:p>
    <w:p w14:paraId="6806B8BB" w14:textId="3476716E" w:rsidR="00655396" w:rsidRDefault="00655396" w:rsidP="008B512B">
      <w:pPr>
        <w:pStyle w:val="BodyText"/>
        <w:spacing w:line="240" w:lineRule="auto"/>
        <w:rPr>
          <w:spacing w:val="-1"/>
        </w:rPr>
      </w:pPr>
      <w:r>
        <w:rPr>
          <w:spacing w:val="-1"/>
        </w:rPr>
        <w:tab/>
        <w:t xml:space="preserve">• </w:t>
      </w:r>
      <w:r>
        <w:rPr>
          <w:i/>
          <w:iCs/>
          <w:spacing w:val="-1"/>
        </w:rPr>
        <w:t>Law review articles</w:t>
      </w:r>
      <w:r>
        <w:rPr>
          <w:spacing w:val="-1"/>
        </w:rPr>
        <w:t>.</w:t>
      </w:r>
      <w:r w:rsidR="00FB1D09">
        <w:rPr>
          <w:spacing w:val="-1"/>
        </w:rPr>
        <w:t xml:space="preserve"> </w:t>
      </w:r>
      <w:r>
        <w:rPr>
          <w:i/>
          <w:iCs/>
          <w:spacing w:val="-1"/>
        </w:rPr>
        <w:t>See generally</w:t>
      </w:r>
      <w:r>
        <w:rPr>
          <w:spacing w:val="-1"/>
        </w:rPr>
        <w:t xml:space="preserve"> Symeon C. Symeonides, </w:t>
      </w:r>
      <w:r>
        <w:rPr>
          <w:i/>
          <w:iCs/>
          <w:spacing w:val="-1"/>
        </w:rPr>
        <w:t>Choice of Law in the American Courts in 2008</w:t>
      </w:r>
      <w:r w:rsidR="00D47546">
        <w:rPr>
          <w:i/>
          <w:iCs/>
          <w:spacing w:val="-1"/>
        </w:rPr>
        <w:t xml:space="preserve">: </w:t>
      </w:r>
      <w:r>
        <w:rPr>
          <w:i/>
          <w:iCs/>
          <w:spacing w:val="-1"/>
        </w:rPr>
        <w:t>Twenty-Second Annual Survey</w:t>
      </w:r>
      <w:r>
        <w:rPr>
          <w:spacing w:val="-1"/>
        </w:rPr>
        <w:t xml:space="preserve">, 57 </w:t>
      </w:r>
      <w:r>
        <w:rPr>
          <w:smallCaps/>
          <w:spacing w:val="-1"/>
        </w:rPr>
        <w:t>Am. J. Comp. L.</w:t>
      </w:r>
      <w:r>
        <w:rPr>
          <w:spacing w:val="-1"/>
        </w:rPr>
        <w:t xml:space="preserve"> 269 (Spring 2009) (citing, </w:t>
      </w:r>
      <w:r>
        <w:rPr>
          <w:i/>
          <w:iCs/>
          <w:spacing w:val="-1"/>
        </w:rPr>
        <w:t>id.</w:t>
      </w:r>
      <w:r>
        <w:rPr>
          <w:spacing w:val="-1"/>
        </w:rPr>
        <w:t xml:space="preserve"> at 301 n.139, </w:t>
      </w:r>
      <w:r>
        <w:rPr>
          <w:i/>
          <w:iCs/>
          <w:spacing w:val="-1"/>
        </w:rPr>
        <w:t>Brown &amp; Brown, Inc. v. Mudron</w:t>
      </w:r>
      <w:r>
        <w:rPr>
          <w:spacing w:val="-1"/>
        </w:rPr>
        <w:t>, 379 Ill. App. 3d 724, 887 N.E.2d 437 (3d Dist. 2008) (holding unenforceable a Florida choice of law clause in a restrictive-covenant-containing employment contract between a Florida employer and an Illinois employee</w:t>
      </w:r>
      <w:r w:rsidR="00D47546">
        <w:rPr>
          <w:spacing w:val="-1"/>
        </w:rPr>
        <w:t xml:space="preserve">; </w:t>
      </w:r>
      <w:r>
        <w:rPr>
          <w:spacing w:val="-1"/>
        </w:rPr>
        <w:t>reasoning that application of Florida law would contravene a fundamental policy of Illinois, which had a materially greater interest than Florida in applying its law).</w:t>
      </w:r>
    </w:p>
    <w:p w14:paraId="64E9DEE2" w14:textId="77777777" w:rsidR="00655396" w:rsidRDefault="00655396" w:rsidP="008B512B">
      <w:pPr>
        <w:pStyle w:val="BodyText"/>
        <w:spacing w:line="240" w:lineRule="auto"/>
        <w:rPr>
          <w:spacing w:val="-1"/>
        </w:rPr>
      </w:pPr>
    </w:p>
    <w:p w14:paraId="7B187517" w14:textId="77777777" w:rsidR="00655396" w:rsidRDefault="00655396" w:rsidP="008B512B">
      <w:pPr>
        <w:pStyle w:val="SubQuestion"/>
        <w:spacing w:line="240" w:lineRule="auto"/>
      </w:pPr>
      <w:r>
        <w:t>b.</w:t>
      </w:r>
      <w:r>
        <w:tab/>
        <w:t>In the absence of a choice of law provision, what rule does the state apply in a covenant not to compete case?</w:t>
      </w:r>
    </w:p>
    <w:p w14:paraId="7450F042" w14:textId="77777777" w:rsidR="00655396" w:rsidRDefault="00655396" w:rsidP="008B512B">
      <w:pPr>
        <w:pStyle w:val="BodyText"/>
        <w:spacing w:line="240" w:lineRule="auto"/>
      </w:pPr>
    </w:p>
    <w:p w14:paraId="601E0C62" w14:textId="3E53815F" w:rsidR="00655396" w:rsidRDefault="00655396" w:rsidP="008B512B">
      <w:pPr>
        <w:pStyle w:val="BodyText"/>
        <w:spacing w:line="240" w:lineRule="auto"/>
      </w:pPr>
      <w:r>
        <w:rPr>
          <w:i/>
          <w:iCs/>
        </w:rPr>
        <w:tab/>
        <w:t>See generally</w:t>
      </w:r>
      <w:r>
        <w:t xml:space="preserve"> </w:t>
      </w:r>
      <w:r>
        <w:rPr>
          <w:i/>
          <w:iCs/>
        </w:rPr>
        <w:t>Choice of Law Clauses in Covenant-Not-to-Compete Cases: A State-by-State Survey</w:t>
      </w:r>
      <w:r>
        <w:t>, a committee paper presented at the midwinter</w:t>
      </w:r>
      <w:r>
        <w:rPr>
          <w:b/>
          <w:bCs/>
        </w:rPr>
        <w:t xml:space="preserve"> </w:t>
      </w:r>
      <w:r>
        <w:t>2000 meeting of the Employment Rights and Responsibilities Committee of the American Bar Association’s Section of Labor and Employment Law.</w:t>
      </w:r>
      <w:r w:rsidR="00FB1D09">
        <w:t xml:space="preserve"> </w:t>
      </w:r>
    </w:p>
    <w:p w14:paraId="7BCE07E7" w14:textId="77777777" w:rsidR="00655396" w:rsidRDefault="00655396" w:rsidP="008B512B">
      <w:pPr>
        <w:pStyle w:val="BodyText"/>
        <w:spacing w:line="240" w:lineRule="auto"/>
      </w:pPr>
    </w:p>
    <w:p w14:paraId="2A12363C" w14:textId="77777777" w:rsidR="00655396" w:rsidRDefault="00655396" w:rsidP="008B512B">
      <w:pPr>
        <w:pStyle w:val="SubQuestion"/>
        <w:spacing w:line="240" w:lineRule="auto"/>
      </w:pPr>
      <w:r>
        <w:t>c.</w:t>
      </w:r>
      <w:r>
        <w:tab/>
        <w:t>Has the state considered forum selection clauses in a covenant not to compete case?</w:t>
      </w:r>
    </w:p>
    <w:p w14:paraId="17B76574" w14:textId="77777777" w:rsidR="00655396" w:rsidRDefault="00655396" w:rsidP="008B512B">
      <w:pPr>
        <w:pStyle w:val="BodyText"/>
        <w:spacing w:line="240" w:lineRule="auto"/>
      </w:pPr>
    </w:p>
    <w:p w14:paraId="71BBDBD2" w14:textId="77777777" w:rsidR="00A05A11" w:rsidRPr="00DA4A8D" w:rsidRDefault="00655396" w:rsidP="00A05A11">
      <w:pPr>
        <w:pStyle w:val="block-p"/>
      </w:pPr>
      <w:r>
        <w:rPr>
          <w:rFonts w:ascii="Baskerville" w:hAnsi="Baskerville" w:cs="Baskerville"/>
          <w:sz w:val="22"/>
        </w:rPr>
        <w:tab/>
      </w:r>
    </w:p>
    <w:p w14:paraId="4EECE878" w14:textId="77777777" w:rsidR="00A05A11" w:rsidRPr="0016514A" w:rsidRDefault="00A05A11" w:rsidP="00A05A11">
      <w:pPr>
        <w:pStyle w:val="block-p"/>
        <w:spacing w:before="0"/>
        <w:rPr>
          <w:rFonts w:ascii="Baskerville Old Face" w:hAnsi="Baskerville Old Face"/>
        </w:rPr>
      </w:pPr>
      <w:r w:rsidRPr="0016514A">
        <w:rPr>
          <w:rFonts w:ascii="Baskerville Old Face" w:hAnsi="Baskerville Old Face"/>
        </w:rPr>
        <w:t xml:space="preserve">A forum selection clause in a contract does not preclude a court from transferring venue of an action relating to the contract. </w:t>
      </w:r>
      <w:r w:rsidRPr="0016514A">
        <w:rPr>
          <w:rFonts w:ascii="Baskerville Old Face" w:hAnsi="Baskerville Old Face"/>
          <w:i/>
          <w:iCs/>
        </w:rPr>
        <w:t>Heller &amp; Co. v. Godbe Co.</w:t>
      </w:r>
      <w:r w:rsidRPr="0016514A">
        <w:rPr>
          <w:rFonts w:ascii="Baskerville Old Face" w:hAnsi="Baskerville Old Face"/>
        </w:rPr>
        <w:t xml:space="preserve">, 601 F. Supp. 319, 321 n. 2 (N.D. Ill. 1984); </w:t>
      </w:r>
      <w:r w:rsidRPr="0016514A">
        <w:rPr>
          <w:rFonts w:ascii="Baskerville Old Face" w:hAnsi="Baskerville Old Face"/>
          <w:i/>
          <w:iCs/>
        </w:rPr>
        <w:t>G.H. Miller &amp; Co. v. Hanes</w:t>
      </w:r>
      <w:r w:rsidRPr="0016514A">
        <w:rPr>
          <w:rFonts w:ascii="Baskerville Old Face" w:hAnsi="Baskerville Old Face"/>
        </w:rPr>
        <w:t xml:space="preserve">, 566 F. Supp. 305, 307 (N.D. Ill. 1983). Rather, such a clause is one of the many factors to be considered by the court in </w:t>
      </w:r>
      <w:r w:rsidRPr="0016514A">
        <w:rPr>
          <w:rFonts w:ascii="Baskerville Old Face" w:hAnsi="Baskerville Old Face"/>
        </w:rPr>
        <w:lastRenderedPageBreak/>
        <w:t xml:space="preserve">deciding a motion to transfer venue under 28 U.S.C. §1404(a). </w:t>
      </w:r>
      <w:r w:rsidRPr="0016514A">
        <w:rPr>
          <w:rFonts w:ascii="Baskerville Old Face" w:hAnsi="Baskerville Old Face"/>
          <w:i/>
          <w:iCs/>
        </w:rPr>
        <w:t>G.H. Miller &amp; Co.</w:t>
      </w:r>
      <w:r w:rsidRPr="0016514A">
        <w:rPr>
          <w:rFonts w:ascii="Baskerville Old Face" w:hAnsi="Baskerville Old Face"/>
        </w:rPr>
        <w:t xml:space="preserve">, 566 F. Supp. at 307. In any event, [the U.S. Court of Appeals for the Seventh Circuit] has emphasized that [the federal venue statute, 28 U.S.C. §1404(a)] may not be used to circumvent an otherwise valid forum selection clause. </w:t>
      </w:r>
      <w:r w:rsidRPr="0016514A">
        <w:rPr>
          <w:rFonts w:ascii="Baskerville Old Face" w:hAnsi="Baskerville Old Face"/>
          <w:i/>
          <w:iCs/>
        </w:rPr>
        <w:t>Northwestern Nat. Ins. Co. v. Donovan</w:t>
      </w:r>
      <w:r w:rsidRPr="0016514A">
        <w:rPr>
          <w:rFonts w:ascii="Baskerville Old Face" w:hAnsi="Baskerville Old Face"/>
        </w:rPr>
        <w:t xml:space="preserve">, 916 F.2d 372, 378 (7th Cir. 1990); </w:t>
      </w:r>
      <w:r w:rsidRPr="0016514A">
        <w:rPr>
          <w:rFonts w:ascii="Baskerville Old Face" w:hAnsi="Baskerville Old Face"/>
          <w:i/>
          <w:iCs/>
        </w:rPr>
        <w:t>Continental Bank N.A. v. Modansky</w:t>
      </w:r>
      <w:r w:rsidRPr="0016514A">
        <w:rPr>
          <w:rFonts w:ascii="Baskerville Old Face" w:hAnsi="Baskerville Old Face"/>
        </w:rPr>
        <w:t xml:space="preserve">, 755 F. Supp. 812, 813 n.2 (N.D. Ill. 1991). Where a party has consented contractually to the exclusive jurisdiction of certain courts, the party has consented to venue and personal jurisdiction in such courts and cannot later move for change of venue on the grounds of inconvenience. </w:t>
      </w:r>
      <w:r w:rsidRPr="0016514A">
        <w:rPr>
          <w:rFonts w:ascii="Baskerville Old Face" w:hAnsi="Baskerville Old Face"/>
          <w:i/>
          <w:iCs/>
        </w:rPr>
        <w:t>Donovan</w:t>
      </w:r>
      <w:r w:rsidRPr="0016514A">
        <w:rPr>
          <w:rFonts w:ascii="Baskerville Old Face" w:hAnsi="Baskerville Old Face"/>
        </w:rPr>
        <w:t xml:space="preserve">, 916 F.2d at 378; </w:t>
      </w:r>
      <w:r w:rsidRPr="0016514A">
        <w:rPr>
          <w:rFonts w:ascii="Baskerville Old Face" w:hAnsi="Baskerville Old Face"/>
          <w:i/>
          <w:iCs/>
        </w:rPr>
        <w:t>Heller</w:t>
      </w:r>
      <w:r w:rsidRPr="0016514A">
        <w:rPr>
          <w:rFonts w:ascii="Baskerville Old Face" w:hAnsi="Baskerville Old Face"/>
        </w:rPr>
        <w:t>, 601 F. Supp. at 319.</w:t>
      </w:r>
    </w:p>
    <w:p w14:paraId="719F340F" w14:textId="77777777" w:rsidR="00A05A11" w:rsidRPr="0016514A" w:rsidRDefault="00A05A11" w:rsidP="00A05A11">
      <w:pPr>
        <w:pStyle w:val="textflush"/>
        <w:rPr>
          <w:rFonts w:ascii="Baskerville Old Face" w:hAnsi="Baskerville Old Face" w:cs="Times New Roman"/>
        </w:rPr>
      </w:pPr>
      <w:r w:rsidRPr="0016514A">
        <w:rPr>
          <w:rFonts w:ascii="Baskerville Old Face" w:hAnsi="Baskerville Old Face" w:cs="Times New Roman"/>
          <w:i/>
          <w:iCs/>
        </w:rPr>
        <w:t>Newell Co. v. Lee</w:t>
      </w:r>
      <w:r w:rsidRPr="0016514A">
        <w:rPr>
          <w:rFonts w:ascii="Baskerville Old Face" w:hAnsi="Baskerville Old Face" w:cs="Times New Roman"/>
        </w:rPr>
        <w:t>, 950 F. Supp. 864, 869 (N.D. Ill. 1997).</w:t>
      </w:r>
    </w:p>
    <w:p w14:paraId="039D15F2" w14:textId="77777777" w:rsidR="00A05A11" w:rsidRPr="006A121F" w:rsidRDefault="00A05A11" w:rsidP="00A05A11">
      <w:pPr>
        <w:pStyle w:val="text"/>
        <w:rPr>
          <w:rFonts w:ascii="Baskerville Old Face" w:hAnsi="Baskerville Old Face"/>
        </w:rPr>
      </w:pPr>
      <w:r w:rsidRPr="006A121F">
        <w:rPr>
          <w:rFonts w:ascii="Baskerville Old Face" w:hAnsi="Baskerville Old Face"/>
        </w:rPr>
        <w:t xml:space="preserve">In </w:t>
      </w:r>
      <w:r w:rsidRPr="006A121F">
        <w:rPr>
          <w:rFonts w:ascii="Baskerville Old Face" w:hAnsi="Baskerville Old Face"/>
          <w:i/>
        </w:rPr>
        <w:t>Newell</w:t>
      </w:r>
      <w:r w:rsidRPr="006A121F">
        <w:rPr>
          <w:rFonts w:ascii="Baskerville Old Face" w:hAnsi="Baskerville Old Face"/>
        </w:rPr>
        <w:t xml:space="preserve">, the seller of a business entered into a noncompetition covenant as part of the sale. The covenant contained a forum selection clause specifying exclusive jurisdiction and venue in the state or federal courts of Illinois. </w:t>
      </w:r>
      <w:r w:rsidRPr="006A121F">
        <w:rPr>
          <w:rFonts w:ascii="Baskerville Old Face" w:hAnsi="Baskerville Old Face"/>
          <w:i/>
        </w:rPr>
        <w:t>Id.</w:t>
      </w:r>
      <w:r w:rsidRPr="006A121F">
        <w:rPr>
          <w:rFonts w:ascii="Baskerville Old Face" w:hAnsi="Baskerville Old Face"/>
        </w:rPr>
        <w:t xml:space="preserve"> By agreeing to the forum selection clause, the seller “waived his ability to complain of venue in this court on grounds of inconvenience” </w:t>
      </w:r>
      <w:r w:rsidRPr="006A121F">
        <w:rPr>
          <w:rFonts w:ascii="Baskerville Old Face" w:hAnsi="Baskerville Old Face"/>
          <w:i/>
        </w:rPr>
        <w:t>at least as to himself</w:t>
      </w:r>
      <w:r w:rsidRPr="006A121F">
        <w:rPr>
          <w:rFonts w:ascii="Baskerville Old Face" w:hAnsi="Baskerville Old Face"/>
        </w:rPr>
        <w:t xml:space="preserve">. </w:t>
      </w:r>
      <w:r w:rsidRPr="006A121F">
        <w:rPr>
          <w:rFonts w:ascii="Baskerville Old Face" w:hAnsi="Baskerville Old Face"/>
          <w:i/>
        </w:rPr>
        <w:t>Id.</w:t>
      </w:r>
      <w:r w:rsidRPr="006A121F">
        <w:rPr>
          <w:rFonts w:ascii="Baskerville Old Face" w:hAnsi="Baskerville Old Face"/>
        </w:rPr>
        <w:t xml:space="preserve"> (citing </w:t>
      </w:r>
      <w:r w:rsidRPr="006A121F">
        <w:rPr>
          <w:rFonts w:ascii="Baskerville Old Face" w:hAnsi="Baskerville Old Face"/>
          <w:i/>
        </w:rPr>
        <w:t>Donovan</w:t>
      </w:r>
      <w:r w:rsidRPr="006A121F">
        <w:rPr>
          <w:rFonts w:ascii="Baskerville Old Face" w:hAnsi="Baskerville Old Face"/>
        </w:rPr>
        <w:t>, 916 F.2d at 378).</w:t>
      </w:r>
    </w:p>
    <w:p w14:paraId="3C5F8702" w14:textId="77777777" w:rsidR="00A05A11" w:rsidRPr="006A121F" w:rsidRDefault="00A05A11" w:rsidP="00A05A11">
      <w:pPr>
        <w:pStyle w:val="text"/>
        <w:rPr>
          <w:rFonts w:ascii="Baskerville Old Face" w:hAnsi="Baskerville Old Face"/>
        </w:rPr>
      </w:pPr>
      <w:r w:rsidRPr="006A121F">
        <w:rPr>
          <w:rFonts w:ascii="Baskerville Old Face" w:hAnsi="Baskerville Old Face"/>
        </w:rPr>
        <w:t xml:space="preserve">Inconvenience </w:t>
      </w:r>
      <w:r w:rsidRPr="006A121F">
        <w:rPr>
          <w:rFonts w:ascii="Baskerville Old Face" w:hAnsi="Baskerville Old Face"/>
          <w:i/>
        </w:rPr>
        <w:t>to third parties</w:t>
      </w:r>
      <w:r w:rsidRPr="006A121F">
        <w:rPr>
          <w:rFonts w:ascii="Baskerville Old Face" w:hAnsi="Baskerville Old Face"/>
        </w:rPr>
        <w:t xml:space="preserve">—such as witnesses—“may lead a court to transfer venue in the face of a valid forum selection clause.” </w:t>
      </w:r>
      <w:r w:rsidRPr="006A121F">
        <w:rPr>
          <w:rFonts w:ascii="Baskerville Old Face" w:hAnsi="Baskerville Old Face"/>
          <w:i/>
        </w:rPr>
        <w:t>Id.</w:t>
      </w:r>
      <w:r w:rsidRPr="006A121F">
        <w:rPr>
          <w:rFonts w:ascii="Baskerville Old Face" w:hAnsi="Baskerville Old Face"/>
        </w:rPr>
        <w:t xml:space="preserve"> at 869–70 (citing </w:t>
      </w:r>
      <w:r w:rsidRPr="006A121F">
        <w:rPr>
          <w:rFonts w:ascii="Baskerville Old Face" w:hAnsi="Baskerville Old Face"/>
          <w:i/>
        </w:rPr>
        <w:t>Donovan</w:t>
      </w:r>
      <w:r w:rsidRPr="006A121F">
        <w:rPr>
          <w:rFonts w:ascii="Baskerville Old Face" w:hAnsi="Baskerville Old Face"/>
        </w:rPr>
        <w:t>, 916 F.2d at 376; declining to transfer venue).</w:t>
      </w:r>
    </w:p>
    <w:p w14:paraId="37CB2401" w14:textId="77777777" w:rsidR="00A05A11" w:rsidRPr="006A121F" w:rsidRDefault="00A05A11" w:rsidP="00A05A11">
      <w:pPr>
        <w:pStyle w:val="text"/>
        <w:rPr>
          <w:rFonts w:ascii="Baskerville Old Face" w:hAnsi="Baskerville Old Face"/>
        </w:rPr>
      </w:pPr>
      <w:r w:rsidRPr="006A121F">
        <w:rPr>
          <w:rFonts w:ascii="Baskerville Old Face" w:hAnsi="Baskerville Old Face"/>
        </w:rPr>
        <w:t xml:space="preserve">In </w:t>
      </w:r>
      <w:r w:rsidRPr="006A121F">
        <w:rPr>
          <w:rFonts w:ascii="Baskerville Old Face" w:hAnsi="Baskerville Old Face"/>
          <w:i/>
        </w:rPr>
        <w:t>Aon Corp. v. Utley</w:t>
      </w:r>
      <w:r w:rsidRPr="006A121F">
        <w:rPr>
          <w:rFonts w:ascii="Baskerville Old Face" w:hAnsi="Baskerville Old Face"/>
        </w:rPr>
        <w:t>, 371 Ill. App. 3d 562, 863 N.E.2d 701 (4th Dist. 2006), the court held that a signed forum selection clause in a nonsolicitation agreement was valid where the defendant raised procedural defenses of forum non conveniens and lack of personal jurisdiction in her response. The court considered the following factors to reach this decision: (1) the law that governs the formation and construction of the contract; (2) the residency of the parties; (3) the place of execution and/or performance of the contract; (4) the location of the parties and their witnesses; (5) the inconvenience to the parties of any particular location; and (6) whether the clause was bargained for.</w:t>
      </w:r>
    </w:p>
    <w:p w14:paraId="073110C2" w14:textId="77777777" w:rsidR="00A05A11" w:rsidRPr="006A121F" w:rsidRDefault="00A05A11" w:rsidP="00A05A11">
      <w:pPr>
        <w:pStyle w:val="text"/>
        <w:rPr>
          <w:rFonts w:ascii="Baskerville Old Face" w:hAnsi="Baskerville Old Face"/>
        </w:rPr>
      </w:pPr>
      <w:r w:rsidRPr="006A121F">
        <w:rPr>
          <w:rFonts w:ascii="Baskerville Old Face" w:hAnsi="Baskerville Old Face"/>
          <w:i/>
        </w:rPr>
        <w:t>See generally Choice of Law Clauses in Covenant-Not-to-Compete Cases: A State-by-State Survey</w:t>
      </w:r>
      <w:r w:rsidRPr="006A121F">
        <w:rPr>
          <w:rFonts w:ascii="Baskerville Old Face" w:hAnsi="Baskerville Old Face"/>
        </w:rPr>
        <w:t>, a committee paper presented at the midwinter</w:t>
      </w:r>
      <w:r w:rsidRPr="006A121F">
        <w:rPr>
          <w:rFonts w:ascii="Baskerville Old Face" w:hAnsi="Baskerville Old Face"/>
          <w:b/>
        </w:rPr>
        <w:t xml:space="preserve"> </w:t>
      </w:r>
      <w:r w:rsidRPr="006A121F">
        <w:rPr>
          <w:rFonts w:ascii="Baskerville Old Face" w:hAnsi="Baskerville Old Face"/>
        </w:rPr>
        <w:t>2000 meeting of the Employment Rights and Responsibilities Committee of the American Bar Association’s Section of Labor and Employment Law.</w:t>
      </w:r>
    </w:p>
    <w:p w14:paraId="005CA684" w14:textId="77777777" w:rsidR="00A05A11" w:rsidRPr="006A121F" w:rsidRDefault="00A05A11" w:rsidP="00A05A11">
      <w:pPr>
        <w:pStyle w:val="bulletedparagraph-"/>
        <w:rPr>
          <w:rFonts w:ascii="Baskerville Old Face" w:hAnsi="Baskerville Old Face"/>
        </w:rPr>
      </w:pPr>
      <w:r w:rsidRPr="006A121F">
        <w:rPr>
          <w:rFonts w:ascii="Baskerville Old Face" w:hAnsi="Baskerville Old Face"/>
        </w:rPr>
        <w:lastRenderedPageBreak/>
        <w:t xml:space="preserve">• </w:t>
      </w:r>
      <w:r w:rsidRPr="006A121F">
        <w:rPr>
          <w:rFonts w:ascii="Baskerville Old Face" w:hAnsi="Baskerville Old Face"/>
          <w:i/>
        </w:rPr>
        <w:t>Illinois over New York</w:t>
      </w:r>
      <w:r w:rsidRPr="006A121F">
        <w:rPr>
          <w:rFonts w:ascii="Baskerville Old Face" w:hAnsi="Baskerville Old Face"/>
        </w:rPr>
        <w:t xml:space="preserve">. In </w:t>
      </w:r>
      <w:r w:rsidRPr="006A121F">
        <w:rPr>
          <w:rFonts w:ascii="Baskerville Old Face" w:hAnsi="Baskerville Old Face"/>
          <w:i/>
        </w:rPr>
        <w:t>MB Financial, Inc. v. Hart</w:t>
      </w:r>
      <w:r w:rsidRPr="006A121F">
        <w:rPr>
          <w:rFonts w:ascii="Baskerville Old Face" w:hAnsi="Baskerville Old Face"/>
        </w:rPr>
        <w:t xml:space="preserve">, 2018 BL 293996 (N.D. Ill. Aug. 16, 2018), the U.S. District Court for the Northern District of Illinois determined that an Illinois district court was the proper venue for the employer’s claim that a former employee had breached the parties’ restrictive covenant when he solicited coworkers to join him at his new employer, in New York, within a year of being fired from his employer in Illinois. </w:t>
      </w:r>
    </w:p>
    <w:p w14:paraId="7D6CC6BA" w14:textId="77777777" w:rsidR="00A05A11" w:rsidRPr="0016514A" w:rsidRDefault="00A05A11" w:rsidP="00A05A11">
      <w:pPr>
        <w:widowControl w:val="0"/>
        <w:tabs>
          <w:tab w:val="left" w:pos="480"/>
          <w:tab w:val="left" w:pos="960"/>
          <w:tab w:val="left" w:pos="1440"/>
          <w:tab w:val="left" w:pos="1920"/>
          <w:tab w:val="left" w:pos="2400"/>
          <w:tab w:val="left" w:pos="2880"/>
        </w:tabs>
        <w:autoSpaceDE w:val="0"/>
        <w:autoSpaceDN w:val="0"/>
        <w:adjustRightInd w:val="0"/>
        <w:spacing w:before="240"/>
        <w:ind w:firstLine="480"/>
        <w:textAlignment w:val="center"/>
        <w:rPr>
          <w:rFonts w:ascii="Baskerville Old Face" w:hAnsi="Baskerville Old Face"/>
          <w:color w:val="000000"/>
        </w:rPr>
      </w:pPr>
      <w:r w:rsidRPr="0016514A">
        <w:rPr>
          <w:rFonts w:ascii="Baskerville Old Face" w:hAnsi="Baskerville Old Face"/>
          <w:color w:val="000000"/>
        </w:rPr>
        <w:t xml:space="preserve">• </w:t>
      </w:r>
      <w:r w:rsidRPr="0016514A">
        <w:rPr>
          <w:rFonts w:ascii="Baskerville Old Face" w:hAnsi="Baskerville Old Face"/>
          <w:i/>
          <w:iCs/>
          <w:color w:val="000000"/>
        </w:rPr>
        <w:t>Arbitration agreements</w:t>
      </w:r>
      <w:r w:rsidRPr="0016514A">
        <w:rPr>
          <w:rFonts w:ascii="Baskerville Old Face" w:hAnsi="Baskerville Old Face"/>
          <w:color w:val="000000"/>
        </w:rPr>
        <w:t xml:space="preserve">. Where an arbitration agreement contains a forum selection clause, only the district court sitting in the designated forum can issue an order compelling or enjoining arbitration, the U.S. District Court for the Northern District of Illinois determined in </w:t>
      </w:r>
      <w:r w:rsidRPr="0016514A">
        <w:rPr>
          <w:rFonts w:ascii="Baskerville Old Face" w:hAnsi="Baskerville Old Face"/>
          <w:i/>
          <w:iCs/>
          <w:color w:val="000000"/>
        </w:rPr>
        <w:t>UAL Corp. v. Mesa Airlines, Inc.</w:t>
      </w:r>
      <w:r w:rsidRPr="0016514A">
        <w:rPr>
          <w:rFonts w:ascii="Baskerville Old Face" w:hAnsi="Baskerville Old Face"/>
          <w:color w:val="000000"/>
        </w:rPr>
        <w:t>, 88 F. Supp. 2d 910 (N.D. Ill. 2000) (arbitration clause was contained in an airline purchase agreement which also contained a covenant not to compete, which the seller allegedly violated, as a result of which the buyer filed a demand for arbitration with the American Arbitration Association).</w:t>
      </w:r>
    </w:p>
    <w:p w14:paraId="5110D74A" w14:textId="77777777" w:rsidR="00A05A11" w:rsidRPr="00DA4A8D" w:rsidRDefault="00A05A11" w:rsidP="00A05A11">
      <w:pPr>
        <w:pStyle w:val="bulletedparagraph-"/>
        <w:rPr>
          <w:rFonts w:cs="Times New Roman"/>
        </w:rPr>
      </w:pPr>
    </w:p>
    <w:p w14:paraId="0E201491" w14:textId="77777777" w:rsidR="00655396" w:rsidRDefault="00655396" w:rsidP="00A05A11">
      <w:pPr>
        <w:pStyle w:val="NoParagraphStyle"/>
        <w:tabs>
          <w:tab w:val="left" w:pos="960"/>
          <w:tab w:val="left" w:pos="1440"/>
        </w:tabs>
        <w:spacing w:line="240" w:lineRule="auto"/>
        <w:ind w:left="480"/>
        <w:jc w:val="both"/>
      </w:pPr>
    </w:p>
    <w:p w14:paraId="7FC1BA9D" w14:textId="77777777" w:rsidR="00655396" w:rsidRDefault="00655396" w:rsidP="008B512B">
      <w:pPr>
        <w:pStyle w:val="BodyText"/>
        <w:spacing w:line="240" w:lineRule="auto"/>
      </w:pPr>
    </w:p>
    <w:p w14:paraId="4621253A" w14:textId="77777777" w:rsidR="00655396" w:rsidRDefault="00655396" w:rsidP="008B512B">
      <w:pPr>
        <w:pStyle w:val="BodyText"/>
        <w:spacing w:line="240" w:lineRule="auto"/>
      </w:pPr>
    </w:p>
    <w:p w14:paraId="009DF638" w14:textId="76E36BAC" w:rsidR="00655396" w:rsidRDefault="00655396" w:rsidP="007B7B1F">
      <w:pPr>
        <w:pStyle w:val="Question"/>
        <w:spacing w:line="240" w:lineRule="auto"/>
      </w:pPr>
      <w:r>
        <w:t>13.</w:t>
      </w:r>
      <w:r>
        <w:tab/>
        <w:t xml:space="preserve">Law review articles and other resources that examine the law of covenants not to compete in this state. </w:t>
      </w:r>
    </w:p>
    <w:p w14:paraId="47A61964" w14:textId="75E401DE" w:rsidR="008E5910" w:rsidRDefault="008E5910" w:rsidP="008B512B">
      <w:pPr>
        <w:pStyle w:val="NoParagraphStyle"/>
        <w:tabs>
          <w:tab w:val="left" w:pos="480"/>
          <w:tab w:val="left" w:pos="960"/>
          <w:tab w:val="left" w:pos="1440"/>
        </w:tabs>
        <w:spacing w:line="240" w:lineRule="auto"/>
        <w:ind w:left="480" w:hanging="480"/>
        <w:jc w:val="both"/>
        <w:rPr>
          <w:rFonts w:ascii="Baskerville" w:hAnsi="Baskerville" w:cs="Baskerville"/>
          <w:b/>
          <w:bCs/>
        </w:rPr>
      </w:pPr>
    </w:p>
    <w:p w14:paraId="4B0BC5A4" w14:textId="77777777" w:rsidR="005817FF" w:rsidRPr="005817FF" w:rsidRDefault="005817FF" w:rsidP="005817FF">
      <w:pPr>
        <w:ind w:left="475"/>
        <w:rPr>
          <w:rFonts w:ascii="Baskerville" w:hAnsi="Baskerville"/>
          <w:color w:val="000000" w:themeColor="text1"/>
        </w:rPr>
      </w:pPr>
      <w:r w:rsidRPr="005817FF">
        <w:rPr>
          <w:rFonts w:ascii="Baskerville" w:hAnsi="Baskerville"/>
          <w:color w:val="000000" w:themeColor="text1"/>
        </w:rPr>
        <w:t xml:space="preserve">Michael P. Avila, </w:t>
      </w:r>
      <w:r w:rsidRPr="005817FF">
        <w:rPr>
          <w:rFonts w:ascii="Baskerville" w:hAnsi="Baskerville"/>
          <w:i/>
          <w:iCs/>
          <w:color w:val="000000" w:themeColor="text1"/>
        </w:rPr>
        <w:t>Amendments to the Illinois Freedom to Work Act: Sweeping Changes Are on the Horizon</w:t>
      </w:r>
      <w:r w:rsidRPr="005817FF">
        <w:rPr>
          <w:rFonts w:ascii="Baskerville" w:hAnsi="Baskerville"/>
          <w:color w:val="000000" w:themeColor="text1"/>
        </w:rPr>
        <w:t xml:space="preserve">, </w:t>
      </w:r>
    </w:p>
    <w:p w14:paraId="1DAA0E4E" w14:textId="1FA4CCF9" w:rsidR="005817FF" w:rsidRDefault="005817FF" w:rsidP="005817FF">
      <w:pPr>
        <w:ind w:left="475"/>
        <w:rPr>
          <w:rFonts w:ascii="Baskerville" w:hAnsi="Baskerville"/>
          <w:color w:val="000000" w:themeColor="text1"/>
        </w:rPr>
      </w:pPr>
      <w:r w:rsidRPr="005817FF">
        <w:rPr>
          <w:rFonts w:ascii="Baskerville" w:hAnsi="Baskerville"/>
          <w:smallCaps/>
          <w:color w:val="000000" w:themeColor="text1"/>
        </w:rPr>
        <w:t>29 Bus. Torts &amp; Unfair Competition 17 (2021),</w:t>
      </w:r>
      <w:r w:rsidRPr="005817FF">
        <w:rPr>
          <w:rFonts w:ascii="Baskerville" w:hAnsi="Baskerville"/>
          <w:color w:val="000000" w:themeColor="text1"/>
        </w:rPr>
        <w:t xml:space="preserve"> </w:t>
      </w:r>
      <w:hyperlink r:id="rId15" w:history="1">
        <w:r w:rsidR="008E5910" w:rsidRPr="00726595">
          <w:rPr>
            <w:rStyle w:val="Hyperlink"/>
            <w:rFonts w:ascii="Baskerville" w:hAnsi="Baskerville"/>
          </w:rPr>
          <w:t>https://www.americanbar.org/groups/litigation/committees/business-torts-unfair-competition/articles/2021/illinois-freedom-to-work-act-amendments/</w:t>
        </w:r>
      </w:hyperlink>
      <w:r w:rsidRPr="005817FF">
        <w:rPr>
          <w:rFonts w:ascii="Baskerville" w:hAnsi="Baskerville"/>
          <w:color w:val="000000" w:themeColor="text1"/>
        </w:rPr>
        <w:t>.</w:t>
      </w:r>
    </w:p>
    <w:p w14:paraId="7B3543B2" w14:textId="6F978ED2" w:rsidR="008E5910" w:rsidRDefault="008E5910" w:rsidP="005817FF">
      <w:pPr>
        <w:ind w:left="475"/>
        <w:rPr>
          <w:rFonts w:ascii="Baskerville" w:hAnsi="Baskerville"/>
          <w:color w:val="000000" w:themeColor="text1"/>
        </w:rPr>
      </w:pPr>
    </w:p>
    <w:p w14:paraId="3259FC7C" w14:textId="18A57303" w:rsidR="00374D56" w:rsidRPr="00374D56" w:rsidRDefault="00374D56" w:rsidP="008E5910">
      <w:pPr>
        <w:spacing w:after="60"/>
        <w:ind w:left="475"/>
        <w:rPr>
          <w:rFonts w:ascii="Baskerville" w:hAnsi="Baskerville" w:cs="Baskerville"/>
          <w:color w:val="000000" w:themeColor="text1"/>
        </w:rPr>
      </w:pPr>
      <w:r w:rsidRPr="00374D56">
        <w:rPr>
          <w:rFonts w:ascii="Baskerville" w:hAnsi="Baskerville"/>
          <w:color w:val="000000" w:themeColor="text1"/>
          <w:shd w:val="clear" w:color="auto" w:fill="FFFFFF"/>
        </w:rPr>
        <w:t>Jacob A. Chodash, </w:t>
      </w:r>
      <w:r w:rsidRPr="00374D56">
        <w:rPr>
          <w:rFonts w:ascii="Baskerville" w:hAnsi="Baskerville"/>
          <w:i/>
          <w:iCs/>
          <w:color w:val="000000" w:themeColor="text1"/>
          <w:shd w:val="clear" w:color="auto" w:fill="FFFFFF"/>
        </w:rPr>
        <w:t>Restrictive Covenants: Isn</w:t>
      </w:r>
      <w:r>
        <w:rPr>
          <w:rFonts w:ascii="Baskerville" w:hAnsi="Baskerville"/>
          <w:i/>
          <w:iCs/>
          <w:color w:val="000000" w:themeColor="text1"/>
          <w:shd w:val="clear" w:color="auto" w:fill="FFFFFF"/>
        </w:rPr>
        <w:t>’</w:t>
      </w:r>
      <w:r w:rsidRPr="00374D56">
        <w:rPr>
          <w:rFonts w:ascii="Baskerville" w:hAnsi="Baskerville"/>
          <w:i/>
          <w:iCs/>
          <w:color w:val="000000" w:themeColor="text1"/>
          <w:shd w:val="clear" w:color="auto" w:fill="FFFFFF"/>
        </w:rPr>
        <w:t>t It Time We Consider Consideration?</w:t>
      </w:r>
      <w:r w:rsidRPr="00374D56">
        <w:rPr>
          <w:rFonts w:ascii="Baskerville" w:hAnsi="Baskerville"/>
          <w:color w:val="000000" w:themeColor="text1"/>
          <w:shd w:val="clear" w:color="auto" w:fill="FFFFFF"/>
        </w:rPr>
        <w:t>, 35 </w:t>
      </w:r>
      <w:r w:rsidRPr="00374D56">
        <w:rPr>
          <w:rFonts w:ascii="Baskerville" w:hAnsi="Baskerville"/>
          <w:smallCaps/>
          <w:color w:val="000000" w:themeColor="text1"/>
          <w:shd w:val="clear" w:color="auto" w:fill="FFFFFF"/>
        </w:rPr>
        <w:t>CBA Rec.</w:t>
      </w:r>
      <w:r w:rsidRPr="00374D56">
        <w:rPr>
          <w:rFonts w:ascii="Baskerville" w:hAnsi="Baskerville"/>
          <w:color w:val="000000" w:themeColor="text1"/>
          <w:shd w:val="clear" w:color="auto" w:fill="FFFFFF"/>
        </w:rPr>
        <w:t xml:space="preserve"> 45 (2021).</w:t>
      </w:r>
    </w:p>
    <w:p w14:paraId="1BDFE54B" w14:textId="77777777" w:rsidR="00374D56" w:rsidRDefault="00374D56" w:rsidP="008E5910">
      <w:pPr>
        <w:spacing w:after="60"/>
        <w:ind w:left="475"/>
        <w:rPr>
          <w:rFonts w:ascii="Baskerville" w:hAnsi="Baskerville" w:cs="Baskerville"/>
          <w:color w:val="000000" w:themeColor="text1"/>
        </w:rPr>
      </w:pPr>
    </w:p>
    <w:p w14:paraId="244F0C19" w14:textId="4137FC89" w:rsidR="008E5910" w:rsidRPr="005817FF" w:rsidRDefault="008E5910" w:rsidP="008E5910">
      <w:pPr>
        <w:spacing w:after="60"/>
        <w:ind w:left="475"/>
        <w:rPr>
          <w:rFonts w:ascii="Baskerville" w:hAnsi="Baskerville"/>
          <w:color w:val="000000" w:themeColor="text1"/>
        </w:rPr>
      </w:pPr>
      <w:r w:rsidRPr="008E5910">
        <w:rPr>
          <w:rFonts w:ascii="Baskerville" w:hAnsi="Baskerville" w:cs="Baskerville"/>
          <w:color w:val="000000" w:themeColor="text1"/>
        </w:rPr>
        <w:t xml:space="preserve">Paul J. Covaleski, </w:t>
      </w:r>
      <w:r w:rsidRPr="008E5910">
        <w:rPr>
          <w:rFonts w:ascii="Baskerville" w:hAnsi="Baskerville" w:cs="Baskerville"/>
          <w:i/>
          <w:iCs/>
          <w:color w:val="000000" w:themeColor="text1"/>
        </w:rPr>
        <w:t>New Illinois Restrictive Covenant Law: A Primer</w:t>
      </w:r>
      <w:r w:rsidRPr="008E5910">
        <w:rPr>
          <w:rFonts w:ascii="Baskerville" w:hAnsi="Baskerville" w:cs="Baskerville"/>
          <w:color w:val="000000" w:themeColor="text1"/>
        </w:rPr>
        <w:t xml:space="preserve">, </w:t>
      </w:r>
      <w:r w:rsidRPr="008E5910">
        <w:rPr>
          <w:rFonts w:ascii="Baskerville" w:hAnsi="Baskerville"/>
          <w:color w:val="000000" w:themeColor="text1"/>
        </w:rPr>
        <w:t xml:space="preserve">36 </w:t>
      </w:r>
      <w:r w:rsidRPr="008E5910">
        <w:rPr>
          <w:rFonts w:ascii="Baskerville" w:hAnsi="Baskerville"/>
          <w:smallCaps/>
          <w:color w:val="000000" w:themeColor="text1"/>
        </w:rPr>
        <w:t>Corp. Counsel</w:t>
      </w:r>
      <w:r w:rsidRPr="008E5910">
        <w:rPr>
          <w:rFonts w:ascii="Baskerville" w:hAnsi="Baskerville"/>
          <w:color w:val="000000" w:themeColor="text1"/>
        </w:rPr>
        <w:t xml:space="preserve"> 26 (</w:t>
      </w:r>
      <w:r>
        <w:rPr>
          <w:rFonts w:ascii="Baskerville" w:hAnsi="Baskerville"/>
          <w:color w:val="000000" w:themeColor="text1"/>
        </w:rPr>
        <w:t xml:space="preserve">Fall </w:t>
      </w:r>
      <w:r w:rsidRPr="008E5910">
        <w:rPr>
          <w:rFonts w:ascii="Baskerville" w:hAnsi="Baskerville"/>
          <w:color w:val="000000" w:themeColor="text1"/>
        </w:rPr>
        <w:t>2021)</w:t>
      </w:r>
      <w:r>
        <w:rPr>
          <w:rFonts w:ascii="Baskerville" w:hAnsi="Baskerville"/>
          <w:color w:val="000000" w:themeColor="text1"/>
        </w:rPr>
        <w:t>.</w:t>
      </w:r>
    </w:p>
    <w:p w14:paraId="1FF38521" w14:textId="77777777" w:rsidR="005817FF" w:rsidRPr="005817FF" w:rsidRDefault="005817FF" w:rsidP="005817FF">
      <w:pPr>
        <w:ind w:left="475"/>
        <w:rPr>
          <w:rFonts w:ascii="Baskerville" w:hAnsi="Baskerville"/>
          <w:color w:val="000000" w:themeColor="text1"/>
        </w:rPr>
      </w:pPr>
    </w:p>
    <w:p w14:paraId="5C46FEB4" w14:textId="77777777" w:rsidR="005817FF" w:rsidRPr="005817FF" w:rsidRDefault="005817FF" w:rsidP="005817FF">
      <w:pPr>
        <w:ind w:left="475"/>
        <w:rPr>
          <w:rFonts w:ascii="Baskerville" w:hAnsi="Baskerville"/>
          <w:color w:val="000000" w:themeColor="text1"/>
        </w:rPr>
      </w:pPr>
      <w:r w:rsidRPr="005817FF">
        <w:rPr>
          <w:rFonts w:ascii="Baskerville" w:hAnsi="Baskerville"/>
          <w:color w:val="000000" w:themeColor="text1"/>
        </w:rPr>
        <w:t xml:space="preserve">Pete Sherman, </w:t>
      </w:r>
      <w:r w:rsidRPr="005817FF">
        <w:rPr>
          <w:rFonts w:ascii="Baskerville" w:hAnsi="Baskerville"/>
          <w:i/>
          <w:iCs/>
          <w:color w:val="000000" w:themeColor="text1"/>
        </w:rPr>
        <w:t>Taking Your Talents Elsewhere</w:t>
      </w:r>
      <w:r w:rsidRPr="005817FF">
        <w:rPr>
          <w:rFonts w:ascii="Baskerville" w:hAnsi="Baskerville"/>
          <w:color w:val="000000" w:themeColor="text1"/>
        </w:rPr>
        <w:t xml:space="preserve">, 109 </w:t>
      </w:r>
      <w:r w:rsidRPr="005817FF">
        <w:rPr>
          <w:rFonts w:ascii="Baskerville" w:hAnsi="Baskerville"/>
          <w:smallCaps/>
          <w:color w:val="000000" w:themeColor="text1"/>
        </w:rPr>
        <w:t>Ill. B.J.</w:t>
      </w:r>
      <w:r w:rsidRPr="005817FF">
        <w:rPr>
          <w:rFonts w:ascii="Baskerville" w:hAnsi="Baskerville"/>
          <w:color w:val="000000" w:themeColor="text1"/>
        </w:rPr>
        <w:t xml:space="preserve"> 12 (2021), https://www.isba.org/ibj/2021/12/lawpulse/takingyourtalentselsewhere.</w:t>
      </w:r>
    </w:p>
    <w:p w14:paraId="3DBAF55B" w14:textId="77777777" w:rsidR="007B7B1F" w:rsidRPr="005817FF" w:rsidRDefault="007B7B1F" w:rsidP="005817FF">
      <w:pPr>
        <w:pStyle w:val="BodyTextIndent"/>
        <w:spacing w:line="240" w:lineRule="auto"/>
        <w:ind w:left="475"/>
        <w:jc w:val="left"/>
        <w:rPr>
          <w:color w:val="000000" w:themeColor="text1"/>
        </w:rPr>
      </w:pPr>
    </w:p>
    <w:p w14:paraId="37C9EC20" w14:textId="6F44CEB5" w:rsidR="00655396" w:rsidRDefault="00655396" w:rsidP="008B512B">
      <w:pPr>
        <w:pStyle w:val="BodyTextIndent"/>
        <w:spacing w:line="240" w:lineRule="auto"/>
      </w:pPr>
      <w:r>
        <w:t>Jenna L. Brownlee &amp; Caitlin A. Kelly</w:t>
      </w:r>
      <w:r>
        <w:rPr>
          <w:i/>
          <w:iCs/>
        </w:rPr>
        <w:t>, Recent Development: To Compete or Not to Compete: Illinois’ Movement to Eliminate Noncompete Agreements</w:t>
      </w:r>
      <w:r>
        <w:t xml:space="preserve">, 48 </w:t>
      </w:r>
      <w:r>
        <w:rPr>
          <w:smallCaps/>
        </w:rPr>
        <w:t xml:space="preserve">U. Loyola L.J. </w:t>
      </w:r>
      <w:r>
        <w:t>1233 (Summer 2017).</w:t>
      </w:r>
    </w:p>
    <w:p w14:paraId="58746B34" w14:textId="77777777" w:rsidR="00655396" w:rsidRDefault="00655396" w:rsidP="008B512B">
      <w:pPr>
        <w:pStyle w:val="BodyText"/>
        <w:spacing w:line="240" w:lineRule="auto"/>
        <w:rPr>
          <w:u w:val="thick" w:color="000000"/>
        </w:rPr>
      </w:pPr>
    </w:p>
    <w:p w14:paraId="05419318" w14:textId="77777777" w:rsidR="00655396" w:rsidRDefault="00655396" w:rsidP="008B512B">
      <w:pPr>
        <w:pStyle w:val="BodyTextIndent"/>
        <w:spacing w:line="240" w:lineRule="auto"/>
        <w:rPr>
          <w:b/>
          <w:bCs/>
        </w:rPr>
      </w:pPr>
      <w:r>
        <w:t xml:space="preserve">Matthew E. Misichko, </w:t>
      </w:r>
      <w:r>
        <w:rPr>
          <w:i/>
          <w:iCs/>
        </w:rPr>
        <w:t>Non-Compete Agreements in Illinois: Enhanced Applicability and Continuing Uncertainty</w:t>
      </w:r>
      <w:r>
        <w:t xml:space="preserve">, 31 </w:t>
      </w:r>
      <w:r>
        <w:rPr>
          <w:smallCaps/>
        </w:rPr>
        <w:t>CBA Record</w:t>
      </w:r>
      <w:r>
        <w:t xml:space="preserve"> 34 (July/Aug. 2017).</w:t>
      </w:r>
    </w:p>
    <w:p w14:paraId="3FB4B418" w14:textId="77777777" w:rsidR="00655396" w:rsidRDefault="00655396" w:rsidP="008B512B">
      <w:pPr>
        <w:pStyle w:val="BodyTextIndent"/>
        <w:spacing w:line="240" w:lineRule="auto"/>
      </w:pPr>
    </w:p>
    <w:p w14:paraId="126DD549" w14:textId="77777777" w:rsidR="00655396" w:rsidRDefault="00655396" w:rsidP="008B512B">
      <w:pPr>
        <w:pStyle w:val="BodyTextIndent"/>
        <w:spacing w:line="240" w:lineRule="auto"/>
      </w:pPr>
      <w:r>
        <w:t xml:space="preserve">Douglas Albritton, </w:t>
      </w:r>
      <w:r>
        <w:rPr>
          <w:i/>
          <w:iCs/>
        </w:rPr>
        <w:t>Illinois Restrictive Covenants: The “Gray” Bright Line Regarding Sufficient Consideration</w:t>
      </w:r>
      <w:r>
        <w:t xml:space="preserve"> (Mar. 9, 2015), available at www.jdsupra.com/legalnews/Illinois-restrictive-covenants-the-gra-88819 (last visited Nov. 11, 2016).</w:t>
      </w:r>
    </w:p>
    <w:p w14:paraId="1A9C1FD2" w14:textId="77777777" w:rsidR="00655396" w:rsidRDefault="00655396" w:rsidP="008B512B">
      <w:pPr>
        <w:pStyle w:val="BodyTextIndent"/>
        <w:spacing w:line="240" w:lineRule="auto"/>
      </w:pPr>
    </w:p>
    <w:p w14:paraId="727D8E02" w14:textId="77777777" w:rsidR="00655396" w:rsidRDefault="00655396" w:rsidP="008B512B">
      <w:pPr>
        <w:pStyle w:val="BodyTextIndent"/>
        <w:spacing w:line="240" w:lineRule="auto"/>
      </w:pPr>
      <w:r>
        <w:t>David S. Repking, Student Note:</w:t>
      </w:r>
      <w:r>
        <w:rPr>
          <w:i/>
          <w:iCs/>
        </w:rPr>
        <w:t xml:space="preserve"> Restrictive Covenants in Illinois: Adequate Consideration Problems Show That the Common Law Is an Inadequate Solution</w:t>
      </w:r>
      <w:r>
        <w:t xml:space="preserve">, 90 </w:t>
      </w:r>
      <w:r>
        <w:rPr>
          <w:smallCaps/>
        </w:rPr>
        <w:t>Chi.-Kent L. Rev.</w:t>
      </w:r>
      <w:r>
        <w:t xml:space="preserve"> 1071 (2015).</w:t>
      </w:r>
    </w:p>
    <w:p w14:paraId="55BDD0F2" w14:textId="77777777" w:rsidR="00655396" w:rsidRDefault="00655396" w:rsidP="008B512B">
      <w:pPr>
        <w:pStyle w:val="NoParagraphStyle"/>
        <w:tabs>
          <w:tab w:val="left" w:pos="480"/>
          <w:tab w:val="left" w:pos="960"/>
          <w:tab w:val="left" w:pos="1440"/>
        </w:tabs>
        <w:spacing w:line="240" w:lineRule="auto"/>
        <w:ind w:left="480" w:hanging="480"/>
        <w:jc w:val="both"/>
        <w:rPr>
          <w:rFonts w:ascii="Baskerville" w:hAnsi="Baskerville" w:cs="Baskerville"/>
          <w:b/>
          <w:bCs/>
        </w:rPr>
      </w:pPr>
    </w:p>
    <w:p w14:paraId="6E05B53E" w14:textId="77777777" w:rsidR="00655396" w:rsidRDefault="00655396" w:rsidP="008B512B">
      <w:pPr>
        <w:pStyle w:val="BodyTextIndent"/>
        <w:spacing w:line="240" w:lineRule="auto"/>
      </w:pPr>
      <w:r>
        <w:t xml:space="preserve">Steve L. Dellinger, </w:t>
      </w:r>
      <w:r>
        <w:rPr>
          <w:i/>
          <w:iCs/>
        </w:rPr>
        <w:t>The Art of Motions: Understanding Illinois Civil Pretrial Motions</w:t>
      </w:r>
      <w:r>
        <w:t>, 38 S. I</w:t>
      </w:r>
      <w:r>
        <w:rPr>
          <w:smallCaps/>
        </w:rPr>
        <w:t>ll</w:t>
      </w:r>
      <w:r>
        <w:t xml:space="preserve">. U. L.J. 183 (Winter 2014). </w:t>
      </w:r>
    </w:p>
    <w:p w14:paraId="6C0709DA" w14:textId="77777777" w:rsidR="00655396" w:rsidRDefault="00655396" w:rsidP="008B512B">
      <w:pPr>
        <w:pStyle w:val="BodyText"/>
        <w:spacing w:line="240" w:lineRule="auto"/>
      </w:pPr>
    </w:p>
    <w:p w14:paraId="6511D3A0" w14:textId="77777777" w:rsidR="00655396" w:rsidRDefault="00655396" w:rsidP="008B512B">
      <w:pPr>
        <w:pStyle w:val="BodyTextIndent"/>
        <w:spacing w:line="240" w:lineRule="auto"/>
        <w:rPr>
          <w:b/>
          <w:bCs/>
        </w:rPr>
      </w:pPr>
      <w:r>
        <w:t xml:space="preserve">William Lynch Schaller, </w:t>
      </w:r>
      <w:r>
        <w:rPr>
          <w:i/>
          <w:iCs/>
        </w:rPr>
        <w:t>Corporate Opportunities and the Third Party “Refusal to Deal” Defense: Policy and Practice Lessons from Illinois</w:t>
      </w:r>
      <w:r>
        <w:t xml:space="preserve">, 47 </w:t>
      </w:r>
      <w:r>
        <w:rPr>
          <w:smallCaps/>
        </w:rPr>
        <w:t>J. Marshall L. Rev.</w:t>
      </w:r>
      <w:r>
        <w:t xml:space="preserve"> 1 (Spring 2014).</w:t>
      </w:r>
    </w:p>
    <w:p w14:paraId="77F07C76"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5FE3A4D0" w14:textId="77777777" w:rsidR="00655396" w:rsidRDefault="00655396" w:rsidP="008B512B">
      <w:pPr>
        <w:pStyle w:val="BodyTextIndent"/>
        <w:spacing w:line="240" w:lineRule="auto"/>
      </w:pPr>
      <w:r>
        <w:t xml:space="preserve">Ellen Girard Georgiadis, </w:t>
      </w:r>
      <w:r>
        <w:rPr>
          <w:i/>
          <w:iCs/>
        </w:rPr>
        <w:t>Some Illinois Non-Competes on Thin Ice in the Wake of Recent Ruling</w:t>
      </w:r>
      <w:r>
        <w:t xml:space="preserve">, 39 </w:t>
      </w:r>
      <w:r>
        <w:rPr>
          <w:smallCaps/>
        </w:rPr>
        <w:t xml:space="preserve">Emp. Rel. </w:t>
      </w:r>
      <w:r>
        <w:t xml:space="preserve">L.J. 84 (Spring 2014) (discussing </w:t>
      </w:r>
      <w:r>
        <w:rPr>
          <w:i/>
          <w:iCs/>
        </w:rPr>
        <w:t>Fifield v. Premier Dealer Servs.</w:t>
      </w:r>
      <w:r>
        <w:t>, 993 N.E.2d 938 (Ill. App. Ct. 2013) (holding that continued employment of less than two years does not constitute adequate consideration for covenants not to compete, even for employees signing covenants at outset of employment)).</w:t>
      </w:r>
    </w:p>
    <w:p w14:paraId="3B36B9C5" w14:textId="77777777" w:rsidR="00655396" w:rsidRDefault="00655396" w:rsidP="008B512B">
      <w:pPr>
        <w:pStyle w:val="BodyTextIndent"/>
        <w:spacing w:line="240" w:lineRule="auto"/>
      </w:pPr>
    </w:p>
    <w:p w14:paraId="3D819E39" w14:textId="77777777" w:rsidR="00655396" w:rsidRDefault="00655396" w:rsidP="008B512B">
      <w:pPr>
        <w:pStyle w:val="BodyTextIndent"/>
        <w:spacing w:line="240" w:lineRule="auto"/>
      </w:pPr>
      <w:r>
        <w:t xml:space="preserve">Zachary Julian Freeman, </w:t>
      </w:r>
      <w:r>
        <w:rPr>
          <w:i/>
          <w:iCs/>
        </w:rPr>
        <w:t>Lawyer Mobility in an Uncertain Market</w:t>
      </w:r>
      <w:r>
        <w:t>, 23-Sep CBAR 30 (Sept. 2009).</w:t>
      </w:r>
    </w:p>
    <w:p w14:paraId="309FBA83" w14:textId="77777777" w:rsidR="00655396" w:rsidRDefault="00655396" w:rsidP="008B512B">
      <w:pPr>
        <w:pStyle w:val="BodyTextIndent"/>
        <w:spacing w:line="240" w:lineRule="auto"/>
      </w:pPr>
    </w:p>
    <w:p w14:paraId="7AC30A34" w14:textId="77777777" w:rsidR="00655396" w:rsidRDefault="00655396" w:rsidP="008B512B">
      <w:pPr>
        <w:pStyle w:val="BodyTextIndent"/>
        <w:spacing w:line="240" w:lineRule="auto"/>
      </w:pPr>
      <w:r>
        <w:t xml:space="preserve">Timothy James O’Hern, </w:t>
      </w:r>
      <w:r>
        <w:rPr>
          <w:i/>
          <w:iCs/>
        </w:rPr>
        <w:t>Post-Employment Restrictive Covenants</w:t>
      </w:r>
      <w:r w:rsidR="00D47546">
        <w:rPr>
          <w:i/>
          <w:iCs/>
        </w:rPr>
        <w:t xml:space="preserve">: </w:t>
      </w:r>
      <w:r>
        <w:rPr>
          <w:i/>
          <w:iCs/>
        </w:rPr>
        <w:t>Illusory in Illinois? Addressing the Implications of</w:t>
      </w:r>
      <w:r>
        <w:t xml:space="preserve"> Brown &amp; Brown, Inc. v. Mudron</w:t>
      </w:r>
      <w:r>
        <w:rPr>
          <w:i/>
          <w:iCs/>
        </w:rPr>
        <w:t xml:space="preserve">, 887 N.E.2d 437 </w:t>
      </w:r>
      <w:r>
        <w:t>(</w:t>
      </w:r>
      <w:r>
        <w:rPr>
          <w:i/>
          <w:iCs/>
        </w:rPr>
        <w:t>Ill. App. Ct. 2008</w:t>
      </w:r>
      <w:r>
        <w:t>)</w:t>
      </w:r>
      <w:r>
        <w:rPr>
          <w:i/>
          <w:iCs/>
        </w:rPr>
        <w:t xml:space="preserve">, </w:t>
      </w:r>
      <w:r>
        <w:t xml:space="preserve">34 </w:t>
      </w:r>
      <w:r>
        <w:rPr>
          <w:smallCaps/>
        </w:rPr>
        <w:t>S. Ill. U. L.J</w:t>
      </w:r>
      <w:r>
        <w:t>. 227 (Fall 2009).</w:t>
      </w:r>
    </w:p>
    <w:p w14:paraId="276B6C32" w14:textId="77777777" w:rsidR="00655396" w:rsidRDefault="00655396" w:rsidP="008B512B">
      <w:pPr>
        <w:pStyle w:val="BodyTextIndent"/>
        <w:spacing w:line="240" w:lineRule="auto"/>
      </w:pPr>
    </w:p>
    <w:p w14:paraId="5F228504" w14:textId="77777777" w:rsidR="00655396" w:rsidRDefault="00655396" w:rsidP="008B512B">
      <w:pPr>
        <w:pStyle w:val="BodyTextIndent"/>
        <w:spacing w:line="240" w:lineRule="auto"/>
      </w:pPr>
      <w:r>
        <w:t xml:space="preserve">Peter A. Steinmeyer, </w:t>
      </w:r>
      <w:r>
        <w:rPr>
          <w:i/>
          <w:iCs/>
        </w:rPr>
        <w:t>Drafting Enforceable Noncompetition Agreements in Illinois</w:t>
      </w:r>
      <w:r>
        <w:t xml:space="preserve">, 97 </w:t>
      </w:r>
      <w:r>
        <w:rPr>
          <w:smallCaps/>
        </w:rPr>
        <w:t>Ill. B.J.</w:t>
      </w:r>
      <w:r>
        <w:t xml:space="preserve"> 194 (Apr. 2009).</w:t>
      </w:r>
    </w:p>
    <w:p w14:paraId="4A55D5E6" w14:textId="77777777" w:rsidR="00655396" w:rsidRDefault="00655396" w:rsidP="008B512B">
      <w:pPr>
        <w:pStyle w:val="BodyTextIndent"/>
        <w:spacing w:line="240" w:lineRule="auto"/>
      </w:pPr>
    </w:p>
    <w:p w14:paraId="59FBC486" w14:textId="77777777" w:rsidR="00655396" w:rsidRDefault="00655396" w:rsidP="008B512B">
      <w:pPr>
        <w:pStyle w:val="BodyTextIndent"/>
        <w:spacing w:line="240" w:lineRule="auto"/>
      </w:pPr>
      <w:r>
        <w:t xml:space="preserve">Symeon C. Symeonides, </w:t>
      </w:r>
      <w:r>
        <w:rPr>
          <w:i/>
          <w:iCs/>
        </w:rPr>
        <w:t>Choice of Law in the American Courts in 2008</w:t>
      </w:r>
      <w:r w:rsidR="00D47546">
        <w:rPr>
          <w:i/>
          <w:iCs/>
        </w:rPr>
        <w:t xml:space="preserve">: </w:t>
      </w:r>
      <w:r>
        <w:rPr>
          <w:i/>
          <w:iCs/>
        </w:rPr>
        <w:t>Twenty-Second Annual Survey</w:t>
      </w:r>
      <w:r>
        <w:t xml:space="preserve">, 57 </w:t>
      </w:r>
      <w:r>
        <w:rPr>
          <w:smallCaps/>
        </w:rPr>
        <w:t>Am. J. Comp. L.</w:t>
      </w:r>
      <w:r>
        <w:t xml:space="preserve"> 269 (Spring 2009) (citing, </w:t>
      </w:r>
      <w:r>
        <w:rPr>
          <w:i/>
          <w:iCs/>
        </w:rPr>
        <w:t>id.</w:t>
      </w:r>
      <w:r>
        <w:t xml:space="preserve"> at 301 n.139, </w:t>
      </w:r>
      <w:r>
        <w:rPr>
          <w:i/>
          <w:iCs/>
        </w:rPr>
        <w:t>Brown &amp; Brown, Inc. v. Mudron</w:t>
      </w:r>
      <w:r>
        <w:t>, 379 Ill. App. 3d 724, 887 N.E.2d 437 (3d Dist. 2008) (holding unenforceable a Florida choice of law clause in a restrictive-covenant-containing employment contract between a Florida employer and an Illinois employee; reasoning that application of Florida law would contravene a fundamental policy of Illinois, which had a materially greater interest than Florida in applying its law).</w:t>
      </w:r>
    </w:p>
    <w:p w14:paraId="2AAF3F11" w14:textId="77777777" w:rsidR="00655396" w:rsidRDefault="00655396" w:rsidP="008B512B">
      <w:pPr>
        <w:pStyle w:val="BodyTextIndent"/>
        <w:spacing w:line="240" w:lineRule="auto"/>
      </w:pPr>
    </w:p>
    <w:p w14:paraId="201348B8" w14:textId="77777777" w:rsidR="00655396" w:rsidRDefault="00655396" w:rsidP="008B512B">
      <w:pPr>
        <w:pStyle w:val="BodyTextIndent"/>
        <w:spacing w:line="240" w:lineRule="auto"/>
      </w:pPr>
      <w:r>
        <w:t xml:space="preserve">Alexis Costello, </w:t>
      </w:r>
      <w:r>
        <w:rPr>
          <w:i/>
          <w:iCs/>
        </w:rPr>
        <w:t xml:space="preserve">Fourth District’s “Lack of Interest” Makes Non-Competition Agreements Easier to Enforce, </w:t>
      </w:r>
      <w:r>
        <w:t xml:space="preserve">22 </w:t>
      </w:r>
      <w:r>
        <w:rPr>
          <w:smallCaps/>
        </w:rPr>
        <w:t>DCBA Brief</w:t>
      </w:r>
      <w:r>
        <w:t xml:space="preserve"> 38 (Mar. 2008).</w:t>
      </w:r>
    </w:p>
    <w:p w14:paraId="1ED970A5" w14:textId="77777777" w:rsidR="00655396" w:rsidRDefault="00655396" w:rsidP="008B512B">
      <w:pPr>
        <w:pStyle w:val="BodyTextIndent"/>
        <w:spacing w:line="240" w:lineRule="auto"/>
      </w:pPr>
    </w:p>
    <w:p w14:paraId="16C32D74" w14:textId="77777777" w:rsidR="00655396" w:rsidRDefault="00655396" w:rsidP="008B512B">
      <w:pPr>
        <w:pStyle w:val="BodyTextIndent"/>
        <w:spacing w:line="240" w:lineRule="auto"/>
      </w:pPr>
      <w:r>
        <w:t xml:space="preserve">Hon. Daniel T. Gillespie, </w:t>
      </w:r>
      <w:r>
        <w:rPr>
          <w:i/>
          <w:iCs/>
        </w:rPr>
        <w:t>Survey of Illinois Law</w:t>
      </w:r>
      <w:r w:rsidR="00D47546">
        <w:rPr>
          <w:i/>
          <w:iCs/>
        </w:rPr>
        <w:t xml:space="preserve">: </w:t>
      </w:r>
      <w:r>
        <w:rPr>
          <w:i/>
          <w:iCs/>
        </w:rPr>
        <w:t xml:space="preserve">Contract Law, </w:t>
      </w:r>
      <w:r>
        <w:t xml:space="preserve">31 </w:t>
      </w:r>
      <w:r>
        <w:rPr>
          <w:smallCaps/>
        </w:rPr>
        <w:t>S. Ill. U. L.J.</w:t>
      </w:r>
      <w:r>
        <w:t xml:space="preserve"> 787 (Summer 2007).</w:t>
      </w:r>
    </w:p>
    <w:p w14:paraId="58B387DE" w14:textId="77777777" w:rsidR="00655396" w:rsidRDefault="00655396" w:rsidP="008B512B">
      <w:pPr>
        <w:pStyle w:val="BodyTextIndent"/>
        <w:spacing w:line="240" w:lineRule="auto"/>
      </w:pPr>
    </w:p>
    <w:p w14:paraId="7A70297C" w14:textId="06F6E7F0" w:rsidR="00655396" w:rsidRDefault="00655396" w:rsidP="008B512B">
      <w:pPr>
        <w:pStyle w:val="BodyTextIndent"/>
        <w:spacing w:line="240" w:lineRule="auto"/>
      </w:pPr>
      <w:r>
        <w:t xml:space="preserve">Patrick M. Kinnally, </w:t>
      </w:r>
      <w:r>
        <w:rPr>
          <w:i/>
          <w:iCs/>
        </w:rPr>
        <w:t>Litigating Noncompetition Agreements</w:t>
      </w:r>
      <w:r w:rsidR="00D47546">
        <w:rPr>
          <w:i/>
          <w:iCs/>
        </w:rPr>
        <w:t xml:space="preserve">: </w:t>
      </w:r>
      <w:r>
        <w:rPr>
          <w:i/>
          <w:iCs/>
        </w:rPr>
        <w:t>The Employee’s Perspective</w:t>
      </w:r>
      <w:r w:rsidR="00D47546">
        <w:rPr>
          <w:i/>
          <w:iCs/>
        </w:rPr>
        <w:t xml:space="preserve">: </w:t>
      </w:r>
      <w:r>
        <w:rPr>
          <w:i/>
          <w:iCs/>
        </w:rPr>
        <w:t>Your Clients Former Employer Goes to Court Seeking a TRO to Enforce a Noncompete Agreement Against Him.</w:t>
      </w:r>
      <w:r w:rsidR="00FB1D09">
        <w:rPr>
          <w:i/>
          <w:iCs/>
        </w:rPr>
        <w:t xml:space="preserve"> </w:t>
      </w:r>
      <w:r>
        <w:rPr>
          <w:i/>
          <w:iCs/>
        </w:rPr>
        <w:t>What Do You Do?</w:t>
      </w:r>
      <w:r w:rsidR="00FB1D09">
        <w:rPr>
          <w:i/>
          <w:iCs/>
        </w:rPr>
        <w:t xml:space="preserve"> </w:t>
      </w:r>
      <w:r>
        <w:rPr>
          <w:i/>
          <w:iCs/>
        </w:rPr>
        <w:t>Here Are Tips</w:t>
      </w:r>
      <w:r>
        <w:t xml:space="preserve">, 95 </w:t>
      </w:r>
      <w:r>
        <w:rPr>
          <w:smallCaps/>
        </w:rPr>
        <w:t>Ill. B.J.</w:t>
      </w:r>
      <w:r>
        <w:t xml:space="preserve"> 250 (May 2007).</w:t>
      </w:r>
    </w:p>
    <w:p w14:paraId="3BF47215" w14:textId="77777777" w:rsidR="00655396" w:rsidRDefault="00655396" w:rsidP="008B512B">
      <w:pPr>
        <w:pStyle w:val="BodyTextIndent"/>
        <w:spacing w:line="240" w:lineRule="auto"/>
      </w:pPr>
    </w:p>
    <w:p w14:paraId="2BC9692B" w14:textId="77777777" w:rsidR="00655396" w:rsidRDefault="00655396" w:rsidP="008B512B">
      <w:pPr>
        <w:pStyle w:val="BodyTextIndent"/>
        <w:spacing w:line="240" w:lineRule="auto"/>
      </w:pPr>
      <w:r>
        <w:t xml:space="preserve">Debra Stegall, Maureen R. De Armond, &amp; Nathaniel E. Strickler, </w:t>
      </w:r>
      <w:r>
        <w:rPr>
          <w:i/>
          <w:iCs/>
        </w:rPr>
        <w:t>Survey of Illinois Law</w:t>
      </w:r>
      <w:r w:rsidR="00D47546">
        <w:rPr>
          <w:i/>
          <w:iCs/>
        </w:rPr>
        <w:t xml:space="preserve">: </w:t>
      </w:r>
      <w:r>
        <w:rPr>
          <w:i/>
          <w:iCs/>
        </w:rPr>
        <w:t>Employment Law</w:t>
      </w:r>
      <w:r>
        <w:t xml:space="preserve">, 31 </w:t>
      </w:r>
      <w:r>
        <w:rPr>
          <w:smallCaps/>
        </w:rPr>
        <w:t>S. Ill. U. L.J.</w:t>
      </w:r>
      <w:r>
        <w:t xml:space="preserve"> 859 (Summer 2007).</w:t>
      </w:r>
    </w:p>
    <w:p w14:paraId="68D472C8" w14:textId="77777777" w:rsidR="00655396" w:rsidRDefault="00655396" w:rsidP="008B512B">
      <w:pPr>
        <w:pStyle w:val="BodyTextIndent"/>
        <w:spacing w:line="240" w:lineRule="auto"/>
      </w:pPr>
    </w:p>
    <w:p w14:paraId="39444C88" w14:textId="77777777" w:rsidR="00655396" w:rsidRDefault="00655396" w:rsidP="008B512B">
      <w:pPr>
        <w:pStyle w:val="BodyTextIndent"/>
        <w:spacing w:line="240" w:lineRule="auto"/>
      </w:pPr>
      <w:r>
        <w:t xml:space="preserve">In the Courts, </w:t>
      </w:r>
      <w:r>
        <w:rPr>
          <w:i/>
          <w:iCs/>
        </w:rPr>
        <w:t>Noncompetition Covenants</w:t>
      </w:r>
      <w:r>
        <w:t>,</w:t>
      </w:r>
      <w:r>
        <w:rPr>
          <w:i/>
          <w:iCs/>
        </w:rPr>
        <w:t xml:space="preserve"> </w:t>
      </w:r>
      <w:r>
        <w:t xml:space="preserve">19 No. 7 </w:t>
      </w:r>
      <w:r>
        <w:rPr>
          <w:smallCaps/>
        </w:rPr>
        <w:t>Bus. Torts Rep.</w:t>
      </w:r>
      <w:r>
        <w:t xml:space="preserve"> 206 (May 2007).</w:t>
      </w:r>
    </w:p>
    <w:p w14:paraId="0C38CA23" w14:textId="77777777" w:rsidR="00655396" w:rsidRDefault="00655396" w:rsidP="008B512B">
      <w:pPr>
        <w:pStyle w:val="BodyTextIndent"/>
        <w:spacing w:line="240" w:lineRule="auto"/>
      </w:pPr>
    </w:p>
    <w:p w14:paraId="79AF5430" w14:textId="77777777" w:rsidR="00655396" w:rsidRDefault="00655396" w:rsidP="008B512B">
      <w:pPr>
        <w:pStyle w:val="BodyTextIndent"/>
        <w:spacing w:line="240" w:lineRule="auto"/>
      </w:pPr>
      <w:r>
        <w:t xml:space="preserve">Elaine Massock &amp; Debra Stegall, </w:t>
      </w:r>
      <w:r>
        <w:rPr>
          <w:i/>
          <w:iCs/>
        </w:rPr>
        <w:t>Survey of Illinois Law</w:t>
      </w:r>
      <w:r w:rsidR="00D47546">
        <w:rPr>
          <w:i/>
          <w:iCs/>
        </w:rPr>
        <w:t xml:space="preserve">: </w:t>
      </w:r>
      <w:r>
        <w:rPr>
          <w:i/>
          <w:iCs/>
        </w:rPr>
        <w:t>Employment Law</w:t>
      </w:r>
      <w:r>
        <w:t xml:space="preserve">, 28 </w:t>
      </w:r>
      <w:r>
        <w:rPr>
          <w:smallCaps/>
        </w:rPr>
        <w:t xml:space="preserve">S. Ill. U. L. J. </w:t>
      </w:r>
      <w:r>
        <w:t>705 (Summer 2004) (covering decisions from January 2002 through October 2003).</w:t>
      </w:r>
    </w:p>
    <w:p w14:paraId="563DAD79" w14:textId="77777777" w:rsidR="00655396" w:rsidRDefault="00655396" w:rsidP="008B512B">
      <w:pPr>
        <w:pStyle w:val="BodyTextIndent"/>
        <w:spacing w:line="240" w:lineRule="auto"/>
      </w:pPr>
    </w:p>
    <w:p w14:paraId="1734D480" w14:textId="77777777" w:rsidR="00655396" w:rsidRDefault="00655396" w:rsidP="008B512B">
      <w:pPr>
        <w:pStyle w:val="BodyTextIndent"/>
        <w:spacing w:line="240" w:lineRule="auto"/>
      </w:pPr>
      <w:r>
        <w:t xml:space="preserve">William Lynch Schaller, </w:t>
      </w:r>
      <w:r>
        <w:rPr>
          <w:i/>
          <w:iCs/>
        </w:rPr>
        <w:t>Growing Pains</w:t>
      </w:r>
      <w:r w:rsidR="00D47546">
        <w:rPr>
          <w:i/>
          <w:iCs/>
        </w:rPr>
        <w:t xml:space="preserve">: </w:t>
      </w:r>
      <w:r>
        <w:rPr>
          <w:i/>
          <w:iCs/>
        </w:rPr>
        <w:t>Intellectual Property Considerations for Illinois Small Businesses Seeking To Expand</w:t>
      </w:r>
      <w:r>
        <w:t xml:space="preserve">, 35 </w:t>
      </w:r>
      <w:r>
        <w:rPr>
          <w:smallCaps/>
        </w:rPr>
        <w:t>Loy. U. Chi. L.J.</w:t>
      </w:r>
      <w:r>
        <w:t xml:space="preserve"> 845 (Spring 2004) (noting, </w:t>
      </w:r>
      <w:r>
        <w:rPr>
          <w:i/>
          <w:iCs/>
        </w:rPr>
        <w:t xml:space="preserve">id. </w:t>
      </w:r>
      <w:r>
        <w:t xml:space="preserve">at 872, that Illinois noncompete law “can test even the most experienced attorneys and clients;” adding, </w:t>
      </w:r>
      <w:r>
        <w:rPr>
          <w:i/>
          <w:iCs/>
        </w:rPr>
        <w:t>id.</w:t>
      </w:r>
      <w:r>
        <w:t>, that “[o]nly broadcasting industry employees and lawyers other than retired law partners present easy calls</w:t>
      </w:r>
      <w:r w:rsidR="00D47546">
        <w:t xml:space="preserve">: </w:t>
      </w:r>
      <w:r>
        <w:t>they enjoy blanket exemptions from noncompetes.”).</w:t>
      </w:r>
    </w:p>
    <w:p w14:paraId="60C8E84C" w14:textId="77777777" w:rsidR="00655396" w:rsidRDefault="00655396" w:rsidP="008B512B">
      <w:pPr>
        <w:pStyle w:val="BodyTextIndent"/>
        <w:spacing w:line="240" w:lineRule="auto"/>
      </w:pPr>
    </w:p>
    <w:p w14:paraId="1684957C" w14:textId="77777777" w:rsidR="00655396" w:rsidRDefault="00655396" w:rsidP="008B512B">
      <w:pPr>
        <w:pStyle w:val="BodyTextIndent"/>
        <w:spacing w:line="240" w:lineRule="auto"/>
      </w:pPr>
      <w:r>
        <w:t xml:space="preserve">George M. Cohen, </w:t>
      </w:r>
      <w:r>
        <w:rPr>
          <w:i/>
          <w:iCs/>
        </w:rPr>
        <w:t>The Multilawyered Problems of Professional Responsibility</w:t>
      </w:r>
      <w:r>
        <w:t xml:space="preserve">, 2003 </w:t>
      </w:r>
      <w:r>
        <w:rPr>
          <w:smallCaps/>
        </w:rPr>
        <w:t xml:space="preserve">U. Ill. L. Rev. </w:t>
      </w:r>
      <w:r>
        <w:t xml:space="preserve">1409, 1472 (2003) (“an expansion of the ban on covenants not to compete more definitely includes co-counsel and similar relationships;” quoting in citing </w:t>
      </w:r>
      <w:r>
        <w:rPr>
          <w:smallCaps/>
        </w:rPr>
        <w:t>Model R. Prof’l Conduct</w:t>
      </w:r>
      <w:r>
        <w:t xml:space="preserve"> R. 5.6(a) (“A lawyer shall not participate in offering or making … a partnership, shareholders, operating, employment, or other similar type of agreement that restricts the right of a lawyer to practice after termination of the relationship, except an agreement concerning benefits upon retirement.”)).</w:t>
      </w:r>
    </w:p>
    <w:p w14:paraId="776782C5" w14:textId="77777777" w:rsidR="00655396" w:rsidRDefault="00655396" w:rsidP="008B512B">
      <w:pPr>
        <w:pStyle w:val="BodyTextIndent"/>
        <w:spacing w:line="240" w:lineRule="auto"/>
      </w:pPr>
    </w:p>
    <w:p w14:paraId="5910BFC4" w14:textId="4F50E29A" w:rsidR="00655396" w:rsidRDefault="00655396" w:rsidP="008B512B">
      <w:pPr>
        <w:pStyle w:val="BodyTextIndent"/>
        <w:spacing w:line="240" w:lineRule="auto"/>
      </w:pPr>
      <w:r>
        <w:t xml:space="preserve">Deborah S. Coldwell, Michael J. Lockerby &amp; James R. Sims III, </w:t>
      </w:r>
      <w:r>
        <w:rPr>
          <w:i/>
          <w:iCs/>
        </w:rPr>
        <w:t>The More, The Merrier?</w:t>
      </w:r>
      <w:r w:rsidR="00FB1D09">
        <w:rPr>
          <w:i/>
          <w:iCs/>
        </w:rPr>
        <w:t xml:space="preserve"> </w:t>
      </w:r>
      <w:r>
        <w:rPr>
          <w:i/>
          <w:iCs/>
        </w:rPr>
        <w:t>N.Y. Federal Court Refuses to Dismiss Replacement Dealers Named as Co-Defendants</w:t>
      </w:r>
      <w:r>
        <w:t xml:space="preserve">, 23 </w:t>
      </w:r>
      <w:r>
        <w:rPr>
          <w:smallCaps/>
        </w:rPr>
        <w:t>Franchise L.J.</w:t>
      </w:r>
      <w:r>
        <w:t xml:space="preserve"> 120 (Fall 2003) (citing, </w:t>
      </w:r>
      <w:r>
        <w:rPr>
          <w:i/>
          <w:iCs/>
        </w:rPr>
        <w:t>id.</w:t>
      </w:r>
      <w:r>
        <w:t xml:space="preserve"> at 129, </w:t>
      </w:r>
      <w:r>
        <w:rPr>
          <w:i/>
          <w:iCs/>
        </w:rPr>
        <w:t>Baskin-Robbins Inc. v. Patel</w:t>
      </w:r>
      <w:r>
        <w:t>, 264 F. Supp. 2d 607 (N.D. Ill. 2003) (franchise-context covenant; ice cream store franchise), as demonstrating “the need for a party seeking preliminary injunctive relief to make an actual showing of irreparable harm rather than relying upon statutory or contractual presumptions or conclusory statements.”).</w:t>
      </w:r>
    </w:p>
    <w:p w14:paraId="7299BA4F" w14:textId="77777777" w:rsidR="00655396" w:rsidRDefault="00655396" w:rsidP="008B512B">
      <w:pPr>
        <w:pStyle w:val="BodyTextIndent"/>
        <w:spacing w:line="240" w:lineRule="auto"/>
      </w:pPr>
    </w:p>
    <w:p w14:paraId="0E8D6F6C" w14:textId="77777777" w:rsidR="00655396" w:rsidRDefault="00655396" w:rsidP="008B512B">
      <w:pPr>
        <w:pStyle w:val="BodyTextIndent"/>
        <w:spacing w:line="240" w:lineRule="auto"/>
      </w:pPr>
      <w:r>
        <w:lastRenderedPageBreak/>
        <w:t xml:space="preserve">Michael L. Cook &amp; Alesia Ranney-Marinelli, </w:t>
      </w:r>
      <w:r>
        <w:rPr>
          <w:i/>
          <w:iCs/>
        </w:rPr>
        <w:t>Avoidance Powers</w:t>
      </w:r>
      <w:r>
        <w:t xml:space="preserve">, available in </w:t>
      </w:r>
      <w:r>
        <w:rPr>
          <w:smallCaps/>
        </w:rPr>
        <w:t>Understanding the Basics of Bankruptcy &amp; Reorganization 2003</w:t>
      </w:r>
      <w:r>
        <w:t xml:space="preserve"> at 331 (Practising Law Institute, Commercial Law and Practice Course Handbook Series, Nov. 2003) (citing, </w:t>
      </w:r>
      <w:r>
        <w:rPr>
          <w:i/>
          <w:iCs/>
        </w:rPr>
        <w:t>id.</w:t>
      </w:r>
      <w:r>
        <w:t xml:space="preserve"> at 398, as an example of fraudulent transfers in the bankruptcy context, </w:t>
      </w:r>
      <w:r>
        <w:rPr>
          <w:i/>
          <w:iCs/>
        </w:rPr>
        <w:t>Limperis v. Kolacny (In re Chicago Music Corp.)</w:t>
      </w:r>
      <w:r>
        <w:t>, 36 B.R. 626 (Bankr. N.D. Ill. 1984) (debtor paid $55,000 to outgoing president for purported noncompetition covenant)).</w:t>
      </w:r>
    </w:p>
    <w:p w14:paraId="62F84C7D" w14:textId="77777777" w:rsidR="00655396" w:rsidRDefault="00655396" w:rsidP="008B512B">
      <w:pPr>
        <w:pStyle w:val="BodyTextIndent"/>
        <w:spacing w:line="240" w:lineRule="auto"/>
      </w:pPr>
    </w:p>
    <w:p w14:paraId="6A9B3179" w14:textId="66BEC754" w:rsidR="00655396" w:rsidRDefault="00655396" w:rsidP="008B512B">
      <w:pPr>
        <w:pStyle w:val="BodyTextIndent"/>
        <w:spacing w:line="240" w:lineRule="auto"/>
      </w:pPr>
      <w:r>
        <w:t xml:space="preserve">Michael L. Cook, Alesia Ranney-Marinelli &amp; Kayalyn A. Marafioti, </w:t>
      </w:r>
      <w:r>
        <w:rPr>
          <w:i/>
          <w:iCs/>
        </w:rPr>
        <w:t>Fraudulent Transfers</w:t>
      </w:r>
      <w:r>
        <w:t>, available in</w:t>
      </w:r>
      <w:r>
        <w:rPr>
          <w:smallCaps/>
        </w:rPr>
        <w:t xml:space="preserve"> 25th Annual Current Developments in Bankruptcy &amp; Reorganization</w:t>
      </w:r>
      <w:r>
        <w:t xml:space="preserve"> at 659 (Practising Law Institute, Commercial Law and Practice Course Handbook Series, Apr. 2003) (citing, </w:t>
      </w:r>
      <w:r>
        <w:rPr>
          <w:i/>
          <w:iCs/>
        </w:rPr>
        <w:t>id.</w:t>
      </w:r>
      <w:r>
        <w:t xml:space="preserve"> at 666,</w:t>
      </w:r>
      <w:r w:rsidR="00FB1D09">
        <w:t xml:space="preserve"> </w:t>
      </w:r>
      <w:r>
        <w:t xml:space="preserve">as an example of fraudulent transfers in the bankruptcy context, </w:t>
      </w:r>
      <w:r>
        <w:rPr>
          <w:i/>
          <w:iCs/>
        </w:rPr>
        <w:t>Limperis v. Kolacny (In re Chicago Music Corp.)</w:t>
      </w:r>
      <w:r>
        <w:t xml:space="preserve">, 36 B.R. 626 (Bankr. N.D. Ill. 1984) (debtor paid $55,000 to outgoing president for purported noncom-petition covenant; also cited in Michael L. Cook &amp; Alesia Ranney-Marinelli, </w:t>
      </w:r>
      <w:r>
        <w:rPr>
          <w:i/>
          <w:iCs/>
        </w:rPr>
        <w:t>Avoidance Powers</w:t>
      </w:r>
      <w:r>
        <w:t xml:space="preserve">, available in </w:t>
      </w:r>
      <w:r>
        <w:rPr>
          <w:smallCaps/>
        </w:rPr>
        <w:t>Understanding the Basics of Bankruptcy &amp; Reorganization 2003</w:t>
      </w:r>
      <w:r>
        <w:t xml:space="preserve"> at 331, 398 (Practising Law Institute, Commercial Law and Practice Course Handbook Series, Nov. 2003), as an example of a fraudulent transfer in the bankruptcy context)).</w:t>
      </w:r>
    </w:p>
    <w:p w14:paraId="5EC5D588" w14:textId="77777777" w:rsidR="00655396" w:rsidRDefault="00655396" w:rsidP="008B512B">
      <w:pPr>
        <w:pStyle w:val="BodyTextIndent"/>
        <w:spacing w:line="240" w:lineRule="auto"/>
      </w:pPr>
    </w:p>
    <w:p w14:paraId="669DB5CB" w14:textId="3B733847" w:rsidR="00655396" w:rsidRDefault="00655396" w:rsidP="008B512B">
      <w:pPr>
        <w:pStyle w:val="BodyTextIndent"/>
        <w:spacing w:line="240" w:lineRule="auto"/>
      </w:pPr>
      <w:r>
        <w:t xml:space="preserve">Keith E. Emmons (ed.), </w:t>
      </w:r>
      <w:r>
        <w:rPr>
          <w:i/>
          <w:iCs/>
        </w:rPr>
        <w:t>Survey of Illinois Law</w:t>
      </w:r>
      <w:r w:rsidR="00D47546">
        <w:rPr>
          <w:i/>
          <w:iCs/>
        </w:rPr>
        <w:t xml:space="preserve">: </w:t>
      </w:r>
      <w:r>
        <w:rPr>
          <w:i/>
          <w:iCs/>
        </w:rPr>
        <w:t>Health Care</w:t>
      </w:r>
      <w:r>
        <w:t xml:space="preserve">, 27 </w:t>
      </w:r>
      <w:r>
        <w:rPr>
          <w:smallCaps/>
        </w:rPr>
        <w:t>S. Ill. U. L.J.</w:t>
      </w:r>
      <w:r>
        <w:t xml:space="preserve"> 817 (Summer 2003) (discussing, </w:t>
      </w:r>
      <w:r>
        <w:rPr>
          <w:i/>
          <w:iCs/>
        </w:rPr>
        <w:t>id.</w:t>
      </w:r>
      <w:r>
        <w:t xml:space="preserve"> at 821–29, </w:t>
      </w:r>
      <w:r>
        <w:rPr>
          <w:i/>
          <w:iCs/>
        </w:rPr>
        <w:t>Carter-Shields v. Alton Health Inst.</w:t>
      </w:r>
      <w:r>
        <w:t>, 201 Ill. 2d 441, 777 N.E.2d 948 (2002)</w:t>
      </w:r>
      <w:r w:rsidR="00D47546">
        <w:t xml:space="preserve">; </w:t>
      </w:r>
      <w:r>
        <w:t xml:space="preserve">noting, </w:t>
      </w:r>
      <w:r>
        <w:rPr>
          <w:i/>
          <w:iCs/>
        </w:rPr>
        <w:t>id</w:t>
      </w:r>
      <w:r>
        <w:t xml:space="preserve">. at 822, that, by vacating a portion of the appellate court’s judgment, the state supreme court in </w:t>
      </w:r>
      <w:r>
        <w:rPr>
          <w:i/>
          <w:iCs/>
        </w:rPr>
        <w:t>Carter-Shields</w:t>
      </w:r>
      <w:r w:rsidR="00FB1D09">
        <w:t xml:space="preserve"> </w:t>
      </w:r>
      <w:r>
        <w:t>“deftly avoided the issue” of whether or not noncompetition covenants contained in physician employment agreements are valid).</w:t>
      </w:r>
    </w:p>
    <w:p w14:paraId="4B542275" w14:textId="77777777" w:rsidR="00655396" w:rsidRDefault="00655396" w:rsidP="008B512B">
      <w:pPr>
        <w:pStyle w:val="BodyTextIndent"/>
        <w:spacing w:line="240" w:lineRule="auto"/>
      </w:pPr>
    </w:p>
    <w:p w14:paraId="75BACA0D" w14:textId="64F1E0CB" w:rsidR="00655396" w:rsidRDefault="00655396" w:rsidP="008B512B">
      <w:pPr>
        <w:pStyle w:val="BodyTextIndent"/>
        <w:spacing w:line="240" w:lineRule="auto"/>
      </w:pPr>
      <w:r>
        <w:t xml:space="preserve">Stuart Gimbel &amp; Miles J. Zaremski, </w:t>
      </w:r>
      <w:r>
        <w:rPr>
          <w:i/>
          <w:iCs/>
        </w:rPr>
        <w:t>Medical Restrictive Covenants in Illinois</w:t>
      </w:r>
      <w:r w:rsidR="00D47546">
        <w:rPr>
          <w:i/>
          <w:iCs/>
        </w:rPr>
        <w:t xml:space="preserve">: </w:t>
      </w:r>
      <w:r>
        <w:rPr>
          <w:i/>
          <w:iCs/>
        </w:rPr>
        <w:t>At the Crossroads of</w:t>
      </w:r>
      <w:r>
        <w:t xml:space="preserve"> Carter Shields </w:t>
      </w:r>
      <w:r>
        <w:rPr>
          <w:i/>
          <w:iCs/>
        </w:rPr>
        <w:t>and</w:t>
      </w:r>
      <w:r>
        <w:t xml:space="preserve"> Prairie Eye Center, 12 </w:t>
      </w:r>
      <w:r>
        <w:rPr>
          <w:smallCaps/>
        </w:rPr>
        <w:t>Annals Health L.</w:t>
      </w:r>
      <w:r>
        <w:t xml:space="preserve"> 1 (2003) (discussing </w:t>
      </w:r>
      <w:r>
        <w:rPr>
          <w:i/>
          <w:iCs/>
        </w:rPr>
        <w:t>Carter-Shields v. Alton Health Inst.</w:t>
      </w:r>
      <w:r>
        <w:t xml:space="preserve">, 201 Ill. 2d 441, 777 N.E.2d </w:t>
      </w:r>
      <w:r>
        <w:lastRenderedPageBreak/>
        <w:t>948 (2002), and</w:t>
      </w:r>
      <w:r>
        <w:rPr>
          <w:i/>
          <w:iCs/>
        </w:rPr>
        <w:t xml:space="preserve"> Prairie Eye Ctr., Ltd. v. Butler</w:t>
      </w:r>
      <w:r>
        <w:t>, 768 N.E.2d 414, 422 (Ill. Ct. App. 2002)</w:t>
      </w:r>
      <w:r w:rsidR="00D47546">
        <w:t xml:space="preserve">; </w:t>
      </w:r>
      <w:r>
        <w:t xml:space="preserve">noting, </w:t>
      </w:r>
      <w:r>
        <w:rPr>
          <w:i/>
          <w:iCs/>
        </w:rPr>
        <w:t>id.</w:t>
      </w:r>
      <w:r>
        <w:t xml:space="preserve"> at 1, that “the question of whether restrictive covenants of medical practitioners are enforceable in Illinois remains unsettled;” explaining, </w:t>
      </w:r>
      <w:r>
        <w:rPr>
          <w:i/>
          <w:iCs/>
        </w:rPr>
        <w:t>id.</w:t>
      </w:r>
      <w:r>
        <w:t xml:space="preserve"> at n.8, that because the state supreme court “vacated the portion of the </w:t>
      </w:r>
      <w:r>
        <w:rPr>
          <w:i/>
          <w:iCs/>
        </w:rPr>
        <w:t>Carter-Shields</w:t>
      </w:r>
      <w:r>
        <w:t xml:space="preserve"> decision which found that medical restrictive covenants are contrary to public policy, the public policy issues raised in </w:t>
      </w:r>
      <w:r>
        <w:rPr>
          <w:i/>
          <w:iCs/>
        </w:rPr>
        <w:t>Carter-Shields</w:t>
      </w:r>
      <w:r>
        <w:t xml:space="preserve"> have not been conclusively resolved;”</w:t>
      </w:r>
      <w:r w:rsidR="00FB1D09">
        <w:t xml:space="preserve"> </w:t>
      </w:r>
      <w:r>
        <w:t xml:space="preserve">arguing, </w:t>
      </w:r>
      <w:r>
        <w:rPr>
          <w:i/>
          <w:iCs/>
        </w:rPr>
        <w:t>id.</w:t>
      </w:r>
      <w:r>
        <w:t xml:space="preserve"> at 22, that “the Supreme Court of Illinois should reject the argument raised by the appellate court in </w:t>
      </w:r>
      <w:r>
        <w:rPr>
          <w:i/>
          <w:iCs/>
        </w:rPr>
        <w:t>Carter-Shield</w:t>
      </w:r>
      <w:r>
        <w:t xml:space="preserve">s that medical restrictive covenants are void as contrary to public policy and continue to recognize the special heritage of medical restrictive covenants under Illinois law;” advising, </w:t>
      </w:r>
      <w:r>
        <w:rPr>
          <w:i/>
          <w:iCs/>
        </w:rPr>
        <w:t>id.</w:t>
      </w:r>
      <w:r>
        <w:t xml:space="preserve">, that “until such time as the Supreme Court of Illinois conclusively resolves the public policy debate, which it refused to do in the </w:t>
      </w:r>
      <w:r>
        <w:rPr>
          <w:i/>
          <w:iCs/>
        </w:rPr>
        <w:t>Carter-Shields</w:t>
      </w:r>
      <w:r>
        <w:t xml:space="preserve"> case, medical professionals are cautioned from placing excessive reliance upon restrictive covenants of their employees or partners.</w:t>
      </w:r>
      <w:r w:rsidR="00FB1D09">
        <w:t xml:space="preserve"> </w:t>
      </w:r>
      <w:r>
        <w:t>Particular attention should be paid to determine whether the presumption of a near-permanent relationship, which the Illinois courts have applied to medical practitioners, is well-founded in their case.</w:t>
      </w:r>
      <w:r w:rsidR="00FB1D09">
        <w:t xml:space="preserve"> </w:t>
      </w:r>
      <w:r>
        <w:t>Indeed, until the public policy issues are resolved, it is reasonable to assume that lower courts in Illinois will look carefully to determine whether a medical restrictive covenant should be invalidated on other grounds.”).</w:t>
      </w:r>
    </w:p>
    <w:p w14:paraId="19E655FA" w14:textId="77777777" w:rsidR="00655396" w:rsidRDefault="00655396" w:rsidP="008B512B">
      <w:pPr>
        <w:pStyle w:val="BodyTextIndent"/>
        <w:spacing w:line="240" w:lineRule="auto"/>
      </w:pPr>
    </w:p>
    <w:p w14:paraId="347D1809" w14:textId="77777777" w:rsidR="00655396" w:rsidRDefault="00655396" w:rsidP="008B512B">
      <w:pPr>
        <w:pStyle w:val="BodyTextIndent"/>
        <w:spacing w:line="240" w:lineRule="auto"/>
      </w:pPr>
      <w:r>
        <w:t xml:space="preserve">Nancy Morrison O’Connor, </w:t>
      </w:r>
      <w:r>
        <w:rPr>
          <w:i/>
          <w:iCs/>
        </w:rPr>
        <w:t>“Promises and Pye-Crusts”</w:t>
      </w:r>
      <w:r w:rsidR="00D47546">
        <w:rPr>
          <w:i/>
          <w:iCs/>
        </w:rPr>
        <w:t xml:space="preserve">: </w:t>
      </w:r>
      <w:r>
        <w:rPr>
          <w:i/>
          <w:iCs/>
        </w:rPr>
        <w:t>State Statutes Threaten Broadcast Noncompetes</w:t>
      </w:r>
      <w:r>
        <w:t xml:space="preserve">, 21 </w:t>
      </w:r>
      <w:r>
        <w:rPr>
          <w:smallCaps/>
        </w:rPr>
        <w:t xml:space="preserve">Comm. Law. </w:t>
      </w:r>
      <w:r>
        <w:t>3 (Fall 2003) (noting that, based largely on the efforts of the American Federation of Television and Radio Artists, statutes in Illinois and three other states “now impose specific restrictions on noncompetes in the broadcast industry,” and similar bills have been introduced—without success, as of O’Connor’s writing—in Connecticut, Iowa, Maryland, Missouri, New Jersey, New York, North Carolina, Tennessee, Washington, and West Virginia).</w:t>
      </w:r>
    </w:p>
    <w:p w14:paraId="3E0FDE4C" w14:textId="77777777" w:rsidR="00655396" w:rsidRDefault="00655396" w:rsidP="008B512B">
      <w:pPr>
        <w:pStyle w:val="BodyTextIndent"/>
        <w:spacing w:line="240" w:lineRule="auto"/>
      </w:pPr>
    </w:p>
    <w:p w14:paraId="01CFD8F6" w14:textId="77777777" w:rsidR="00655396" w:rsidRDefault="00655396" w:rsidP="008B512B">
      <w:pPr>
        <w:pStyle w:val="BodyTextIndent"/>
        <w:spacing w:line="240" w:lineRule="auto"/>
      </w:pPr>
      <w:r>
        <w:t xml:space="preserve">W. Andrew Scott, Jeffrey H. Wolf &amp; Allan P. Hillman, </w:t>
      </w:r>
      <w:r>
        <w:rPr>
          <w:i/>
          <w:iCs/>
        </w:rPr>
        <w:t>Franchising From A (Arbitration) to T (Termination)</w:t>
      </w:r>
      <w:r>
        <w:t xml:space="preserve">, 22 </w:t>
      </w:r>
      <w:r>
        <w:rPr>
          <w:smallCaps/>
        </w:rPr>
        <w:lastRenderedPageBreak/>
        <w:t>Franchise L.J.</w:t>
      </w:r>
      <w:r>
        <w:t xml:space="preserve"> 192 (Winter 2003) (citing,</w:t>
      </w:r>
      <w:r>
        <w:rPr>
          <w:i/>
          <w:iCs/>
        </w:rPr>
        <w:t xml:space="preserve"> id.</w:t>
      </w:r>
      <w:r>
        <w:t xml:space="preserve"> at 195, </w:t>
      </w:r>
      <w:r>
        <w:rPr>
          <w:i/>
          <w:iCs/>
        </w:rPr>
        <w:t>Stunfence, Inc. v. Gallagher Sec. (USA), Inc.</w:t>
      </w:r>
      <w:r>
        <w:t>, 2002 WL 1838128 (N.D. Ill. 2002) (not reported in F. Supp. 2d) (distributorship-context covenant executed by members of nonlethal electric fencing industry), for the principle that “even in jurisdictions that allow partial enforcement of post-termination noncompetition requirements, a franchisor can overreach to the point that it loses all right to enforcement.”).</w:t>
      </w:r>
    </w:p>
    <w:p w14:paraId="1DC3168F"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6045207A" w14:textId="77777777" w:rsidR="00655396" w:rsidRDefault="00655396" w:rsidP="008B512B">
      <w:pPr>
        <w:pStyle w:val="BodyTextIndent"/>
        <w:spacing w:line="240" w:lineRule="auto"/>
      </w:pPr>
      <w:r>
        <w:t xml:space="preserve">Gene A. Petersen, </w:t>
      </w:r>
      <w:r>
        <w:rPr>
          <w:i/>
          <w:iCs/>
        </w:rPr>
        <w:t>Understanding Illinois Noncompetition Agreements and Restrictive Covenants</w:t>
      </w:r>
      <w:r>
        <w:t>, 89</w:t>
      </w:r>
      <w:r>
        <w:rPr>
          <w:smallCaps/>
        </w:rPr>
        <w:t xml:space="preserve"> Ill. B.J.</w:t>
      </w:r>
      <w:r>
        <w:t xml:space="preserve"> 472 (Sept. 2001).</w:t>
      </w:r>
    </w:p>
    <w:p w14:paraId="56FBBF76"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12ECF53A" w14:textId="77777777" w:rsidR="00655396" w:rsidRDefault="00655396" w:rsidP="008B512B">
      <w:pPr>
        <w:pStyle w:val="BodyTextIndent"/>
        <w:spacing w:line="240" w:lineRule="auto"/>
      </w:pPr>
      <w:r>
        <w:t xml:space="preserve">Paul R. Kitch, </w:t>
      </w:r>
      <w:r>
        <w:rPr>
          <w:i/>
          <w:iCs/>
        </w:rPr>
        <w:t>Employee Noncompete and Nondisclosure Restrictive Covenants: A Summary of Illinois Law Governing Noncompete Restrictive Covenants, With Suggestions to Employers for Protecting Sensitive Information</w:t>
      </w:r>
      <w:r>
        <w:t xml:space="preserve">, 88 </w:t>
      </w:r>
      <w:r>
        <w:rPr>
          <w:smallCaps/>
        </w:rPr>
        <w:t>Ill. B.J.</w:t>
      </w:r>
      <w:r>
        <w:t xml:space="preserve"> 230 (Apr. 2000).</w:t>
      </w:r>
    </w:p>
    <w:p w14:paraId="27886001"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35D7C71A" w14:textId="77777777" w:rsidR="00655396" w:rsidRDefault="00655396" w:rsidP="008B512B">
      <w:pPr>
        <w:pStyle w:val="BodyText"/>
        <w:tabs>
          <w:tab w:val="clear" w:pos="480"/>
          <w:tab w:val="clear" w:pos="1920"/>
          <w:tab w:val="clear" w:pos="2400"/>
          <w:tab w:val="clear" w:pos="2880"/>
        </w:tabs>
        <w:spacing w:line="240" w:lineRule="auto"/>
        <w:ind w:left="480"/>
      </w:pPr>
      <w:r>
        <w:t xml:space="preserve">William M. Stevens, </w:t>
      </w:r>
      <w:r>
        <w:rPr>
          <w:i/>
          <w:iCs/>
        </w:rPr>
        <w:t>Restrictive Covenants Forbidden in Law Firm Employer Agreements</w:t>
      </w:r>
      <w:r>
        <w:t xml:space="preserve">, 86 </w:t>
      </w:r>
      <w:r>
        <w:rPr>
          <w:smallCaps/>
        </w:rPr>
        <w:t>Ill</w:t>
      </w:r>
      <w:r>
        <w:t>. B.J. 316 (June 1998).</w:t>
      </w:r>
    </w:p>
    <w:p w14:paraId="31FE07E3" w14:textId="77777777" w:rsidR="00655396" w:rsidRDefault="00655396" w:rsidP="008B512B">
      <w:pPr>
        <w:pStyle w:val="BodyText"/>
        <w:tabs>
          <w:tab w:val="clear" w:pos="480"/>
          <w:tab w:val="clear" w:pos="1920"/>
          <w:tab w:val="clear" w:pos="2400"/>
          <w:tab w:val="clear" w:pos="2880"/>
        </w:tabs>
        <w:spacing w:line="240" w:lineRule="auto"/>
        <w:ind w:left="480"/>
      </w:pPr>
    </w:p>
    <w:p w14:paraId="79816854" w14:textId="77777777" w:rsidR="00655396" w:rsidRDefault="00655396" w:rsidP="008B512B">
      <w:pPr>
        <w:pStyle w:val="BodyText"/>
        <w:tabs>
          <w:tab w:val="clear" w:pos="480"/>
          <w:tab w:val="clear" w:pos="1920"/>
          <w:tab w:val="clear" w:pos="2400"/>
          <w:tab w:val="clear" w:pos="2880"/>
        </w:tabs>
        <w:spacing w:line="240" w:lineRule="auto"/>
        <w:ind w:left="480"/>
      </w:pPr>
      <w:r>
        <w:t xml:space="preserve">Thomas Canafax, Jr., </w:t>
      </w:r>
      <w:r>
        <w:rPr>
          <w:i/>
          <w:iCs/>
        </w:rPr>
        <w:t>Are Covenants Not to Compete Enforceable Against At-Will Employees in Illinois?</w:t>
      </w:r>
      <w:r>
        <w:t xml:space="preserve">, 85 </w:t>
      </w:r>
      <w:r>
        <w:rPr>
          <w:smallCaps/>
        </w:rPr>
        <w:t>Ill. B.J.</w:t>
      </w:r>
      <w:r>
        <w:t xml:space="preserve"> 370 (Aug. 1997).</w:t>
      </w:r>
    </w:p>
    <w:p w14:paraId="748C48B0" w14:textId="77777777" w:rsidR="00655396" w:rsidRDefault="00655396" w:rsidP="008B512B">
      <w:pPr>
        <w:pStyle w:val="BodyText"/>
        <w:tabs>
          <w:tab w:val="clear" w:pos="480"/>
          <w:tab w:val="clear" w:pos="1920"/>
          <w:tab w:val="clear" w:pos="2400"/>
          <w:tab w:val="clear" w:pos="2880"/>
        </w:tabs>
        <w:spacing w:line="240" w:lineRule="auto"/>
        <w:ind w:left="480"/>
      </w:pPr>
    </w:p>
    <w:p w14:paraId="44CD709D" w14:textId="77777777" w:rsidR="00655396" w:rsidRDefault="00655396" w:rsidP="008B512B">
      <w:pPr>
        <w:pStyle w:val="BodyText"/>
        <w:tabs>
          <w:tab w:val="clear" w:pos="480"/>
          <w:tab w:val="clear" w:pos="1920"/>
          <w:tab w:val="clear" w:pos="2400"/>
          <w:tab w:val="clear" w:pos="2880"/>
        </w:tabs>
        <w:spacing w:line="240" w:lineRule="auto"/>
        <w:ind w:left="480"/>
      </w:pPr>
      <w:r>
        <w:t xml:space="preserve">Emily J. Kuo, </w:t>
      </w:r>
      <w:r>
        <w:rPr>
          <w:i/>
          <w:iCs/>
        </w:rPr>
        <w:t>The Enforceability Gap of Covenants Not to Compete in Telecommuting Employment Relationships</w:t>
      </w:r>
      <w:r>
        <w:t xml:space="preserve">, 1996 </w:t>
      </w:r>
      <w:r>
        <w:rPr>
          <w:smallCaps/>
        </w:rPr>
        <w:t>U. Chi. Legal F.</w:t>
      </w:r>
      <w:r>
        <w:t xml:space="preserve"> 565 (1996).</w:t>
      </w:r>
    </w:p>
    <w:p w14:paraId="18660770"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p>
    <w:p w14:paraId="1D380358"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rPr>
        <w:t xml:space="preserve">Jeffrey C. Sharer, </w:t>
      </w:r>
      <w:r>
        <w:rPr>
          <w:rFonts w:ascii="Baskerville" w:hAnsi="Baskerville" w:cs="Baskerville"/>
          <w:i/>
          <w:iCs/>
        </w:rPr>
        <w:t>Noncompetition Agreements in Bankruptcy: Covenants (Maybe) Not to Compete</w:t>
      </w:r>
      <w:r>
        <w:rPr>
          <w:rFonts w:ascii="Baskerville" w:hAnsi="Baskerville" w:cs="Baskerville"/>
        </w:rPr>
        <w:t xml:space="preserve">, 62 </w:t>
      </w:r>
      <w:r>
        <w:rPr>
          <w:rFonts w:ascii="Baskerville" w:hAnsi="Baskerville" w:cs="Baskerville"/>
          <w:smallCaps/>
        </w:rPr>
        <w:t>U. Chi. L. Rev.</w:t>
      </w:r>
      <w:r>
        <w:rPr>
          <w:rFonts w:ascii="Baskerville" w:hAnsi="Baskerville" w:cs="Baskerville"/>
        </w:rPr>
        <w:t xml:space="preserve"> 1549 (Fall 1995).</w:t>
      </w:r>
    </w:p>
    <w:p w14:paraId="08E50E87"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p>
    <w:p w14:paraId="566B166D"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rPr>
        <w:t xml:space="preserve">Steven A. Weiss &amp; Gayle M. McMurry, </w:t>
      </w:r>
      <w:r>
        <w:rPr>
          <w:rFonts w:ascii="Baskerville" w:hAnsi="Baskerville" w:cs="Baskerville"/>
          <w:i/>
          <w:iCs/>
        </w:rPr>
        <w:t>Modification of Employment Restrictive Covenants: A Call for Equitable Analysis</w:t>
      </w:r>
      <w:r>
        <w:rPr>
          <w:rFonts w:ascii="Baskerville" w:hAnsi="Baskerville" w:cs="Baskerville"/>
        </w:rPr>
        <w:t xml:space="preserve">, 82 </w:t>
      </w:r>
      <w:r>
        <w:rPr>
          <w:rFonts w:ascii="Baskerville" w:hAnsi="Baskerville" w:cs="Baskerville"/>
          <w:smallCaps/>
        </w:rPr>
        <w:t>Ill. B.J.</w:t>
      </w:r>
      <w:r>
        <w:rPr>
          <w:rFonts w:ascii="Baskerville" w:hAnsi="Baskerville" w:cs="Baskerville"/>
        </w:rPr>
        <w:t xml:space="preserve"> 256 (May 1994).</w:t>
      </w:r>
    </w:p>
    <w:p w14:paraId="65483514"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p>
    <w:p w14:paraId="1E29262C"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rPr>
        <w:t xml:space="preserve">Peter J. Whitmore, </w:t>
      </w:r>
      <w:r>
        <w:rPr>
          <w:rFonts w:ascii="Baskerville" w:hAnsi="Baskerville" w:cs="Baskerville"/>
          <w:i/>
          <w:iCs/>
        </w:rPr>
        <w:t xml:space="preserve">A Statistical Analysis of Noncompetition </w:t>
      </w:r>
      <w:r>
        <w:rPr>
          <w:rFonts w:ascii="Baskerville" w:hAnsi="Baskerville" w:cs="Baskerville"/>
          <w:i/>
          <w:iCs/>
        </w:rPr>
        <w:lastRenderedPageBreak/>
        <w:t>Clauses in Employment Contracts,</w:t>
      </w:r>
      <w:r>
        <w:rPr>
          <w:rFonts w:ascii="Baskerville" w:hAnsi="Baskerville" w:cs="Baskerville"/>
        </w:rPr>
        <w:t xml:space="preserve"> 15 </w:t>
      </w:r>
      <w:r>
        <w:rPr>
          <w:rFonts w:ascii="Baskerville" w:hAnsi="Baskerville" w:cs="Baskerville"/>
          <w:smallCaps/>
        </w:rPr>
        <w:t>J. Corp. L.</w:t>
      </w:r>
      <w:r>
        <w:rPr>
          <w:rFonts w:ascii="Baskerville" w:hAnsi="Baskerville" w:cs="Baskerville"/>
        </w:rPr>
        <w:t xml:space="preserve"> 483 (1990) (cited with favor in </w:t>
      </w:r>
      <w:r>
        <w:rPr>
          <w:rFonts w:ascii="Baskerville" w:hAnsi="Baskerville" w:cs="Baskerville"/>
          <w:i/>
          <w:iCs/>
        </w:rPr>
        <w:t>Decker, Berta &amp; Co. v. Berta,</w:t>
      </w:r>
      <w:r>
        <w:rPr>
          <w:rFonts w:ascii="Baskerville" w:hAnsi="Baskerville" w:cs="Baskerville"/>
        </w:rPr>
        <w:t xml:space="preserve"> 225 Ill. App. 3d 24, 167 Ill. Dec. 190, 587 N.E.2d 72, 77 (4th Dist. 1992)).</w:t>
      </w:r>
    </w:p>
    <w:p w14:paraId="2BAA1AA9"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p>
    <w:p w14:paraId="37CD9378"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rPr>
        <w:t xml:space="preserve">Richard L. Curry, </w:t>
      </w:r>
      <w:r>
        <w:rPr>
          <w:rFonts w:ascii="Baskerville" w:hAnsi="Baskerville" w:cs="Baskerville"/>
          <w:i/>
          <w:iCs/>
        </w:rPr>
        <w:t>Severability of Employment Restraints: The Wrong Way to Right Wrongs</w:t>
      </w:r>
      <w:r>
        <w:rPr>
          <w:rFonts w:ascii="Baskerville" w:hAnsi="Baskerville" w:cs="Baskerville"/>
        </w:rPr>
        <w:t xml:space="preserve">, 72 </w:t>
      </w:r>
      <w:r>
        <w:rPr>
          <w:rFonts w:ascii="Baskerville" w:hAnsi="Baskerville" w:cs="Baskerville"/>
          <w:smallCaps/>
        </w:rPr>
        <w:t>Ill. B.J.</w:t>
      </w:r>
      <w:r>
        <w:rPr>
          <w:rFonts w:ascii="Baskerville" w:hAnsi="Baskerville" w:cs="Baskerville"/>
        </w:rPr>
        <w:t xml:space="preserve"> 102 (1988).</w:t>
      </w:r>
    </w:p>
    <w:p w14:paraId="649F46C5"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p>
    <w:p w14:paraId="4D6AEE26"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rPr>
        <w:t xml:space="preserve">Arthur J. Sabin, </w:t>
      </w:r>
      <w:r>
        <w:rPr>
          <w:rFonts w:ascii="Baskerville" w:hAnsi="Baskerville" w:cs="Baskerville"/>
          <w:i/>
          <w:iCs/>
        </w:rPr>
        <w:t>Constructing a Viable Restrictive Covenant in Employment Contracts</w:t>
      </w:r>
      <w:r>
        <w:rPr>
          <w:rFonts w:ascii="Baskerville" w:hAnsi="Baskerville" w:cs="Baskerville"/>
        </w:rPr>
        <w:t xml:space="preserve">, 72 </w:t>
      </w:r>
      <w:r>
        <w:rPr>
          <w:rFonts w:ascii="Baskerville" w:hAnsi="Baskerville" w:cs="Baskerville"/>
          <w:smallCaps/>
        </w:rPr>
        <w:t>Ill. B.J.</w:t>
      </w:r>
      <w:r>
        <w:rPr>
          <w:rFonts w:ascii="Baskerville" w:hAnsi="Baskerville" w:cs="Baskerville"/>
        </w:rPr>
        <w:t xml:space="preserve"> 310 (1984).</w:t>
      </w:r>
    </w:p>
    <w:p w14:paraId="1A3F07F1"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p>
    <w:p w14:paraId="7F205DBF"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rPr>
        <w:t xml:space="preserve">Gary Schuman, </w:t>
      </w:r>
      <w:r>
        <w:rPr>
          <w:rFonts w:ascii="Baskerville" w:hAnsi="Baskerville" w:cs="Baskerville"/>
          <w:i/>
          <w:iCs/>
        </w:rPr>
        <w:t>Protecting Customer Information Under Illinois Trade Secret Law</w:t>
      </w:r>
      <w:r>
        <w:rPr>
          <w:rFonts w:ascii="Baskerville" w:hAnsi="Baskerville" w:cs="Baskerville"/>
        </w:rPr>
        <w:t xml:space="preserve">, 70 </w:t>
      </w:r>
      <w:r>
        <w:rPr>
          <w:rFonts w:ascii="Baskerville" w:hAnsi="Baskerville" w:cs="Baskerville"/>
          <w:smallCaps/>
        </w:rPr>
        <w:t>Ill. B.J.</w:t>
      </w:r>
      <w:r>
        <w:rPr>
          <w:rFonts w:ascii="Baskerville" w:hAnsi="Baskerville" w:cs="Baskerville"/>
        </w:rPr>
        <w:t xml:space="preserve"> 548 (1982).</w:t>
      </w:r>
    </w:p>
    <w:p w14:paraId="17B9673E" w14:textId="77777777" w:rsidR="00A05A11" w:rsidRDefault="00A05A11" w:rsidP="008B512B">
      <w:pPr>
        <w:pStyle w:val="NoParagraphStyle"/>
        <w:tabs>
          <w:tab w:val="left" w:pos="960"/>
          <w:tab w:val="left" w:pos="1440"/>
        </w:tabs>
        <w:spacing w:line="240" w:lineRule="auto"/>
        <w:ind w:left="480"/>
        <w:jc w:val="both"/>
        <w:rPr>
          <w:rFonts w:ascii="Baskerville" w:hAnsi="Baskerville" w:cs="Baskerville"/>
        </w:rPr>
      </w:pPr>
    </w:p>
    <w:p w14:paraId="3EBA7CEE" w14:textId="77777777" w:rsidR="00A05A11" w:rsidRPr="0016514A" w:rsidRDefault="00A05A11" w:rsidP="00A05A11">
      <w:pPr>
        <w:tabs>
          <w:tab w:val="left" w:pos="0"/>
          <w:tab w:val="left" w:pos="720"/>
          <w:tab w:val="left" w:pos="1440"/>
          <w:tab w:val="left" w:pos="2160"/>
          <w:tab w:val="left" w:pos="2880"/>
          <w:tab w:val="left" w:pos="3600"/>
          <w:tab w:val="left" w:pos="4320"/>
          <w:tab w:val="left" w:pos="5040"/>
          <w:tab w:val="left" w:pos="5760"/>
        </w:tabs>
        <w:ind w:firstLine="720"/>
        <w:rPr>
          <w:rFonts w:ascii="Baskerville Old Face" w:eastAsia="Calibri" w:hAnsi="Baskerville Old Face"/>
          <w:lang w:eastAsia="pt-PT"/>
        </w:rPr>
      </w:pPr>
      <w:r w:rsidRPr="0016514A">
        <w:rPr>
          <w:rFonts w:ascii="Baskerville Old Face" w:eastAsia="Calibri" w:hAnsi="Baskerville Old Face"/>
          <w:lang w:eastAsia="pt-PT"/>
        </w:rPr>
        <w:t>Although not necessarily addressing the law of this state in particular, the following resources are broadly illuminating:</w:t>
      </w:r>
    </w:p>
    <w:p w14:paraId="5DD0C9AC" w14:textId="77777777" w:rsidR="002B1245" w:rsidRDefault="002B1245" w:rsidP="006A121F">
      <w:pPr>
        <w:ind w:left="475"/>
        <w:rPr>
          <w:rFonts w:ascii="Baskerville Old Face" w:hAnsi="Baskerville Old Face"/>
          <w:color w:val="000000"/>
        </w:rPr>
      </w:pPr>
    </w:p>
    <w:p w14:paraId="7FD7B89E" w14:textId="2F9BB33E" w:rsidR="00217AC8" w:rsidRPr="00B6454E" w:rsidRDefault="00217AC8" w:rsidP="00217AC8">
      <w:pPr>
        <w:ind w:left="475"/>
        <w:rPr>
          <w:rFonts w:ascii="Baskerville" w:hAnsi="Baskerville"/>
          <w:color w:val="000000" w:themeColor="text1"/>
        </w:rPr>
      </w:pPr>
      <w:r w:rsidRPr="00B6454E">
        <w:rPr>
          <w:rFonts w:ascii="Baskerville" w:hAnsi="Baskerville"/>
          <w:color w:val="000000" w:themeColor="text1"/>
        </w:rPr>
        <w:t xml:space="preserve">Orley C. Ashenfelter, David Card, Henry S. Farber, &amp; Michael Ransom, </w:t>
      </w:r>
      <w:r w:rsidRPr="00B6454E">
        <w:rPr>
          <w:rFonts w:ascii="Baskerville" w:hAnsi="Baskerville"/>
          <w:i/>
          <w:iCs/>
          <w:color w:val="000000" w:themeColor="text1"/>
        </w:rPr>
        <w:t>Monopsony in the Labor Market: New Empirical Results and New Public Policies</w:t>
      </w:r>
      <w:r w:rsidRPr="00B6454E">
        <w:rPr>
          <w:rFonts w:ascii="Baskerville" w:hAnsi="Baskerville"/>
          <w:color w:val="000000" w:themeColor="text1"/>
        </w:rPr>
        <w:t xml:space="preserve">, 57 </w:t>
      </w:r>
      <w:r w:rsidRPr="00B6454E">
        <w:rPr>
          <w:rFonts w:ascii="Baskerville" w:hAnsi="Baskerville"/>
          <w:smallCaps/>
          <w:color w:val="000000" w:themeColor="text1"/>
        </w:rPr>
        <w:t>J. Human Res.</w:t>
      </w:r>
      <w:r w:rsidRPr="00B6454E">
        <w:rPr>
          <w:rFonts w:ascii="Baskerville" w:hAnsi="Baskerville"/>
          <w:color w:val="000000" w:themeColor="text1"/>
        </w:rPr>
        <w:t xml:space="preserve"> 51 (2022) (reporting on developments in public policy associated with widespread concerns about employer market power, postemployment covenants not to compete, and the suppression of labor market competition</w:t>
      </w:r>
      <w:r w:rsidR="00F85D4C" w:rsidRPr="00B6454E">
        <w:rPr>
          <w:rFonts w:ascii="Baskerville" w:hAnsi="Baskerville"/>
          <w:color w:val="000000" w:themeColor="text1"/>
        </w:rPr>
        <w:t>;</w:t>
      </w:r>
      <w:r w:rsidRPr="00B6454E">
        <w:rPr>
          <w:rFonts w:ascii="Baskerville" w:hAnsi="Baskerville"/>
          <w:color w:val="000000" w:themeColor="text1"/>
        </w:rPr>
        <w:t xml:space="preserve"> warning that the new policies may be set in place “before the research to fully rationalize them has been completed”).</w:t>
      </w:r>
    </w:p>
    <w:p w14:paraId="11D27F9C" w14:textId="77777777" w:rsidR="00217AC8" w:rsidRPr="00B6454E" w:rsidRDefault="00217AC8" w:rsidP="00217AC8">
      <w:pPr>
        <w:ind w:left="475"/>
        <w:rPr>
          <w:rFonts w:ascii="Baskerville" w:hAnsi="Baskerville"/>
          <w:color w:val="000000" w:themeColor="text1"/>
        </w:rPr>
      </w:pPr>
    </w:p>
    <w:p w14:paraId="5376410A" w14:textId="77777777" w:rsidR="00217AC8" w:rsidRPr="00B6454E" w:rsidRDefault="00217AC8" w:rsidP="00217AC8">
      <w:pPr>
        <w:ind w:left="475"/>
        <w:rPr>
          <w:rFonts w:ascii="Baskerville" w:hAnsi="Baskerville"/>
          <w:color w:val="000000" w:themeColor="text1"/>
          <w:shd w:val="clear" w:color="auto" w:fill="FFFFFF"/>
        </w:rPr>
      </w:pPr>
      <w:r w:rsidRPr="00B6454E">
        <w:rPr>
          <w:rFonts w:ascii="Baskerville" w:hAnsi="Baskerville"/>
          <w:color w:val="000000" w:themeColor="text1"/>
          <w:shd w:val="clear" w:color="auto" w:fill="FFFFFF"/>
        </w:rPr>
        <w:t>Susan M. Chesler &amp; Karen J. Sneddon, </w:t>
      </w:r>
      <w:r w:rsidRPr="00B6454E">
        <w:rPr>
          <w:rFonts w:ascii="Baskerville" w:hAnsi="Baskerville"/>
          <w:i/>
          <w:iCs/>
          <w:color w:val="000000" w:themeColor="text1"/>
          <w:shd w:val="clear" w:color="auto" w:fill="FFFFFF"/>
        </w:rPr>
        <w:t>The Power of a Good Story: How Narrative Techniques Can Make Transactional Documents More Persuasive</w:t>
      </w:r>
      <w:r w:rsidRPr="00B6454E">
        <w:rPr>
          <w:rFonts w:ascii="Baskerville" w:hAnsi="Baskerville"/>
          <w:color w:val="000000" w:themeColor="text1"/>
          <w:shd w:val="clear" w:color="auto" w:fill="FFFFFF"/>
        </w:rPr>
        <w:t>, 22 </w:t>
      </w:r>
      <w:r w:rsidRPr="00B6454E">
        <w:rPr>
          <w:rFonts w:ascii="Baskerville" w:hAnsi="Baskerville"/>
          <w:smallCaps/>
          <w:color w:val="000000" w:themeColor="text1"/>
          <w:shd w:val="clear" w:color="auto" w:fill="FFFFFF"/>
        </w:rPr>
        <w:t>Nev. L.J.</w:t>
      </w:r>
      <w:r w:rsidRPr="00B6454E">
        <w:rPr>
          <w:rFonts w:ascii="Baskerville" w:hAnsi="Baskerville"/>
          <w:color w:val="000000" w:themeColor="text1"/>
          <w:shd w:val="clear" w:color="auto" w:fill="FFFFFF"/>
        </w:rPr>
        <w:t xml:space="preserve"> 649 (2022) (explaining, </w:t>
      </w:r>
      <w:r w:rsidRPr="00B6454E">
        <w:rPr>
          <w:rFonts w:ascii="Baskerville" w:hAnsi="Baskerville"/>
          <w:i/>
          <w:iCs/>
          <w:color w:val="000000" w:themeColor="text1"/>
          <w:shd w:val="clear" w:color="auto" w:fill="FFFFFF"/>
        </w:rPr>
        <w:t>id</w:t>
      </w:r>
      <w:r w:rsidRPr="00B6454E">
        <w:rPr>
          <w:rFonts w:ascii="Baskerville" w:hAnsi="Baskerville"/>
          <w:color w:val="000000" w:themeColor="text1"/>
          <w:shd w:val="clear" w:color="auto" w:fill="FFFFFF"/>
        </w:rPr>
        <w:t>. at 670, that by articulating in the contract the reason for including a noncompete, such as to protect the employer’s protectable interests in confidential information or employee training, the transactional drafter is using narrative technique that helps the employee understand the need for the restriction and influences the employee later on to comply with it).</w:t>
      </w:r>
    </w:p>
    <w:p w14:paraId="7AA9ED67" w14:textId="77777777" w:rsidR="00217AC8" w:rsidRPr="00B6454E" w:rsidRDefault="00217AC8" w:rsidP="00217AC8">
      <w:pPr>
        <w:ind w:left="475"/>
        <w:rPr>
          <w:rFonts w:ascii="Baskerville" w:hAnsi="Baskerville"/>
          <w:color w:val="000000" w:themeColor="text1"/>
          <w:shd w:val="clear" w:color="auto" w:fill="FFFFFF"/>
        </w:rPr>
      </w:pPr>
    </w:p>
    <w:p w14:paraId="64058147" w14:textId="1058355E" w:rsidR="00217AC8" w:rsidRPr="00B6454E" w:rsidRDefault="00217AC8" w:rsidP="00217AC8">
      <w:pPr>
        <w:ind w:left="475"/>
        <w:rPr>
          <w:rFonts w:ascii="Baskerville" w:hAnsi="Baskerville"/>
          <w:color w:val="000000" w:themeColor="text1"/>
          <w:shd w:val="clear" w:color="auto" w:fill="FFFFFF"/>
        </w:rPr>
      </w:pPr>
      <w:r w:rsidRPr="00B6454E">
        <w:rPr>
          <w:rFonts w:ascii="Baskerville" w:hAnsi="Baskerville"/>
          <w:color w:val="000000" w:themeColor="text1"/>
          <w:shd w:val="clear" w:color="auto" w:fill="FFFFFF"/>
        </w:rPr>
        <w:t>Kenneth G. Dau-Schmidt, Xiaohan Sun, &amp; Phillip J. Jones, </w:t>
      </w:r>
      <w:r w:rsidRPr="00B6454E">
        <w:rPr>
          <w:rFonts w:ascii="Baskerville" w:hAnsi="Baskerville"/>
          <w:i/>
          <w:iCs/>
          <w:color w:val="000000" w:themeColor="text1"/>
          <w:shd w:val="clear" w:color="auto" w:fill="FFFFFF"/>
        </w:rPr>
        <w:t xml:space="preserve">The American Experience with Employee </w:t>
      </w:r>
      <w:r w:rsidRPr="00B6454E">
        <w:rPr>
          <w:rFonts w:ascii="Baskerville" w:hAnsi="Baskerville"/>
          <w:i/>
          <w:iCs/>
          <w:color w:val="000000" w:themeColor="text1"/>
          <w:shd w:val="clear" w:color="auto" w:fill="FFFFFF"/>
        </w:rPr>
        <w:lastRenderedPageBreak/>
        <w:t>Non</w:t>
      </w:r>
      <w:r w:rsidR="00204FD8">
        <w:rPr>
          <w:rFonts w:ascii="Baskerville" w:hAnsi="Baskerville"/>
          <w:i/>
          <w:iCs/>
          <w:color w:val="000000" w:themeColor="text1"/>
          <w:shd w:val="clear" w:color="auto" w:fill="FFFFFF"/>
        </w:rPr>
        <w:t>c</w:t>
      </w:r>
      <w:r w:rsidRPr="00B6454E">
        <w:rPr>
          <w:rFonts w:ascii="Baskerville" w:hAnsi="Baskerville"/>
          <w:i/>
          <w:iCs/>
          <w:color w:val="000000" w:themeColor="text1"/>
          <w:shd w:val="clear" w:color="auto" w:fill="FFFFFF"/>
        </w:rPr>
        <w:t>ompete Clauses: Constraints on Employees Flourish and Do Real Damage in the Land of Economic Liberty</w:t>
      </w:r>
      <w:r w:rsidRPr="00B6454E">
        <w:rPr>
          <w:rFonts w:ascii="Baskerville" w:hAnsi="Baskerville"/>
          <w:color w:val="000000" w:themeColor="text1"/>
          <w:shd w:val="clear" w:color="auto" w:fill="FFFFFF"/>
        </w:rPr>
        <w:t>, 42 </w:t>
      </w:r>
      <w:r w:rsidRPr="00B6454E">
        <w:rPr>
          <w:rFonts w:ascii="Baskerville" w:hAnsi="Baskerville"/>
          <w:smallCaps/>
          <w:color w:val="000000" w:themeColor="text1"/>
          <w:shd w:val="clear" w:color="auto" w:fill="FFFFFF"/>
        </w:rPr>
        <w:t xml:space="preserve">Compar. Lab. L. &amp; Pol’y J. </w:t>
      </w:r>
      <w:r w:rsidRPr="00B6454E">
        <w:rPr>
          <w:rFonts w:ascii="Baskerville" w:hAnsi="Baskerville"/>
          <w:color w:val="000000" w:themeColor="text1"/>
          <w:shd w:val="clear" w:color="auto" w:fill="FFFFFF"/>
        </w:rPr>
        <w:t>585 (Spring 2022) (concluding that noncompetes are overused in the United States and suppress employee wages, employee mobility, and the nation’s economy, all with no counterbalancing increase in employers</w:t>
      </w:r>
      <w:r w:rsidR="00F85D4C" w:rsidRPr="00B6454E">
        <w:rPr>
          <w:rFonts w:ascii="Baskerville" w:hAnsi="Baskerville"/>
          <w:color w:val="000000" w:themeColor="text1"/>
          <w:shd w:val="clear" w:color="auto" w:fill="FFFFFF"/>
        </w:rPr>
        <w:t>’</w:t>
      </w:r>
      <w:r w:rsidRPr="00B6454E">
        <w:rPr>
          <w:rFonts w:ascii="Baskerville" w:hAnsi="Baskerville"/>
          <w:color w:val="000000" w:themeColor="text1"/>
          <w:shd w:val="clear" w:color="auto" w:fill="FFFFFF"/>
        </w:rPr>
        <w:t xml:space="preserve"> investment in research and training).</w:t>
      </w:r>
    </w:p>
    <w:p w14:paraId="423D5A2F" w14:textId="77777777" w:rsidR="00217AC8" w:rsidRPr="00705394" w:rsidRDefault="00217AC8" w:rsidP="00217AC8">
      <w:pPr>
        <w:ind w:left="475"/>
        <w:rPr>
          <w:rFonts w:ascii="Baskerville" w:hAnsi="Baskerville"/>
          <w:color w:val="000000" w:themeColor="text1"/>
          <w:shd w:val="clear" w:color="auto" w:fill="FFFFFF"/>
        </w:rPr>
      </w:pPr>
    </w:p>
    <w:p w14:paraId="46B98B4D" w14:textId="77777777" w:rsidR="00217AC8" w:rsidRPr="00705394" w:rsidRDefault="00217AC8" w:rsidP="00217AC8">
      <w:pPr>
        <w:ind w:left="475"/>
        <w:rPr>
          <w:rFonts w:ascii="Baskerville" w:hAnsi="Baskerville"/>
          <w:color w:val="000000" w:themeColor="text1"/>
          <w:shd w:val="clear" w:color="auto" w:fill="FFFFFF"/>
        </w:rPr>
      </w:pPr>
      <w:r w:rsidRPr="00705394">
        <w:rPr>
          <w:rFonts w:ascii="Baskerville" w:hAnsi="Baskerville"/>
          <w:color w:val="000000" w:themeColor="text1"/>
          <w:shd w:val="clear" w:color="auto" w:fill="FFFFFF"/>
        </w:rPr>
        <w:t>Christopher R</w:t>
      </w:r>
      <w:r w:rsidRPr="003D474B">
        <w:rPr>
          <w:rFonts w:ascii="Baskerville" w:hAnsi="Baskerville"/>
          <w:color w:val="000000" w:themeColor="text1"/>
          <w:shd w:val="clear" w:color="auto" w:fill="FFFFFF"/>
        </w:rPr>
        <w:t>. Deubert &amp; Brandon Wurl, </w:t>
      </w:r>
      <w:r w:rsidRPr="003D474B">
        <w:rPr>
          <w:rFonts w:ascii="Baskerville" w:hAnsi="Baskerville"/>
          <w:i/>
          <w:iCs/>
          <w:color w:val="000000" w:themeColor="text1"/>
          <w:shd w:val="clear" w:color="auto" w:fill="FFFFFF"/>
        </w:rPr>
        <w:t>Major League Soccer at Twenty-Five: Legal and Financial Considerations for the Next Quarter Century</w:t>
      </w:r>
      <w:r w:rsidRPr="003D474B">
        <w:rPr>
          <w:rFonts w:ascii="Baskerville" w:hAnsi="Baskerville"/>
          <w:color w:val="000000" w:themeColor="text1"/>
          <w:shd w:val="clear" w:color="auto" w:fill="FFFFFF"/>
        </w:rPr>
        <w:t>, 12 </w:t>
      </w:r>
      <w:r w:rsidRPr="003D474B">
        <w:rPr>
          <w:rFonts w:ascii="Baskerville" w:hAnsi="Baskerville"/>
          <w:smallCaps/>
          <w:color w:val="000000" w:themeColor="text1"/>
          <w:shd w:val="clear" w:color="auto" w:fill="FFFFFF"/>
        </w:rPr>
        <w:t>Ariz. St. U. Sports &amp; Ent. L.J.</w:t>
      </w:r>
      <w:r w:rsidRPr="003D474B">
        <w:rPr>
          <w:rFonts w:ascii="Baskerville" w:hAnsi="Baskerville"/>
          <w:color w:val="000000" w:themeColor="text1"/>
          <w:shd w:val="clear" w:color="auto" w:fill="FFFFFF"/>
        </w:rPr>
        <w:t xml:space="preserve"> 1 (Fall 2022) (noting, </w:t>
      </w:r>
      <w:r w:rsidRPr="003D474B">
        <w:rPr>
          <w:rFonts w:ascii="Baskerville" w:hAnsi="Baskerville"/>
          <w:i/>
          <w:iCs/>
          <w:color w:val="000000" w:themeColor="text1"/>
          <w:shd w:val="clear" w:color="auto" w:fill="FFFFFF"/>
        </w:rPr>
        <w:t>id.</w:t>
      </w:r>
      <w:r w:rsidRPr="003D474B">
        <w:rPr>
          <w:rFonts w:ascii="Baskerville" w:hAnsi="Baskerville"/>
          <w:color w:val="000000" w:themeColor="text1"/>
          <w:shd w:val="clear" w:color="auto" w:fill="FFFFFF"/>
        </w:rPr>
        <w:t xml:space="preserve"> at 39, that member teams of Major League Soccer LLC are required to agree to a noncompete barring them from carrying on, owning, managing, joining, operating, controlling, or being connected with, as an employee or otherwise, any soccer-related business that competes with Major League Soccer in North America).</w:t>
      </w:r>
    </w:p>
    <w:p w14:paraId="5721D4B9" w14:textId="77777777" w:rsidR="00217AC8" w:rsidRPr="00705394" w:rsidRDefault="00217AC8" w:rsidP="00217AC8">
      <w:pPr>
        <w:ind w:left="475"/>
        <w:rPr>
          <w:rFonts w:ascii="Baskerville" w:hAnsi="Baskerville"/>
          <w:color w:val="000000" w:themeColor="text1"/>
          <w:shd w:val="clear" w:color="auto" w:fill="FFFFFF"/>
        </w:rPr>
      </w:pPr>
    </w:p>
    <w:p w14:paraId="47EAAF8C" w14:textId="77777777" w:rsidR="00217AC8" w:rsidRPr="00705394" w:rsidRDefault="00217AC8" w:rsidP="00217AC8">
      <w:pPr>
        <w:ind w:left="475"/>
        <w:rPr>
          <w:rFonts w:ascii="Baskerville" w:hAnsi="Baskerville"/>
          <w:color w:val="000000" w:themeColor="text1"/>
        </w:rPr>
      </w:pPr>
      <w:r w:rsidRPr="00705394">
        <w:rPr>
          <w:rFonts w:ascii="Baskerville" w:hAnsi="Baskerville"/>
          <w:color w:val="000000" w:themeColor="text1"/>
          <w:shd w:val="clear" w:color="auto" w:fill="FFFFFF"/>
        </w:rPr>
        <w:t xml:space="preserve">Rebecca Edelson &amp; Patrick McGill, </w:t>
      </w:r>
      <w:r w:rsidRPr="00705394">
        <w:rPr>
          <w:rFonts w:ascii="Baskerville" w:hAnsi="Baskerville"/>
          <w:i/>
          <w:iCs/>
          <w:color w:val="000000" w:themeColor="text1"/>
          <w:shd w:val="clear" w:color="auto" w:fill="FFFFFF"/>
        </w:rPr>
        <w:t>Best Practices for Negotiating and Entering into Nondisclosure Agreements</w:t>
      </w:r>
      <w:r w:rsidRPr="00705394">
        <w:rPr>
          <w:rFonts w:ascii="Baskerville" w:hAnsi="Baskerville"/>
          <w:color w:val="000000" w:themeColor="text1"/>
          <w:shd w:val="clear" w:color="auto" w:fill="FFFFFF"/>
        </w:rPr>
        <w:t xml:space="preserve">, </w:t>
      </w:r>
      <w:r w:rsidRPr="00705394">
        <w:rPr>
          <w:rFonts w:ascii="Baskerville" w:hAnsi="Baskerville"/>
          <w:color w:val="000000" w:themeColor="text1"/>
        </w:rPr>
        <w:t xml:space="preserve">29 </w:t>
      </w:r>
      <w:r w:rsidRPr="00705394">
        <w:rPr>
          <w:rFonts w:ascii="Baskerville" w:hAnsi="Baskerville"/>
          <w:smallCaps/>
          <w:color w:val="000000" w:themeColor="text1"/>
        </w:rPr>
        <w:t>Bus. Torts &amp; Unfair Competition</w:t>
      </w:r>
      <w:r w:rsidRPr="00705394">
        <w:rPr>
          <w:rFonts w:ascii="Baskerville" w:hAnsi="Baskerville"/>
          <w:color w:val="000000" w:themeColor="text1"/>
        </w:rPr>
        <w:t xml:space="preserve"> 9 (</w:t>
      </w:r>
      <w:r w:rsidRPr="003D474B">
        <w:rPr>
          <w:rFonts w:ascii="Baskerville" w:hAnsi="Baskerville"/>
          <w:color w:val="000000" w:themeColor="text1"/>
        </w:rPr>
        <w:t>Spring 2022) (advising that close attention must be paid to, among other things, the way in which “confidential information” is defined by employee nondisclosure covenants).</w:t>
      </w:r>
    </w:p>
    <w:p w14:paraId="115D6EBF" w14:textId="77777777" w:rsidR="00217AC8" w:rsidRPr="00705394" w:rsidRDefault="00217AC8" w:rsidP="00217AC8">
      <w:pPr>
        <w:ind w:left="475"/>
        <w:rPr>
          <w:rFonts w:ascii="Baskerville" w:hAnsi="Baskerville" w:cs="Baskerville"/>
          <w:bCs/>
          <w:color w:val="000000" w:themeColor="text1"/>
          <w:lang w:val="it-IT"/>
        </w:rPr>
      </w:pPr>
    </w:p>
    <w:p w14:paraId="486E438B" w14:textId="77777777" w:rsidR="00217AC8" w:rsidRPr="00705394" w:rsidRDefault="00217AC8" w:rsidP="00217AC8">
      <w:pPr>
        <w:ind w:left="475"/>
        <w:rPr>
          <w:rFonts w:ascii="Baskerville" w:hAnsi="Baskerville"/>
          <w:color w:val="000000" w:themeColor="text1"/>
        </w:rPr>
      </w:pPr>
      <w:r w:rsidRPr="00705394">
        <w:rPr>
          <w:rFonts w:ascii="Baskerville" w:hAnsi="Baskerville"/>
          <w:color w:val="000000" w:themeColor="text1"/>
          <w:shd w:val="clear" w:color="auto" w:fill="FFFFFF"/>
        </w:rPr>
        <w:t>Richard A. Epstein, </w:t>
      </w:r>
      <w:r w:rsidRPr="00705394">
        <w:rPr>
          <w:rFonts w:ascii="Baskerville" w:hAnsi="Baskerville"/>
          <w:i/>
          <w:iCs/>
          <w:color w:val="000000" w:themeColor="text1"/>
          <w:shd w:val="clear" w:color="auto" w:fill="FFFFFF"/>
        </w:rPr>
        <w:t>Antitrust Overreach in Labor Markets: A Response to Eric Posner</w:t>
      </w:r>
      <w:r w:rsidRPr="00705394">
        <w:rPr>
          <w:rFonts w:ascii="Baskerville" w:hAnsi="Baskerville"/>
          <w:color w:val="000000" w:themeColor="text1"/>
          <w:shd w:val="clear" w:color="auto" w:fill="FFFFFF"/>
        </w:rPr>
        <w:t xml:space="preserve">, </w:t>
      </w:r>
      <w:r w:rsidRPr="00705394">
        <w:rPr>
          <w:rFonts w:ascii="Baskerville" w:hAnsi="Baskerville"/>
          <w:color w:val="000000" w:themeColor="text1"/>
        </w:rPr>
        <w:t xml:space="preserve">15 </w:t>
      </w:r>
      <w:r w:rsidRPr="00705394">
        <w:rPr>
          <w:rFonts w:ascii="Baskerville" w:hAnsi="Baskerville"/>
          <w:smallCaps/>
          <w:color w:val="000000" w:themeColor="text1"/>
        </w:rPr>
        <w:t>N.Y.U. J.L. &amp; Liberty</w:t>
      </w:r>
      <w:r w:rsidRPr="00705394">
        <w:rPr>
          <w:rFonts w:ascii="Baskerville" w:hAnsi="Baskerville"/>
          <w:color w:val="000000" w:themeColor="text1"/>
        </w:rPr>
        <w:t xml:space="preserve"> 407 (2022) (responding to Eric A. Posner, </w:t>
      </w:r>
      <w:r w:rsidRPr="00705394">
        <w:rPr>
          <w:rFonts w:ascii="Baskerville" w:hAnsi="Baskerville"/>
          <w:i/>
          <w:iCs/>
          <w:color w:val="000000" w:themeColor="text1"/>
        </w:rPr>
        <w:t>Antitrust and Labor Markets: A Reply to Richard Epstein</w:t>
      </w:r>
      <w:r w:rsidRPr="00705394">
        <w:rPr>
          <w:rFonts w:ascii="Baskerville" w:hAnsi="Baskerville"/>
          <w:color w:val="000000" w:themeColor="text1"/>
        </w:rPr>
        <w:t xml:space="preserve">, 15 </w:t>
      </w:r>
      <w:r w:rsidRPr="00705394">
        <w:rPr>
          <w:rFonts w:ascii="Baskerville" w:hAnsi="Baskerville"/>
          <w:smallCaps/>
          <w:color w:val="000000" w:themeColor="text1"/>
        </w:rPr>
        <w:t>N.Y.U. J.L. &amp; Liberty</w:t>
      </w:r>
      <w:r w:rsidRPr="00705394">
        <w:rPr>
          <w:rFonts w:ascii="Baskerville" w:hAnsi="Baskerville"/>
          <w:color w:val="000000" w:themeColor="text1"/>
        </w:rPr>
        <w:t xml:space="preserve"> 389 (2022), which, in turn, responded to </w:t>
      </w:r>
      <w:r w:rsidRPr="00705394">
        <w:rPr>
          <w:rFonts w:ascii="Baskerville" w:hAnsi="Baskerville"/>
          <w:color w:val="000000" w:themeColor="text1"/>
          <w:shd w:val="clear" w:color="auto" w:fill="FFFFFF"/>
        </w:rPr>
        <w:t>Richard A. Epstein, </w:t>
      </w:r>
      <w:r w:rsidRPr="00705394">
        <w:rPr>
          <w:rFonts w:ascii="Baskerville" w:hAnsi="Baskerville"/>
          <w:i/>
          <w:iCs/>
          <w:color w:val="000000" w:themeColor="text1"/>
          <w:shd w:val="clear" w:color="auto" w:fill="FFFFFF"/>
        </w:rPr>
        <w:t>The Application of Antitrust Law to Labor Markets—Then and Now</w:t>
      </w:r>
      <w:r w:rsidRPr="00705394">
        <w:rPr>
          <w:rFonts w:ascii="Baskerville" w:hAnsi="Baskerville"/>
          <w:color w:val="000000" w:themeColor="text1"/>
          <w:shd w:val="clear" w:color="auto" w:fill="FFFFFF"/>
        </w:rPr>
        <w:t>, 15 </w:t>
      </w:r>
      <w:r w:rsidRPr="00705394">
        <w:rPr>
          <w:rFonts w:ascii="Baskerville" w:hAnsi="Baskerville"/>
          <w:smallCaps/>
          <w:color w:val="000000" w:themeColor="text1"/>
          <w:shd w:val="clear" w:color="auto" w:fill="FFFFFF"/>
        </w:rPr>
        <w:t>N.Y.U. J.L. &amp; Liberty</w:t>
      </w:r>
      <w:r w:rsidRPr="00705394">
        <w:rPr>
          <w:rFonts w:ascii="Baskerville" w:hAnsi="Baskerville"/>
          <w:color w:val="000000" w:themeColor="text1"/>
          <w:shd w:val="clear" w:color="auto" w:fill="FFFFFF"/>
        </w:rPr>
        <w:t> 327 (2022)).</w:t>
      </w:r>
    </w:p>
    <w:p w14:paraId="49220124" w14:textId="77777777" w:rsidR="00217AC8" w:rsidRPr="00705394" w:rsidRDefault="00217AC8" w:rsidP="00217AC8">
      <w:pPr>
        <w:ind w:left="475"/>
        <w:rPr>
          <w:rFonts w:ascii="Baskerville" w:hAnsi="Baskerville"/>
          <w:color w:val="000000" w:themeColor="text1"/>
        </w:rPr>
      </w:pPr>
    </w:p>
    <w:p w14:paraId="38928D28" w14:textId="77777777" w:rsidR="00217AC8" w:rsidRPr="00705394" w:rsidRDefault="00217AC8" w:rsidP="00217AC8">
      <w:pPr>
        <w:ind w:left="475"/>
        <w:rPr>
          <w:rFonts w:ascii="Baskerville" w:hAnsi="Baskerville"/>
          <w:color w:val="000000" w:themeColor="text1"/>
        </w:rPr>
      </w:pPr>
      <w:r w:rsidRPr="00705394">
        <w:rPr>
          <w:rFonts w:ascii="Baskerville" w:hAnsi="Baskerville"/>
          <w:color w:val="000000" w:themeColor="text1"/>
          <w:shd w:val="clear" w:color="auto" w:fill="FFFFFF"/>
        </w:rPr>
        <w:t>Richard A. Epstein, </w:t>
      </w:r>
      <w:r w:rsidRPr="00705394">
        <w:rPr>
          <w:rFonts w:ascii="Baskerville" w:hAnsi="Baskerville"/>
          <w:i/>
          <w:iCs/>
          <w:color w:val="000000" w:themeColor="text1"/>
          <w:shd w:val="clear" w:color="auto" w:fill="FFFFFF"/>
        </w:rPr>
        <w:t>The Application of Antitrust Law to Labor Markets—Then and Now</w:t>
      </w:r>
      <w:r w:rsidRPr="00705394">
        <w:rPr>
          <w:rFonts w:ascii="Baskerville" w:hAnsi="Baskerville"/>
          <w:color w:val="000000" w:themeColor="text1"/>
          <w:shd w:val="clear" w:color="auto" w:fill="FFFFFF"/>
        </w:rPr>
        <w:t xml:space="preserve">, </w:t>
      </w:r>
      <w:r>
        <w:rPr>
          <w:rFonts w:ascii="Baskerville" w:hAnsi="Baskerville"/>
          <w:color w:val="000000" w:themeColor="text1"/>
          <w:shd w:val="clear" w:color="auto" w:fill="FFFFFF"/>
        </w:rPr>
        <w:t>1</w:t>
      </w:r>
      <w:r w:rsidRPr="00705394">
        <w:rPr>
          <w:rFonts w:ascii="Baskerville" w:hAnsi="Baskerville"/>
          <w:color w:val="000000" w:themeColor="text1"/>
          <w:shd w:val="clear" w:color="auto" w:fill="FFFFFF"/>
        </w:rPr>
        <w:t>5 </w:t>
      </w:r>
      <w:r w:rsidRPr="00705394">
        <w:rPr>
          <w:rFonts w:ascii="Baskerville" w:hAnsi="Baskerville"/>
          <w:smallCaps/>
          <w:color w:val="000000" w:themeColor="text1"/>
          <w:shd w:val="clear" w:color="auto" w:fill="FFFFFF"/>
        </w:rPr>
        <w:t>N.Y.U. J.L. &amp; Liberty</w:t>
      </w:r>
      <w:r w:rsidRPr="00705394">
        <w:rPr>
          <w:rFonts w:ascii="Baskerville" w:hAnsi="Baskerville"/>
          <w:color w:val="000000" w:themeColor="text1"/>
          <w:shd w:val="clear" w:color="auto" w:fill="FFFFFF"/>
        </w:rPr>
        <w:t xml:space="preserve"> 327 (2022) (responded to by </w:t>
      </w:r>
      <w:r w:rsidRPr="00705394">
        <w:rPr>
          <w:rFonts w:ascii="Baskerville" w:hAnsi="Baskerville"/>
          <w:color w:val="000000" w:themeColor="text1"/>
        </w:rPr>
        <w:t xml:space="preserve">Eric A. Posner, </w:t>
      </w:r>
      <w:r w:rsidRPr="00705394">
        <w:rPr>
          <w:rFonts w:ascii="Baskerville" w:hAnsi="Baskerville"/>
          <w:i/>
          <w:iCs/>
          <w:color w:val="000000" w:themeColor="text1"/>
        </w:rPr>
        <w:t>Antitrust and Labor Markets: A Reply to Richard Epstein</w:t>
      </w:r>
      <w:r w:rsidRPr="00705394">
        <w:rPr>
          <w:rFonts w:ascii="Baskerville" w:hAnsi="Baskerville"/>
          <w:color w:val="000000" w:themeColor="text1"/>
        </w:rPr>
        <w:t xml:space="preserve">, 15 </w:t>
      </w:r>
      <w:r w:rsidRPr="00705394">
        <w:rPr>
          <w:rFonts w:ascii="Baskerville" w:hAnsi="Baskerville"/>
          <w:smallCaps/>
          <w:color w:val="000000" w:themeColor="text1"/>
        </w:rPr>
        <w:t>N.Y.U. J.L. &amp; Liberty</w:t>
      </w:r>
      <w:r w:rsidRPr="00705394">
        <w:rPr>
          <w:rFonts w:ascii="Baskerville" w:hAnsi="Baskerville"/>
          <w:color w:val="000000" w:themeColor="text1"/>
        </w:rPr>
        <w:t xml:space="preserve"> 389 (2022), which was responded to, in turn, by </w:t>
      </w:r>
      <w:r w:rsidRPr="00705394">
        <w:rPr>
          <w:rFonts w:ascii="Baskerville" w:hAnsi="Baskerville"/>
          <w:color w:val="000000" w:themeColor="text1"/>
          <w:shd w:val="clear" w:color="auto" w:fill="FFFFFF"/>
        </w:rPr>
        <w:t>Richard A. Epstein, </w:t>
      </w:r>
      <w:r w:rsidRPr="00705394">
        <w:rPr>
          <w:rFonts w:ascii="Baskerville" w:hAnsi="Baskerville"/>
          <w:i/>
          <w:iCs/>
          <w:color w:val="000000" w:themeColor="text1"/>
          <w:shd w:val="clear" w:color="auto" w:fill="FFFFFF"/>
        </w:rPr>
        <w:t xml:space="preserve">Antitrust </w:t>
      </w:r>
      <w:r w:rsidRPr="00705394">
        <w:rPr>
          <w:rFonts w:ascii="Baskerville" w:hAnsi="Baskerville"/>
          <w:i/>
          <w:iCs/>
          <w:color w:val="000000" w:themeColor="text1"/>
          <w:shd w:val="clear" w:color="auto" w:fill="FFFFFF"/>
        </w:rPr>
        <w:lastRenderedPageBreak/>
        <w:t>Overreach in Labor Markets: A Response to Eric Posner</w:t>
      </w:r>
      <w:r w:rsidRPr="00705394">
        <w:rPr>
          <w:rFonts w:ascii="Baskerville" w:hAnsi="Baskerville"/>
          <w:color w:val="000000" w:themeColor="text1"/>
          <w:shd w:val="clear" w:color="auto" w:fill="FFFFFF"/>
        </w:rPr>
        <w:t xml:space="preserve">, </w:t>
      </w:r>
      <w:r w:rsidRPr="00705394">
        <w:rPr>
          <w:rFonts w:ascii="Baskerville" w:hAnsi="Baskerville"/>
          <w:color w:val="000000" w:themeColor="text1"/>
        </w:rPr>
        <w:t xml:space="preserve">15 </w:t>
      </w:r>
      <w:r w:rsidRPr="00705394">
        <w:rPr>
          <w:rFonts w:ascii="Baskerville" w:hAnsi="Baskerville"/>
          <w:smallCaps/>
          <w:color w:val="000000" w:themeColor="text1"/>
        </w:rPr>
        <w:t>N.Y.U. J.L. &amp; Liberty</w:t>
      </w:r>
      <w:r w:rsidRPr="00705394">
        <w:rPr>
          <w:rFonts w:ascii="Baskerville" w:hAnsi="Baskerville"/>
          <w:color w:val="000000" w:themeColor="text1"/>
        </w:rPr>
        <w:t xml:space="preserve"> 407 (2022)).</w:t>
      </w:r>
    </w:p>
    <w:p w14:paraId="693E1185" w14:textId="77777777" w:rsidR="00217AC8" w:rsidRPr="00705394" w:rsidRDefault="00217AC8" w:rsidP="00217AC8">
      <w:pPr>
        <w:ind w:left="475"/>
        <w:rPr>
          <w:rFonts w:ascii="Baskerville" w:hAnsi="Baskerville"/>
          <w:color w:val="000000" w:themeColor="text1"/>
          <w:shd w:val="clear" w:color="auto" w:fill="FFFFFF"/>
        </w:rPr>
      </w:pPr>
    </w:p>
    <w:p w14:paraId="0D32FAEE" w14:textId="77777777" w:rsidR="00217AC8" w:rsidRPr="00705394" w:rsidRDefault="00217AC8" w:rsidP="00217AC8">
      <w:pPr>
        <w:ind w:left="475"/>
        <w:rPr>
          <w:rFonts w:ascii="Baskerville" w:hAnsi="Baskerville"/>
          <w:color w:val="000000" w:themeColor="text1"/>
        </w:rPr>
      </w:pPr>
      <w:r w:rsidRPr="00705394">
        <w:rPr>
          <w:rFonts w:ascii="Baskerville" w:hAnsi="Baskerville"/>
          <w:color w:val="000000" w:themeColor="text1"/>
          <w:shd w:val="clear" w:color="auto" w:fill="FFFFFF"/>
        </w:rPr>
        <w:t xml:space="preserve">Robin C. </w:t>
      </w:r>
      <w:r w:rsidRPr="003D474B">
        <w:rPr>
          <w:rFonts w:ascii="Baskerville" w:hAnsi="Baskerville"/>
          <w:color w:val="000000" w:themeColor="text1"/>
          <w:shd w:val="clear" w:color="auto" w:fill="FFFFFF"/>
        </w:rPr>
        <w:t xml:space="preserve">Feldman &amp; Mark A. Lemley, </w:t>
      </w:r>
      <w:r w:rsidRPr="003D474B">
        <w:rPr>
          <w:rFonts w:ascii="Baskerville" w:hAnsi="Baskerville"/>
          <w:i/>
          <w:iCs/>
          <w:color w:val="000000" w:themeColor="text1"/>
          <w:shd w:val="clear" w:color="auto" w:fill="FFFFFF"/>
        </w:rPr>
        <w:t>Atomistic Antitrust</w:t>
      </w:r>
      <w:r w:rsidRPr="003D474B">
        <w:rPr>
          <w:rFonts w:ascii="Baskerville" w:hAnsi="Baskerville"/>
          <w:color w:val="000000" w:themeColor="text1"/>
          <w:shd w:val="clear" w:color="auto" w:fill="FFFFFF"/>
        </w:rPr>
        <w:t xml:space="preserve">, </w:t>
      </w:r>
      <w:r w:rsidRPr="003D474B">
        <w:rPr>
          <w:rFonts w:ascii="Baskerville" w:hAnsi="Baskerville"/>
          <w:color w:val="000000" w:themeColor="text1"/>
        </w:rPr>
        <w:t xml:space="preserve">63 </w:t>
      </w:r>
      <w:r w:rsidRPr="003D474B">
        <w:rPr>
          <w:rFonts w:ascii="Baskerville" w:hAnsi="Baskerville"/>
          <w:smallCaps/>
          <w:color w:val="000000" w:themeColor="text1"/>
        </w:rPr>
        <w:t>Wm. &amp; Mary L. Rev.</w:t>
      </w:r>
      <w:r w:rsidRPr="003D474B">
        <w:rPr>
          <w:rFonts w:ascii="Baskerville" w:hAnsi="Baskerville"/>
          <w:color w:val="000000" w:themeColor="text1"/>
        </w:rPr>
        <w:t xml:space="preserve"> 1869 (May 2022) (warning that the current trees-not-the-forest focus of antitrust law overlooks probabilistic and synergistic competitive harm</w:t>
      </w:r>
      <w:r>
        <w:rPr>
          <w:rFonts w:ascii="Baskerville" w:hAnsi="Baskerville"/>
          <w:color w:val="000000" w:themeColor="text1"/>
        </w:rPr>
        <w:t xml:space="preserve">s </w:t>
      </w:r>
      <w:r w:rsidRPr="003D474B">
        <w:rPr>
          <w:rFonts w:ascii="Baskerville" w:hAnsi="Baskerville"/>
          <w:color w:val="000000" w:themeColor="text1"/>
        </w:rPr>
        <w:t>such as th</w:t>
      </w:r>
      <w:r>
        <w:rPr>
          <w:rFonts w:ascii="Baskerville" w:hAnsi="Baskerville"/>
          <w:color w:val="000000" w:themeColor="text1"/>
        </w:rPr>
        <w:t>ose</w:t>
      </w:r>
      <w:r w:rsidRPr="003D474B">
        <w:rPr>
          <w:rFonts w:ascii="Baskerville" w:hAnsi="Baskerville"/>
          <w:color w:val="000000" w:themeColor="text1"/>
        </w:rPr>
        <w:t xml:space="preserve"> wrought by postemployment noncompetes)</w:t>
      </w:r>
      <w:r>
        <w:rPr>
          <w:rFonts w:ascii="Baskerville" w:hAnsi="Baskerville"/>
          <w:color w:val="000000" w:themeColor="text1"/>
        </w:rPr>
        <w:t>.</w:t>
      </w:r>
    </w:p>
    <w:p w14:paraId="77D1273E" w14:textId="77777777" w:rsidR="00217AC8" w:rsidRPr="00705394" w:rsidRDefault="00217AC8" w:rsidP="00217AC8">
      <w:pPr>
        <w:ind w:left="475"/>
        <w:rPr>
          <w:rFonts w:ascii="Baskerville" w:hAnsi="Baskerville"/>
          <w:color w:val="000000" w:themeColor="text1"/>
        </w:rPr>
      </w:pPr>
    </w:p>
    <w:p w14:paraId="2DDB6ADD" w14:textId="77777777" w:rsidR="00217AC8" w:rsidRPr="00705394" w:rsidRDefault="00217AC8" w:rsidP="00217AC8">
      <w:pPr>
        <w:ind w:left="475"/>
        <w:rPr>
          <w:rFonts w:ascii="Baskerville" w:hAnsi="Baskerville" w:cs="Arial"/>
          <w:color w:val="000000" w:themeColor="text1"/>
        </w:rPr>
      </w:pPr>
      <w:r w:rsidRPr="00705394">
        <w:rPr>
          <w:rFonts w:ascii="Baskerville" w:hAnsi="Baskerville" w:cs="Baskerville"/>
          <w:bCs/>
          <w:color w:val="000000" w:themeColor="text1"/>
          <w:lang w:val="it-IT"/>
        </w:rPr>
        <w:t xml:space="preserve">Adrian K. Felix &amp; </w:t>
      </w:r>
      <w:r w:rsidRPr="003D474B">
        <w:rPr>
          <w:rFonts w:ascii="Baskerville" w:hAnsi="Baskerville" w:cs="Baskerville"/>
          <w:bCs/>
          <w:color w:val="000000" w:themeColor="text1"/>
          <w:lang w:val="it-IT"/>
        </w:rPr>
        <w:t xml:space="preserve">Andra Terrell, </w:t>
      </w:r>
      <w:r w:rsidRPr="003D474B">
        <w:rPr>
          <w:rFonts w:ascii="Baskerville" w:hAnsi="Baskerville" w:cs="Baskerville"/>
          <w:bCs/>
          <w:i/>
          <w:iCs/>
          <w:color w:val="000000" w:themeColor="text1"/>
          <w:lang w:val="it-IT"/>
        </w:rPr>
        <w:t>Navigating the Post-Term Franchisor-Franchisee Relationship</w:t>
      </w:r>
      <w:r w:rsidRPr="003D474B">
        <w:rPr>
          <w:rFonts w:ascii="Baskerville" w:hAnsi="Baskerville" w:cs="Baskerville"/>
          <w:bCs/>
          <w:color w:val="000000" w:themeColor="text1"/>
          <w:lang w:val="it-IT"/>
        </w:rPr>
        <w:t xml:space="preserve">, 25 </w:t>
      </w:r>
      <w:r w:rsidRPr="003D474B">
        <w:rPr>
          <w:rFonts w:ascii="Baskerville" w:hAnsi="Baskerville" w:cs="Baskerville"/>
          <w:bCs/>
          <w:smallCaps/>
          <w:color w:val="000000" w:themeColor="text1"/>
          <w:lang w:val="it-IT"/>
        </w:rPr>
        <w:t>Franchise Law.</w:t>
      </w:r>
      <w:r w:rsidRPr="003D474B">
        <w:rPr>
          <w:rFonts w:ascii="Baskerville" w:hAnsi="Baskerville" w:cs="Baskerville"/>
          <w:bCs/>
          <w:color w:val="000000" w:themeColor="text1"/>
          <w:lang w:val="it-IT"/>
        </w:rPr>
        <w:t xml:space="preserve"> 11 (Winter 2022) (discussing how courts have analyzed franchisors’ and franchisees’ conduct post-term to determine </w:t>
      </w:r>
      <w:r w:rsidRPr="003D474B">
        <w:rPr>
          <w:rFonts w:ascii="Baskerville" w:hAnsi="Baskerville" w:cs="Arial"/>
          <w:color w:val="000000" w:themeColor="text1"/>
        </w:rPr>
        <w:t>when a franchise-context noncompete’s period of restraint</w:t>
      </w:r>
      <w:r>
        <w:rPr>
          <w:rFonts w:ascii="Baskerville" w:hAnsi="Baskerville" w:cs="Arial"/>
          <w:color w:val="000000" w:themeColor="text1"/>
        </w:rPr>
        <w:t xml:space="preserve"> is to</w:t>
      </w:r>
      <w:r w:rsidRPr="003D474B">
        <w:rPr>
          <w:rFonts w:ascii="Baskerville" w:hAnsi="Baskerville" w:cs="Arial"/>
          <w:color w:val="000000" w:themeColor="text1"/>
        </w:rPr>
        <w:t xml:space="preserve"> begin).</w:t>
      </w:r>
    </w:p>
    <w:p w14:paraId="5EF81382" w14:textId="77777777" w:rsidR="00217AC8" w:rsidRPr="00705394" w:rsidRDefault="00217AC8" w:rsidP="00217AC8">
      <w:pPr>
        <w:ind w:left="475"/>
        <w:rPr>
          <w:rFonts w:ascii="Baskerville" w:hAnsi="Baskerville" w:cs="Arial"/>
          <w:color w:val="000000" w:themeColor="text1"/>
        </w:rPr>
      </w:pPr>
    </w:p>
    <w:p w14:paraId="6E113E9C" w14:textId="1411F709" w:rsidR="00217AC8" w:rsidRPr="00705394" w:rsidRDefault="00217AC8" w:rsidP="00217AC8">
      <w:pPr>
        <w:ind w:left="475"/>
        <w:rPr>
          <w:rFonts w:ascii="Baskerville" w:hAnsi="Baskerville"/>
          <w:color w:val="000000" w:themeColor="text1"/>
        </w:rPr>
      </w:pPr>
      <w:r w:rsidRPr="00705394">
        <w:rPr>
          <w:rFonts w:ascii="Baskerville" w:hAnsi="Baskerville" w:cs="Baskerville"/>
          <w:bCs/>
          <w:color w:val="000000" w:themeColor="text1"/>
          <w:lang w:val="it-IT"/>
        </w:rPr>
        <w:t xml:space="preserve">Diana </w:t>
      </w:r>
      <w:r w:rsidRPr="003D474B">
        <w:rPr>
          <w:rFonts w:ascii="Baskerville" w:hAnsi="Baskerville" w:cs="Baskerville"/>
          <w:bCs/>
          <w:color w:val="000000" w:themeColor="text1"/>
          <w:lang w:val="it-IT"/>
        </w:rPr>
        <w:t xml:space="preserve">Furchgott-Roth, </w:t>
      </w:r>
      <w:r w:rsidRPr="003D474B">
        <w:rPr>
          <w:rFonts w:ascii="Baskerville" w:hAnsi="Baskerville" w:cs="Baskerville"/>
          <w:bCs/>
          <w:i/>
          <w:iCs/>
          <w:color w:val="000000" w:themeColor="text1"/>
          <w:lang w:val="it-IT"/>
        </w:rPr>
        <w:t>Antitrust and Modern U.S. Labor Markets: An Economics Perspective</w:t>
      </w:r>
      <w:r w:rsidRPr="003D474B">
        <w:rPr>
          <w:rFonts w:ascii="Baskerville" w:hAnsi="Baskerville" w:cs="Baskerville"/>
          <w:bCs/>
          <w:color w:val="000000" w:themeColor="text1"/>
          <w:lang w:val="it-IT"/>
        </w:rPr>
        <w:t xml:space="preserve">, </w:t>
      </w:r>
      <w:r w:rsidRPr="003D474B">
        <w:rPr>
          <w:rFonts w:ascii="Baskerville" w:hAnsi="Baskerville"/>
          <w:color w:val="000000" w:themeColor="text1"/>
        </w:rPr>
        <w:t xml:space="preserve">2022 </w:t>
      </w:r>
      <w:r w:rsidRPr="003D474B">
        <w:rPr>
          <w:rFonts w:ascii="Baskerville" w:hAnsi="Baskerville"/>
          <w:smallCaps/>
          <w:color w:val="000000" w:themeColor="text1"/>
        </w:rPr>
        <w:t>Harv. J.L. &amp; Pub. Pol’y Per Curiam</w:t>
      </w:r>
      <w:r w:rsidRPr="003D474B">
        <w:rPr>
          <w:rFonts w:ascii="Baskerville" w:hAnsi="Baskerville"/>
          <w:color w:val="000000" w:themeColor="text1"/>
        </w:rPr>
        <w:t xml:space="preserve"> 1 (2022) (characterizing, </w:t>
      </w:r>
      <w:r w:rsidRPr="003D474B">
        <w:rPr>
          <w:rFonts w:ascii="Baskerville" w:hAnsi="Baskerville"/>
          <w:i/>
          <w:iCs/>
          <w:color w:val="000000" w:themeColor="text1"/>
        </w:rPr>
        <w:t>id.</w:t>
      </w:r>
      <w:r w:rsidRPr="003D474B">
        <w:rPr>
          <w:rFonts w:ascii="Baskerville" w:hAnsi="Baskerville"/>
          <w:color w:val="000000" w:themeColor="text1"/>
        </w:rPr>
        <w:t xml:space="preserve"> at 1, as “antithetical to the well-being of workers” the Federal Trade Commission’s recent application of antitrust law to the labor market).</w:t>
      </w:r>
    </w:p>
    <w:p w14:paraId="269BE574" w14:textId="77777777" w:rsidR="00217AC8" w:rsidRPr="00705394" w:rsidRDefault="00217AC8" w:rsidP="00217AC8">
      <w:pPr>
        <w:ind w:left="475"/>
        <w:rPr>
          <w:rFonts w:ascii="Baskerville" w:hAnsi="Baskerville" w:cs="Baskerville"/>
          <w:bCs/>
          <w:color w:val="000000" w:themeColor="text1"/>
          <w:lang w:val="it-IT"/>
        </w:rPr>
      </w:pPr>
    </w:p>
    <w:p w14:paraId="45BE5381" w14:textId="77777777" w:rsidR="00217AC8" w:rsidRPr="00705394" w:rsidRDefault="00217AC8" w:rsidP="00217AC8">
      <w:pPr>
        <w:ind w:left="475"/>
        <w:rPr>
          <w:rFonts w:ascii="Baskerville" w:hAnsi="Baskerville" w:cstheme="minorBidi"/>
          <w:color w:val="000000" w:themeColor="text1"/>
        </w:rPr>
      </w:pPr>
      <w:r w:rsidRPr="003D474B">
        <w:rPr>
          <w:rFonts w:ascii="Baskerville" w:hAnsi="Baskerville" w:cs="Arial"/>
          <w:color w:val="000000" w:themeColor="text1"/>
          <w:shd w:val="clear" w:color="auto" w:fill="FFFFFF"/>
        </w:rPr>
        <w:t xml:space="preserve">Denisse Garcia, </w:t>
      </w:r>
      <w:r w:rsidRPr="003D474B">
        <w:rPr>
          <w:rFonts w:ascii="Baskerville" w:hAnsi="Baskerville" w:cs="Arial"/>
          <w:i/>
          <w:iCs/>
          <w:color w:val="000000" w:themeColor="text1"/>
          <w:shd w:val="clear" w:color="auto" w:fill="FFFFFF"/>
        </w:rPr>
        <w:t>Trade Secrets: The Fashion Industry’s Trendiest Secret</w:t>
      </w:r>
      <w:r w:rsidRPr="003D474B">
        <w:rPr>
          <w:rFonts w:ascii="Baskerville" w:hAnsi="Baskerville" w:cs="Arial"/>
          <w:color w:val="000000" w:themeColor="text1"/>
          <w:shd w:val="clear" w:color="auto" w:fill="FFFFFF"/>
        </w:rPr>
        <w:t xml:space="preserve">, 29 </w:t>
      </w:r>
      <w:r w:rsidRPr="003D474B">
        <w:rPr>
          <w:rFonts w:ascii="Baskerville" w:hAnsi="Baskerville"/>
          <w:smallCaps/>
          <w:color w:val="000000" w:themeColor="text1"/>
        </w:rPr>
        <w:t>Bus. Torts &amp; Unfair Competition 3 (2022) (</w:t>
      </w:r>
      <w:r w:rsidRPr="003D474B">
        <w:rPr>
          <w:rFonts w:ascii="Baskerville" w:hAnsi="Baskerville"/>
          <w:color w:val="000000" w:themeColor="text1"/>
        </w:rPr>
        <w:t>counseling that the secrecy of apparel and accessory designs should be maintained prior to release to the public).</w:t>
      </w:r>
    </w:p>
    <w:p w14:paraId="319656D4" w14:textId="77777777" w:rsidR="00217AC8" w:rsidRPr="00705394" w:rsidRDefault="00217AC8" w:rsidP="00217AC8">
      <w:pPr>
        <w:ind w:left="475"/>
        <w:rPr>
          <w:rFonts w:ascii="Baskerville" w:hAnsi="Baskerville" w:cs="Baskerville"/>
          <w:bCs/>
          <w:color w:val="000000" w:themeColor="text1"/>
          <w:lang w:val="it-IT"/>
        </w:rPr>
      </w:pPr>
    </w:p>
    <w:p w14:paraId="6F8DCA1F" w14:textId="77777777" w:rsidR="00217AC8" w:rsidRPr="003D474B" w:rsidRDefault="00217AC8" w:rsidP="00217AC8">
      <w:pPr>
        <w:ind w:left="475"/>
        <w:rPr>
          <w:rFonts w:ascii="Baskerville" w:hAnsi="Baskerville" w:cs="Baskerville"/>
          <w:bCs/>
          <w:color w:val="000000" w:themeColor="text1"/>
          <w:lang w:val="it-IT"/>
        </w:rPr>
      </w:pPr>
      <w:r w:rsidRPr="00705394">
        <w:rPr>
          <w:rFonts w:ascii="Baskerville" w:hAnsi="Baskerville" w:cs="Baskerville"/>
          <w:bCs/>
          <w:color w:val="000000" w:themeColor="text1"/>
          <w:lang w:val="it-IT"/>
        </w:rPr>
        <w:t xml:space="preserve">Meredith Gramman, </w:t>
      </w:r>
      <w:r w:rsidRPr="00705394">
        <w:rPr>
          <w:rFonts w:ascii="Baskerville" w:hAnsi="Baskerville" w:cs="Baskerville"/>
          <w:bCs/>
          <w:i/>
          <w:iCs/>
          <w:color w:val="000000" w:themeColor="text1"/>
          <w:lang w:val="it-IT"/>
        </w:rPr>
        <w:t>“Garden” Against Competition: Codification of Garden Leave and Noncompete Reform</w:t>
      </w:r>
      <w:r w:rsidRPr="00705394">
        <w:rPr>
          <w:rFonts w:ascii="Baskerville" w:hAnsi="Baskerville" w:cs="Baskerville"/>
          <w:bCs/>
          <w:color w:val="000000" w:themeColor="text1"/>
          <w:lang w:val="it-IT"/>
        </w:rPr>
        <w:t xml:space="preserve">, 36 </w:t>
      </w:r>
      <w:r w:rsidRPr="00705394">
        <w:rPr>
          <w:rFonts w:ascii="Baskerville" w:hAnsi="Baskerville" w:cs="Baskerville"/>
          <w:bCs/>
          <w:smallCaps/>
          <w:color w:val="000000" w:themeColor="text1"/>
          <w:lang w:val="it-IT"/>
        </w:rPr>
        <w:t>ABA J. Lab. &amp; Emp. L.</w:t>
      </w:r>
      <w:r w:rsidRPr="00705394">
        <w:rPr>
          <w:rFonts w:ascii="Baskerville" w:hAnsi="Baskerville" w:cs="Baskerville"/>
          <w:bCs/>
          <w:color w:val="000000" w:themeColor="text1"/>
          <w:lang w:val="it-IT"/>
        </w:rPr>
        <w:t xml:space="preserve"> 147 (</w:t>
      </w:r>
      <w:r w:rsidRPr="003D474B">
        <w:rPr>
          <w:rFonts w:ascii="Baskerville" w:hAnsi="Baskerville" w:cs="Baskerville"/>
          <w:bCs/>
          <w:color w:val="000000" w:themeColor="text1"/>
          <w:lang w:val="it-IT"/>
        </w:rPr>
        <w:t>2022).</w:t>
      </w:r>
    </w:p>
    <w:p w14:paraId="2D8FEF90" w14:textId="77777777" w:rsidR="00217AC8" w:rsidRPr="003D474B" w:rsidRDefault="00217AC8" w:rsidP="00217AC8">
      <w:pPr>
        <w:ind w:left="475"/>
        <w:rPr>
          <w:rFonts w:ascii="Baskerville" w:hAnsi="Baskerville" w:cs="Baskerville"/>
          <w:bCs/>
          <w:color w:val="000000" w:themeColor="text1"/>
          <w:lang w:val="it-IT"/>
        </w:rPr>
      </w:pPr>
    </w:p>
    <w:p w14:paraId="05E63B29" w14:textId="77777777" w:rsidR="00217AC8" w:rsidRPr="00705394" w:rsidRDefault="00217AC8" w:rsidP="00217AC8">
      <w:pPr>
        <w:ind w:left="475"/>
        <w:rPr>
          <w:rFonts w:ascii="Baskerville" w:hAnsi="Baskerville" w:cs="Baskerville"/>
          <w:bCs/>
          <w:color w:val="000000" w:themeColor="text1"/>
          <w:lang w:val="it-IT"/>
        </w:rPr>
      </w:pPr>
      <w:r w:rsidRPr="003D474B">
        <w:rPr>
          <w:rFonts w:ascii="Baskerville" w:hAnsi="Baskerville" w:cs="Baskerville"/>
          <w:bCs/>
          <w:color w:val="000000" w:themeColor="text1"/>
          <w:lang w:val="it-IT"/>
        </w:rPr>
        <w:t xml:space="preserve">Charles Tait Graves, </w:t>
      </w:r>
      <w:r w:rsidRPr="003D474B">
        <w:rPr>
          <w:rFonts w:ascii="Baskerville" w:hAnsi="Baskerville" w:cs="Baskerville"/>
          <w:bCs/>
          <w:i/>
          <w:iCs/>
          <w:color w:val="000000" w:themeColor="text1"/>
          <w:lang w:val="it-IT"/>
        </w:rPr>
        <w:t>Questioning the Employee Non-Solicitation Covenant</w:t>
      </w:r>
      <w:r w:rsidRPr="003D474B">
        <w:rPr>
          <w:rFonts w:ascii="Baskerville" w:hAnsi="Baskerville" w:cs="Baskerville"/>
          <w:bCs/>
          <w:smallCaps/>
          <w:color w:val="000000" w:themeColor="text1"/>
          <w:lang w:val="it-IT"/>
        </w:rPr>
        <w:t>, Loy. of</w:t>
      </w:r>
      <w:r w:rsidRPr="003D474B">
        <w:rPr>
          <w:rFonts w:ascii="Baskerville" w:hAnsi="Baskerville" w:cs="Baskerville"/>
          <w:bCs/>
          <w:color w:val="000000" w:themeColor="text1"/>
          <w:lang w:val="it-IT"/>
        </w:rPr>
        <w:t xml:space="preserve"> </w:t>
      </w:r>
      <w:r w:rsidRPr="003D474B">
        <w:rPr>
          <w:rFonts w:ascii="Baskerville" w:hAnsi="Baskerville" w:cs="Baskerville"/>
          <w:bCs/>
          <w:smallCaps/>
          <w:color w:val="000000" w:themeColor="text1"/>
          <w:lang w:val="it-IT"/>
        </w:rPr>
        <w:t>L.A. L. Rev.</w:t>
      </w:r>
      <w:r w:rsidRPr="003D474B">
        <w:rPr>
          <w:rFonts w:ascii="Baskerville" w:hAnsi="Baskerville" w:cs="Baskerville"/>
          <w:bCs/>
          <w:color w:val="000000" w:themeColor="text1"/>
          <w:lang w:val="it-IT"/>
        </w:rPr>
        <w:t xml:space="preserve"> 959 (2022) (arguing that courts have ruled too much in favor of employers in enforcing nonsolicitation covenants).</w:t>
      </w:r>
    </w:p>
    <w:p w14:paraId="6C78512F" w14:textId="77777777" w:rsidR="00217AC8" w:rsidRPr="00705394" w:rsidRDefault="00217AC8" w:rsidP="00217AC8">
      <w:pPr>
        <w:ind w:left="475"/>
        <w:rPr>
          <w:rFonts w:ascii="Baskerville" w:hAnsi="Baskerville"/>
          <w:color w:val="000000" w:themeColor="text1"/>
          <w:shd w:val="clear" w:color="auto" w:fill="FFFFFF"/>
        </w:rPr>
      </w:pPr>
    </w:p>
    <w:p w14:paraId="5ECF683E" w14:textId="77777777" w:rsidR="00217AC8" w:rsidRPr="00705394" w:rsidRDefault="00217AC8" w:rsidP="00217AC8">
      <w:pPr>
        <w:ind w:left="475"/>
        <w:rPr>
          <w:rFonts w:ascii="Baskerville" w:hAnsi="Baskerville" w:cs="Arial"/>
          <w:color w:val="000000" w:themeColor="text1"/>
          <w:shd w:val="clear" w:color="auto" w:fill="FFFFFF"/>
        </w:rPr>
      </w:pPr>
      <w:r w:rsidRPr="003D474B">
        <w:rPr>
          <w:rFonts w:ascii="Baskerville" w:hAnsi="Baskerville"/>
          <w:color w:val="000000" w:themeColor="text1"/>
          <w:shd w:val="clear" w:color="auto" w:fill="FFFFFF"/>
        </w:rPr>
        <w:t>Ryan Greenberg, Note, </w:t>
      </w:r>
      <w:r w:rsidRPr="003D474B">
        <w:rPr>
          <w:rFonts w:ascii="Baskerville" w:hAnsi="Baskerville"/>
          <w:i/>
          <w:iCs/>
          <w:color w:val="000000" w:themeColor="text1"/>
          <w:shd w:val="clear" w:color="auto" w:fill="FFFFFF"/>
        </w:rPr>
        <w:t xml:space="preserve">In Support of UREAA: The Case for Timely, Uniform, and Comprehensive Action Against </w:t>
      </w:r>
      <w:r w:rsidRPr="003D474B">
        <w:rPr>
          <w:rFonts w:ascii="Baskerville" w:hAnsi="Baskerville"/>
          <w:i/>
          <w:iCs/>
          <w:color w:val="000000" w:themeColor="text1"/>
          <w:shd w:val="clear" w:color="auto" w:fill="FFFFFF"/>
        </w:rPr>
        <w:lastRenderedPageBreak/>
        <w:t>Restrictive Employment Agreements</w:t>
      </w:r>
      <w:r w:rsidRPr="003D474B">
        <w:rPr>
          <w:rFonts w:ascii="Baskerville" w:hAnsi="Baskerville"/>
          <w:color w:val="000000" w:themeColor="text1"/>
          <w:shd w:val="clear" w:color="auto" w:fill="FFFFFF"/>
        </w:rPr>
        <w:t>, 31 </w:t>
      </w:r>
      <w:r w:rsidRPr="003D474B">
        <w:rPr>
          <w:rFonts w:ascii="Baskerville" w:hAnsi="Baskerville"/>
          <w:smallCaps/>
          <w:color w:val="000000" w:themeColor="text1"/>
          <w:shd w:val="clear" w:color="auto" w:fill="FFFFFF"/>
        </w:rPr>
        <w:t xml:space="preserve">U. Miami Bus. L. Rev. </w:t>
      </w:r>
      <w:r w:rsidRPr="003D474B">
        <w:rPr>
          <w:rFonts w:ascii="Baskerville" w:hAnsi="Baskerville"/>
          <w:color w:val="000000" w:themeColor="text1"/>
          <w:shd w:val="clear" w:color="auto" w:fill="FFFFFF"/>
        </w:rPr>
        <w:t>119 (2022) (urging states to adopt the Uniform Restrictive Employment Agreement Act (Unif. L. Comm’n 2021) (UREAA), “</w:t>
      </w:r>
      <w:r w:rsidRPr="003D474B">
        <w:rPr>
          <w:rFonts w:ascii="Baskerville" w:hAnsi="Baskerville" w:cs="Arial"/>
          <w:color w:val="000000" w:themeColor="text1"/>
          <w:shd w:val="clear" w:color="auto" w:fill="FFFFFF"/>
        </w:rPr>
        <w:t xml:space="preserve">a forward-thinking piece of legislation that seeks to unify the current patchwork of state laws targeting various renditions of restrictive employment agreements”). </w:t>
      </w:r>
      <w:r w:rsidRPr="003D474B">
        <w:rPr>
          <w:rFonts w:ascii="Baskerville" w:hAnsi="Baskerville"/>
          <w:color w:val="000000" w:themeColor="text1"/>
          <w:shd w:val="clear" w:color="auto" w:fill="FFFFFF"/>
        </w:rPr>
        <w:t>For the text of the UREAA, see https://www.uniformlaws.org/viewdocument/enactment</w:t>
      </w:r>
      <w:r w:rsidRPr="00705394">
        <w:rPr>
          <w:rFonts w:ascii="Baskerville" w:hAnsi="Baskerville"/>
          <w:color w:val="000000" w:themeColor="text1"/>
          <w:shd w:val="clear" w:color="auto" w:fill="FFFFFF"/>
        </w:rPr>
        <w:t>-kit-104?CommunityKey=f870a839-27cd-4150-ad5f-51d8214f1cd2&amp;tab=librarydocuments.</w:t>
      </w:r>
    </w:p>
    <w:p w14:paraId="55DEE937" w14:textId="77777777" w:rsidR="00217AC8" w:rsidRPr="00705394" w:rsidRDefault="00217AC8" w:rsidP="00217AC8">
      <w:pPr>
        <w:ind w:left="475"/>
        <w:rPr>
          <w:rFonts w:ascii="Baskerville" w:hAnsi="Baskerville"/>
          <w:color w:val="000000" w:themeColor="text1"/>
          <w:shd w:val="clear" w:color="auto" w:fill="FFFFFF"/>
        </w:rPr>
      </w:pPr>
    </w:p>
    <w:p w14:paraId="63A5C2E3" w14:textId="4FF837B8" w:rsidR="00217AC8" w:rsidRPr="00705394" w:rsidRDefault="00217AC8" w:rsidP="00217AC8">
      <w:pPr>
        <w:ind w:left="475"/>
        <w:rPr>
          <w:rFonts w:ascii="Baskerville" w:hAnsi="Baskerville"/>
          <w:color w:val="000000" w:themeColor="text1"/>
          <w:shd w:val="clear" w:color="auto" w:fill="FFFFFF"/>
        </w:rPr>
      </w:pPr>
      <w:r w:rsidRPr="00705394">
        <w:rPr>
          <w:rFonts w:ascii="Baskerville" w:hAnsi="Baskerville"/>
          <w:color w:val="000000" w:themeColor="text1"/>
          <w:shd w:val="clear" w:color="auto" w:fill="FFFFFF"/>
        </w:rPr>
        <w:t>Robert A. Hillman, </w:t>
      </w:r>
      <w:r w:rsidRPr="00705394">
        <w:rPr>
          <w:rFonts w:ascii="Baskerville" w:hAnsi="Baskerville"/>
          <w:i/>
          <w:iCs/>
          <w:color w:val="000000" w:themeColor="text1"/>
          <w:shd w:val="clear" w:color="auto" w:fill="FFFFFF"/>
        </w:rPr>
        <w:t>Health Crises and the Limited Role of Contract Law</w:t>
      </w:r>
      <w:r w:rsidRPr="00705394">
        <w:rPr>
          <w:rFonts w:ascii="Baskerville" w:hAnsi="Baskerville"/>
          <w:color w:val="000000" w:themeColor="text1"/>
          <w:shd w:val="clear" w:color="auto" w:fill="FFFFFF"/>
        </w:rPr>
        <w:t>, 85 </w:t>
      </w:r>
      <w:r w:rsidRPr="00705394">
        <w:rPr>
          <w:rFonts w:ascii="Baskerville" w:hAnsi="Baskerville"/>
          <w:smallCaps/>
          <w:color w:val="000000" w:themeColor="text1"/>
          <w:shd w:val="clear" w:color="auto" w:fill="FFFFFF"/>
        </w:rPr>
        <w:t>L. &amp; Contemp. Probs.</w:t>
      </w:r>
      <w:r w:rsidRPr="00705394">
        <w:rPr>
          <w:rFonts w:ascii="Baskerville" w:hAnsi="Baskerville"/>
          <w:color w:val="000000" w:themeColor="text1"/>
          <w:shd w:val="clear" w:color="auto" w:fill="FFFFFF"/>
        </w:rPr>
        <w:t xml:space="preserve"> 19 (2022) (suggesting, </w:t>
      </w:r>
      <w:r w:rsidRPr="00705394">
        <w:rPr>
          <w:rFonts w:ascii="Baskerville" w:hAnsi="Baskerville"/>
          <w:i/>
          <w:iCs/>
          <w:color w:val="000000" w:themeColor="text1"/>
          <w:shd w:val="clear" w:color="auto" w:fill="FFFFFF"/>
        </w:rPr>
        <w:t>id</w:t>
      </w:r>
      <w:r w:rsidRPr="00705394">
        <w:rPr>
          <w:rFonts w:ascii="Baskerville" w:hAnsi="Baskerville"/>
          <w:color w:val="000000" w:themeColor="text1"/>
          <w:shd w:val="clear" w:color="auto" w:fill="FFFFFF"/>
        </w:rPr>
        <w:t>. at 23, that there may be “good reason</w:t>
      </w:r>
      <w:r w:rsidR="00204FD8">
        <w:rPr>
          <w:rFonts w:ascii="Baskerville" w:hAnsi="Baskerville"/>
          <w:color w:val="000000" w:themeColor="text1"/>
          <w:shd w:val="clear" w:color="auto" w:fill="FFFFFF"/>
        </w:rPr>
        <w:t>s</w:t>
      </w:r>
      <w:r w:rsidRPr="00705394">
        <w:rPr>
          <w:rFonts w:ascii="Baskerville" w:hAnsi="Baskerville"/>
          <w:color w:val="000000" w:themeColor="text1"/>
          <w:shd w:val="clear" w:color="auto" w:fill="FFFFFF"/>
        </w:rPr>
        <w:t xml:space="preserve"> to distinguish public policy concerns in health-risk situations from more established public policy defenses, such as those that involve the enforceability of … covenants not to compete”).</w:t>
      </w:r>
    </w:p>
    <w:p w14:paraId="69326B7C" w14:textId="77777777" w:rsidR="00217AC8" w:rsidRPr="00705394" w:rsidRDefault="00217AC8" w:rsidP="00217AC8">
      <w:pPr>
        <w:ind w:left="475"/>
        <w:rPr>
          <w:rFonts w:ascii="Baskerville" w:hAnsi="Baskerville"/>
          <w:color w:val="000000" w:themeColor="text1"/>
          <w:shd w:val="clear" w:color="auto" w:fill="FFFFFF"/>
        </w:rPr>
      </w:pPr>
    </w:p>
    <w:p w14:paraId="4E5258E6" w14:textId="77777777" w:rsidR="00217AC8" w:rsidRPr="00705394" w:rsidRDefault="00217AC8" w:rsidP="00217AC8">
      <w:pPr>
        <w:ind w:left="475"/>
        <w:rPr>
          <w:rFonts w:ascii="Baskerville" w:hAnsi="Baskerville"/>
          <w:color w:val="000000" w:themeColor="text1"/>
        </w:rPr>
      </w:pPr>
      <w:r w:rsidRPr="00705394">
        <w:rPr>
          <w:rFonts w:ascii="Baskerville" w:hAnsi="Baskerville"/>
          <w:color w:val="000000" w:themeColor="text1"/>
        </w:rPr>
        <w:t xml:space="preserve">Herbert Hovenkamp, </w:t>
      </w:r>
      <w:r w:rsidRPr="00705394">
        <w:rPr>
          <w:rFonts w:ascii="Baskerville" w:hAnsi="Baskerville"/>
          <w:i/>
          <w:iCs/>
          <w:color w:val="000000" w:themeColor="text1"/>
        </w:rPr>
        <w:t>President Biden’s Executive Order on Competition: An Antitrust Analysis</w:t>
      </w:r>
      <w:r w:rsidRPr="00705394">
        <w:rPr>
          <w:rFonts w:ascii="Baskerville" w:hAnsi="Baskerville"/>
          <w:color w:val="000000" w:themeColor="text1"/>
        </w:rPr>
        <w:t xml:space="preserve">, </w:t>
      </w:r>
      <w:r w:rsidRPr="00705394">
        <w:rPr>
          <w:rFonts w:ascii="Baskerville" w:hAnsi="Baskerville"/>
          <w:smallCaps/>
          <w:color w:val="000000" w:themeColor="text1"/>
        </w:rPr>
        <w:t>64 Ariz. L. Rev.</w:t>
      </w:r>
      <w:r w:rsidRPr="00705394">
        <w:rPr>
          <w:rFonts w:ascii="Baskerville" w:hAnsi="Baskerville"/>
          <w:color w:val="000000" w:themeColor="text1"/>
        </w:rPr>
        <w:t xml:space="preserve"> 383 (2022).</w:t>
      </w:r>
    </w:p>
    <w:p w14:paraId="48295C20" w14:textId="77777777" w:rsidR="00217AC8" w:rsidRPr="00705394" w:rsidRDefault="00217AC8" w:rsidP="00217AC8">
      <w:pPr>
        <w:ind w:left="475"/>
        <w:rPr>
          <w:rFonts w:ascii="Baskerville" w:hAnsi="Baskerville"/>
          <w:color w:val="000000" w:themeColor="text1"/>
          <w:shd w:val="clear" w:color="auto" w:fill="FFFFFF"/>
        </w:rPr>
      </w:pPr>
    </w:p>
    <w:p w14:paraId="75C01907" w14:textId="77777777" w:rsidR="00217AC8" w:rsidRPr="00705394" w:rsidRDefault="00217AC8" w:rsidP="00217AC8">
      <w:pPr>
        <w:ind w:left="475"/>
        <w:rPr>
          <w:rFonts w:ascii="Baskerville" w:hAnsi="Baskerville"/>
          <w:color w:val="000000" w:themeColor="text1"/>
          <w:shd w:val="clear" w:color="auto" w:fill="FFFFFF"/>
        </w:rPr>
      </w:pPr>
      <w:r w:rsidRPr="00705394">
        <w:rPr>
          <w:rFonts w:ascii="Baskerville" w:hAnsi="Baskerville"/>
          <w:color w:val="000000" w:themeColor="text1"/>
          <w:shd w:val="clear" w:color="auto" w:fill="FFFFFF"/>
        </w:rPr>
        <w:t>Kushagra Kaushik, </w:t>
      </w:r>
      <w:r w:rsidRPr="00705394">
        <w:rPr>
          <w:rFonts w:ascii="Baskerville" w:hAnsi="Baskerville"/>
          <w:i/>
          <w:iCs/>
          <w:color w:val="000000" w:themeColor="text1"/>
          <w:shd w:val="clear" w:color="auto" w:fill="FFFFFF"/>
        </w:rPr>
        <w:t>Restrictive Covenants in Employment Agreements: A Comparative Study of Legal Position in India and US</w:t>
      </w:r>
      <w:r w:rsidRPr="00705394">
        <w:rPr>
          <w:rFonts w:ascii="Baskerville" w:hAnsi="Baskerville"/>
          <w:color w:val="000000" w:themeColor="text1"/>
          <w:shd w:val="clear" w:color="auto" w:fill="FFFFFF"/>
        </w:rPr>
        <w:t>, 5 </w:t>
      </w:r>
      <w:r w:rsidRPr="00705394">
        <w:rPr>
          <w:rFonts w:ascii="Baskerville" w:hAnsi="Baskerville"/>
          <w:smallCaps/>
          <w:color w:val="000000" w:themeColor="text1"/>
          <w:shd w:val="clear" w:color="auto" w:fill="FFFFFF"/>
        </w:rPr>
        <w:t>Int’l J.L. Mgmt. &amp; Humans.</w:t>
      </w:r>
      <w:r w:rsidRPr="00705394">
        <w:rPr>
          <w:rFonts w:ascii="Baskerville" w:hAnsi="Baskerville"/>
          <w:color w:val="000000" w:themeColor="text1"/>
          <w:shd w:val="clear" w:color="auto" w:fill="FFFFFF"/>
        </w:rPr>
        <w:t xml:space="preserve"> 1062 (2022).</w:t>
      </w:r>
    </w:p>
    <w:p w14:paraId="658D26D7" w14:textId="77777777" w:rsidR="00217AC8" w:rsidRPr="00705394" w:rsidRDefault="00217AC8" w:rsidP="00217AC8">
      <w:pPr>
        <w:ind w:left="475"/>
        <w:rPr>
          <w:rFonts w:ascii="Baskerville" w:hAnsi="Baskerville"/>
          <w:color w:val="000000" w:themeColor="text1"/>
          <w:shd w:val="clear" w:color="auto" w:fill="FFFFFF"/>
        </w:rPr>
      </w:pPr>
    </w:p>
    <w:p w14:paraId="7317E556" w14:textId="77777777" w:rsidR="00217AC8" w:rsidRPr="003D474B" w:rsidRDefault="00217AC8" w:rsidP="00217AC8">
      <w:pPr>
        <w:ind w:left="475"/>
        <w:rPr>
          <w:rFonts w:ascii="Baskerville" w:hAnsi="Baskerville"/>
          <w:color w:val="000000" w:themeColor="text1"/>
        </w:rPr>
      </w:pPr>
      <w:r w:rsidRPr="00705394">
        <w:rPr>
          <w:rFonts w:ascii="Baskerville" w:hAnsi="Baskerville"/>
          <w:color w:val="000000" w:themeColor="text1"/>
          <w:shd w:val="clear" w:color="auto" w:fill="FFFFFF"/>
        </w:rPr>
        <w:t xml:space="preserve">Maria Kreiter &amp; Katheryn Mills Ybarra, </w:t>
      </w:r>
      <w:r w:rsidRPr="00705394">
        <w:rPr>
          <w:rFonts w:ascii="Baskerville" w:hAnsi="Baskerville"/>
          <w:i/>
          <w:iCs/>
          <w:color w:val="000000" w:themeColor="text1"/>
          <w:shd w:val="clear" w:color="auto" w:fill="FFFFFF"/>
        </w:rPr>
        <w:t>Restrictive Covenants and the War for Talent</w:t>
      </w:r>
      <w:r w:rsidRPr="00705394">
        <w:rPr>
          <w:rFonts w:ascii="Baskerville" w:hAnsi="Baskerville"/>
          <w:color w:val="000000" w:themeColor="text1"/>
          <w:shd w:val="clear" w:color="auto" w:fill="FFFFFF"/>
        </w:rPr>
        <w:t xml:space="preserve">, </w:t>
      </w:r>
      <w:r w:rsidRPr="00705394">
        <w:rPr>
          <w:rFonts w:ascii="Baskerville" w:hAnsi="Baskerville"/>
          <w:color w:val="000000" w:themeColor="text1"/>
        </w:rPr>
        <w:t xml:space="preserve">29 </w:t>
      </w:r>
      <w:r w:rsidRPr="00705394">
        <w:rPr>
          <w:rFonts w:ascii="Baskerville" w:hAnsi="Baskerville"/>
          <w:smallCaps/>
          <w:color w:val="000000" w:themeColor="text1"/>
        </w:rPr>
        <w:t>Bus. Torts &amp; Unfair Competition</w:t>
      </w:r>
      <w:r w:rsidRPr="00705394">
        <w:rPr>
          <w:rFonts w:ascii="Baskerville" w:hAnsi="Baskerville"/>
          <w:color w:val="000000" w:themeColor="text1"/>
        </w:rPr>
        <w:t xml:space="preserve"> 3 (Summer </w:t>
      </w:r>
      <w:r w:rsidRPr="003D474B">
        <w:rPr>
          <w:rFonts w:ascii="Baskerville" w:hAnsi="Baskerville"/>
          <w:color w:val="000000" w:themeColor="text1"/>
        </w:rPr>
        <w:t>2022).</w:t>
      </w:r>
    </w:p>
    <w:p w14:paraId="76C60F45" w14:textId="77777777" w:rsidR="00217AC8" w:rsidRPr="003D474B" w:rsidRDefault="00217AC8" w:rsidP="00217AC8">
      <w:pPr>
        <w:ind w:left="475"/>
        <w:rPr>
          <w:rFonts w:ascii="Baskerville" w:hAnsi="Baskerville"/>
          <w:color w:val="000000" w:themeColor="text1"/>
        </w:rPr>
      </w:pPr>
    </w:p>
    <w:p w14:paraId="2744D429" w14:textId="2F1E127F" w:rsidR="00217AC8" w:rsidRPr="00705394" w:rsidRDefault="00217AC8" w:rsidP="00217AC8">
      <w:pPr>
        <w:ind w:left="475"/>
        <w:rPr>
          <w:rFonts w:ascii="Baskerville" w:hAnsi="Baskerville"/>
          <w:color w:val="000000" w:themeColor="text1"/>
        </w:rPr>
      </w:pPr>
      <w:r w:rsidRPr="003D474B">
        <w:rPr>
          <w:rFonts w:ascii="Baskerville" w:hAnsi="Baskerville"/>
          <w:color w:val="000000" w:themeColor="text1"/>
          <w:shd w:val="clear" w:color="auto" w:fill="FFFFFF"/>
        </w:rPr>
        <w:t xml:space="preserve">Yijia La, </w:t>
      </w:r>
      <w:r w:rsidRPr="003D474B">
        <w:rPr>
          <w:rFonts w:ascii="Baskerville" w:hAnsi="Baskerville"/>
          <w:i/>
          <w:iCs/>
          <w:color w:val="000000" w:themeColor="text1"/>
          <w:shd w:val="clear" w:color="auto" w:fill="FFFFFF"/>
        </w:rPr>
        <w:t>Med-Arb and Arb-Med: A Law and Economics Analysis</w:t>
      </w:r>
      <w:r w:rsidRPr="003D474B">
        <w:rPr>
          <w:rFonts w:ascii="Baskerville" w:hAnsi="Baskerville"/>
          <w:color w:val="000000" w:themeColor="text1"/>
          <w:shd w:val="clear" w:color="auto" w:fill="FFFFFF"/>
        </w:rPr>
        <w:t xml:space="preserve">, </w:t>
      </w:r>
      <w:r w:rsidRPr="003D474B">
        <w:rPr>
          <w:rFonts w:ascii="Baskerville" w:hAnsi="Baskerville"/>
          <w:color w:val="000000" w:themeColor="text1"/>
        </w:rPr>
        <w:t xml:space="preserve">27 </w:t>
      </w:r>
      <w:r w:rsidRPr="003D474B">
        <w:rPr>
          <w:rFonts w:ascii="Baskerville" w:hAnsi="Baskerville"/>
          <w:smallCaps/>
          <w:color w:val="000000" w:themeColor="text1"/>
        </w:rPr>
        <w:t>Harv. Negot. L. Rev.</w:t>
      </w:r>
      <w:r w:rsidRPr="003D474B">
        <w:rPr>
          <w:rFonts w:ascii="Baskerville" w:hAnsi="Baskerville"/>
          <w:color w:val="000000" w:themeColor="text1"/>
        </w:rPr>
        <w:t xml:space="preserve"> 253 (Spring 2022) (pointing out</w:t>
      </w:r>
      <w:r w:rsidRPr="003D474B">
        <w:rPr>
          <w:rFonts w:ascii="Baskerville" w:hAnsi="Baskerville"/>
          <w:i/>
          <w:iCs/>
          <w:color w:val="000000" w:themeColor="text1"/>
        </w:rPr>
        <w:t>, id.,</w:t>
      </w:r>
      <w:r w:rsidRPr="003D474B">
        <w:rPr>
          <w:rFonts w:ascii="Baskerville" w:hAnsi="Baskerville"/>
          <w:color w:val="000000" w:themeColor="text1"/>
        </w:rPr>
        <w:t xml:space="preserve"> that in connection with noncompete agreements with choice of law clauses, the application of the Federal Arbitration Act can result in </w:t>
      </w:r>
      <w:r>
        <w:rPr>
          <w:rFonts w:ascii="Baskerville" w:hAnsi="Baskerville"/>
          <w:color w:val="000000" w:themeColor="text1"/>
        </w:rPr>
        <w:t>very</w:t>
      </w:r>
      <w:r w:rsidRPr="003D474B">
        <w:rPr>
          <w:rFonts w:ascii="Baskerville" w:hAnsi="Baskerville"/>
          <w:color w:val="000000" w:themeColor="text1"/>
        </w:rPr>
        <w:t xml:space="preserve"> different legal consequences).</w:t>
      </w:r>
    </w:p>
    <w:p w14:paraId="168BF9BF" w14:textId="77777777" w:rsidR="00217AC8" w:rsidRPr="00705394" w:rsidRDefault="00217AC8" w:rsidP="00217AC8">
      <w:pPr>
        <w:ind w:left="475"/>
        <w:rPr>
          <w:rFonts w:ascii="Baskerville" w:hAnsi="Baskerville"/>
          <w:color w:val="000000" w:themeColor="text1"/>
        </w:rPr>
      </w:pPr>
    </w:p>
    <w:p w14:paraId="12F8C77E" w14:textId="77777777" w:rsidR="00217AC8" w:rsidRPr="00705394" w:rsidRDefault="00217AC8" w:rsidP="00217AC8">
      <w:pPr>
        <w:ind w:left="475"/>
        <w:rPr>
          <w:rFonts w:ascii="Baskerville" w:hAnsi="Baskerville"/>
          <w:color w:val="000000" w:themeColor="text1"/>
          <w:shd w:val="clear" w:color="auto" w:fill="FFFFFF"/>
        </w:rPr>
      </w:pPr>
      <w:r w:rsidRPr="00705394">
        <w:rPr>
          <w:rFonts w:ascii="Baskerville" w:hAnsi="Baskerville"/>
          <w:color w:val="000000" w:themeColor="text1"/>
          <w:shd w:val="clear" w:color="auto" w:fill="FFFFFF"/>
        </w:rPr>
        <w:t>Yupeng Lin, Florian Peters, &amp; Hojun Seo, </w:t>
      </w:r>
      <w:r w:rsidRPr="00705394">
        <w:rPr>
          <w:rFonts w:ascii="Baskerville" w:hAnsi="Baskerville"/>
          <w:i/>
          <w:iCs/>
          <w:color w:val="000000" w:themeColor="text1"/>
          <w:shd w:val="clear" w:color="auto" w:fill="FFFFFF"/>
        </w:rPr>
        <w:t xml:space="preserve">Enforceability of Noncompetition Agreements and Forced Turnovers of Chief </w:t>
      </w:r>
      <w:r w:rsidRPr="00705394">
        <w:rPr>
          <w:rFonts w:ascii="Baskerville" w:hAnsi="Baskerville"/>
          <w:i/>
          <w:iCs/>
          <w:color w:val="000000" w:themeColor="text1"/>
          <w:shd w:val="clear" w:color="auto" w:fill="FFFFFF"/>
        </w:rPr>
        <w:lastRenderedPageBreak/>
        <w:t>Executive Officers</w:t>
      </w:r>
      <w:r w:rsidRPr="00705394">
        <w:rPr>
          <w:rFonts w:ascii="Baskerville" w:hAnsi="Baskerville"/>
          <w:color w:val="000000" w:themeColor="text1"/>
          <w:shd w:val="clear" w:color="auto" w:fill="FFFFFF"/>
        </w:rPr>
        <w:t xml:space="preserve">, 65 </w:t>
      </w:r>
      <w:r w:rsidRPr="00705394">
        <w:rPr>
          <w:rFonts w:ascii="Baskerville" w:hAnsi="Baskerville"/>
          <w:smallCaps/>
          <w:color w:val="000000" w:themeColor="text1"/>
          <w:shd w:val="clear" w:color="auto" w:fill="FFFFFF"/>
        </w:rPr>
        <w:t>J.L. &amp; Econ.</w:t>
      </w:r>
      <w:r w:rsidRPr="00705394">
        <w:rPr>
          <w:rFonts w:ascii="Baskerville" w:hAnsi="Baskerville"/>
          <w:color w:val="000000" w:themeColor="text1"/>
          <w:shd w:val="clear" w:color="auto" w:fill="FFFFFF"/>
        </w:rPr>
        <w:t xml:space="preserve"> 177 (Feb. 2022) (examining state differences in the enforceability of covenants not to compete and </w:t>
      </w:r>
      <w:r w:rsidRPr="00950596">
        <w:rPr>
          <w:rFonts w:ascii="Baskerville" w:hAnsi="Baskerville"/>
          <w:color w:val="000000" w:themeColor="text1"/>
          <w:shd w:val="clear" w:color="auto" w:fill="FFFFFF"/>
        </w:rPr>
        <w:t xml:space="preserve">concluding, </w:t>
      </w:r>
      <w:r w:rsidRPr="00950596">
        <w:rPr>
          <w:rFonts w:ascii="Baskerville" w:hAnsi="Baskerville"/>
          <w:i/>
          <w:iCs/>
          <w:color w:val="000000" w:themeColor="text1"/>
          <w:shd w:val="clear" w:color="auto" w:fill="FFFFFF"/>
        </w:rPr>
        <w:t>id.</w:t>
      </w:r>
      <w:r w:rsidRPr="00950596">
        <w:rPr>
          <w:rFonts w:ascii="Baskerville" w:hAnsi="Baskerville"/>
          <w:color w:val="000000" w:themeColor="text1"/>
          <w:shd w:val="clear" w:color="auto" w:fill="FFFFFF"/>
        </w:rPr>
        <w:t xml:space="preserve"> at 192, that enhanced</w:t>
      </w:r>
      <w:r w:rsidRPr="00705394">
        <w:rPr>
          <w:rFonts w:ascii="Baskerville" w:hAnsi="Baskerville"/>
          <w:color w:val="000000" w:themeColor="text1"/>
          <w:shd w:val="clear" w:color="auto" w:fill="FFFFFF"/>
        </w:rPr>
        <w:t xml:space="preserve"> enforceability of noncompetes increases both the likelihood of forced turnover of chief executive officers (CEOs) and “the sensitivity of forced CEO turnover to firm performance”).</w:t>
      </w:r>
    </w:p>
    <w:p w14:paraId="6D09DB9A" w14:textId="77777777" w:rsidR="00217AC8" w:rsidRPr="00705394" w:rsidRDefault="00217AC8" w:rsidP="00217AC8">
      <w:pPr>
        <w:ind w:left="475"/>
        <w:rPr>
          <w:rFonts w:ascii="Baskerville" w:hAnsi="Baskerville"/>
          <w:color w:val="000000" w:themeColor="text1"/>
          <w:shd w:val="clear" w:color="auto" w:fill="FFFFFF"/>
        </w:rPr>
      </w:pPr>
    </w:p>
    <w:p w14:paraId="2E3A90F1" w14:textId="77777777" w:rsidR="00217AC8" w:rsidRPr="00974D48" w:rsidRDefault="00217AC8" w:rsidP="00217AC8">
      <w:pPr>
        <w:ind w:left="475"/>
        <w:rPr>
          <w:rFonts w:ascii="Baskerville" w:hAnsi="Baskerville"/>
          <w:color w:val="000000" w:themeColor="text1"/>
        </w:rPr>
      </w:pPr>
      <w:r w:rsidRPr="00974D48">
        <w:rPr>
          <w:rFonts w:ascii="Baskerville" w:hAnsi="Baskerville"/>
          <w:color w:val="000000" w:themeColor="text1"/>
        </w:rPr>
        <w:t xml:space="preserve">Orly Lobel, </w:t>
      </w:r>
      <w:r w:rsidRPr="00974D48">
        <w:rPr>
          <w:rFonts w:ascii="Baskerville" w:hAnsi="Baskerville"/>
          <w:i/>
          <w:iCs/>
          <w:color w:val="000000" w:themeColor="text1"/>
        </w:rPr>
        <w:t>Knowledge Pays: Reversing Information Flows and the Future of Pay Equity</w:t>
      </w:r>
      <w:r w:rsidRPr="00974D48">
        <w:rPr>
          <w:rFonts w:ascii="Baskerville" w:hAnsi="Baskerville"/>
          <w:color w:val="000000" w:themeColor="text1"/>
        </w:rPr>
        <w:t xml:space="preserve">, 120 </w:t>
      </w:r>
      <w:r w:rsidRPr="00974D48">
        <w:rPr>
          <w:rFonts w:ascii="Baskerville" w:hAnsi="Baskerville"/>
          <w:smallCaps/>
          <w:color w:val="000000" w:themeColor="text1"/>
        </w:rPr>
        <w:t>Colum. L. Rev.</w:t>
      </w:r>
      <w:r w:rsidRPr="00974D48">
        <w:rPr>
          <w:rFonts w:ascii="Baskerville" w:hAnsi="Baskerville"/>
          <w:color w:val="000000" w:themeColor="text1"/>
        </w:rPr>
        <w:t xml:space="preserve"> 547 (Apr. 2022) (citing Orly Lobel, Opinion, </w:t>
      </w:r>
      <w:r w:rsidRPr="00974D48">
        <w:rPr>
          <w:rFonts w:ascii="Baskerville" w:hAnsi="Baskerville"/>
          <w:i/>
          <w:iCs/>
          <w:color w:val="000000" w:themeColor="text1"/>
        </w:rPr>
        <w:t>Companies Compete but Won’t Let Their Workers Do the Same</w:t>
      </w:r>
      <w:r w:rsidRPr="00974D48">
        <w:rPr>
          <w:rFonts w:ascii="Baskerville" w:hAnsi="Baskerville"/>
          <w:color w:val="000000" w:themeColor="text1"/>
        </w:rPr>
        <w:t xml:space="preserve">, </w:t>
      </w:r>
      <w:r w:rsidRPr="00974D48">
        <w:rPr>
          <w:rFonts w:ascii="Baskerville" w:hAnsi="Baskerville"/>
          <w:smallCaps/>
          <w:color w:val="000000" w:themeColor="text1"/>
        </w:rPr>
        <w:t>N.Y. Times</w:t>
      </w:r>
      <w:r w:rsidRPr="00974D48">
        <w:rPr>
          <w:rFonts w:ascii="Baskerville" w:hAnsi="Baskerville"/>
          <w:color w:val="000000" w:themeColor="text1"/>
        </w:rPr>
        <w:t xml:space="preserve"> (May 4, 2017), https.: </w:t>
      </w:r>
      <w:hyperlink r:id="rId16" w:history="1">
        <w:r w:rsidRPr="00974D48">
          <w:rPr>
            <w:rStyle w:val="Hyperlink"/>
            <w:rFonts w:ascii="Baskerville" w:hAnsi="Baskerville"/>
            <w:color w:val="000000" w:themeColor="text1"/>
            <w:u w:val="none"/>
          </w:rPr>
          <w:t>www.nytimes/com/2017/05/04/opinion/noncompete-agreements-workers.html</w:t>
        </w:r>
      </w:hyperlink>
      <w:r w:rsidRPr="00974D48">
        <w:rPr>
          <w:rFonts w:ascii="Baskerville" w:hAnsi="Baskerville"/>
          <w:color w:val="000000" w:themeColor="text1"/>
        </w:rPr>
        <w:t xml:space="preserve"> (on file with Columbia Law Review) (opining that, for women, the mobility constraints imposed by noncompetes are often intensified by other factors)).</w:t>
      </w:r>
    </w:p>
    <w:p w14:paraId="17D739E8" w14:textId="77777777" w:rsidR="00217AC8" w:rsidRPr="00974D48" w:rsidRDefault="00217AC8" w:rsidP="00217AC8">
      <w:pPr>
        <w:ind w:left="475"/>
        <w:rPr>
          <w:rFonts w:ascii="Baskerville" w:hAnsi="Baskerville"/>
          <w:color w:val="000000" w:themeColor="text1"/>
          <w:shd w:val="clear" w:color="auto" w:fill="FFFFFF"/>
        </w:rPr>
      </w:pPr>
    </w:p>
    <w:p w14:paraId="36D53048" w14:textId="77777777" w:rsidR="00217AC8" w:rsidRPr="00705394" w:rsidRDefault="00217AC8" w:rsidP="00217AC8">
      <w:pPr>
        <w:ind w:left="475"/>
        <w:rPr>
          <w:rFonts w:ascii="Baskerville" w:hAnsi="Baskerville"/>
          <w:color w:val="000000" w:themeColor="text1"/>
        </w:rPr>
      </w:pPr>
      <w:r w:rsidRPr="005C7965">
        <w:rPr>
          <w:rFonts w:ascii="Baskerville" w:hAnsi="Baskerville"/>
          <w:color w:val="000000" w:themeColor="text1"/>
        </w:rPr>
        <w:t xml:space="preserve">Noelle Mack, Note, </w:t>
      </w:r>
      <w:r w:rsidRPr="005C7965">
        <w:rPr>
          <w:rFonts w:ascii="Baskerville" w:hAnsi="Baskerville"/>
          <w:i/>
          <w:iCs/>
          <w:color w:val="000000" w:themeColor="text1"/>
        </w:rPr>
        <w:t>No-Poach, No Precedent: How DOJ’s Aggressive Stance on Criminalizing Labor Market Agreements Runs Counter to Antitrust Jurisprudence</w:t>
      </w:r>
      <w:r w:rsidRPr="005C7965">
        <w:rPr>
          <w:rFonts w:ascii="Baskerville" w:hAnsi="Baskerville"/>
          <w:color w:val="000000" w:themeColor="text1"/>
        </w:rPr>
        <w:t xml:space="preserve">, 87 </w:t>
      </w:r>
      <w:r w:rsidRPr="005C7965">
        <w:rPr>
          <w:rFonts w:ascii="Baskerville" w:hAnsi="Baskerville"/>
          <w:smallCaps/>
          <w:color w:val="000000" w:themeColor="text1"/>
        </w:rPr>
        <w:t>Mo. L. Rev.</w:t>
      </w:r>
      <w:r w:rsidRPr="005C7965">
        <w:rPr>
          <w:rFonts w:ascii="Baskerville" w:hAnsi="Baskerville"/>
          <w:color w:val="000000" w:themeColor="text1"/>
        </w:rPr>
        <w:t xml:space="preserve"> 591 (2022) (noting, </w:t>
      </w:r>
      <w:r w:rsidRPr="005C7965">
        <w:rPr>
          <w:rFonts w:ascii="Baskerville" w:hAnsi="Baskerville"/>
          <w:i/>
          <w:iCs/>
          <w:color w:val="000000" w:themeColor="text1"/>
        </w:rPr>
        <w:t>id.</w:t>
      </w:r>
      <w:r w:rsidRPr="005C7965">
        <w:rPr>
          <w:rFonts w:ascii="Baskerville" w:hAnsi="Baskerville"/>
          <w:color w:val="000000" w:themeColor="text1"/>
        </w:rPr>
        <w:t xml:space="preserve"> at 608, that some courts have upheld reciprocal no-poach agreements executed by rivals for the purpose of avoiding litigation over employee noncompetes).</w:t>
      </w:r>
    </w:p>
    <w:p w14:paraId="2BA9FA12" w14:textId="77777777" w:rsidR="00217AC8" w:rsidRPr="00705394" w:rsidRDefault="00217AC8" w:rsidP="00217AC8">
      <w:pPr>
        <w:ind w:left="475"/>
        <w:rPr>
          <w:rFonts w:ascii="Baskerville" w:hAnsi="Baskerville"/>
          <w:color w:val="000000" w:themeColor="text1"/>
        </w:rPr>
      </w:pPr>
    </w:p>
    <w:p w14:paraId="32EB5C0E" w14:textId="77777777" w:rsidR="00217AC8" w:rsidRPr="005C7965" w:rsidRDefault="00217AC8" w:rsidP="00217AC8">
      <w:pPr>
        <w:pStyle w:val="BodyText"/>
        <w:spacing w:line="240" w:lineRule="auto"/>
        <w:ind w:left="475"/>
        <w:jc w:val="left"/>
        <w:rPr>
          <w:color w:val="000000" w:themeColor="text1"/>
        </w:rPr>
      </w:pPr>
      <w:r w:rsidRPr="005C7965">
        <w:rPr>
          <w:smallCaps/>
          <w:color w:val="000000" w:themeColor="text1"/>
        </w:rPr>
        <w:t>Brian M. Malsberger, Employee Duty of Loyalty: A State-by-State Survey</w:t>
      </w:r>
      <w:r w:rsidRPr="005C7965">
        <w:rPr>
          <w:color w:val="000000" w:themeColor="text1"/>
        </w:rPr>
        <w:t xml:space="preserve"> (Arlington, Va.: Bloomberg Law, 2023 ed.) (ebook).</w:t>
      </w:r>
    </w:p>
    <w:p w14:paraId="0A3764EC" w14:textId="77777777" w:rsidR="00217AC8" w:rsidRPr="005C7965" w:rsidRDefault="00217AC8" w:rsidP="00217AC8">
      <w:pPr>
        <w:pStyle w:val="BodyText"/>
        <w:spacing w:line="240" w:lineRule="auto"/>
        <w:ind w:left="475"/>
        <w:jc w:val="left"/>
        <w:rPr>
          <w:color w:val="000000" w:themeColor="text1"/>
        </w:rPr>
      </w:pPr>
      <w:r w:rsidRPr="005C7965">
        <w:rPr>
          <w:color w:val="000000" w:themeColor="text1"/>
        </w:rPr>
        <w:t xml:space="preserve"> </w:t>
      </w:r>
    </w:p>
    <w:p w14:paraId="0A27716D" w14:textId="77777777" w:rsidR="00217AC8" w:rsidRPr="005C7965" w:rsidRDefault="00217AC8" w:rsidP="00217AC8">
      <w:pPr>
        <w:pStyle w:val="BodyText"/>
        <w:spacing w:line="240" w:lineRule="auto"/>
        <w:ind w:left="475"/>
        <w:jc w:val="left"/>
        <w:rPr>
          <w:color w:val="000000" w:themeColor="text1"/>
        </w:rPr>
      </w:pPr>
      <w:r w:rsidRPr="005C7965">
        <w:rPr>
          <w:smallCaps/>
          <w:color w:val="000000" w:themeColor="text1"/>
        </w:rPr>
        <w:t>Brian M. Malsberger, Tortious Interference in the Employment Context: A State-by-State Survey</w:t>
      </w:r>
      <w:r w:rsidRPr="005C7965">
        <w:rPr>
          <w:color w:val="000000" w:themeColor="text1"/>
        </w:rPr>
        <w:t xml:space="preserve"> (Arlington, Va.: Bloomberg Law, 2023 ed.) (ebook).</w:t>
      </w:r>
    </w:p>
    <w:p w14:paraId="26372536" w14:textId="77777777" w:rsidR="00217AC8" w:rsidRPr="005C7965" w:rsidRDefault="00217AC8" w:rsidP="00217AC8">
      <w:pPr>
        <w:pStyle w:val="BodyText"/>
        <w:spacing w:line="240" w:lineRule="auto"/>
        <w:ind w:left="475"/>
        <w:jc w:val="left"/>
        <w:rPr>
          <w:smallCaps/>
          <w:color w:val="000000" w:themeColor="text1"/>
        </w:rPr>
      </w:pPr>
    </w:p>
    <w:p w14:paraId="2C9B4E74" w14:textId="77777777" w:rsidR="00217AC8" w:rsidRPr="005C7965" w:rsidRDefault="00217AC8" w:rsidP="00217AC8">
      <w:pPr>
        <w:pStyle w:val="BodyText"/>
        <w:spacing w:line="240" w:lineRule="auto"/>
        <w:ind w:left="475"/>
        <w:jc w:val="left"/>
        <w:rPr>
          <w:color w:val="000000" w:themeColor="text1"/>
        </w:rPr>
      </w:pPr>
      <w:r w:rsidRPr="005C7965">
        <w:rPr>
          <w:smallCaps/>
          <w:color w:val="000000" w:themeColor="text1"/>
        </w:rPr>
        <w:t>Brian M. Malsberger, Trade Secrets: A State-by-State Survey</w:t>
      </w:r>
      <w:r w:rsidRPr="005C7965">
        <w:rPr>
          <w:color w:val="000000" w:themeColor="text1"/>
        </w:rPr>
        <w:t xml:space="preserve"> (Arlington, Va.: Bloomberg Law, 2023 ed.) (ebook).</w:t>
      </w:r>
    </w:p>
    <w:p w14:paraId="5D1D76B4" w14:textId="77777777" w:rsidR="00217AC8" w:rsidRPr="005C7965" w:rsidRDefault="00217AC8" w:rsidP="00217AC8">
      <w:pPr>
        <w:pStyle w:val="BodyText"/>
        <w:spacing w:line="240" w:lineRule="auto"/>
        <w:ind w:left="475"/>
        <w:jc w:val="left"/>
        <w:rPr>
          <w:color w:val="000000" w:themeColor="text1"/>
        </w:rPr>
      </w:pPr>
      <w:r w:rsidRPr="005C7965">
        <w:rPr>
          <w:color w:val="000000" w:themeColor="text1"/>
        </w:rPr>
        <w:t xml:space="preserve"> </w:t>
      </w:r>
    </w:p>
    <w:p w14:paraId="4E5FCAEE" w14:textId="77777777" w:rsidR="00217AC8" w:rsidRPr="00705394" w:rsidRDefault="00217AC8" w:rsidP="00217AC8">
      <w:pPr>
        <w:ind w:left="475"/>
        <w:rPr>
          <w:rFonts w:ascii="Baskerville" w:hAnsi="Baskerville"/>
          <w:color w:val="000000" w:themeColor="text1"/>
        </w:rPr>
      </w:pPr>
      <w:r w:rsidRPr="005C7965">
        <w:rPr>
          <w:rFonts w:ascii="Baskerville" w:hAnsi="Baskerville"/>
          <w:color w:val="000000" w:themeColor="text1"/>
        </w:rPr>
        <w:t xml:space="preserve">Jennie Marco, Note, </w:t>
      </w:r>
      <w:r w:rsidRPr="005C7965">
        <w:rPr>
          <w:rFonts w:ascii="Baskerville" w:hAnsi="Baskerville"/>
          <w:i/>
          <w:iCs/>
          <w:color w:val="000000" w:themeColor="text1"/>
        </w:rPr>
        <w:t>Burger King Had It Their Way: Why the Single-Entity Defense Should Properly Defeat Claims of Federal A</w:t>
      </w:r>
      <w:r w:rsidRPr="00705394">
        <w:rPr>
          <w:rFonts w:ascii="Baskerville" w:hAnsi="Baskerville"/>
          <w:i/>
          <w:iCs/>
          <w:color w:val="000000" w:themeColor="text1"/>
        </w:rPr>
        <w:t>ntitrust Conspiracy Arising out of No-Poach Agreements Between Franchisors and Franchisees</w:t>
      </w:r>
      <w:r w:rsidRPr="00705394">
        <w:rPr>
          <w:rFonts w:ascii="Baskerville" w:hAnsi="Baskerville"/>
          <w:color w:val="000000" w:themeColor="text1"/>
        </w:rPr>
        <w:t xml:space="preserve">, 40 </w:t>
      </w:r>
      <w:r w:rsidRPr="00705394">
        <w:rPr>
          <w:rFonts w:ascii="Baskerville" w:hAnsi="Baskerville"/>
          <w:smallCaps/>
          <w:color w:val="000000" w:themeColor="text1"/>
        </w:rPr>
        <w:t>Quinnipiac L. Rev.</w:t>
      </w:r>
      <w:r w:rsidRPr="00705394">
        <w:rPr>
          <w:rFonts w:ascii="Baskerville" w:hAnsi="Baskerville"/>
          <w:color w:val="000000" w:themeColor="text1"/>
        </w:rPr>
        <w:t xml:space="preserve"> 463 (2022).</w:t>
      </w:r>
    </w:p>
    <w:p w14:paraId="4BF8E9BF" w14:textId="77777777" w:rsidR="00217AC8" w:rsidRPr="00705394" w:rsidRDefault="00217AC8" w:rsidP="00217AC8">
      <w:pPr>
        <w:ind w:left="475"/>
        <w:rPr>
          <w:rFonts w:ascii="Baskerville" w:hAnsi="Baskerville"/>
          <w:color w:val="000000" w:themeColor="text1"/>
          <w:shd w:val="clear" w:color="auto" w:fill="FFFFFF"/>
        </w:rPr>
      </w:pPr>
    </w:p>
    <w:p w14:paraId="272C23B3" w14:textId="77777777" w:rsidR="00217AC8" w:rsidRPr="00705394" w:rsidRDefault="00217AC8" w:rsidP="00217AC8">
      <w:pPr>
        <w:ind w:left="475"/>
        <w:rPr>
          <w:rFonts w:ascii="Baskerville" w:hAnsi="Baskerville"/>
          <w:color w:val="000000" w:themeColor="text1"/>
          <w:shd w:val="clear" w:color="auto" w:fill="FFFFFF"/>
        </w:rPr>
      </w:pPr>
      <w:r w:rsidRPr="00705394">
        <w:rPr>
          <w:rFonts w:ascii="Baskerville" w:hAnsi="Baskerville"/>
          <w:color w:val="000000" w:themeColor="text1"/>
          <w:shd w:val="clear" w:color="auto" w:fill="FFFFFF"/>
        </w:rPr>
        <w:t>Robert McAvoy, </w:t>
      </w:r>
      <w:r w:rsidRPr="00705394">
        <w:rPr>
          <w:rFonts w:ascii="Baskerville" w:hAnsi="Baskerville"/>
          <w:i/>
          <w:iCs/>
          <w:color w:val="000000" w:themeColor="text1"/>
          <w:shd w:val="clear" w:color="auto" w:fill="FFFFFF"/>
        </w:rPr>
        <w:t>How Can Federal Actors Compete on Noncompetes? Examining the Need for and Possibility of Federal Action on Noncompetition Agreements</w:t>
      </w:r>
      <w:r w:rsidRPr="00705394">
        <w:rPr>
          <w:rFonts w:ascii="Baskerville" w:hAnsi="Baskerville"/>
          <w:color w:val="000000" w:themeColor="text1"/>
          <w:shd w:val="clear" w:color="auto" w:fill="FFFFFF"/>
        </w:rPr>
        <w:t xml:space="preserve">, 126 </w:t>
      </w:r>
      <w:r w:rsidRPr="00705394">
        <w:rPr>
          <w:rFonts w:ascii="Baskerville" w:hAnsi="Baskerville"/>
          <w:smallCaps/>
          <w:color w:val="000000" w:themeColor="text1"/>
          <w:shd w:val="clear" w:color="auto" w:fill="FFFFFF"/>
        </w:rPr>
        <w:t>Dick. L. Rev.</w:t>
      </w:r>
      <w:r w:rsidRPr="00705394">
        <w:rPr>
          <w:rFonts w:ascii="Baskerville" w:hAnsi="Baskerville"/>
          <w:color w:val="000000" w:themeColor="text1"/>
          <w:shd w:val="clear" w:color="auto" w:fill="FFFFFF"/>
        </w:rPr>
        <w:t xml:space="preserve"> 651 (2022) (reporting, </w:t>
      </w:r>
      <w:r w:rsidRPr="00705394">
        <w:rPr>
          <w:rFonts w:ascii="Baskerville" w:hAnsi="Baskerville"/>
          <w:i/>
          <w:iCs/>
          <w:color w:val="000000" w:themeColor="text1"/>
          <w:shd w:val="clear" w:color="auto" w:fill="FFFFFF"/>
        </w:rPr>
        <w:t>id.</w:t>
      </w:r>
      <w:r w:rsidRPr="00705394">
        <w:rPr>
          <w:rFonts w:ascii="Baskerville" w:hAnsi="Baskerville"/>
          <w:color w:val="000000" w:themeColor="text1"/>
          <w:shd w:val="clear" w:color="auto" w:fill="FFFFFF"/>
        </w:rPr>
        <w:t xml:space="preserve"> at 651, that the incidence of covenants not to compete is steady across all states, “regardless of a state’s relative stance on them”). </w:t>
      </w:r>
    </w:p>
    <w:p w14:paraId="63623F4D" w14:textId="77777777" w:rsidR="00217AC8" w:rsidRPr="00705394" w:rsidRDefault="00217AC8" w:rsidP="00217AC8">
      <w:pPr>
        <w:ind w:left="475"/>
        <w:rPr>
          <w:rFonts w:ascii="Baskerville" w:hAnsi="Baskerville"/>
          <w:color w:val="000000" w:themeColor="text1"/>
          <w:shd w:val="clear" w:color="auto" w:fill="FFFFFF"/>
        </w:rPr>
      </w:pPr>
    </w:p>
    <w:p w14:paraId="4B234C6E" w14:textId="77777777" w:rsidR="00217AC8" w:rsidRPr="00705394" w:rsidRDefault="00217AC8" w:rsidP="00217AC8">
      <w:pPr>
        <w:ind w:left="475"/>
        <w:rPr>
          <w:rFonts w:ascii="Baskerville" w:hAnsi="Baskerville"/>
          <w:color w:val="000000" w:themeColor="text1"/>
          <w:shd w:val="clear" w:color="auto" w:fill="FFFFFF"/>
        </w:rPr>
      </w:pPr>
      <w:r w:rsidRPr="00705394">
        <w:rPr>
          <w:rFonts w:ascii="Baskerville" w:hAnsi="Baskerville"/>
          <w:color w:val="000000" w:themeColor="text1"/>
          <w:shd w:val="clear" w:color="auto" w:fill="FFFFFF"/>
        </w:rPr>
        <w:t>Alan J. Meese, </w:t>
      </w:r>
      <w:r w:rsidRPr="00705394">
        <w:rPr>
          <w:rFonts w:ascii="Baskerville" w:hAnsi="Baskerville"/>
          <w:i/>
          <w:iCs/>
          <w:color w:val="000000" w:themeColor="text1"/>
          <w:shd w:val="clear" w:color="auto" w:fill="FFFFFF"/>
        </w:rPr>
        <w:t>Don’t Abolish Employee Noncompete Agreements</w:t>
      </w:r>
      <w:r w:rsidRPr="00705394">
        <w:rPr>
          <w:rFonts w:ascii="Baskerville" w:hAnsi="Baskerville"/>
          <w:color w:val="000000" w:themeColor="text1"/>
          <w:shd w:val="clear" w:color="auto" w:fill="FFFFFF"/>
        </w:rPr>
        <w:t>, 57 </w:t>
      </w:r>
      <w:r w:rsidRPr="00705394">
        <w:rPr>
          <w:rFonts w:ascii="Baskerville" w:hAnsi="Baskerville"/>
          <w:smallCaps/>
          <w:color w:val="000000" w:themeColor="text1"/>
          <w:shd w:val="clear" w:color="auto" w:fill="FFFFFF"/>
        </w:rPr>
        <w:t>Wake Forest L. Rev.</w:t>
      </w:r>
      <w:r w:rsidRPr="00705394">
        <w:rPr>
          <w:rFonts w:ascii="Baskerville" w:hAnsi="Baskerville"/>
          <w:color w:val="000000" w:themeColor="text1"/>
          <w:shd w:val="clear" w:color="auto" w:fill="FFFFFF"/>
        </w:rPr>
        <w:t xml:space="preserve"> 631 (2022).</w:t>
      </w:r>
    </w:p>
    <w:p w14:paraId="24380189" w14:textId="77777777" w:rsidR="00217AC8" w:rsidRPr="00705394" w:rsidRDefault="00217AC8" w:rsidP="00217AC8">
      <w:pPr>
        <w:ind w:left="475"/>
        <w:rPr>
          <w:rFonts w:ascii="Baskerville" w:hAnsi="Baskerville"/>
          <w:color w:val="000000" w:themeColor="text1"/>
          <w:shd w:val="clear" w:color="auto" w:fill="FFFFFF"/>
        </w:rPr>
      </w:pPr>
    </w:p>
    <w:p w14:paraId="38903510" w14:textId="03D1AE2D" w:rsidR="007E0786" w:rsidRPr="00170EAA" w:rsidRDefault="007E0786" w:rsidP="007E0786">
      <w:pPr>
        <w:shd w:val="clear" w:color="auto" w:fill="FFFFFF"/>
        <w:ind w:left="475"/>
        <w:rPr>
          <w:rFonts w:ascii="Baskerville" w:hAnsi="Baskerville" w:cs="Baskerville"/>
          <w:bCs/>
          <w:color w:val="000000" w:themeColor="text1"/>
          <w:u w:color="0000FF"/>
          <w:lang w:val="it-IT"/>
        </w:rPr>
      </w:pPr>
      <w:r w:rsidRPr="00170EAA">
        <w:rPr>
          <w:rFonts w:ascii="Baskerville" w:hAnsi="Baskerville" w:cs="Baskerville"/>
          <w:bCs/>
          <w:color w:val="000000" w:themeColor="text1"/>
          <w:lang w:val="it-IT"/>
        </w:rPr>
        <w:t xml:space="preserve">Timothy Noah, </w:t>
      </w:r>
      <w:r w:rsidRPr="00170EAA">
        <w:rPr>
          <w:rFonts w:ascii="Baskerville" w:hAnsi="Baskerville" w:cs="Baskerville"/>
          <w:bCs/>
          <w:i/>
          <w:iCs/>
          <w:color w:val="000000" w:themeColor="text1"/>
          <w:lang w:val="it-IT"/>
        </w:rPr>
        <w:t xml:space="preserve">The Boss’s Tale: Chaucer Was Cleared of Rape, but What He May Have Done Instead Remains Illegal Today: </w:t>
      </w:r>
      <w:r w:rsidRPr="00170EAA">
        <w:rPr>
          <w:rFonts w:ascii="Baskerville" w:hAnsi="Baskerville"/>
          <w:i/>
          <w:iCs/>
          <w:color w:val="000000" w:themeColor="text1"/>
          <w:spacing w:val="-6"/>
        </w:rPr>
        <w:t>They Can’t Prosecute You for Hiring Away Somebody Else’s Employee, but It’s a Breach of Contract for the Employee If She Violates a Noncompete Clause</w:t>
      </w:r>
      <w:r w:rsidRPr="00170EAA">
        <w:rPr>
          <w:rFonts w:ascii="Baskerville" w:hAnsi="Baskerville"/>
          <w:color w:val="000000" w:themeColor="text1"/>
          <w:spacing w:val="-6"/>
        </w:rPr>
        <w:t xml:space="preserve">, </w:t>
      </w:r>
      <w:r w:rsidRPr="00170EAA">
        <w:rPr>
          <w:rFonts w:ascii="Baskerville" w:hAnsi="Baskerville"/>
          <w:smallCaps/>
          <w:color w:val="000000" w:themeColor="text1"/>
          <w:spacing w:val="-6"/>
        </w:rPr>
        <w:t>New Republic</w:t>
      </w:r>
      <w:r w:rsidRPr="00170EAA">
        <w:rPr>
          <w:rFonts w:ascii="Baskerville" w:hAnsi="Baskerville"/>
          <w:color w:val="000000" w:themeColor="text1"/>
          <w:spacing w:val="-6"/>
        </w:rPr>
        <w:t xml:space="preserve"> (Oct. 18, 2022), </w:t>
      </w:r>
      <w:hyperlink r:id="rId17" w:history="1">
        <w:r w:rsidRPr="00170EAA">
          <w:rPr>
            <w:rStyle w:val="Hyperlink"/>
            <w:rFonts w:ascii="Baskerville" w:hAnsi="Baskerville" w:cs="Baskerville"/>
            <w:bCs/>
            <w:color w:val="000000" w:themeColor="text1"/>
            <w:u w:val="none"/>
            <w:lang w:val="it-IT"/>
          </w:rPr>
          <w:t>https://newrepublic.com/article/168172/chaucer-rape-servant-noncompete-illegal</w:t>
        </w:r>
      </w:hyperlink>
      <w:r w:rsidRPr="00170EAA">
        <w:rPr>
          <w:rFonts w:ascii="Baskerville" w:hAnsi="Baskerville" w:cs="Baskerville"/>
          <w:bCs/>
          <w:color w:val="000000" w:themeColor="text1"/>
          <w:u w:color="0000FF"/>
          <w:lang w:val="it-IT"/>
        </w:rPr>
        <w:t xml:space="preserve"> </w:t>
      </w:r>
      <w:r w:rsidRPr="00170EAA">
        <w:rPr>
          <w:rFonts w:ascii="Baskerville" w:hAnsi="Baskerville" w:cs="Open Sans"/>
          <w:color w:val="000000" w:themeColor="text1"/>
        </w:rPr>
        <w:t xml:space="preserve">(involving an engaging look back at our old English friend, the Statute of Labourers, 23 Edw. 3, ch. 2 (1349), under which the hiring away of another’s servant was grounds for imprisonment). </w:t>
      </w:r>
      <w:r w:rsidRPr="00170EAA">
        <w:rPr>
          <w:rFonts w:ascii="Baskerville" w:hAnsi="Baskerville" w:cs="Open Sans"/>
          <w:i/>
          <w:iCs/>
          <w:color w:val="000000" w:themeColor="text1"/>
        </w:rPr>
        <w:t>See</w:t>
      </w:r>
      <w:r w:rsidRPr="00170EAA">
        <w:rPr>
          <w:rFonts w:ascii="Baskerville" w:hAnsi="Baskerville" w:cs="Open Sans"/>
          <w:color w:val="000000" w:themeColor="text1"/>
        </w:rPr>
        <w:t xml:space="preserve"> </w:t>
      </w:r>
      <w:r w:rsidRPr="00170EAA">
        <w:rPr>
          <w:rFonts w:ascii="Baskerville" w:hAnsi="Baskerville" w:cs="Open Sans"/>
          <w:smallCaps/>
          <w:color w:val="000000" w:themeColor="text1"/>
        </w:rPr>
        <w:t>Brian M. Malsberger, Tortious Interference in the Employment Context</w:t>
      </w:r>
      <w:r w:rsidR="00AD628F">
        <w:rPr>
          <w:rFonts w:ascii="Baskerville" w:hAnsi="Baskerville" w:cs="Open Sans"/>
          <w:smallCaps/>
          <w:color w:val="000000" w:themeColor="text1"/>
        </w:rPr>
        <w:t>:</w:t>
      </w:r>
      <w:r w:rsidRPr="00170EAA">
        <w:rPr>
          <w:rFonts w:ascii="Baskerville" w:hAnsi="Baskerville" w:cs="Open Sans"/>
          <w:smallCaps/>
          <w:color w:val="000000" w:themeColor="text1"/>
        </w:rPr>
        <w:t xml:space="preserve"> A State-by-State Survey</w:t>
      </w:r>
      <w:r w:rsidRPr="00170EAA">
        <w:rPr>
          <w:rFonts w:ascii="Baskerville" w:hAnsi="Baskerville" w:cs="Open Sans"/>
          <w:color w:val="000000" w:themeColor="text1"/>
        </w:rPr>
        <w:t>, Illinois, §III.C (Arlington, Va.: Bloomberg Law 2023 ed.) (ebook) (citing Benjamin L. Fine, Comment, </w:t>
      </w:r>
      <w:r w:rsidRPr="00170EAA">
        <w:rPr>
          <w:rFonts w:ascii="Baskerville" w:hAnsi="Baskerville" w:cs="Open Sans"/>
          <w:i/>
          <w:iCs/>
          <w:color w:val="000000" w:themeColor="text1"/>
        </w:rPr>
        <w:t>An Analysis of the Formation of Property Rights Underlying Tortious Interference With Contracts and Other Economic Relations</w:t>
      </w:r>
      <w:r w:rsidRPr="00170EAA">
        <w:rPr>
          <w:rFonts w:ascii="Baskerville" w:hAnsi="Baskerville" w:cs="Open Sans"/>
          <w:color w:val="000000" w:themeColor="text1"/>
        </w:rPr>
        <w:t>, 50 </w:t>
      </w:r>
      <w:r w:rsidRPr="00170EAA">
        <w:rPr>
          <w:rFonts w:ascii="Baskerville" w:hAnsi="Baskerville" w:cs="Open Sans"/>
          <w:smallCaps/>
          <w:color w:val="000000" w:themeColor="text1"/>
        </w:rPr>
        <w:t>U. Chi. L. Rev. </w:t>
      </w:r>
      <w:r w:rsidRPr="00170EAA">
        <w:rPr>
          <w:rFonts w:ascii="Baskerville" w:hAnsi="Baskerville" w:cs="Open Sans"/>
          <w:color w:val="000000" w:themeColor="text1"/>
        </w:rPr>
        <w:t>1116 (Summer 1983) (providing an excellent historical perspective of the cause of action for tortious interference; noting, </w:t>
      </w:r>
      <w:r w:rsidRPr="00170EAA">
        <w:rPr>
          <w:rFonts w:ascii="Baskerville" w:hAnsi="Baskerville" w:cs="Open Sans"/>
          <w:i/>
          <w:iCs/>
          <w:color w:val="000000" w:themeColor="text1"/>
        </w:rPr>
        <w:t>id. </w:t>
      </w:r>
      <w:r w:rsidRPr="00170EAA">
        <w:rPr>
          <w:rFonts w:ascii="Baskerville" w:hAnsi="Baskerville" w:cs="Open Sans"/>
          <w:color w:val="000000" w:themeColor="text1"/>
        </w:rPr>
        <w:t xml:space="preserve">at 1116, that in response to the loss of workers caused by the plague, the Statute of Labourers </w:t>
      </w:r>
      <w:r w:rsidR="00F56C33" w:rsidRPr="00170EAA">
        <w:rPr>
          <w:rFonts w:ascii="Baskerville" w:hAnsi="Baskerville" w:cs="Open Sans"/>
          <w:color w:val="000000" w:themeColor="text1"/>
        </w:rPr>
        <w:t xml:space="preserve">created </w:t>
      </w:r>
      <w:r w:rsidRPr="00170EAA">
        <w:rPr>
          <w:rFonts w:ascii="Baskerville" w:hAnsi="Baskerville" w:cs="Open Sans"/>
          <w:color w:val="000000" w:themeColor="text1"/>
        </w:rPr>
        <w:t>a cause of action, punishable by imprisonment, for the enticing away of the servant of another)).</w:t>
      </w:r>
    </w:p>
    <w:p w14:paraId="71FB9CDE" w14:textId="77777777" w:rsidR="00217AC8" w:rsidRPr="00705394" w:rsidRDefault="00217AC8" w:rsidP="00217AC8">
      <w:pPr>
        <w:ind w:left="475"/>
        <w:rPr>
          <w:rFonts w:ascii="Baskerville" w:hAnsi="Baskerville"/>
          <w:color w:val="000000" w:themeColor="text1"/>
          <w:shd w:val="clear" w:color="auto" w:fill="FFFFFF"/>
        </w:rPr>
      </w:pPr>
    </w:p>
    <w:p w14:paraId="5CBDE72F" w14:textId="77777777" w:rsidR="00217AC8" w:rsidRDefault="00217AC8" w:rsidP="00217AC8">
      <w:pPr>
        <w:ind w:left="475"/>
        <w:rPr>
          <w:rFonts w:ascii="Baskerville" w:hAnsi="Baskerville"/>
          <w:color w:val="000000" w:themeColor="text1"/>
        </w:rPr>
      </w:pPr>
      <w:r w:rsidRPr="00705394">
        <w:rPr>
          <w:rFonts w:ascii="Baskerville" w:hAnsi="Baskerville"/>
          <w:color w:val="000000" w:themeColor="text1"/>
        </w:rPr>
        <w:t xml:space="preserve">Ryan W. O’Donnell, </w:t>
      </w:r>
      <w:r w:rsidRPr="00705394">
        <w:rPr>
          <w:rFonts w:ascii="Baskerville" w:hAnsi="Baskerville"/>
          <w:i/>
          <w:iCs/>
          <w:color w:val="000000" w:themeColor="text1"/>
        </w:rPr>
        <w:t xml:space="preserve">Protecting Company Intellectual Property Through Employment Agreements and Employee Exit Processes, </w:t>
      </w:r>
      <w:r w:rsidRPr="00705394">
        <w:rPr>
          <w:rFonts w:ascii="Baskerville" w:hAnsi="Baskerville"/>
          <w:color w:val="000000" w:themeColor="text1"/>
        </w:rPr>
        <w:t xml:space="preserve">68 </w:t>
      </w:r>
      <w:r w:rsidRPr="00705394">
        <w:rPr>
          <w:rFonts w:ascii="Baskerville" w:hAnsi="Baskerville"/>
          <w:smallCaps/>
          <w:color w:val="000000" w:themeColor="text1"/>
        </w:rPr>
        <w:t>Prac. Law.</w:t>
      </w:r>
      <w:r w:rsidRPr="00705394">
        <w:rPr>
          <w:rFonts w:ascii="Baskerville" w:hAnsi="Baskerville"/>
          <w:color w:val="000000" w:themeColor="text1"/>
        </w:rPr>
        <w:t xml:space="preserve"> 33 (Feb. 2022).</w:t>
      </w:r>
    </w:p>
    <w:p w14:paraId="7C5ADDB2" w14:textId="77777777" w:rsidR="00217AC8" w:rsidRDefault="00217AC8" w:rsidP="00217AC8">
      <w:pPr>
        <w:ind w:left="475"/>
        <w:rPr>
          <w:rFonts w:ascii="Baskerville" w:hAnsi="Baskerville"/>
          <w:color w:val="000000" w:themeColor="text1"/>
        </w:rPr>
      </w:pPr>
    </w:p>
    <w:p w14:paraId="44F7FDE2" w14:textId="7EEA7684" w:rsidR="00217AC8" w:rsidRDefault="00217AC8" w:rsidP="00217AC8">
      <w:pPr>
        <w:ind w:left="475"/>
        <w:rPr>
          <w:rFonts w:ascii="Baskerville" w:hAnsi="Baskerville"/>
          <w:color w:val="000000" w:themeColor="text1"/>
          <w:shd w:val="clear" w:color="auto" w:fill="FFFFFF"/>
        </w:rPr>
      </w:pPr>
      <w:r w:rsidRPr="005C7965">
        <w:rPr>
          <w:rFonts w:ascii="Baskerville" w:hAnsi="Baskerville"/>
          <w:color w:val="000000" w:themeColor="text1"/>
          <w:shd w:val="clear" w:color="auto" w:fill="FFFFFF"/>
        </w:rPr>
        <w:t xml:space="preserve">Sanjukta Paul, Review, </w:t>
      </w:r>
      <w:r w:rsidRPr="005C7965">
        <w:rPr>
          <w:rFonts w:ascii="Baskerville" w:hAnsi="Baskerville"/>
          <w:i/>
          <w:iCs/>
          <w:color w:val="000000" w:themeColor="text1"/>
          <w:shd w:val="clear" w:color="auto" w:fill="FFFFFF"/>
        </w:rPr>
        <w:t>Charting the Reform Path</w:t>
      </w:r>
      <w:r w:rsidRPr="005C7965">
        <w:rPr>
          <w:rFonts w:ascii="Baskerville" w:hAnsi="Baskerville"/>
          <w:color w:val="000000" w:themeColor="text1"/>
          <w:shd w:val="clear" w:color="auto" w:fill="FFFFFF"/>
        </w:rPr>
        <w:t>, 120 </w:t>
      </w:r>
      <w:r w:rsidRPr="005C7965">
        <w:rPr>
          <w:rFonts w:ascii="Baskerville" w:hAnsi="Baskerville"/>
          <w:smallCaps/>
          <w:color w:val="000000" w:themeColor="text1"/>
          <w:shd w:val="clear" w:color="auto" w:fill="FFFFFF"/>
        </w:rPr>
        <w:t>Mich. L. Rev.</w:t>
      </w:r>
      <w:r w:rsidRPr="005C7965">
        <w:rPr>
          <w:rFonts w:ascii="Baskerville" w:hAnsi="Baskerville"/>
          <w:color w:val="000000" w:themeColor="text1"/>
          <w:shd w:val="clear" w:color="auto" w:fill="FFFFFF"/>
        </w:rPr>
        <w:t xml:space="preserve"> 1265 (2022) (reviewing </w:t>
      </w:r>
      <w:r w:rsidRPr="005C7965">
        <w:rPr>
          <w:rFonts w:ascii="Baskerville" w:hAnsi="Baskerville"/>
          <w:smallCaps/>
          <w:color w:val="000000" w:themeColor="text1"/>
          <w:shd w:val="clear" w:color="auto" w:fill="FFFFFF"/>
        </w:rPr>
        <w:t xml:space="preserve">Inequality and the Labor </w:t>
      </w:r>
      <w:r w:rsidRPr="005C7965">
        <w:rPr>
          <w:rFonts w:ascii="Baskerville" w:hAnsi="Baskerville"/>
          <w:smallCaps/>
          <w:color w:val="000000" w:themeColor="text1"/>
          <w:shd w:val="clear" w:color="auto" w:fill="FFFFFF"/>
        </w:rPr>
        <w:lastRenderedPageBreak/>
        <w:t>Market: The Case for Greater Competition</w:t>
      </w:r>
      <w:r w:rsidRPr="005C7965">
        <w:rPr>
          <w:rFonts w:ascii="Baskerville" w:hAnsi="Baskerville"/>
          <w:color w:val="000000" w:themeColor="text1"/>
          <w:shd w:val="clear" w:color="auto" w:fill="FFFFFF"/>
        </w:rPr>
        <w:t xml:space="preserve"> (Sharon Block &amp; Benjamin H. Harris eds., Brookings Inst</w:t>
      </w:r>
      <w:r w:rsidR="00AD628F">
        <w:rPr>
          <w:rFonts w:ascii="Baskerville" w:hAnsi="Baskerville"/>
          <w:color w:val="000000" w:themeColor="text1"/>
          <w:shd w:val="clear" w:color="auto" w:fill="FFFFFF"/>
        </w:rPr>
        <w:t>.</w:t>
      </w:r>
      <w:r w:rsidRPr="005C7965">
        <w:rPr>
          <w:rFonts w:ascii="Baskerville" w:hAnsi="Baskerville"/>
          <w:color w:val="000000" w:themeColor="text1"/>
          <w:shd w:val="clear" w:color="auto" w:fill="FFFFFF"/>
        </w:rPr>
        <w:t xml:space="preserve"> Press 2021)).</w:t>
      </w:r>
    </w:p>
    <w:p w14:paraId="78D3A9A1" w14:textId="77777777" w:rsidR="00217AC8" w:rsidRDefault="00217AC8" w:rsidP="00217AC8">
      <w:pPr>
        <w:ind w:left="475"/>
        <w:rPr>
          <w:rFonts w:ascii="Baskerville" w:hAnsi="Baskerville"/>
          <w:color w:val="000000" w:themeColor="text1"/>
          <w:shd w:val="clear" w:color="auto" w:fill="FFFFFF"/>
        </w:rPr>
      </w:pPr>
      <w:r>
        <w:rPr>
          <w:rFonts w:ascii="Baskerville" w:hAnsi="Baskerville"/>
          <w:color w:val="000000" w:themeColor="text1"/>
          <w:shd w:val="clear" w:color="auto" w:fill="FFFFFF"/>
        </w:rPr>
        <w:t xml:space="preserve">  </w:t>
      </w:r>
    </w:p>
    <w:p w14:paraId="6B1F8038" w14:textId="77777777" w:rsidR="00217AC8" w:rsidRPr="00705394" w:rsidRDefault="00217AC8" w:rsidP="00217AC8">
      <w:pPr>
        <w:ind w:left="475"/>
        <w:rPr>
          <w:rFonts w:ascii="Baskerville" w:hAnsi="Baskerville"/>
          <w:color w:val="000000" w:themeColor="text1"/>
        </w:rPr>
      </w:pPr>
      <w:r w:rsidRPr="00705394">
        <w:rPr>
          <w:rFonts w:ascii="Baskerville" w:hAnsi="Baskerville"/>
          <w:color w:val="000000" w:themeColor="text1"/>
        </w:rPr>
        <w:t xml:space="preserve">Eric A. Posner, </w:t>
      </w:r>
      <w:r w:rsidRPr="00705394">
        <w:rPr>
          <w:rFonts w:ascii="Baskerville" w:hAnsi="Baskerville"/>
          <w:i/>
          <w:iCs/>
          <w:color w:val="000000" w:themeColor="text1"/>
        </w:rPr>
        <w:t>Antitrust and Labor Markets: A Reply to Richard Epstein</w:t>
      </w:r>
      <w:r w:rsidRPr="00705394">
        <w:rPr>
          <w:rFonts w:ascii="Baskerville" w:hAnsi="Baskerville"/>
          <w:color w:val="000000" w:themeColor="text1"/>
        </w:rPr>
        <w:t xml:space="preserve">, 15 </w:t>
      </w:r>
      <w:r w:rsidRPr="00705394">
        <w:rPr>
          <w:rFonts w:ascii="Baskerville" w:hAnsi="Baskerville"/>
          <w:smallCaps/>
          <w:color w:val="000000" w:themeColor="text1"/>
        </w:rPr>
        <w:t>N.Y.U. J.L. &amp; Liberty</w:t>
      </w:r>
      <w:r w:rsidRPr="00705394">
        <w:rPr>
          <w:rFonts w:ascii="Baskerville" w:hAnsi="Baskerville"/>
          <w:color w:val="000000" w:themeColor="text1"/>
        </w:rPr>
        <w:t xml:space="preserve"> 389 (2022) (responding to</w:t>
      </w:r>
      <w:r w:rsidRPr="00705394">
        <w:rPr>
          <w:rFonts w:ascii="Baskerville" w:hAnsi="Baskerville"/>
          <w:color w:val="000000" w:themeColor="text1"/>
          <w:shd w:val="clear" w:color="auto" w:fill="FFFFFF"/>
        </w:rPr>
        <w:t xml:space="preserve"> Richard A. Epstein, </w:t>
      </w:r>
      <w:r w:rsidRPr="00705394">
        <w:rPr>
          <w:rFonts w:ascii="Baskerville" w:hAnsi="Baskerville"/>
          <w:i/>
          <w:iCs/>
          <w:color w:val="000000" w:themeColor="text1"/>
          <w:shd w:val="clear" w:color="auto" w:fill="FFFFFF"/>
        </w:rPr>
        <w:t>The Application of Antitrust Law to Labor Markets—Then and Now</w:t>
      </w:r>
      <w:r w:rsidRPr="00705394">
        <w:rPr>
          <w:rFonts w:ascii="Baskerville" w:hAnsi="Baskerville"/>
          <w:color w:val="000000" w:themeColor="text1"/>
          <w:shd w:val="clear" w:color="auto" w:fill="FFFFFF"/>
        </w:rPr>
        <w:t>, 15 </w:t>
      </w:r>
      <w:r w:rsidRPr="00705394">
        <w:rPr>
          <w:rFonts w:ascii="Baskerville" w:hAnsi="Baskerville"/>
          <w:smallCaps/>
          <w:color w:val="000000" w:themeColor="text1"/>
          <w:shd w:val="clear" w:color="auto" w:fill="FFFFFF"/>
        </w:rPr>
        <w:t>N.Y.U. J.L. &amp; Liberty</w:t>
      </w:r>
      <w:r w:rsidRPr="00705394">
        <w:rPr>
          <w:rFonts w:ascii="Baskerville" w:hAnsi="Baskerville"/>
          <w:color w:val="000000" w:themeColor="text1"/>
          <w:shd w:val="clear" w:color="auto" w:fill="FFFFFF"/>
        </w:rPr>
        <w:t> 327 (2022), and responded to, in turn, by Richard A. Epstein, </w:t>
      </w:r>
      <w:r w:rsidRPr="00705394">
        <w:rPr>
          <w:rFonts w:ascii="Baskerville" w:hAnsi="Baskerville"/>
          <w:i/>
          <w:iCs/>
          <w:color w:val="000000" w:themeColor="text1"/>
          <w:shd w:val="clear" w:color="auto" w:fill="FFFFFF"/>
        </w:rPr>
        <w:t>Antitrust Overreach in Labor Markets: A Response to Eric Posner</w:t>
      </w:r>
      <w:r w:rsidRPr="00705394">
        <w:rPr>
          <w:rFonts w:ascii="Baskerville" w:hAnsi="Baskerville"/>
          <w:color w:val="000000" w:themeColor="text1"/>
          <w:shd w:val="clear" w:color="auto" w:fill="FFFFFF"/>
        </w:rPr>
        <w:t xml:space="preserve">, </w:t>
      </w:r>
      <w:r w:rsidRPr="00705394">
        <w:rPr>
          <w:rFonts w:ascii="Baskerville" w:hAnsi="Baskerville"/>
          <w:color w:val="000000" w:themeColor="text1"/>
        </w:rPr>
        <w:t xml:space="preserve">15 </w:t>
      </w:r>
      <w:r w:rsidRPr="00705394">
        <w:rPr>
          <w:rFonts w:ascii="Baskerville" w:hAnsi="Baskerville"/>
          <w:smallCaps/>
          <w:color w:val="000000" w:themeColor="text1"/>
        </w:rPr>
        <w:t>N.Y.U. J.L. &amp; Liberty</w:t>
      </w:r>
      <w:r w:rsidRPr="00705394">
        <w:rPr>
          <w:rFonts w:ascii="Baskerville" w:hAnsi="Baskerville"/>
          <w:color w:val="000000" w:themeColor="text1"/>
        </w:rPr>
        <w:t xml:space="preserve"> 407 (2022)).</w:t>
      </w:r>
    </w:p>
    <w:p w14:paraId="3286D290" w14:textId="77777777" w:rsidR="00217AC8" w:rsidRPr="00705394" w:rsidRDefault="00217AC8" w:rsidP="00217AC8">
      <w:pPr>
        <w:ind w:left="475"/>
        <w:rPr>
          <w:rFonts w:ascii="Baskerville" w:hAnsi="Baskerville"/>
          <w:color w:val="000000" w:themeColor="text1"/>
        </w:rPr>
      </w:pPr>
    </w:p>
    <w:p w14:paraId="7948BFA4" w14:textId="23040083" w:rsidR="00217AC8" w:rsidRPr="00705394" w:rsidRDefault="00217AC8" w:rsidP="00217AC8">
      <w:pPr>
        <w:ind w:left="475"/>
        <w:rPr>
          <w:rFonts w:ascii="Baskerville" w:hAnsi="Baskerville"/>
          <w:color w:val="000000" w:themeColor="text1"/>
        </w:rPr>
      </w:pPr>
      <w:r w:rsidRPr="009E5976">
        <w:rPr>
          <w:rFonts w:ascii="Baskerville" w:hAnsi="Baskerville"/>
          <w:color w:val="000000" w:themeColor="text1"/>
        </w:rPr>
        <w:t xml:space="preserve">Eric A. Posner &amp; Cass R. Sunstein, </w:t>
      </w:r>
      <w:r w:rsidRPr="009E5976">
        <w:rPr>
          <w:rFonts w:ascii="Baskerville" w:hAnsi="Baskerville"/>
          <w:i/>
          <w:iCs/>
          <w:color w:val="000000" w:themeColor="text1"/>
        </w:rPr>
        <w:t xml:space="preserve">Antitrust </w:t>
      </w:r>
      <w:r w:rsidR="00204FD8">
        <w:rPr>
          <w:rFonts w:ascii="Baskerville" w:hAnsi="Baskerville"/>
          <w:i/>
          <w:iCs/>
          <w:color w:val="000000" w:themeColor="text1"/>
        </w:rPr>
        <w:t>and</w:t>
      </w:r>
      <w:r w:rsidRPr="009E5976">
        <w:rPr>
          <w:rFonts w:ascii="Baskerville" w:hAnsi="Baskerville"/>
          <w:i/>
          <w:iCs/>
          <w:color w:val="000000" w:themeColor="text1"/>
        </w:rPr>
        <w:t xml:space="preserve"> Inequality</w:t>
      </w:r>
      <w:r w:rsidRPr="009E5976">
        <w:rPr>
          <w:rFonts w:ascii="Baskerville" w:hAnsi="Baskerville"/>
          <w:color w:val="000000" w:themeColor="text1"/>
        </w:rPr>
        <w:t xml:space="preserve">, 2 </w:t>
      </w:r>
      <w:r w:rsidRPr="009E5976">
        <w:rPr>
          <w:rFonts w:ascii="Baskerville" w:hAnsi="Baskerville"/>
          <w:smallCaps/>
          <w:color w:val="000000" w:themeColor="text1"/>
        </w:rPr>
        <w:t xml:space="preserve">Am. J.L. Equal. </w:t>
      </w:r>
      <w:r w:rsidRPr="009E5976">
        <w:rPr>
          <w:rFonts w:ascii="Baskerville" w:hAnsi="Baskerville"/>
          <w:color w:val="000000" w:themeColor="text1"/>
        </w:rPr>
        <w:t xml:space="preserve">190 (2022) (positing, </w:t>
      </w:r>
      <w:r w:rsidRPr="009E5976">
        <w:rPr>
          <w:rFonts w:ascii="Baskerville" w:hAnsi="Baskerville"/>
          <w:i/>
          <w:iCs/>
          <w:color w:val="000000" w:themeColor="text1"/>
        </w:rPr>
        <w:t>id</w:t>
      </w:r>
      <w:r w:rsidRPr="009E5976">
        <w:rPr>
          <w:rFonts w:ascii="Baskerville" w:hAnsi="Baskerville"/>
          <w:color w:val="000000" w:themeColor="text1"/>
        </w:rPr>
        <w:t xml:space="preserve">. at 200, that, because antitrust enforcement has not focused on labor markets until recently, “anticompetitive behavior in these markets is likely to be common;” citing, </w:t>
      </w:r>
      <w:r w:rsidRPr="009E5976">
        <w:rPr>
          <w:rFonts w:ascii="Baskerville" w:hAnsi="Baskerville"/>
          <w:i/>
          <w:iCs/>
          <w:color w:val="000000" w:themeColor="text1"/>
        </w:rPr>
        <w:t>id.</w:t>
      </w:r>
      <w:r w:rsidRPr="009E5976">
        <w:rPr>
          <w:rFonts w:ascii="Baskerville" w:hAnsi="Baskerville"/>
          <w:color w:val="000000" w:themeColor="text1"/>
        </w:rPr>
        <w:t xml:space="preserve"> at n.45, Evan Starr, J.J. Prescott, &amp; Norman D. Bishara, </w:t>
      </w:r>
      <w:r w:rsidRPr="009E5976">
        <w:rPr>
          <w:rFonts w:ascii="Baskerville" w:hAnsi="Baskerville"/>
          <w:i/>
          <w:iCs/>
          <w:color w:val="000000" w:themeColor="text1"/>
        </w:rPr>
        <w:t>Noncompete Agreements in the U.S. Labor Force</w:t>
      </w:r>
      <w:r w:rsidRPr="009E5976">
        <w:rPr>
          <w:rFonts w:ascii="Baskerville" w:hAnsi="Baskerville"/>
          <w:color w:val="000000" w:themeColor="text1"/>
        </w:rPr>
        <w:t xml:space="preserve">, 64 </w:t>
      </w:r>
      <w:r w:rsidRPr="009E5976">
        <w:rPr>
          <w:rFonts w:ascii="Baskerville" w:hAnsi="Baskerville"/>
          <w:smallCaps/>
          <w:color w:val="000000" w:themeColor="text1"/>
        </w:rPr>
        <w:t>J.L. &amp; Econ.</w:t>
      </w:r>
      <w:r w:rsidRPr="009E5976">
        <w:rPr>
          <w:rFonts w:ascii="Baskerville" w:hAnsi="Baskerville"/>
          <w:color w:val="000000" w:themeColor="text1"/>
        </w:rPr>
        <w:t xml:space="preserve"> 53, 80–82 (2021); Alan B. Krueger &amp; Orley Ashenfelter, </w:t>
      </w:r>
      <w:r w:rsidRPr="009E5976">
        <w:rPr>
          <w:rFonts w:ascii="Baskerville" w:hAnsi="Baskerville"/>
          <w:i/>
          <w:iCs/>
          <w:color w:val="000000" w:themeColor="text1"/>
        </w:rPr>
        <w:t xml:space="preserve">Theory and Evidence on Employer Collusion in the Franchise Sector </w:t>
      </w:r>
      <w:r w:rsidRPr="009E5976">
        <w:rPr>
          <w:rFonts w:ascii="Baskerville" w:hAnsi="Baskerville"/>
          <w:color w:val="000000" w:themeColor="text1"/>
        </w:rPr>
        <w:t>4</w:t>
      </w:r>
      <w:r w:rsidRPr="009E5976">
        <w:rPr>
          <w:rFonts w:ascii="Baskerville" w:hAnsi="Baskerville"/>
          <w:i/>
          <w:iCs/>
          <w:color w:val="000000" w:themeColor="text1"/>
        </w:rPr>
        <w:t xml:space="preserve"> </w:t>
      </w:r>
      <w:r w:rsidRPr="009E5976">
        <w:rPr>
          <w:rFonts w:ascii="Baskerville" w:hAnsi="Baskerville"/>
          <w:color w:val="000000" w:themeColor="text1"/>
        </w:rPr>
        <w:t xml:space="preserve">(Nat’l Bureau of Econ. Rsch., Working Paper No. 24831 (2018); </w:t>
      </w:r>
      <w:r w:rsidRPr="009E5976">
        <w:rPr>
          <w:rFonts w:ascii="Baskerville" w:hAnsi="Baskerville"/>
          <w:smallCaps/>
          <w:color w:val="000000" w:themeColor="text1"/>
        </w:rPr>
        <w:t>Eric A. Posner, How Antitrust Failed Workers</w:t>
      </w:r>
      <w:r w:rsidRPr="009E5976">
        <w:rPr>
          <w:rFonts w:ascii="Baskerville" w:hAnsi="Baskerville"/>
          <w:color w:val="000000" w:themeColor="text1"/>
        </w:rPr>
        <w:t xml:space="preserve"> (2021)).</w:t>
      </w:r>
    </w:p>
    <w:p w14:paraId="76ECF4E7" w14:textId="77777777" w:rsidR="00217AC8" w:rsidRPr="00705394" w:rsidRDefault="00217AC8" w:rsidP="00217AC8">
      <w:pPr>
        <w:ind w:left="475"/>
        <w:rPr>
          <w:rFonts w:ascii="Baskerville" w:hAnsi="Baskerville"/>
          <w:color w:val="000000" w:themeColor="text1"/>
          <w:shd w:val="clear" w:color="auto" w:fill="FFFFFF"/>
        </w:rPr>
      </w:pPr>
    </w:p>
    <w:p w14:paraId="7B7C4BB5" w14:textId="77777777" w:rsidR="00217AC8" w:rsidRPr="00705394" w:rsidRDefault="00217AC8" w:rsidP="00217AC8">
      <w:pPr>
        <w:ind w:left="475"/>
        <w:rPr>
          <w:rFonts w:ascii="Baskerville" w:hAnsi="Baskerville"/>
          <w:color w:val="000000" w:themeColor="text1"/>
          <w:shd w:val="clear" w:color="auto" w:fill="FFFFFF"/>
        </w:rPr>
      </w:pPr>
      <w:r w:rsidRPr="00705394">
        <w:rPr>
          <w:rFonts w:ascii="Baskerville" w:hAnsi="Baskerville"/>
          <w:color w:val="000000" w:themeColor="text1"/>
          <w:shd w:val="clear" w:color="auto" w:fill="FFFFFF"/>
        </w:rPr>
        <w:t>Lori N. Ross, </w:t>
      </w:r>
      <w:r w:rsidRPr="00705394">
        <w:rPr>
          <w:rFonts w:ascii="Baskerville" w:hAnsi="Baskerville"/>
          <w:i/>
          <w:iCs/>
          <w:color w:val="000000" w:themeColor="text1"/>
          <w:shd w:val="clear" w:color="auto" w:fill="FFFFFF"/>
        </w:rPr>
        <w:t>The Time is Now: A Call for Federal Elimination of Non-Competes Against Low-Wage and Hourly Workers in the Wake of the Pandemic</w:t>
      </w:r>
      <w:r w:rsidRPr="00705394">
        <w:rPr>
          <w:rFonts w:ascii="Baskerville" w:hAnsi="Baskerville"/>
          <w:color w:val="000000" w:themeColor="text1"/>
          <w:shd w:val="clear" w:color="auto" w:fill="FFFFFF"/>
        </w:rPr>
        <w:t>, 14 </w:t>
      </w:r>
      <w:r w:rsidRPr="00705394">
        <w:rPr>
          <w:rFonts w:ascii="Baskerville" w:hAnsi="Baskerville"/>
          <w:smallCaps/>
          <w:color w:val="000000" w:themeColor="text1"/>
          <w:shd w:val="clear" w:color="auto" w:fill="FFFFFF"/>
        </w:rPr>
        <w:t>Wm. &amp; Mary Bus. L. Rev</w:t>
      </w:r>
      <w:r w:rsidRPr="00705394">
        <w:rPr>
          <w:rFonts w:ascii="Baskerville" w:hAnsi="Baskerville"/>
          <w:color w:val="000000" w:themeColor="text1"/>
          <w:shd w:val="clear" w:color="auto" w:fill="FFFFFF"/>
        </w:rPr>
        <w:t>. 111 (2022).</w:t>
      </w:r>
    </w:p>
    <w:p w14:paraId="6A716074" w14:textId="77777777" w:rsidR="00217AC8" w:rsidRPr="00705394" w:rsidRDefault="00217AC8" w:rsidP="00217AC8">
      <w:pPr>
        <w:ind w:left="475"/>
        <w:rPr>
          <w:rFonts w:ascii="Baskerville" w:hAnsi="Baskerville"/>
          <w:color w:val="000000" w:themeColor="text1"/>
        </w:rPr>
      </w:pPr>
    </w:p>
    <w:p w14:paraId="1A8E2C2B" w14:textId="77777777" w:rsidR="00217AC8" w:rsidRPr="00170EAA" w:rsidRDefault="00217AC8" w:rsidP="00217AC8">
      <w:pPr>
        <w:ind w:left="475"/>
        <w:rPr>
          <w:rFonts w:ascii="Baskerville" w:hAnsi="Baskerville"/>
          <w:color w:val="000000" w:themeColor="text1"/>
        </w:rPr>
      </w:pPr>
      <w:r w:rsidRPr="00170EAA">
        <w:rPr>
          <w:rFonts w:ascii="Baskerville" w:hAnsi="Baskerville"/>
          <w:color w:val="000000" w:themeColor="text1"/>
        </w:rPr>
        <w:t xml:space="preserve">Donna Rothstein &amp; Evan Starr, </w:t>
      </w:r>
      <w:r w:rsidRPr="00170EAA">
        <w:rPr>
          <w:rFonts w:ascii="Baskerville" w:hAnsi="Baskerville"/>
          <w:i/>
          <w:iCs/>
          <w:color w:val="000000" w:themeColor="text1"/>
        </w:rPr>
        <w:t>Noncompete Agreements, Bargaining, and Wages: Evidence from the Longitudinal Survey of Youth 1997</w:t>
      </w:r>
      <w:r w:rsidRPr="00170EAA">
        <w:rPr>
          <w:rFonts w:ascii="Baskerville" w:hAnsi="Baskerville"/>
          <w:color w:val="000000" w:themeColor="text1"/>
        </w:rPr>
        <w:t xml:space="preserve">, 2022 </w:t>
      </w:r>
      <w:r w:rsidRPr="00170EAA">
        <w:rPr>
          <w:rFonts w:ascii="Baskerville" w:hAnsi="Baskerville"/>
          <w:smallCaps/>
          <w:color w:val="000000" w:themeColor="text1"/>
        </w:rPr>
        <w:t>Monthly Lab. Rev.</w:t>
      </w:r>
      <w:r w:rsidRPr="00170EAA">
        <w:rPr>
          <w:rFonts w:ascii="Baskerville" w:hAnsi="Baskerville"/>
          <w:color w:val="000000" w:themeColor="text1"/>
        </w:rPr>
        <w:t xml:space="preserve"> 17 (U.S. Dep’t of Labor, Bureau of Labor Statistics, June 2022),</w:t>
      </w:r>
      <w:r w:rsidRPr="00170EAA">
        <w:rPr>
          <w:rFonts w:ascii="Baskerville" w:hAnsi="Baskerville" w:cs="Tahoma"/>
          <w:color w:val="000000" w:themeColor="text1"/>
          <w:shd w:val="clear" w:color="auto" w:fill="FBFDFF"/>
        </w:rPr>
        <w:t xml:space="preserve"> </w:t>
      </w:r>
      <w:hyperlink r:id="rId18" w:history="1">
        <w:r w:rsidRPr="00170EAA">
          <w:rPr>
            <w:rStyle w:val="Hyperlink"/>
            <w:rFonts w:ascii="Baskerville" w:hAnsi="Baskerville" w:cs="Tahoma"/>
            <w:color w:val="000000" w:themeColor="text1"/>
            <w:u w:val="none"/>
            <w:shd w:val="clear" w:color="auto" w:fill="FBFDFF"/>
          </w:rPr>
          <w:t>https://www.bls.gov/opub/mlr/2022/article/noncompete-agreements-bargaining-and-wages-evidence-from-the-national-longitudinal-survey-of-youth-1997.htm</w:t>
        </w:r>
      </w:hyperlink>
      <w:r w:rsidRPr="00170EAA">
        <w:rPr>
          <w:rFonts w:ascii="Baskerville" w:hAnsi="Baskerville" w:cs="Tahoma"/>
          <w:color w:val="000000" w:themeColor="text1"/>
          <w:shd w:val="clear" w:color="auto" w:fill="FBFDFF"/>
        </w:rPr>
        <w:t xml:space="preserve"> </w:t>
      </w:r>
      <w:r w:rsidRPr="00170EAA">
        <w:rPr>
          <w:rFonts w:ascii="Baskerville" w:hAnsi="Baskerville"/>
          <w:color w:val="000000" w:themeColor="text1"/>
        </w:rPr>
        <w:t>(examining t</w:t>
      </w:r>
      <w:r w:rsidRPr="00170EAA">
        <w:rPr>
          <w:rFonts w:ascii="Baskerville" w:hAnsi="Baskerville"/>
          <w:color w:val="000000" w:themeColor="text1"/>
          <w:shd w:val="clear" w:color="auto" w:fill="FFFFFF"/>
        </w:rPr>
        <w:t xml:space="preserve">he sensitivity of the relationship between wages and noncompetes; finding that noncompete agreements (NCAs) “are positively </w:t>
      </w:r>
      <w:r w:rsidRPr="00170EAA">
        <w:rPr>
          <w:rFonts w:ascii="Baskerville" w:hAnsi="Baskerville"/>
          <w:color w:val="000000" w:themeColor="text1"/>
          <w:shd w:val="clear" w:color="auto" w:fill="FFFFFF"/>
        </w:rPr>
        <w:lastRenderedPageBreak/>
        <w:t>associated with wages but that this association is highly sensitive to demographic and job characteristics” and thus recommending that the main correlations be interpreted “with due caution;” noting that the heterogeneous effects in the NCA-wage differential “are more stable” and that “the wage increase associated with NCAs is lower for those with less education (relative to more education), lower for those with lower ability (relative to higher ability), and lower for women (relative to men) in some models;” concluding that, although “the NCA-wage differential is lower for those who do not bargain over wages (relative to the NCA-wage differential for those who do bargain), bargaining differentials across groups do not explain the NCA-wage differentials across groups;” also reporting that “the enforceability of NCAs reduces NCA-wage differentials, as found by [</w:t>
      </w:r>
      <w:r w:rsidRPr="00170EAA">
        <w:rPr>
          <w:rFonts w:ascii="Baskerville" w:hAnsi="Baskerville"/>
          <w:color w:val="000000" w:themeColor="text1"/>
        </w:rPr>
        <w:t xml:space="preserve">Evan Starr, J.J. Prescott, &amp; Norman D. Bishara, </w:t>
      </w:r>
      <w:r w:rsidRPr="00170EAA">
        <w:rPr>
          <w:rFonts w:ascii="Baskerville" w:hAnsi="Baskerville"/>
          <w:i/>
          <w:iCs/>
          <w:color w:val="000000" w:themeColor="text1"/>
        </w:rPr>
        <w:t>Noncompete Agreements in the U.S. Labor Force</w:t>
      </w:r>
      <w:r w:rsidRPr="00170EAA">
        <w:rPr>
          <w:rFonts w:ascii="Baskerville" w:hAnsi="Baskerville"/>
          <w:color w:val="000000" w:themeColor="text1"/>
        </w:rPr>
        <w:t xml:space="preserve">, 64 </w:t>
      </w:r>
      <w:r w:rsidRPr="00170EAA">
        <w:rPr>
          <w:rFonts w:ascii="Baskerville" w:hAnsi="Baskerville"/>
          <w:smallCaps/>
          <w:color w:val="000000" w:themeColor="text1"/>
        </w:rPr>
        <w:t>J.L. &amp; Econ.</w:t>
      </w:r>
      <w:r w:rsidRPr="00170EAA">
        <w:rPr>
          <w:rFonts w:ascii="Baskerville" w:hAnsi="Baskerville"/>
          <w:color w:val="000000" w:themeColor="text1"/>
        </w:rPr>
        <w:t xml:space="preserve"> 53 (2021)]”).</w:t>
      </w:r>
    </w:p>
    <w:p w14:paraId="5B4121EB" w14:textId="77777777" w:rsidR="00217AC8" w:rsidRPr="00170EAA" w:rsidRDefault="00217AC8" w:rsidP="00217AC8">
      <w:pPr>
        <w:ind w:left="475"/>
        <w:rPr>
          <w:rFonts w:ascii="Baskerville" w:hAnsi="Baskerville"/>
          <w:color w:val="000000" w:themeColor="text1"/>
          <w:shd w:val="clear" w:color="auto" w:fill="FFFFFF"/>
        </w:rPr>
      </w:pPr>
    </w:p>
    <w:p w14:paraId="6CBF2C54" w14:textId="12157FB0" w:rsidR="00217AC8" w:rsidRPr="009E5976" w:rsidRDefault="00217AC8" w:rsidP="00217AC8">
      <w:pPr>
        <w:ind w:left="475"/>
        <w:rPr>
          <w:rFonts w:ascii="Baskerville" w:hAnsi="Baskerville"/>
          <w:color w:val="000000" w:themeColor="text1"/>
          <w:shd w:val="clear" w:color="auto" w:fill="FFFFFF"/>
        </w:rPr>
      </w:pPr>
      <w:r w:rsidRPr="00705394">
        <w:rPr>
          <w:rFonts w:ascii="Baskerville" w:hAnsi="Baskerville"/>
          <w:color w:val="000000" w:themeColor="text1"/>
          <w:shd w:val="clear" w:color="auto" w:fill="FFFFFF"/>
        </w:rPr>
        <w:t>Stewart J. Schwab, </w:t>
      </w:r>
      <w:r w:rsidRPr="00705394">
        <w:rPr>
          <w:rFonts w:ascii="Baskerville" w:hAnsi="Baskerville"/>
          <w:i/>
          <w:iCs/>
          <w:color w:val="000000" w:themeColor="text1"/>
          <w:shd w:val="clear" w:color="auto" w:fill="FFFFFF"/>
        </w:rPr>
        <w:t>Regulating Noncompetes Beyond the Common Law: The Uniform Restrictive Employment Agreement Act</w:t>
      </w:r>
      <w:r w:rsidRPr="00705394">
        <w:rPr>
          <w:rFonts w:ascii="Baskerville" w:hAnsi="Baskerville"/>
          <w:color w:val="000000" w:themeColor="text1"/>
          <w:shd w:val="clear" w:color="auto" w:fill="FFFFFF"/>
        </w:rPr>
        <w:t>, 98 </w:t>
      </w:r>
      <w:r w:rsidRPr="00705394">
        <w:rPr>
          <w:rFonts w:ascii="Baskerville" w:hAnsi="Baskerville"/>
          <w:smallCaps/>
          <w:color w:val="000000" w:themeColor="text1"/>
          <w:shd w:val="clear" w:color="auto" w:fill="FFFFFF"/>
        </w:rPr>
        <w:t>Ind. L.J.</w:t>
      </w:r>
      <w:r w:rsidRPr="00705394">
        <w:rPr>
          <w:rFonts w:ascii="Baskerville" w:hAnsi="Baskerville"/>
          <w:color w:val="000000" w:themeColor="text1"/>
          <w:shd w:val="clear" w:color="auto" w:fill="FFFFFF"/>
        </w:rPr>
        <w:t xml:space="preserve"> 275 (Winter </w:t>
      </w:r>
      <w:r w:rsidRPr="009E5976">
        <w:rPr>
          <w:rFonts w:ascii="Baskerville" w:hAnsi="Baskerville"/>
          <w:color w:val="000000" w:themeColor="text1"/>
          <w:shd w:val="clear" w:color="auto" w:fill="FFFFFF"/>
        </w:rPr>
        <w:t>2022) (explain</w:t>
      </w:r>
      <w:r w:rsidR="008D4D24">
        <w:rPr>
          <w:rFonts w:ascii="Baskerville" w:hAnsi="Baskerville"/>
          <w:color w:val="000000" w:themeColor="text1"/>
          <w:shd w:val="clear" w:color="auto" w:fill="FFFFFF"/>
        </w:rPr>
        <w:t>ing</w:t>
      </w:r>
      <w:r w:rsidRPr="009E5976">
        <w:rPr>
          <w:rFonts w:ascii="Baskerville" w:hAnsi="Baskerville"/>
          <w:color w:val="000000" w:themeColor="text1"/>
          <w:shd w:val="clear" w:color="auto" w:fill="FFFFFF"/>
        </w:rPr>
        <w:t xml:space="preserve">, </w:t>
      </w:r>
      <w:r w:rsidRPr="009E5976">
        <w:rPr>
          <w:rFonts w:ascii="Baskerville" w:hAnsi="Baskerville"/>
          <w:i/>
          <w:iCs/>
          <w:color w:val="000000" w:themeColor="text1"/>
          <w:shd w:val="clear" w:color="auto" w:fill="FFFFFF"/>
        </w:rPr>
        <w:t>id</w:t>
      </w:r>
      <w:r w:rsidRPr="009E5976">
        <w:rPr>
          <w:rFonts w:ascii="Baskerville" w:hAnsi="Baskerville"/>
          <w:color w:val="000000" w:themeColor="text1"/>
          <w:shd w:val="clear" w:color="auto" w:fill="FFFFFF"/>
        </w:rPr>
        <w:t xml:space="preserve">. at 275, that the “cacophony of [state] statutory commands around the hum of [the] common law” approach to covenants not to compete has created “frustration, complaints, variety, and confusion,” which have, in turn, inspired the July 2021 promulgation of the Uniform Restrictive Employment Agreement Act (Unif. L. Comm’n 2021) (UREAA); pointing out, </w:t>
      </w:r>
      <w:r w:rsidRPr="008D4D24">
        <w:rPr>
          <w:rFonts w:ascii="Baskerville" w:hAnsi="Baskerville"/>
          <w:i/>
          <w:iCs/>
          <w:color w:val="000000" w:themeColor="text1"/>
          <w:shd w:val="clear" w:color="auto" w:fill="FFFFFF"/>
        </w:rPr>
        <w:t>id</w:t>
      </w:r>
      <w:r w:rsidRPr="009E5976">
        <w:rPr>
          <w:rFonts w:ascii="Baskerville" w:hAnsi="Baskerville"/>
          <w:color w:val="000000" w:themeColor="text1"/>
          <w:shd w:val="clear" w:color="auto" w:fill="FFFFFF"/>
        </w:rPr>
        <w:t>., that the UREAA “clarifies and codifies” the common law but also goes beyond it, by prohibiting and voiding improper agreements (and making them subject to statutory damages), setting maximum temporal terms (generally of one year in length), banning noncompetes altogether for low-wage workers, and requiring advance notice of noncompete</w:t>
      </w:r>
      <w:r>
        <w:rPr>
          <w:rFonts w:ascii="Baskerville" w:hAnsi="Baskerville"/>
          <w:color w:val="000000" w:themeColor="text1"/>
          <w:shd w:val="clear" w:color="auto" w:fill="FFFFFF"/>
        </w:rPr>
        <w:t>s</w:t>
      </w:r>
      <w:r w:rsidRPr="009E5976">
        <w:rPr>
          <w:rFonts w:ascii="Baskerville" w:hAnsi="Baskerville"/>
          <w:color w:val="000000" w:themeColor="text1"/>
          <w:shd w:val="clear" w:color="auto" w:fill="FFFFFF"/>
        </w:rPr>
        <w:t>).</w:t>
      </w:r>
    </w:p>
    <w:p w14:paraId="7D148B4C" w14:textId="77777777" w:rsidR="00217AC8" w:rsidRPr="009E5976" w:rsidRDefault="00217AC8" w:rsidP="00217AC8">
      <w:pPr>
        <w:ind w:left="475"/>
        <w:rPr>
          <w:rFonts w:ascii="Baskerville" w:hAnsi="Baskerville"/>
          <w:color w:val="000000" w:themeColor="text1"/>
          <w:shd w:val="clear" w:color="auto" w:fill="FFFFFF"/>
        </w:rPr>
      </w:pPr>
    </w:p>
    <w:p w14:paraId="1830DB52" w14:textId="77777777" w:rsidR="00217AC8" w:rsidRPr="00705394" w:rsidRDefault="00217AC8" w:rsidP="00217AC8">
      <w:pPr>
        <w:ind w:left="475"/>
        <w:rPr>
          <w:rFonts w:ascii="Baskerville" w:hAnsi="Baskerville"/>
          <w:color w:val="000000" w:themeColor="text1"/>
          <w:shd w:val="clear" w:color="auto" w:fill="FFFFFF"/>
        </w:rPr>
      </w:pPr>
      <w:r w:rsidRPr="009E5976">
        <w:rPr>
          <w:rFonts w:ascii="Baskerville" w:hAnsi="Baskerville"/>
          <w:color w:val="000000" w:themeColor="text1"/>
          <w:shd w:val="clear" w:color="auto" w:fill="FFFFFF"/>
        </w:rPr>
        <w:t xml:space="preserve">Sedona Conference, </w:t>
      </w:r>
      <w:r w:rsidRPr="009E5976">
        <w:rPr>
          <w:rFonts w:ascii="Baskerville" w:hAnsi="Baskerville"/>
          <w:i/>
          <w:iCs/>
          <w:color w:val="000000" w:themeColor="text1"/>
          <w:shd w:val="clear" w:color="auto" w:fill="FFFFFF"/>
        </w:rPr>
        <w:t>Commentary on Protecting Trade Secrets</w:t>
      </w:r>
      <w:r w:rsidRPr="00705394">
        <w:rPr>
          <w:rFonts w:ascii="Baskerville" w:hAnsi="Baskerville"/>
          <w:i/>
          <w:iCs/>
          <w:color w:val="000000" w:themeColor="text1"/>
          <w:shd w:val="clear" w:color="auto" w:fill="FFFFFF"/>
        </w:rPr>
        <w:t xml:space="preserve"> Throughout the Employment Life Cycle</w:t>
      </w:r>
      <w:r w:rsidRPr="00705394">
        <w:rPr>
          <w:rFonts w:ascii="Baskerville" w:hAnsi="Baskerville"/>
          <w:color w:val="000000" w:themeColor="text1"/>
          <w:shd w:val="clear" w:color="auto" w:fill="FFFFFF"/>
        </w:rPr>
        <w:t xml:space="preserve">, 23 </w:t>
      </w:r>
      <w:r w:rsidRPr="00705394">
        <w:rPr>
          <w:rFonts w:ascii="Baskerville" w:hAnsi="Baskerville"/>
          <w:smallCaps/>
          <w:color w:val="000000" w:themeColor="text1"/>
          <w:shd w:val="clear" w:color="auto" w:fill="FFFFFF"/>
        </w:rPr>
        <w:t>Sedona Conf. J.</w:t>
      </w:r>
      <w:r w:rsidRPr="00705394">
        <w:rPr>
          <w:rFonts w:ascii="Baskerville" w:hAnsi="Baskerville"/>
          <w:color w:val="000000" w:themeColor="text1"/>
          <w:shd w:val="clear" w:color="auto" w:fill="FFFFFF"/>
        </w:rPr>
        <w:t xml:space="preserve"> 807 (2022) (citing, </w:t>
      </w:r>
      <w:r w:rsidRPr="00705394">
        <w:rPr>
          <w:rFonts w:ascii="Baskerville" w:hAnsi="Baskerville"/>
          <w:i/>
          <w:iCs/>
          <w:color w:val="000000" w:themeColor="text1"/>
          <w:shd w:val="clear" w:color="auto" w:fill="FFFFFF"/>
        </w:rPr>
        <w:t>id</w:t>
      </w:r>
      <w:r w:rsidRPr="00705394">
        <w:rPr>
          <w:rFonts w:ascii="Baskerville" w:hAnsi="Baskerville"/>
          <w:color w:val="000000" w:themeColor="text1"/>
          <w:shd w:val="clear" w:color="auto" w:fill="FFFFFF"/>
        </w:rPr>
        <w:t xml:space="preserve">. at 855 n.24, </w:t>
      </w:r>
      <w:r w:rsidRPr="00705394">
        <w:rPr>
          <w:rFonts w:ascii="Baskerville" w:hAnsi="Baskerville"/>
          <w:smallCaps/>
          <w:color w:val="000000" w:themeColor="text1"/>
          <w:shd w:val="clear" w:color="auto" w:fill="FFFFFF"/>
        </w:rPr>
        <w:t>Brian M. Malsberger, Covenants Not to Compete: A State-by-State Survey</w:t>
      </w:r>
      <w:r w:rsidRPr="00705394">
        <w:rPr>
          <w:rFonts w:ascii="Baskerville" w:hAnsi="Baskerville"/>
          <w:color w:val="000000" w:themeColor="text1"/>
          <w:shd w:val="clear" w:color="auto" w:fill="FFFFFF"/>
        </w:rPr>
        <w:t xml:space="preserve"> (Arlington, Va.: BNA Books, 12th ed. </w:t>
      </w:r>
      <w:r w:rsidRPr="00705394">
        <w:rPr>
          <w:rFonts w:ascii="Baskerville" w:hAnsi="Baskerville"/>
          <w:color w:val="000000" w:themeColor="text1"/>
          <w:shd w:val="clear" w:color="auto" w:fill="FFFFFF"/>
        </w:rPr>
        <w:lastRenderedPageBreak/>
        <w:t xml:space="preserve">2018) (print), since replaced by the instant treatise, </w:t>
      </w:r>
      <w:r w:rsidRPr="00705394">
        <w:rPr>
          <w:rFonts w:ascii="Baskerville" w:hAnsi="Baskerville"/>
          <w:smallCaps/>
          <w:color w:val="000000" w:themeColor="text1"/>
          <w:shd w:val="clear" w:color="auto" w:fill="FFFFFF"/>
        </w:rPr>
        <w:t>Brian M. Malsberger, Covenants Not to Compete: A State-by-State Survey</w:t>
      </w:r>
      <w:r w:rsidRPr="00705394">
        <w:rPr>
          <w:rFonts w:ascii="Baskerville" w:hAnsi="Baskerville"/>
          <w:color w:val="000000" w:themeColor="text1"/>
          <w:shd w:val="clear" w:color="auto" w:fill="FFFFFF"/>
        </w:rPr>
        <w:t xml:space="preserve"> (Arlington, Va.: Bloomberg Law, 2023 ed.) (ebook)).</w:t>
      </w:r>
    </w:p>
    <w:p w14:paraId="255AA43E" w14:textId="77777777" w:rsidR="00217AC8" w:rsidRPr="00705394" w:rsidRDefault="00217AC8" w:rsidP="00217AC8">
      <w:pPr>
        <w:ind w:left="475"/>
        <w:rPr>
          <w:rFonts w:ascii="Baskerville" w:hAnsi="Baskerville"/>
          <w:color w:val="000000" w:themeColor="text1"/>
          <w:shd w:val="clear" w:color="auto" w:fill="FFFFFF"/>
        </w:rPr>
      </w:pPr>
    </w:p>
    <w:p w14:paraId="215BB4FE" w14:textId="77777777" w:rsidR="00217AC8" w:rsidRPr="00170EAA" w:rsidRDefault="00217AC8" w:rsidP="00217AC8">
      <w:pPr>
        <w:ind w:left="475"/>
        <w:rPr>
          <w:rFonts w:ascii="Baskerville" w:hAnsi="Baskerville"/>
          <w:color w:val="000000" w:themeColor="text1"/>
          <w:shd w:val="clear" w:color="auto" w:fill="FFFFFF"/>
        </w:rPr>
      </w:pPr>
      <w:r w:rsidRPr="00170EAA">
        <w:rPr>
          <w:rFonts w:ascii="Baskerville" w:hAnsi="Baskerville"/>
          <w:color w:val="000000" w:themeColor="text1"/>
          <w:shd w:val="clear" w:color="auto" w:fill="FFFFFF"/>
        </w:rPr>
        <w:t xml:space="preserve">Michael L. Sturm, </w:t>
      </w:r>
      <w:r w:rsidRPr="00170EAA">
        <w:rPr>
          <w:rFonts w:ascii="Baskerville" w:hAnsi="Baskerville"/>
          <w:i/>
          <w:iCs/>
          <w:color w:val="000000" w:themeColor="text1"/>
          <w:shd w:val="clear" w:color="auto" w:fill="FFFFFF"/>
        </w:rPr>
        <w:t>Franchise Anti-Poaching Provisions: What Have We Learned</w:t>
      </w:r>
      <w:r w:rsidRPr="00170EAA">
        <w:rPr>
          <w:rFonts w:ascii="Baskerville" w:hAnsi="Baskerville"/>
          <w:color w:val="000000" w:themeColor="text1"/>
          <w:shd w:val="clear" w:color="auto" w:fill="FFFFFF"/>
        </w:rPr>
        <w:t xml:space="preserve">?, 39 </w:t>
      </w:r>
      <w:r w:rsidRPr="00170EAA">
        <w:rPr>
          <w:rFonts w:ascii="Baskerville" w:hAnsi="Baskerville"/>
          <w:smallCaps/>
          <w:color w:val="000000" w:themeColor="text1"/>
          <w:shd w:val="clear" w:color="auto" w:fill="FFFFFF"/>
        </w:rPr>
        <w:t>GP Solo</w:t>
      </w:r>
      <w:r w:rsidRPr="00170EAA">
        <w:rPr>
          <w:rFonts w:ascii="Baskerville" w:hAnsi="Baskerville"/>
          <w:color w:val="000000" w:themeColor="text1"/>
          <w:shd w:val="clear" w:color="auto" w:fill="FFFFFF"/>
        </w:rPr>
        <w:t xml:space="preserve"> 56 (2022).</w:t>
      </w:r>
    </w:p>
    <w:p w14:paraId="563B3F47" w14:textId="77777777" w:rsidR="00217AC8" w:rsidRPr="00170EAA" w:rsidRDefault="00217AC8" w:rsidP="00217AC8">
      <w:pPr>
        <w:ind w:left="475"/>
        <w:rPr>
          <w:rFonts w:ascii="Baskerville" w:hAnsi="Baskerville"/>
          <w:color w:val="000000" w:themeColor="text1"/>
          <w:highlight w:val="cyan"/>
        </w:rPr>
      </w:pPr>
    </w:p>
    <w:p w14:paraId="39F759D0" w14:textId="77777777" w:rsidR="00217AC8" w:rsidRPr="00170EAA" w:rsidRDefault="00217AC8" w:rsidP="00217AC8">
      <w:pPr>
        <w:ind w:left="475"/>
        <w:rPr>
          <w:rFonts w:ascii="Baskerville" w:hAnsi="Baskerville"/>
          <w:color w:val="000000" w:themeColor="text1"/>
        </w:rPr>
      </w:pPr>
      <w:r w:rsidRPr="00170EAA">
        <w:rPr>
          <w:rFonts w:ascii="Baskerville" w:hAnsi="Baskerville"/>
          <w:color w:val="000000" w:themeColor="text1"/>
        </w:rPr>
        <w:t xml:space="preserve">Parker E. Thoeni, </w:t>
      </w:r>
      <w:r w:rsidRPr="00170EAA">
        <w:rPr>
          <w:rFonts w:ascii="Baskerville" w:hAnsi="Baskerville"/>
          <w:i/>
          <w:iCs/>
          <w:color w:val="000000" w:themeColor="text1"/>
        </w:rPr>
        <w:t>Is Your Non-Compete Enforceable? It May Depend on Whether the Employment or Sale of Business Standard Applies</w:t>
      </w:r>
      <w:r w:rsidRPr="00170EAA">
        <w:rPr>
          <w:rFonts w:ascii="Baskerville" w:hAnsi="Baskerville"/>
          <w:color w:val="000000" w:themeColor="text1"/>
        </w:rPr>
        <w:t xml:space="preserve"> (ABA Litig. Section 2022), </w:t>
      </w:r>
      <w:hyperlink r:id="rId19" w:history="1">
        <w:r w:rsidRPr="00170EAA">
          <w:rPr>
            <w:rStyle w:val="Hyperlink"/>
            <w:rFonts w:ascii="Baskerville" w:hAnsi="Baskerville"/>
            <w:color w:val="000000" w:themeColor="text1"/>
            <w:u w:val="none"/>
          </w:rPr>
          <w:t>https://www.americanbar.org/groups/litigation/committees/business-torts-unfair-competition/practice/2022/is-your-non-compete-enforceable/</w:t>
        </w:r>
      </w:hyperlink>
      <w:r w:rsidRPr="00170EAA">
        <w:rPr>
          <w:rStyle w:val="Hyperlink"/>
          <w:rFonts w:ascii="Baskerville" w:hAnsi="Baskerville"/>
          <w:color w:val="000000" w:themeColor="text1"/>
          <w:u w:val="none"/>
        </w:rPr>
        <w:t>.</w:t>
      </w:r>
    </w:p>
    <w:p w14:paraId="613D644A" w14:textId="77777777" w:rsidR="00217AC8" w:rsidRPr="00170EAA" w:rsidRDefault="00217AC8" w:rsidP="00217AC8">
      <w:pPr>
        <w:ind w:left="475"/>
        <w:rPr>
          <w:rFonts w:ascii="Baskerville" w:hAnsi="Baskerville"/>
          <w:color w:val="000000" w:themeColor="text1"/>
        </w:rPr>
      </w:pPr>
    </w:p>
    <w:p w14:paraId="0B3D6206" w14:textId="77777777" w:rsidR="00217AC8" w:rsidRPr="00170EAA" w:rsidRDefault="00217AC8" w:rsidP="00217AC8">
      <w:pPr>
        <w:ind w:left="475"/>
        <w:rPr>
          <w:rStyle w:val="Hyperlink"/>
          <w:rFonts w:ascii="Baskerville" w:hAnsi="Baskerville"/>
          <w:color w:val="000000" w:themeColor="text1"/>
          <w:u w:val="none"/>
        </w:rPr>
      </w:pPr>
      <w:r w:rsidRPr="00170EAA">
        <w:rPr>
          <w:rFonts w:ascii="Baskerville" w:hAnsi="Baskerville"/>
          <w:smallCaps/>
          <w:color w:val="000000" w:themeColor="text1"/>
        </w:rPr>
        <w:t>U.S. Dep’t of Treasury, The State of Labor Market Competition</w:t>
      </w:r>
      <w:r w:rsidRPr="00170EAA">
        <w:rPr>
          <w:rFonts w:ascii="Baskerville" w:hAnsi="Baskerville"/>
          <w:color w:val="000000" w:themeColor="text1"/>
        </w:rPr>
        <w:t xml:space="preserve"> (Mar. 7, 2022), </w:t>
      </w:r>
      <w:hyperlink r:id="rId20" w:history="1">
        <w:r w:rsidRPr="00170EAA">
          <w:rPr>
            <w:rStyle w:val="Hyperlink"/>
            <w:rFonts w:ascii="Baskerville" w:hAnsi="Baskerville"/>
            <w:color w:val="000000" w:themeColor="text1"/>
            <w:u w:val="none"/>
          </w:rPr>
          <w:t>https://home.treasury.gov/system/files/136/State-of-Labor-Market-Competition-2022.pdf</w:t>
        </w:r>
      </w:hyperlink>
      <w:r w:rsidRPr="00170EAA">
        <w:rPr>
          <w:rStyle w:val="Hyperlink"/>
          <w:rFonts w:ascii="Baskerville" w:hAnsi="Baskerville"/>
          <w:color w:val="000000" w:themeColor="text1"/>
          <w:u w:val="none"/>
        </w:rPr>
        <w:t>.</w:t>
      </w:r>
    </w:p>
    <w:p w14:paraId="4CE62C50" w14:textId="77777777" w:rsidR="00217AC8" w:rsidRPr="00170EAA" w:rsidRDefault="00217AC8" w:rsidP="00217AC8">
      <w:pPr>
        <w:ind w:left="475"/>
        <w:rPr>
          <w:rStyle w:val="Hyperlink"/>
          <w:rFonts w:ascii="Baskerville" w:hAnsi="Baskerville"/>
          <w:color w:val="000000" w:themeColor="text1"/>
          <w:u w:val="none"/>
        </w:rPr>
      </w:pPr>
    </w:p>
    <w:p w14:paraId="353ED261" w14:textId="3FD5D283" w:rsidR="00217AC8" w:rsidRPr="00170EAA" w:rsidRDefault="00217AC8" w:rsidP="00217AC8">
      <w:pPr>
        <w:ind w:left="475"/>
        <w:rPr>
          <w:rFonts w:ascii="Baskerville" w:hAnsi="Baskerville"/>
          <w:color w:val="000000" w:themeColor="text1"/>
          <w:shd w:val="clear" w:color="auto" w:fill="FFFFFF"/>
        </w:rPr>
      </w:pPr>
      <w:r w:rsidRPr="00170EAA">
        <w:rPr>
          <w:rFonts w:ascii="Baskerville" w:hAnsi="Baskerville"/>
          <w:color w:val="000000" w:themeColor="text1"/>
          <w:shd w:val="clear" w:color="auto" w:fill="FFFFFF"/>
        </w:rPr>
        <w:t>Sandeep Vaheesan, </w:t>
      </w:r>
      <w:r w:rsidRPr="00170EAA">
        <w:rPr>
          <w:rFonts w:ascii="Baskerville" w:hAnsi="Baskerville"/>
          <w:i/>
          <w:iCs/>
          <w:color w:val="000000" w:themeColor="text1"/>
          <w:shd w:val="clear" w:color="auto" w:fill="FFFFFF"/>
        </w:rPr>
        <w:t>The Morality of Monopolization Law</w:t>
      </w:r>
      <w:r w:rsidRPr="00170EAA">
        <w:rPr>
          <w:rFonts w:ascii="Baskerville" w:hAnsi="Baskerville"/>
          <w:color w:val="000000" w:themeColor="text1"/>
          <w:shd w:val="clear" w:color="auto" w:fill="FFFFFF"/>
        </w:rPr>
        <w:t xml:space="preserve">, 63 </w:t>
      </w:r>
      <w:r w:rsidRPr="00170EAA">
        <w:rPr>
          <w:rFonts w:ascii="Baskerville" w:hAnsi="Baskerville"/>
          <w:smallCaps/>
          <w:color w:val="000000" w:themeColor="text1"/>
          <w:shd w:val="clear" w:color="auto" w:fill="FFFFFF"/>
        </w:rPr>
        <w:t>Wm. &amp; Mary L. Rev. Online</w:t>
      </w:r>
      <w:r w:rsidRPr="00170EAA">
        <w:rPr>
          <w:rFonts w:ascii="Baskerville" w:hAnsi="Baskerville"/>
          <w:color w:val="000000" w:themeColor="text1"/>
          <w:shd w:val="clear" w:color="auto" w:fill="FFFFFF"/>
        </w:rPr>
        <w:t xml:space="preserve"> 119 (2022) (asserting, </w:t>
      </w:r>
      <w:r w:rsidRPr="00170EAA">
        <w:rPr>
          <w:rFonts w:ascii="Baskerville" w:hAnsi="Baskerville"/>
          <w:i/>
          <w:iCs/>
          <w:color w:val="000000" w:themeColor="text1"/>
          <w:shd w:val="clear" w:color="auto" w:fill="FFFFFF"/>
        </w:rPr>
        <w:t>id.</w:t>
      </w:r>
      <w:r w:rsidRPr="00170EAA">
        <w:rPr>
          <w:rFonts w:ascii="Baskerville" w:hAnsi="Baskerville"/>
          <w:color w:val="000000" w:themeColor="text1"/>
          <w:shd w:val="clear" w:color="auto" w:fill="FFFFFF"/>
        </w:rPr>
        <w:t xml:space="preserve"> at 138, that the Federal Trade Commission deeming a labor law violation an unfair method of competition “reinforces general social norms, embodied in law</w:t>
      </w:r>
      <w:r w:rsidR="007F4DE6" w:rsidRPr="00170EAA">
        <w:rPr>
          <w:rFonts w:ascii="Baskerville" w:hAnsi="Baskerville"/>
          <w:color w:val="000000" w:themeColor="text1"/>
          <w:shd w:val="clear" w:color="auto" w:fill="FFFFFF"/>
        </w:rPr>
        <w:t>,</w:t>
      </w:r>
      <w:r w:rsidRPr="00170EAA">
        <w:rPr>
          <w:rFonts w:ascii="Baskerville" w:hAnsi="Baskerville"/>
          <w:color w:val="000000" w:themeColor="text1"/>
          <w:shd w:val="clear" w:color="auto" w:fill="FFFFFF"/>
        </w:rPr>
        <w:t xml:space="preserve"> that certain practices are immoral and unfair;” adding, </w:t>
      </w:r>
      <w:r w:rsidRPr="00170EAA">
        <w:rPr>
          <w:rFonts w:ascii="Baskerville" w:hAnsi="Baskerville"/>
          <w:i/>
          <w:iCs/>
          <w:color w:val="000000" w:themeColor="text1"/>
          <w:shd w:val="clear" w:color="auto" w:fill="FFFFFF"/>
        </w:rPr>
        <w:t>id</w:t>
      </w:r>
      <w:r w:rsidRPr="00170EAA">
        <w:rPr>
          <w:rFonts w:ascii="Baskerville" w:hAnsi="Baskerville"/>
          <w:color w:val="000000" w:themeColor="text1"/>
          <w:shd w:val="clear" w:color="auto" w:fill="FFFFFF"/>
        </w:rPr>
        <w:t>., that violating labor laws can give a firm an unfair competitive advantage over its law-abiding rivals and that “falls within the ambit of competition policy in the broadest sense”).</w:t>
      </w:r>
    </w:p>
    <w:p w14:paraId="46199A7F" w14:textId="77777777" w:rsidR="00217AC8" w:rsidRPr="00FA3D47" w:rsidRDefault="00217AC8" w:rsidP="00217AC8">
      <w:pPr>
        <w:ind w:left="475"/>
        <w:rPr>
          <w:rFonts w:ascii="Baskerville" w:hAnsi="Baskerville"/>
          <w:color w:val="000000" w:themeColor="text1"/>
          <w:shd w:val="clear" w:color="auto" w:fill="FFFFFF"/>
        </w:rPr>
      </w:pPr>
    </w:p>
    <w:p w14:paraId="5F48CA02" w14:textId="77777777" w:rsidR="00217AC8" w:rsidRPr="009E5976" w:rsidRDefault="00217AC8" w:rsidP="00217AC8">
      <w:pPr>
        <w:ind w:left="475"/>
        <w:rPr>
          <w:rFonts w:ascii="Baskerville" w:hAnsi="Baskerville"/>
          <w:color w:val="000000" w:themeColor="text1"/>
        </w:rPr>
      </w:pPr>
      <w:r w:rsidRPr="009E5976">
        <w:rPr>
          <w:rFonts w:ascii="Baskerville" w:hAnsi="Baskerville"/>
          <w:color w:val="000000" w:themeColor="text1"/>
          <w:shd w:val="clear" w:color="auto" w:fill="FFFFFF"/>
        </w:rPr>
        <w:t>Sandeep Vaheesan &amp; Mathew Jinoo Buck, </w:t>
      </w:r>
      <w:r w:rsidRPr="009E5976">
        <w:rPr>
          <w:rFonts w:ascii="Baskerville" w:hAnsi="Baskerville"/>
          <w:i/>
          <w:iCs/>
          <w:color w:val="000000" w:themeColor="text1"/>
          <w:shd w:val="clear" w:color="auto" w:fill="FFFFFF"/>
        </w:rPr>
        <w:t>Non-Competes and Other Contracts of Dispossession</w:t>
      </w:r>
      <w:r w:rsidRPr="009E5976">
        <w:rPr>
          <w:rFonts w:ascii="Baskerville" w:hAnsi="Baskerville"/>
          <w:color w:val="000000" w:themeColor="text1"/>
          <w:shd w:val="clear" w:color="auto" w:fill="FFFFFF"/>
        </w:rPr>
        <w:t>, 2022 </w:t>
      </w:r>
      <w:r w:rsidRPr="009E5976">
        <w:rPr>
          <w:rFonts w:ascii="Baskerville" w:hAnsi="Baskerville"/>
          <w:smallCaps/>
          <w:color w:val="000000" w:themeColor="text1"/>
          <w:shd w:val="clear" w:color="auto" w:fill="FFFFFF"/>
        </w:rPr>
        <w:t>Mich. L. Rev.</w:t>
      </w:r>
      <w:r w:rsidRPr="009E5976">
        <w:rPr>
          <w:rFonts w:ascii="Baskerville" w:hAnsi="Baskerville"/>
          <w:color w:val="000000" w:themeColor="text1"/>
          <w:shd w:val="clear" w:color="auto" w:fill="FFFFFF"/>
        </w:rPr>
        <w:t xml:space="preserve"> 113 (2022) (noting, </w:t>
      </w:r>
      <w:r w:rsidRPr="009E5976">
        <w:rPr>
          <w:rFonts w:ascii="Baskerville" w:hAnsi="Baskerville"/>
          <w:i/>
          <w:iCs/>
          <w:color w:val="000000" w:themeColor="text1"/>
          <w:shd w:val="clear" w:color="auto" w:fill="FFFFFF"/>
        </w:rPr>
        <w:t>id</w:t>
      </w:r>
      <w:r w:rsidRPr="009E5976">
        <w:rPr>
          <w:rFonts w:ascii="Baskerville" w:hAnsi="Baskerville"/>
          <w:color w:val="000000" w:themeColor="text1"/>
          <w:shd w:val="clear" w:color="auto" w:fill="FFFFFF"/>
        </w:rPr>
        <w:t xml:space="preserve">. at 115, that, by using noncompetes, employers “have deprived tens of millions of workers of their freedom to leave their current job to accept employment with another firm or pursue a business opportunity;” citing, </w:t>
      </w:r>
      <w:r w:rsidRPr="009E5976">
        <w:rPr>
          <w:rFonts w:ascii="Baskerville" w:hAnsi="Baskerville"/>
          <w:i/>
          <w:iCs/>
          <w:color w:val="000000" w:themeColor="text1"/>
          <w:shd w:val="clear" w:color="auto" w:fill="FFFFFF"/>
        </w:rPr>
        <w:t>id.</w:t>
      </w:r>
      <w:r w:rsidRPr="009E5976">
        <w:rPr>
          <w:rFonts w:ascii="Baskerville" w:hAnsi="Baskerville"/>
          <w:color w:val="000000" w:themeColor="text1"/>
          <w:shd w:val="clear" w:color="auto" w:fill="FFFFFF"/>
        </w:rPr>
        <w:t xml:space="preserve"> at nn.1 &amp; 2, </w:t>
      </w:r>
      <w:r w:rsidRPr="009E5976">
        <w:rPr>
          <w:rFonts w:ascii="Baskerville" w:hAnsi="Baskerville"/>
          <w:color w:val="000000" w:themeColor="text1"/>
        </w:rPr>
        <w:t xml:space="preserve">Evan Starr, J.J. Prescott, &amp; Norman D. Bishara, </w:t>
      </w:r>
      <w:r w:rsidRPr="009E5976">
        <w:rPr>
          <w:rFonts w:ascii="Baskerville" w:hAnsi="Baskerville"/>
          <w:i/>
          <w:iCs/>
          <w:color w:val="000000" w:themeColor="text1"/>
        </w:rPr>
        <w:t>Noncompete Agreements in the U.S. Labor Force</w:t>
      </w:r>
      <w:r w:rsidRPr="009E5976">
        <w:rPr>
          <w:rFonts w:ascii="Baskerville" w:hAnsi="Baskerville"/>
          <w:color w:val="000000" w:themeColor="text1"/>
        </w:rPr>
        <w:t xml:space="preserve">, 64 </w:t>
      </w:r>
      <w:r w:rsidRPr="009E5976">
        <w:rPr>
          <w:rFonts w:ascii="Baskerville" w:hAnsi="Baskerville"/>
          <w:smallCaps/>
          <w:color w:val="000000" w:themeColor="text1"/>
        </w:rPr>
        <w:t>J.L. &amp; Econ.</w:t>
      </w:r>
      <w:r w:rsidRPr="009E5976">
        <w:rPr>
          <w:rFonts w:ascii="Baskerville" w:hAnsi="Baskerville"/>
          <w:color w:val="000000" w:themeColor="text1"/>
        </w:rPr>
        <w:t xml:space="preserve"> 53, 60 (2021); arguing, </w:t>
      </w:r>
      <w:r w:rsidRPr="009E5976">
        <w:rPr>
          <w:rFonts w:ascii="Baskerville" w:hAnsi="Baskerville"/>
          <w:i/>
          <w:iCs/>
          <w:color w:val="000000" w:themeColor="text1"/>
        </w:rPr>
        <w:t>id.</w:t>
      </w:r>
      <w:r w:rsidRPr="009E5976">
        <w:rPr>
          <w:rFonts w:ascii="Baskerville" w:hAnsi="Baskerville"/>
          <w:color w:val="000000" w:themeColor="text1"/>
        </w:rPr>
        <w:t xml:space="preserve"> at 118, that employers’ </w:t>
      </w:r>
      <w:r w:rsidRPr="009E5976">
        <w:rPr>
          <w:rFonts w:ascii="Baskerville" w:hAnsi="Baskerville"/>
          <w:color w:val="000000" w:themeColor="text1"/>
        </w:rPr>
        <w:lastRenderedPageBreak/>
        <w:t>“increasing reliance on non-competes is consistent with a larger trend toward abusive contracts in the political economy”).</w:t>
      </w:r>
    </w:p>
    <w:p w14:paraId="067AA0B2" w14:textId="77777777" w:rsidR="00217AC8" w:rsidRPr="009E5976" w:rsidRDefault="00217AC8" w:rsidP="00217AC8">
      <w:pPr>
        <w:ind w:left="475"/>
        <w:rPr>
          <w:rFonts w:ascii="Baskerville" w:hAnsi="Baskerville"/>
          <w:color w:val="000000" w:themeColor="text1"/>
          <w:shd w:val="clear" w:color="auto" w:fill="FFFFFF"/>
        </w:rPr>
      </w:pPr>
    </w:p>
    <w:p w14:paraId="29738AB5" w14:textId="77777777" w:rsidR="00217AC8" w:rsidRDefault="00217AC8" w:rsidP="00217AC8">
      <w:pPr>
        <w:ind w:left="475"/>
        <w:rPr>
          <w:rFonts w:ascii="Baskerville" w:hAnsi="Baskerville"/>
          <w:color w:val="000000" w:themeColor="text1"/>
          <w:shd w:val="clear" w:color="auto" w:fill="FFFFFF"/>
        </w:rPr>
      </w:pPr>
      <w:r w:rsidRPr="009E5976">
        <w:rPr>
          <w:rFonts w:ascii="Baskerville" w:hAnsi="Baskerville"/>
          <w:color w:val="000000" w:themeColor="text1"/>
          <w:shd w:val="clear" w:color="auto" w:fill="FFFFFF"/>
        </w:rPr>
        <w:t>Matthew T. Wansley, </w:t>
      </w:r>
      <w:r w:rsidRPr="009E5976">
        <w:rPr>
          <w:rFonts w:ascii="Baskerville" w:hAnsi="Baskerville"/>
          <w:i/>
          <w:iCs/>
          <w:color w:val="000000" w:themeColor="text1"/>
          <w:shd w:val="clear" w:color="auto" w:fill="FFFFFF"/>
        </w:rPr>
        <w:t>Moonshots</w:t>
      </w:r>
      <w:r w:rsidRPr="009E5976">
        <w:rPr>
          <w:rFonts w:ascii="Baskerville" w:hAnsi="Baskerville"/>
          <w:color w:val="000000" w:themeColor="text1"/>
          <w:shd w:val="clear" w:color="auto" w:fill="FFFFFF"/>
        </w:rPr>
        <w:t xml:space="preserve">, </w:t>
      </w:r>
      <w:r w:rsidRPr="009E5976">
        <w:rPr>
          <w:rFonts w:ascii="Baskerville" w:hAnsi="Baskerville"/>
          <w:smallCaps/>
          <w:color w:val="000000" w:themeColor="text1"/>
          <w:shd w:val="clear" w:color="auto" w:fill="FFFFFF"/>
        </w:rPr>
        <w:t>2022 Colum. Bus. L. Rev.</w:t>
      </w:r>
      <w:r w:rsidRPr="009E5976">
        <w:rPr>
          <w:rFonts w:ascii="Baskerville" w:hAnsi="Baskerville"/>
          <w:color w:val="000000" w:themeColor="text1"/>
          <w:shd w:val="clear" w:color="auto" w:fill="FFFFFF"/>
        </w:rPr>
        <w:t xml:space="preserve"> 859 (2022) (noting, </w:t>
      </w:r>
      <w:r w:rsidRPr="009E5976">
        <w:rPr>
          <w:rFonts w:ascii="Baskerville" w:hAnsi="Baskerville"/>
          <w:i/>
          <w:iCs/>
          <w:color w:val="000000" w:themeColor="text1"/>
          <w:shd w:val="clear" w:color="auto" w:fill="FFFFFF"/>
        </w:rPr>
        <w:t>id</w:t>
      </w:r>
      <w:r w:rsidRPr="009E5976">
        <w:rPr>
          <w:rFonts w:ascii="Baskerville" w:hAnsi="Baskerville"/>
          <w:color w:val="000000" w:themeColor="text1"/>
          <w:shd w:val="clear" w:color="auto" w:fill="FFFFFF"/>
        </w:rPr>
        <w:t>. at 924, that parties to a joint venture sometimes attempt to</w:t>
      </w:r>
      <w:r>
        <w:rPr>
          <w:rFonts w:ascii="Baskerville" w:hAnsi="Baskerville"/>
          <w:color w:val="000000" w:themeColor="text1"/>
          <w:shd w:val="clear" w:color="auto" w:fill="FFFFFF"/>
        </w:rPr>
        <w:t xml:space="preserve"> mitigate conflicting interests by executing a covenant not to compete, but counseling, </w:t>
      </w:r>
      <w:r w:rsidRPr="006A043E">
        <w:rPr>
          <w:rFonts w:ascii="Baskerville" w:hAnsi="Baskerville"/>
          <w:i/>
          <w:iCs/>
          <w:color w:val="000000" w:themeColor="text1"/>
          <w:shd w:val="clear" w:color="auto" w:fill="FFFFFF"/>
        </w:rPr>
        <w:t>id</w:t>
      </w:r>
      <w:r>
        <w:rPr>
          <w:rFonts w:ascii="Baskerville" w:hAnsi="Baskerville"/>
          <w:color w:val="000000" w:themeColor="text1"/>
          <w:shd w:val="clear" w:color="auto" w:fill="FFFFFF"/>
        </w:rPr>
        <w:t xml:space="preserve">. at 924–25, that noncompetes “are tricky to craft” if they are to withstand antitrust scrutiny; pointing out, </w:t>
      </w:r>
      <w:r w:rsidRPr="006A043E">
        <w:rPr>
          <w:rFonts w:ascii="Baskerville" w:hAnsi="Baskerville"/>
          <w:i/>
          <w:iCs/>
          <w:color w:val="000000" w:themeColor="text1"/>
          <w:shd w:val="clear" w:color="auto" w:fill="FFFFFF"/>
        </w:rPr>
        <w:t>id</w:t>
      </w:r>
      <w:r>
        <w:rPr>
          <w:rFonts w:ascii="Baskerville" w:hAnsi="Baskerville"/>
          <w:color w:val="000000" w:themeColor="text1"/>
          <w:shd w:val="clear" w:color="auto" w:fill="FFFFFF"/>
        </w:rPr>
        <w:t xml:space="preserve">. at 925, that parties to a joint venture “typically solve this problem by defining in detail the markets in which they will cooperate through the [joint venture] and the markets in which they will compete;” citing, </w:t>
      </w:r>
      <w:r w:rsidRPr="006A043E">
        <w:rPr>
          <w:rFonts w:ascii="Baskerville" w:hAnsi="Baskerville"/>
          <w:i/>
          <w:iCs/>
          <w:color w:val="000000" w:themeColor="text1"/>
          <w:shd w:val="clear" w:color="auto" w:fill="FFFFFF"/>
        </w:rPr>
        <w:t>id</w:t>
      </w:r>
      <w:r>
        <w:rPr>
          <w:rFonts w:ascii="Baskerville" w:hAnsi="Baskerville"/>
          <w:color w:val="000000" w:themeColor="text1"/>
          <w:shd w:val="clear" w:color="auto" w:fill="FFFFFF"/>
        </w:rPr>
        <w:t xml:space="preserve">. at n.326, Sarath Sanga, </w:t>
      </w:r>
      <w:r>
        <w:rPr>
          <w:rFonts w:ascii="Baskerville" w:hAnsi="Baskerville"/>
          <w:i/>
          <w:iCs/>
          <w:color w:val="000000" w:themeColor="text1"/>
          <w:shd w:val="clear" w:color="auto" w:fill="FFFFFF"/>
        </w:rPr>
        <w:t>A Theory of Corporate Joint Ventures</w:t>
      </w:r>
      <w:r>
        <w:rPr>
          <w:rFonts w:ascii="Baskerville" w:hAnsi="Baskerville"/>
          <w:color w:val="000000" w:themeColor="text1"/>
          <w:shd w:val="clear" w:color="auto" w:fill="FFFFFF"/>
        </w:rPr>
        <w:t xml:space="preserve">, 106 </w:t>
      </w:r>
      <w:r w:rsidRPr="00655E18">
        <w:rPr>
          <w:rFonts w:ascii="Baskerville" w:hAnsi="Baskerville"/>
          <w:smallCaps/>
          <w:color w:val="000000" w:themeColor="text1"/>
          <w:shd w:val="clear" w:color="auto" w:fill="FFFFFF"/>
        </w:rPr>
        <w:t>Calif. L. Rev.</w:t>
      </w:r>
      <w:r>
        <w:rPr>
          <w:rFonts w:ascii="Baskerville" w:hAnsi="Baskerville"/>
          <w:color w:val="000000" w:themeColor="text1"/>
          <w:shd w:val="clear" w:color="auto" w:fill="FFFFFF"/>
        </w:rPr>
        <w:t xml:space="preserve"> 1437, 1455 (2018) (outlining the way in which two members of the aviation industry had divided markets in which they would collaborate and those in which they would compete)).</w:t>
      </w:r>
    </w:p>
    <w:p w14:paraId="509D0484" w14:textId="59D54727" w:rsidR="00217AC8" w:rsidRDefault="00217AC8" w:rsidP="00217AC8">
      <w:pPr>
        <w:ind w:left="475"/>
        <w:rPr>
          <w:rFonts w:ascii="Baskerville" w:hAnsi="Baskerville"/>
          <w:color w:val="000000" w:themeColor="text1"/>
        </w:rPr>
      </w:pPr>
    </w:p>
    <w:p w14:paraId="2A545915" w14:textId="77777777" w:rsidR="00B6454E" w:rsidRPr="00107570" w:rsidRDefault="00B6454E" w:rsidP="00B6454E">
      <w:pPr>
        <w:ind w:left="475"/>
        <w:rPr>
          <w:rFonts w:ascii="Baskerville" w:hAnsi="Baskerville"/>
          <w:color w:val="000000" w:themeColor="text1"/>
        </w:rPr>
      </w:pPr>
      <w:r w:rsidRPr="00107570">
        <w:rPr>
          <w:rFonts w:ascii="Baskerville" w:hAnsi="Baskerville"/>
          <w:color w:val="000000" w:themeColor="text1"/>
        </w:rPr>
        <w:t xml:space="preserve">David J. Balan, </w:t>
      </w:r>
      <w:r w:rsidRPr="00107570">
        <w:rPr>
          <w:rFonts w:ascii="Baskerville" w:hAnsi="Baskerville"/>
          <w:i/>
          <w:iCs/>
          <w:color w:val="000000" w:themeColor="text1"/>
        </w:rPr>
        <w:t>Labor Noncompete Agreements: Tool for Economic Efficiency or Means to Extract Value from Workers?</w:t>
      </w:r>
      <w:r w:rsidRPr="00107570">
        <w:rPr>
          <w:rFonts w:ascii="Baskerville" w:hAnsi="Baskerville"/>
          <w:color w:val="000000" w:themeColor="text1"/>
        </w:rPr>
        <w:t xml:space="preserve">, 66 </w:t>
      </w:r>
      <w:r w:rsidRPr="00107570">
        <w:rPr>
          <w:rFonts w:ascii="Baskerville" w:hAnsi="Baskerville"/>
          <w:smallCaps/>
          <w:color w:val="000000" w:themeColor="text1"/>
        </w:rPr>
        <w:t>Antitrust Bull</w:t>
      </w:r>
      <w:r w:rsidRPr="00107570">
        <w:rPr>
          <w:rFonts w:ascii="Baskerville" w:hAnsi="Baskerville"/>
          <w:color w:val="000000" w:themeColor="text1"/>
        </w:rPr>
        <w:t>. 593 (2021),</w:t>
      </w:r>
    </w:p>
    <w:p w14:paraId="66179941" w14:textId="38DCAF96" w:rsidR="00B6454E" w:rsidRDefault="00B6454E" w:rsidP="00B6454E">
      <w:pPr>
        <w:ind w:left="475"/>
        <w:rPr>
          <w:rFonts w:ascii="Baskerville" w:hAnsi="Baskerville"/>
          <w:color w:val="000000" w:themeColor="text1"/>
        </w:rPr>
      </w:pPr>
      <w:r w:rsidRPr="00107570">
        <w:rPr>
          <w:rFonts w:ascii="Baskerville" w:hAnsi="Baskerville"/>
          <w:color w:val="000000" w:themeColor="text1"/>
        </w:rPr>
        <w:t>https://doi.org/10.1177/0003603X211045443.</w:t>
      </w:r>
    </w:p>
    <w:p w14:paraId="09C01E3A" w14:textId="77777777" w:rsidR="00B6454E" w:rsidRPr="00705394" w:rsidRDefault="00B6454E" w:rsidP="00217AC8">
      <w:pPr>
        <w:ind w:left="475"/>
        <w:rPr>
          <w:rFonts w:ascii="Baskerville" w:hAnsi="Baskerville"/>
          <w:color w:val="000000" w:themeColor="text1"/>
        </w:rPr>
      </w:pPr>
    </w:p>
    <w:p w14:paraId="39397367" w14:textId="56E19312" w:rsidR="004918E1" w:rsidRPr="00107570" w:rsidRDefault="007800AF" w:rsidP="004918E1">
      <w:pPr>
        <w:ind w:left="475"/>
        <w:rPr>
          <w:rFonts w:ascii="Baskerville" w:hAnsi="Baskerville"/>
          <w:color w:val="000000" w:themeColor="text1"/>
        </w:rPr>
      </w:pPr>
      <w:r w:rsidRPr="008875A8">
        <w:rPr>
          <w:rFonts w:ascii="Baskerville" w:hAnsi="Baskerville"/>
          <w:color w:val="000000" w:themeColor="text1"/>
        </w:rPr>
        <w:t>Natarajan Balasubramanian</w:t>
      </w:r>
      <w:r>
        <w:rPr>
          <w:rFonts w:ascii="Baskerville" w:hAnsi="Baskerville"/>
          <w:color w:val="000000" w:themeColor="text1"/>
        </w:rPr>
        <w:t xml:space="preserve"> et al.</w:t>
      </w:r>
      <w:r w:rsidRPr="008875A8">
        <w:rPr>
          <w:rFonts w:ascii="Baskerville" w:hAnsi="Baskerville"/>
          <w:color w:val="000000" w:themeColor="text1"/>
        </w:rPr>
        <w:t xml:space="preserve">, </w:t>
      </w:r>
      <w:r w:rsidR="004918E1" w:rsidRPr="00107570">
        <w:rPr>
          <w:rFonts w:ascii="Baskerville" w:hAnsi="Baskerville"/>
          <w:i/>
          <w:iCs/>
          <w:color w:val="000000" w:themeColor="text1"/>
          <w:shd w:val="clear" w:color="auto" w:fill="FFFFFF"/>
        </w:rPr>
        <w:t>Employment Restrictions and Value Appropriation from Employees</w:t>
      </w:r>
      <w:r w:rsidR="004918E1" w:rsidRPr="00107570">
        <w:rPr>
          <w:rFonts w:ascii="Baskerville" w:hAnsi="Baskerville"/>
          <w:color w:val="000000" w:themeColor="text1"/>
          <w:shd w:val="clear" w:color="auto" w:fill="FFFFFF"/>
        </w:rPr>
        <w:t xml:space="preserve"> (Apr. 14, 2021, revised Apr. 18, 2022), </w:t>
      </w:r>
      <w:hyperlink r:id="rId21" w:history="1">
        <w:r w:rsidR="004918E1" w:rsidRPr="00107570">
          <w:rPr>
            <w:rStyle w:val="Hyperlink"/>
            <w:rFonts w:ascii="Baskerville" w:hAnsi="Baskerville"/>
            <w:color w:val="000000" w:themeColor="text1"/>
            <w:u w:val="none"/>
          </w:rPr>
          <w:t>https://papers.ssrn.com/sol3/papers.cfm?abstract_id=3814403</w:t>
        </w:r>
      </w:hyperlink>
      <w:r w:rsidR="004918E1" w:rsidRPr="00107570">
        <w:rPr>
          <w:rFonts w:ascii="Baskerville" w:hAnsi="Baskerville"/>
          <w:color w:val="000000" w:themeColor="text1"/>
        </w:rPr>
        <w:t>.</w:t>
      </w:r>
    </w:p>
    <w:p w14:paraId="1BA60C27" w14:textId="77777777" w:rsidR="004918E1" w:rsidRPr="00107570" w:rsidRDefault="004918E1" w:rsidP="004918E1">
      <w:pPr>
        <w:ind w:left="475"/>
        <w:rPr>
          <w:rFonts w:ascii="Baskerville" w:hAnsi="Baskerville"/>
          <w:color w:val="000000" w:themeColor="text1"/>
        </w:rPr>
      </w:pPr>
    </w:p>
    <w:p w14:paraId="4C2D0684" w14:textId="77777777" w:rsidR="004918E1" w:rsidRPr="00107570" w:rsidRDefault="004918E1" w:rsidP="004918E1">
      <w:pPr>
        <w:ind w:left="475"/>
        <w:rPr>
          <w:rFonts w:ascii="Baskerville" w:hAnsi="Baskerville" w:cs="Arial"/>
          <w:color w:val="000000" w:themeColor="text1"/>
          <w:shd w:val="clear" w:color="auto" w:fill="FFFFFF"/>
        </w:rPr>
      </w:pPr>
      <w:r w:rsidRPr="00107570">
        <w:rPr>
          <w:rStyle w:val="fn"/>
          <w:rFonts w:ascii="Baskerville" w:hAnsi="Baskerville" w:cs="Arial"/>
          <w:smallCaps/>
          <w:color w:val="000000" w:themeColor="text1"/>
        </w:rPr>
        <w:t>Sharon Block &amp; Benjamin H. Harris, Inequality and the Labor Market</w:t>
      </w:r>
      <w:r w:rsidRPr="00107570">
        <w:rPr>
          <w:rFonts w:ascii="Baskerville" w:hAnsi="Baskerville" w:cs="Arial"/>
          <w:smallCaps/>
          <w:color w:val="000000" w:themeColor="text1"/>
        </w:rPr>
        <w:t>: The Case for Greater Competition (</w:t>
      </w:r>
      <w:r w:rsidRPr="00107570">
        <w:rPr>
          <w:rFonts w:ascii="Baskerville" w:hAnsi="Baskerville" w:cs="Arial"/>
          <w:color w:val="000000" w:themeColor="text1"/>
          <w:shd w:val="clear" w:color="auto" w:fill="FFFFFF"/>
        </w:rPr>
        <w:t>Brookings Inst. Press, 2021).</w:t>
      </w:r>
    </w:p>
    <w:p w14:paraId="765FC154" w14:textId="77777777" w:rsidR="004918E1" w:rsidRPr="00107570" w:rsidRDefault="004918E1" w:rsidP="004918E1">
      <w:pPr>
        <w:ind w:left="475"/>
        <w:rPr>
          <w:rFonts w:ascii="Baskerville" w:hAnsi="Baskerville" w:cs="Arial"/>
          <w:color w:val="000000" w:themeColor="text1"/>
          <w:shd w:val="clear" w:color="auto" w:fill="FFFFFF"/>
        </w:rPr>
      </w:pPr>
    </w:p>
    <w:p w14:paraId="5288A961" w14:textId="77777777" w:rsidR="004918E1" w:rsidRPr="00107570" w:rsidRDefault="004918E1" w:rsidP="004918E1">
      <w:pPr>
        <w:ind w:left="475"/>
        <w:rPr>
          <w:rFonts w:ascii="Baskerville" w:hAnsi="Baskerville"/>
          <w:color w:val="000000" w:themeColor="text1"/>
        </w:rPr>
      </w:pPr>
      <w:r w:rsidRPr="00107570">
        <w:rPr>
          <w:rFonts w:ascii="Baskerville" w:hAnsi="Baskerville"/>
          <w:color w:val="000000" w:themeColor="text1"/>
        </w:rPr>
        <w:t xml:space="preserve">Gerald A. Carlino, Working Paper, </w:t>
      </w:r>
      <w:r w:rsidRPr="00107570">
        <w:rPr>
          <w:rFonts w:ascii="Baskerville" w:hAnsi="Baskerville"/>
          <w:i/>
          <w:iCs/>
          <w:color w:val="000000" w:themeColor="text1"/>
        </w:rPr>
        <w:t xml:space="preserve">Do Non-Compete Covenants Influence State Startup Activity? Evidence from the Michigan Experiment </w:t>
      </w:r>
      <w:r w:rsidRPr="00107570">
        <w:rPr>
          <w:rFonts w:ascii="Baskerville" w:hAnsi="Baskerville"/>
          <w:color w:val="000000" w:themeColor="text1"/>
        </w:rPr>
        <w:t xml:space="preserve">(July 2021), </w:t>
      </w:r>
      <w:hyperlink r:id="rId22" w:history="1">
        <w:r w:rsidRPr="00107570">
          <w:rPr>
            <w:rStyle w:val="Hyperlink"/>
            <w:rFonts w:ascii="Baskerville" w:hAnsi="Baskerville"/>
            <w:color w:val="000000" w:themeColor="text1"/>
            <w:u w:val="none"/>
          </w:rPr>
          <w:t>https://www.philadelphiafed.org/-/media/frbp/assets/working-papers/2021/wp21-26.pdf</w:t>
        </w:r>
      </w:hyperlink>
      <w:r w:rsidRPr="00107570">
        <w:rPr>
          <w:rFonts w:ascii="Baskerville" w:hAnsi="Baskerville"/>
          <w:color w:val="000000" w:themeColor="text1"/>
        </w:rPr>
        <w:t>.</w:t>
      </w:r>
    </w:p>
    <w:p w14:paraId="5FD6BD70" w14:textId="77777777" w:rsidR="004918E1" w:rsidRPr="00107570" w:rsidRDefault="004918E1" w:rsidP="004918E1">
      <w:pPr>
        <w:ind w:left="475"/>
        <w:rPr>
          <w:rFonts w:ascii="Baskerville" w:hAnsi="Baskerville"/>
          <w:color w:val="000000" w:themeColor="text1"/>
        </w:rPr>
      </w:pPr>
    </w:p>
    <w:p w14:paraId="4C2E4B4D" w14:textId="77777777" w:rsidR="004918E1" w:rsidRPr="00107570" w:rsidRDefault="004918E1" w:rsidP="004918E1">
      <w:pPr>
        <w:ind w:left="475"/>
        <w:rPr>
          <w:rFonts w:ascii="Baskerville" w:hAnsi="Baskerville"/>
          <w:color w:val="000000" w:themeColor="text1"/>
        </w:rPr>
      </w:pPr>
      <w:r w:rsidRPr="00107570">
        <w:rPr>
          <w:rFonts w:ascii="Baskerville" w:hAnsi="Baskerville"/>
          <w:color w:val="000000" w:themeColor="text1"/>
        </w:rPr>
        <w:lastRenderedPageBreak/>
        <w:t xml:space="preserve">Thomas J. Collin, </w:t>
      </w:r>
      <w:r w:rsidRPr="00107570">
        <w:rPr>
          <w:rFonts w:ascii="Baskerville" w:hAnsi="Baskerville"/>
          <w:i/>
          <w:iCs/>
          <w:color w:val="000000" w:themeColor="text1"/>
        </w:rPr>
        <w:t>No-Hire Clauses—Ancillary Restraints for Protection of Brand Goodwill</w:t>
      </w:r>
      <w:r w:rsidRPr="00107570">
        <w:rPr>
          <w:rFonts w:ascii="Baskerville" w:hAnsi="Baskerville"/>
          <w:color w:val="000000" w:themeColor="text1"/>
        </w:rPr>
        <w:t xml:space="preserve">, 41 </w:t>
      </w:r>
      <w:r w:rsidRPr="00107570">
        <w:rPr>
          <w:rFonts w:ascii="Baskerville" w:hAnsi="Baskerville"/>
          <w:smallCaps/>
          <w:color w:val="000000" w:themeColor="text1"/>
        </w:rPr>
        <w:t>Franchise L. J.</w:t>
      </w:r>
      <w:r w:rsidRPr="00107570">
        <w:rPr>
          <w:rFonts w:ascii="Baskerville" w:hAnsi="Baskerville"/>
          <w:color w:val="000000" w:themeColor="text1"/>
        </w:rPr>
        <w:t xml:space="preserve"> 143 (2021).</w:t>
      </w:r>
    </w:p>
    <w:p w14:paraId="270BAC1B" w14:textId="77777777" w:rsidR="004918E1" w:rsidRPr="00107570" w:rsidRDefault="004918E1" w:rsidP="004918E1">
      <w:pPr>
        <w:ind w:left="475"/>
        <w:rPr>
          <w:rFonts w:ascii="Baskerville" w:hAnsi="Baskerville"/>
          <w:color w:val="000000" w:themeColor="text1"/>
        </w:rPr>
      </w:pPr>
    </w:p>
    <w:p w14:paraId="05D64734" w14:textId="77777777" w:rsidR="004918E1" w:rsidRPr="00107570" w:rsidRDefault="004918E1" w:rsidP="004918E1">
      <w:pPr>
        <w:ind w:left="475"/>
        <w:rPr>
          <w:rFonts w:ascii="Baskerville" w:hAnsi="Baskerville"/>
          <w:color w:val="000000" w:themeColor="text1"/>
        </w:rPr>
      </w:pPr>
      <w:r w:rsidRPr="00107570">
        <w:rPr>
          <w:rFonts w:ascii="Baskerville" w:hAnsi="Baskerville"/>
          <w:color w:val="000000" w:themeColor="text1"/>
        </w:rPr>
        <w:t xml:space="preserve">Robin J. Effron, </w:t>
      </w:r>
      <w:r w:rsidRPr="00107570">
        <w:rPr>
          <w:rFonts w:ascii="Baskerville" w:hAnsi="Baskerville"/>
          <w:i/>
          <w:iCs/>
          <w:color w:val="000000" w:themeColor="text1"/>
        </w:rPr>
        <w:t>Forum Selection Clauses, Non-Signatories, and Personal Jurisdiction</w:t>
      </w:r>
      <w:r w:rsidRPr="00107570">
        <w:rPr>
          <w:rFonts w:ascii="Baskerville" w:hAnsi="Baskerville"/>
          <w:color w:val="000000" w:themeColor="text1"/>
        </w:rPr>
        <w:t xml:space="preserve">, 97 </w:t>
      </w:r>
      <w:r w:rsidRPr="00107570">
        <w:rPr>
          <w:rFonts w:ascii="Baskerville" w:hAnsi="Baskerville"/>
          <w:smallCaps/>
          <w:color w:val="000000" w:themeColor="text1"/>
        </w:rPr>
        <w:t>Notre Dame L. Rev.</w:t>
      </w:r>
      <w:r w:rsidRPr="00107570">
        <w:rPr>
          <w:rFonts w:ascii="Baskerville" w:hAnsi="Baskerville"/>
          <w:color w:val="000000" w:themeColor="text1"/>
        </w:rPr>
        <w:t xml:space="preserve"> 187 (2021).</w:t>
      </w:r>
    </w:p>
    <w:p w14:paraId="08763CA2" w14:textId="77777777" w:rsidR="004918E1" w:rsidRPr="00107570" w:rsidRDefault="004918E1" w:rsidP="004918E1">
      <w:pPr>
        <w:ind w:left="475"/>
        <w:rPr>
          <w:rFonts w:ascii="Baskerville" w:hAnsi="Baskerville"/>
          <w:color w:val="000000" w:themeColor="text1"/>
        </w:rPr>
      </w:pPr>
    </w:p>
    <w:p w14:paraId="3B00C2CE" w14:textId="7D112214" w:rsidR="004918E1" w:rsidRPr="00107570" w:rsidRDefault="004918E1" w:rsidP="004918E1">
      <w:pPr>
        <w:ind w:left="475"/>
        <w:rPr>
          <w:rFonts w:ascii="Baskerville" w:hAnsi="Baskerville"/>
          <w:color w:val="000000" w:themeColor="text1"/>
        </w:rPr>
      </w:pPr>
      <w:r w:rsidRPr="00107570">
        <w:rPr>
          <w:rFonts w:ascii="Baskerville" w:hAnsi="Baskerville"/>
          <w:color w:val="000000" w:themeColor="text1"/>
        </w:rPr>
        <w:t xml:space="preserve">Matteo Gatti &amp; Chrystin Ondersma, </w:t>
      </w:r>
      <w:r w:rsidRPr="00107570">
        <w:rPr>
          <w:rFonts w:ascii="Baskerville" w:hAnsi="Baskerville"/>
          <w:i/>
          <w:iCs/>
          <w:color w:val="000000" w:themeColor="text1"/>
        </w:rPr>
        <w:t>Stakeholder Syndrome: Does Stakeholderism Derail Effective Protections for Weaker Constituencies</w:t>
      </w:r>
      <w:r w:rsidR="004E4908">
        <w:rPr>
          <w:rFonts w:ascii="Baskerville" w:hAnsi="Baskerville"/>
          <w:i/>
          <w:iCs/>
          <w:color w:val="000000" w:themeColor="text1"/>
        </w:rPr>
        <w:t>?</w:t>
      </w:r>
      <w:r w:rsidRPr="00107570">
        <w:rPr>
          <w:rFonts w:ascii="Baskerville" w:hAnsi="Baskerville"/>
          <w:color w:val="000000" w:themeColor="text1"/>
        </w:rPr>
        <w:t xml:space="preserve">, 100 </w:t>
      </w:r>
      <w:r w:rsidRPr="00107570">
        <w:rPr>
          <w:rFonts w:ascii="Baskerville" w:hAnsi="Baskerville"/>
          <w:smallCaps/>
          <w:color w:val="000000" w:themeColor="text1"/>
        </w:rPr>
        <w:t>N.C. L. Rev.</w:t>
      </w:r>
      <w:r w:rsidRPr="00107570">
        <w:rPr>
          <w:rFonts w:ascii="Baskerville" w:hAnsi="Baskerville"/>
          <w:color w:val="000000" w:themeColor="text1"/>
        </w:rPr>
        <w:t xml:space="preserve"> 167 (2021).</w:t>
      </w:r>
    </w:p>
    <w:p w14:paraId="273E3C45" w14:textId="77777777" w:rsidR="004918E1" w:rsidRPr="00107570" w:rsidRDefault="004918E1" w:rsidP="004918E1">
      <w:pPr>
        <w:ind w:left="475"/>
        <w:rPr>
          <w:rFonts w:ascii="Baskerville" w:hAnsi="Baskerville" w:cs="Arial"/>
          <w:color w:val="000000" w:themeColor="text1"/>
          <w:shd w:val="clear" w:color="auto" w:fill="FFFFFF"/>
        </w:rPr>
      </w:pPr>
    </w:p>
    <w:p w14:paraId="199AD7F8" w14:textId="77777777" w:rsidR="004918E1" w:rsidRPr="00107570" w:rsidRDefault="004918E1" w:rsidP="004918E1">
      <w:pPr>
        <w:ind w:left="475"/>
        <w:rPr>
          <w:rFonts w:ascii="Baskerville" w:hAnsi="Baskerville"/>
          <w:color w:val="000000" w:themeColor="text1"/>
        </w:rPr>
      </w:pPr>
      <w:r w:rsidRPr="00107570">
        <w:rPr>
          <w:rFonts w:ascii="Baskerville" w:hAnsi="Baskerville"/>
          <w:color w:val="000000" w:themeColor="text1"/>
        </w:rPr>
        <w:t xml:space="preserve">Nathaniel Grow, </w:t>
      </w:r>
      <w:r w:rsidRPr="00107570">
        <w:rPr>
          <w:rFonts w:ascii="Baskerville" w:hAnsi="Baskerville"/>
          <w:i/>
          <w:iCs/>
          <w:color w:val="000000" w:themeColor="text1"/>
        </w:rPr>
        <w:t>Free Agency for the Front Office: How Data Analytics and Noncompete Agreements Threaten to Disrupt Competitive Balance in U.S. Professional Sports Leagues</w:t>
      </w:r>
      <w:r w:rsidRPr="00107570">
        <w:rPr>
          <w:rFonts w:ascii="Baskerville" w:hAnsi="Baskerville"/>
          <w:color w:val="000000" w:themeColor="text1"/>
        </w:rPr>
        <w:t xml:space="preserve">, 58 </w:t>
      </w:r>
      <w:r w:rsidRPr="00107570">
        <w:rPr>
          <w:rFonts w:ascii="Baskerville" w:hAnsi="Baskerville"/>
          <w:smallCaps/>
          <w:color w:val="000000" w:themeColor="text1"/>
        </w:rPr>
        <w:t>Am. Bus. L. J.</w:t>
      </w:r>
      <w:r w:rsidRPr="00107570">
        <w:rPr>
          <w:rFonts w:ascii="Baskerville" w:hAnsi="Baskerville"/>
          <w:color w:val="000000" w:themeColor="text1"/>
        </w:rPr>
        <w:t xml:space="preserve"> 121 (2021), </w:t>
      </w:r>
    </w:p>
    <w:p w14:paraId="645C01B5" w14:textId="77777777" w:rsidR="004918E1" w:rsidRPr="00107570" w:rsidRDefault="00AC7E68" w:rsidP="004918E1">
      <w:pPr>
        <w:shd w:val="clear" w:color="auto" w:fill="FFFFFF"/>
        <w:ind w:left="475"/>
        <w:rPr>
          <w:rFonts w:ascii="Baskerville" w:hAnsi="Baskerville" w:cs="Open Sans"/>
          <w:color w:val="000000" w:themeColor="text1"/>
        </w:rPr>
      </w:pPr>
      <w:hyperlink r:id="rId23" w:history="1">
        <w:r w:rsidR="004918E1" w:rsidRPr="00107570">
          <w:rPr>
            <w:rStyle w:val="Hyperlink"/>
            <w:rFonts w:ascii="Baskerville" w:hAnsi="Baskerville" w:cs="Open Sans"/>
            <w:color w:val="000000" w:themeColor="text1"/>
            <w:u w:val="none"/>
          </w:rPr>
          <w:t>https://doi.org/10.1111/ablj.12180</w:t>
        </w:r>
      </w:hyperlink>
      <w:r w:rsidR="004918E1" w:rsidRPr="00107570">
        <w:rPr>
          <w:rFonts w:ascii="Baskerville" w:hAnsi="Baskerville" w:cs="Open Sans"/>
          <w:color w:val="000000" w:themeColor="text1"/>
        </w:rPr>
        <w:t>.</w:t>
      </w:r>
    </w:p>
    <w:p w14:paraId="38BA7AEF" w14:textId="77777777" w:rsidR="004918E1" w:rsidRPr="00107570" w:rsidRDefault="004918E1" w:rsidP="004918E1">
      <w:pPr>
        <w:shd w:val="clear" w:color="auto" w:fill="FFFFFF"/>
        <w:ind w:left="475"/>
        <w:rPr>
          <w:rFonts w:ascii="Baskerville" w:hAnsi="Baskerville" w:cs="Open Sans"/>
          <w:color w:val="000000" w:themeColor="text1"/>
        </w:rPr>
      </w:pPr>
    </w:p>
    <w:p w14:paraId="650AF82A" w14:textId="77777777" w:rsidR="004918E1" w:rsidRPr="00107570" w:rsidRDefault="004918E1" w:rsidP="004918E1">
      <w:pPr>
        <w:shd w:val="clear" w:color="auto" w:fill="FFFFFF"/>
        <w:ind w:left="475"/>
        <w:rPr>
          <w:rFonts w:ascii="Baskerville" w:hAnsi="Baskerville"/>
          <w:color w:val="000000" w:themeColor="text1"/>
        </w:rPr>
      </w:pPr>
      <w:r w:rsidRPr="00107570">
        <w:rPr>
          <w:rFonts w:ascii="Baskerville" w:hAnsi="Baskerville"/>
          <w:color w:val="000000" w:themeColor="text1"/>
        </w:rPr>
        <w:t xml:space="preserve">Hiba Hafiz, </w:t>
      </w:r>
      <w:r w:rsidRPr="00107570">
        <w:rPr>
          <w:rFonts w:ascii="Baskerville" w:hAnsi="Baskerville"/>
          <w:i/>
          <w:iCs/>
          <w:color w:val="000000" w:themeColor="text1"/>
        </w:rPr>
        <w:t>Structural Labor Rights</w:t>
      </w:r>
      <w:r w:rsidRPr="00107570">
        <w:rPr>
          <w:rFonts w:ascii="Baskerville" w:hAnsi="Baskerville"/>
          <w:color w:val="000000" w:themeColor="text1"/>
        </w:rPr>
        <w:t xml:space="preserve">, 119 </w:t>
      </w:r>
      <w:r w:rsidRPr="00107570">
        <w:rPr>
          <w:rFonts w:ascii="Baskerville" w:hAnsi="Baskerville"/>
          <w:smallCaps/>
          <w:color w:val="000000" w:themeColor="text1"/>
        </w:rPr>
        <w:t xml:space="preserve">Mich. L. Rev. </w:t>
      </w:r>
      <w:r w:rsidRPr="00107570">
        <w:rPr>
          <w:rFonts w:ascii="Baskerville" w:hAnsi="Baskerville"/>
          <w:color w:val="000000" w:themeColor="text1"/>
        </w:rPr>
        <w:t>651 (2021), https://repository.law.umich.edu/mlr/vol119/iss4/2.</w:t>
      </w:r>
    </w:p>
    <w:p w14:paraId="70DF5F30" w14:textId="77777777" w:rsidR="004918E1" w:rsidRPr="00107570" w:rsidRDefault="004918E1" w:rsidP="004918E1">
      <w:pPr>
        <w:ind w:left="475"/>
        <w:rPr>
          <w:rFonts w:ascii="Baskerville" w:hAnsi="Baskerville" w:cs="Arial"/>
          <w:color w:val="000000" w:themeColor="text1"/>
          <w:shd w:val="clear" w:color="auto" w:fill="FFFFFF"/>
        </w:rPr>
      </w:pPr>
    </w:p>
    <w:p w14:paraId="44539EE9" w14:textId="77777777" w:rsidR="004918E1" w:rsidRPr="00107570" w:rsidRDefault="004918E1" w:rsidP="004918E1">
      <w:pPr>
        <w:ind w:left="475"/>
        <w:rPr>
          <w:rFonts w:ascii="Baskerville" w:hAnsi="Baskerville"/>
          <w:color w:val="000000" w:themeColor="text1"/>
        </w:rPr>
      </w:pPr>
      <w:r w:rsidRPr="00107570">
        <w:rPr>
          <w:rFonts w:ascii="Baskerville" w:hAnsi="Baskerville"/>
          <w:color w:val="000000" w:themeColor="text1"/>
        </w:rPr>
        <w:t xml:space="preserve">Jonathan F. Harris, </w:t>
      </w:r>
      <w:r w:rsidRPr="00107570">
        <w:rPr>
          <w:rFonts w:ascii="Baskerville" w:hAnsi="Baskerville"/>
          <w:i/>
          <w:iCs/>
          <w:color w:val="000000" w:themeColor="text1"/>
        </w:rPr>
        <w:t>Unconscionability in Contracting for Worker Training</w:t>
      </w:r>
      <w:r w:rsidRPr="00107570">
        <w:rPr>
          <w:rFonts w:ascii="Baskerville" w:hAnsi="Baskerville"/>
          <w:color w:val="000000" w:themeColor="text1"/>
        </w:rPr>
        <w:t xml:space="preserve">, 72 </w:t>
      </w:r>
      <w:r w:rsidRPr="00107570">
        <w:rPr>
          <w:rFonts w:ascii="Baskerville" w:hAnsi="Baskerville"/>
          <w:smallCaps/>
          <w:color w:val="000000" w:themeColor="text1"/>
        </w:rPr>
        <w:t>Ala. L. Rev.</w:t>
      </w:r>
      <w:r w:rsidRPr="00107570">
        <w:rPr>
          <w:rFonts w:ascii="Baskerville" w:hAnsi="Baskerville"/>
          <w:color w:val="000000" w:themeColor="text1"/>
        </w:rPr>
        <w:t xml:space="preserve"> 723 (2021), </w:t>
      </w:r>
      <w:hyperlink r:id="rId24" w:tgtFrame="_blank" w:history="1">
        <w:r w:rsidRPr="00107570">
          <w:rPr>
            <w:rFonts w:ascii="Baskerville" w:hAnsi="Baskerville"/>
            <w:color w:val="000000" w:themeColor="text1"/>
            <w:shd w:val="clear" w:color="auto" w:fill="FFFFFF"/>
          </w:rPr>
          <w:t>https://ssrn.com/abstract=3642017</w:t>
        </w:r>
      </w:hyperlink>
      <w:r w:rsidRPr="00107570">
        <w:rPr>
          <w:rFonts w:ascii="Baskerville" w:hAnsi="Baskerville"/>
          <w:color w:val="000000" w:themeColor="text1"/>
        </w:rPr>
        <w:t>.</w:t>
      </w:r>
    </w:p>
    <w:p w14:paraId="57042ED4" w14:textId="77777777" w:rsidR="004918E1" w:rsidRPr="00107570" w:rsidRDefault="004918E1" w:rsidP="004918E1">
      <w:pPr>
        <w:ind w:left="475"/>
        <w:rPr>
          <w:rFonts w:ascii="Baskerville" w:hAnsi="Baskerville" w:cs="Arial"/>
          <w:color w:val="000000" w:themeColor="text1"/>
          <w:shd w:val="clear" w:color="auto" w:fill="FFFFFF"/>
        </w:rPr>
      </w:pPr>
    </w:p>
    <w:p w14:paraId="56856137" w14:textId="77777777" w:rsidR="004918E1" w:rsidRPr="00107570" w:rsidRDefault="004918E1" w:rsidP="004918E1">
      <w:pPr>
        <w:ind w:left="475"/>
        <w:rPr>
          <w:rFonts w:ascii="Baskerville" w:hAnsi="Baskerville"/>
          <w:color w:val="000000" w:themeColor="text1"/>
          <w:shd w:val="clear" w:color="auto" w:fill="FFFFFF"/>
        </w:rPr>
      </w:pPr>
      <w:r w:rsidRPr="00107570">
        <w:rPr>
          <w:rFonts w:ascii="Baskerville" w:hAnsi="Baskerville"/>
          <w:color w:val="000000" w:themeColor="text1"/>
        </w:rPr>
        <w:t xml:space="preserve">Mike Hofman, </w:t>
      </w:r>
      <w:r w:rsidRPr="00107570">
        <w:rPr>
          <w:rFonts w:ascii="Baskerville" w:hAnsi="Baskerville"/>
          <w:i/>
          <w:iCs/>
          <w:color w:val="000000" w:themeColor="text1"/>
        </w:rPr>
        <w:t xml:space="preserve">Why Biden’s New Noncompete Policy Could Amplify the “Great Resignation,” </w:t>
      </w:r>
      <w:r w:rsidRPr="00107570">
        <w:rPr>
          <w:rFonts w:ascii="Baskerville" w:hAnsi="Baskerville"/>
          <w:smallCaps/>
          <w:color w:val="000000" w:themeColor="text1"/>
        </w:rPr>
        <w:t xml:space="preserve">Fortune </w:t>
      </w:r>
      <w:r w:rsidRPr="00107570">
        <w:rPr>
          <w:rFonts w:ascii="Baskerville" w:hAnsi="Baskerville"/>
          <w:color w:val="000000" w:themeColor="text1"/>
        </w:rPr>
        <w:t>(July</w:t>
      </w:r>
      <w:r w:rsidRPr="00107570">
        <w:rPr>
          <w:rFonts w:ascii="Baskerville" w:hAnsi="Baskerville"/>
          <w:smallCaps/>
          <w:color w:val="000000" w:themeColor="text1"/>
        </w:rPr>
        <w:t xml:space="preserve"> 9, 2021), </w:t>
      </w:r>
      <w:hyperlink r:id="rId25" w:history="1">
        <w:r w:rsidRPr="00107570">
          <w:rPr>
            <w:rStyle w:val="Hyperlink"/>
            <w:rFonts w:ascii="Baskerville" w:hAnsi="Baskerville"/>
            <w:color w:val="000000" w:themeColor="text1"/>
            <w:u w:val="none"/>
            <w:shd w:val="clear" w:color="auto" w:fill="FFFFFF"/>
          </w:rPr>
          <w:t>https://fortune.com/2021/07/09/biden-executive-order-noncompete-policy-easier-to-find-job-great-resignation/</w:t>
        </w:r>
      </w:hyperlink>
      <w:r w:rsidRPr="00107570">
        <w:rPr>
          <w:rFonts w:ascii="Baskerville" w:hAnsi="Baskerville"/>
          <w:color w:val="000000" w:themeColor="text1"/>
          <w:shd w:val="clear" w:color="auto" w:fill="FFFFFF"/>
        </w:rPr>
        <w:t>.</w:t>
      </w:r>
    </w:p>
    <w:p w14:paraId="55EF71E4" w14:textId="77777777" w:rsidR="004918E1" w:rsidRPr="00107570" w:rsidRDefault="004918E1" w:rsidP="004918E1">
      <w:pPr>
        <w:ind w:left="475"/>
        <w:rPr>
          <w:rFonts w:ascii="Baskerville" w:hAnsi="Baskerville"/>
          <w:color w:val="000000" w:themeColor="text1"/>
        </w:rPr>
      </w:pPr>
    </w:p>
    <w:p w14:paraId="5DF11BC8" w14:textId="77777777" w:rsidR="004918E1" w:rsidRPr="00107570" w:rsidRDefault="004918E1" w:rsidP="004918E1">
      <w:pPr>
        <w:ind w:left="475"/>
        <w:rPr>
          <w:rFonts w:ascii="Baskerville" w:hAnsi="Baskerville"/>
          <w:color w:val="000000" w:themeColor="text1"/>
        </w:rPr>
      </w:pPr>
      <w:r w:rsidRPr="00107570">
        <w:rPr>
          <w:rFonts w:ascii="Baskerville" w:hAnsi="Baskerville"/>
          <w:color w:val="000000" w:themeColor="text1"/>
        </w:rPr>
        <w:t xml:space="preserve">William E. Kovacic, </w:t>
      </w:r>
      <w:r w:rsidRPr="00107570">
        <w:rPr>
          <w:rFonts w:ascii="Baskerville" w:hAnsi="Baskerville"/>
          <w:i/>
          <w:iCs/>
          <w:color w:val="000000" w:themeColor="text1"/>
        </w:rPr>
        <w:t xml:space="preserve">The Future Adaptation of the Per Se Rule of Illegality in U.S. Antitrust Law, </w:t>
      </w:r>
      <w:r w:rsidRPr="00107570">
        <w:rPr>
          <w:rFonts w:ascii="Baskerville" w:hAnsi="Baskerville"/>
          <w:color w:val="000000" w:themeColor="text1"/>
        </w:rPr>
        <w:t xml:space="preserve">2021 </w:t>
      </w:r>
      <w:r w:rsidRPr="00107570">
        <w:rPr>
          <w:rFonts w:ascii="Baskerville" w:hAnsi="Baskerville"/>
          <w:smallCaps/>
          <w:color w:val="000000" w:themeColor="text1"/>
        </w:rPr>
        <w:t>Colum. L. Rev.</w:t>
      </w:r>
      <w:r w:rsidRPr="00107570">
        <w:rPr>
          <w:rFonts w:ascii="Baskerville" w:hAnsi="Baskerville"/>
          <w:color w:val="000000" w:themeColor="text1"/>
        </w:rPr>
        <w:t xml:space="preserve"> 33 (2021), </w:t>
      </w:r>
      <w:r w:rsidRPr="00107570">
        <w:rPr>
          <w:rFonts w:ascii="Baskerville" w:hAnsi="Baskerville" w:cs="Open Sans"/>
          <w:color w:val="000000" w:themeColor="text1"/>
          <w:shd w:val="clear" w:color="auto" w:fill="FFFFFF"/>
        </w:rPr>
        <w:t>https://journals.library.columbia.edu/index.php/CBLR/article/view/8475.</w:t>
      </w:r>
    </w:p>
    <w:p w14:paraId="05C3AD56" w14:textId="77777777" w:rsidR="004918E1" w:rsidRPr="00107570" w:rsidRDefault="004918E1" w:rsidP="004918E1">
      <w:pPr>
        <w:ind w:left="475"/>
        <w:rPr>
          <w:rFonts w:ascii="Baskerville" w:hAnsi="Baskerville"/>
          <w:color w:val="000000" w:themeColor="text1"/>
        </w:rPr>
      </w:pPr>
    </w:p>
    <w:p w14:paraId="3EDD8260" w14:textId="77777777" w:rsidR="004918E1" w:rsidRPr="00107570" w:rsidRDefault="004918E1" w:rsidP="004918E1">
      <w:pPr>
        <w:ind w:left="475"/>
        <w:rPr>
          <w:rFonts w:ascii="Baskerville" w:hAnsi="Baskerville"/>
          <w:color w:val="000000" w:themeColor="text1"/>
        </w:rPr>
      </w:pPr>
      <w:r w:rsidRPr="00107570">
        <w:rPr>
          <w:rFonts w:ascii="Baskerville" w:hAnsi="Baskerville"/>
          <w:color w:val="000000" w:themeColor="text1"/>
        </w:rPr>
        <w:t xml:space="preserve">Maria L. Kreiter et al., </w:t>
      </w:r>
      <w:r w:rsidRPr="00107570">
        <w:rPr>
          <w:rFonts w:ascii="Baskerville" w:hAnsi="Baskerville"/>
          <w:i/>
          <w:iCs/>
          <w:color w:val="000000" w:themeColor="text1"/>
        </w:rPr>
        <w:t>How Can Digital Forensics Prevent the Misappropriation of Trade Secret and Confidential Information?</w:t>
      </w:r>
      <w:r w:rsidRPr="00107570">
        <w:rPr>
          <w:rFonts w:ascii="Baskerville" w:hAnsi="Baskerville"/>
          <w:color w:val="000000" w:themeColor="text1"/>
        </w:rPr>
        <w:t xml:space="preserve">, 28 </w:t>
      </w:r>
      <w:r w:rsidRPr="00107570">
        <w:rPr>
          <w:rFonts w:ascii="Baskerville" w:hAnsi="Baskerville"/>
          <w:smallCaps/>
          <w:color w:val="000000" w:themeColor="text1"/>
        </w:rPr>
        <w:t>Bus. Torts &amp; Unfair Competition</w:t>
      </w:r>
      <w:r w:rsidRPr="00107570">
        <w:rPr>
          <w:rFonts w:ascii="Baskerville" w:hAnsi="Baskerville"/>
          <w:color w:val="000000" w:themeColor="text1"/>
        </w:rPr>
        <w:t xml:space="preserve"> 8 (2021).</w:t>
      </w:r>
    </w:p>
    <w:p w14:paraId="52DF7750" w14:textId="77777777" w:rsidR="004918E1" w:rsidRPr="00107570" w:rsidRDefault="004918E1" w:rsidP="004918E1">
      <w:pPr>
        <w:ind w:left="475"/>
        <w:rPr>
          <w:rFonts w:ascii="Baskerville" w:hAnsi="Baskerville"/>
          <w:color w:val="000000" w:themeColor="text1"/>
        </w:rPr>
      </w:pPr>
    </w:p>
    <w:p w14:paraId="61F11B1E" w14:textId="597CDBAF" w:rsidR="004918E1" w:rsidRPr="00107570" w:rsidRDefault="004918E1" w:rsidP="004918E1">
      <w:pPr>
        <w:pStyle w:val="NormalWeb"/>
        <w:spacing w:before="0" w:beforeAutospacing="0" w:after="0" w:afterAutospacing="0"/>
        <w:ind w:left="475"/>
        <w:rPr>
          <w:rFonts w:ascii="Baskerville" w:hAnsi="Baskerville"/>
          <w:i/>
          <w:iCs/>
          <w:color w:val="000000" w:themeColor="text1"/>
        </w:rPr>
      </w:pPr>
      <w:r w:rsidRPr="00107570">
        <w:rPr>
          <w:rFonts w:ascii="Baskerville" w:hAnsi="Baskerville"/>
          <w:color w:val="000000" w:themeColor="text1"/>
        </w:rPr>
        <w:t>Mark A. Lemley &amp; Orly Lobel, Working Paper (</w:t>
      </w:r>
      <w:r w:rsidRPr="00107570">
        <w:rPr>
          <w:rFonts w:ascii="Baskerville" w:hAnsi="Baskerville" w:cs="Arial"/>
          <w:color w:val="000000" w:themeColor="text1"/>
        </w:rPr>
        <w:t xml:space="preserve">San Diego Legal Studies Paper No. 21-010): </w:t>
      </w:r>
      <w:r w:rsidRPr="00107570">
        <w:rPr>
          <w:rFonts w:ascii="Baskerville" w:hAnsi="Baskerville"/>
          <w:i/>
          <w:iCs/>
          <w:color w:val="000000" w:themeColor="text1"/>
        </w:rPr>
        <w:t>Banning Noncompete Agreements to Create Competitive Job Markets</w:t>
      </w:r>
      <w:r w:rsidRPr="00107570">
        <w:rPr>
          <w:rFonts w:ascii="Baskerville" w:hAnsi="Baskerville"/>
          <w:color w:val="000000" w:themeColor="text1"/>
        </w:rPr>
        <w:t xml:space="preserve"> </w:t>
      </w:r>
      <w:r w:rsidRPr="00107570">
        <w:rPr>
          <w:rFonts w:ascii="Baskerville" w:hAnsi="Baskerville" w:cs="Arial"/>
          <w:color w:val="000000" w:themeColor="text1"/>
        </w:rPr>
        <w:t>(Day One Project Jan. 2021), https://papers.ssrn.com/sol3/papers.cfm?abstract_id=3773893.</w:t>
      </w:r>
    </w:p>
    <w:p w14:paraId="79AA2CAE" w14:textId="77777777" w:rsidR="004918E1" w:rsidRPr="00107570" w:rsidRDefault="004918E1" w:rsidP="004918E1">
      <w:pPr>
        <w:ind w:left="475"/>
        <w:rPr>
          <w:rFonts w:ascii="Baskerville" w:hAnsi="Baskerville"/>
          <w:color w:val="000000" w:themeColor="text1"/>
        </w:rPr>
      </w:pPr>
    </w:p>
    <w:p w14:paraId="108106CD" w14:textId="77777777" w:rsidR="004918E1" w:rsidRPr="00107570" w:rsidRDefault="004918E1" w:rsidP="004918E1">
      <w:pPr>
        <w:ind w:left="475"/>
        <w:rPr>
          <w:rFonts w:ascii="Baskerville" w:hAnsi="Baskerville"/>
          <w:color w:val="000000" w:themeColor="text1"/>
        </w:rPr>
      </w:pPr>
      <w:r w:rsidRPr="00107570">
        <w:rPr>
          <w:rFonts w:ascii="Baskerville" w:hAnsi="Baskerville"/>
          <w:color w:val="000000" w:themeColor="text1"/>
        </w:rPr>
        <w:t xml:space="preserve">Michael Lipsitz &amp; Mark J. Tremblay, Working Paper, </w:t>
      </w:r>
      <w:r w:rsidRPr="00107570">
        <w:rPr>
          <w:rFonts w:ascii="Baskerville" w:hAnsi="Baskerville"/>
          <w:i/>
          <w:iCs/>
          <w:color w:val="000000" w:themeColor="text1"/>
        </w:rPr>
        <w:t>Noncompete Agreements and the Welfare of Consumers</w:t>
      </w:r>
      <w:r w:rsidRPr="00107570">
        <w:rPr>
          <w:rFonts w:ascii="Baskerville" w:hAnsi="Baskerville"/>
          <w:color w:val="000000" w:themeColor="text1"/>
        </w:rPr>
        <w:t xml:space="preserve"> (Dec. 1, 2021, revised Jan. 25, 2022), </w:t>
      </w:r>
      <w:hyperlink r:id="rId26" w:history="1">
        <w:r w:rsidRPr="00107570">
          <w:rPr>
            <w:rStyle w:val="Hyperlink"/>
            <w:rFonts w:ascii="Baskerville" w:hAnsi="Baskerville"/>
            <w:color w:val="000000" w:themeColor="text1"/>
            <w:u w:val="none"/>
          </w:rPr>
          <w:t>https://papers.ssrn.com/sol3/papers.cfm?abstract_id=3975864</w:t>
        </w:r>
      </w:hyperlink>
      <w:r w:rsidRPr="00107570">
        <w:rPr>
          <w:rFonts w:ascii="Baskerville" w:hAnsi="Baskerville"/>
          <w:color w:val="000000" w:themeColor="text1"/>
        </w:rPr>
        <w:t>.</w:t>
      </w:r>
    </w:p>
    <w:p w14:paraId="40EE960D" w14:textId="77777777" w:rsidR="004918E1" w:rsidRPr="00107570" w:rsidRDefault="004918E1" w:rsidP="004918E1">
      <w:pPr>
        <w:ind w:left="475"/>
        <w:rPr>
          <w:rFonts w:ascii="Baskerville" w:hAnsi="Baskerville"/>
          <w:color w:val="000000" w:themeColor="text1"/>
        </w:rPr>
      </w:pPr>
    </w:p>
    <w:p w14:paraId="1BFF57AD" w14:textId="2604BA8B" w:rsidR="004918E1" w:rsidRPr="00107570" w:rsidRDefault="004918E1" w:rsidP="004918E1">
      <w:pPr>
        <w:ind w:left="475"/>
        <w:rPr>
          <w:rFonts w:ascii="Baskerville" w:hAnsi="Baskerville"/>
          <w:color w:val="000000" w:themeColor="text1"/>
        </w:rPr>
      </w:pPr>
      <w:r w:rsidRPr="00107570">
        <w:rPr>
          <w:rFonts w:ascii="Baskerville" w:hAnsi="Baskerville"/>
          <w:color w:val="000000" w:themeColor="text1"/>
        </w:rPr>
        <w:t xml:space="preserve">Orly Lobel, </w:t>
      </w:r>
      <w:r w:rsidRPr="00107570">
        <w:rPr>
          <w:rFonts w:ascii="Baskerville" w:hAnsi="Baskerville"/>
          <w:i/>
          <w:iCs/>
          <w:color w:val="000000" w:themeColor="text1"/>
        </w:rPr>
        <w:t>Boilerplate Collusion: Clause Aggregation, Antitrust Law &amp; Contract Governance</w:t>
      </w:r>
      <w:r w:rsidRPr="00107570">
        <w:rPr>
          <w:rFonts w:ascii="Baskerville" w:hAnsi="Baskerville"/>
          <w:color w:val="000000" w:themeColor="text1"/>
        </w:rPr>
        <w:t xml:space="preserve">, 106 </w:t>
      </w:r>
      <w:r w:rsidRPr="00107570">
        <w:rPr>
          <w:rFonts w:ascii="Baskerville" w:hAnsi="Baskerville"/>
          <w:smallCaps/>
          <w:color w:val="000000" w:themeColor="text1"/>
        </w:rPr>
        <w:t>Minn. L. Rev.</w:t>
      </w:r>
      <w:r w:rsidRPr="00107570">
        <w:rPr>
          <w:rFonts w:ascii="Baskerville" w:hAnsi="Baskerville"/>
          <w:color w:val="000000" w:themeColor="text1"/>
        </w:rPr>
        <w:t xml:space="preserve"> 877 (2021) (noting, </w:t>
      </w:r>
      <w:r w:rsidRPr="00107570">
        <w:rPr>
          <w:rFonts w:ascii="Baskerville" w:hAnsi="Baskerville"/>
          <w:i/>
          <w:iCs/>
          <w:color w:val="000000" w:themeColor="text1"/>
        </w:rPr>
        <w:t>id.</w:t>
      </w:r>
      <w:r w:rsidRPr="00107570">
        <w:rPr>
          <w:rFonts w:ascii="Baskerville" w:hAnsi="Baskerville"/>
          <w:color w:val="000000" w:themeColor="text1"/>
        </w:rPr>
        <w:t xml:space="preserve"> at 893, that—when bundled together in boilerplate form by an employer—a customer nonsolicitation clause, an employee poaching covenant, a broad nondisclosure covenant, an innovation/invention assignment clause, a choice of law clause, a forum selection clause, and a severability clause have an </w:t>
      </w:r>
      <w:r w:rsidRPr="00107570">
        <w:rPr>
          <w:rFonts w:ascii="Baskerville" w:hAnsi="Baskerville"/>
          <w:i/>
          <w:iCs/>
          <w:color w:val="000000" w:themeColor="text1"/>
        </w:rPr>
        <w:t>aggregate</w:t>
      </w:r>
      <w:r w:rsidRPr="00107570">
        <w:rPr>
          <w:rFonts w:ascii="Baskerville" w:hAnsi="Baskerville"/>
          <w:color w:val="000000" w:themeColor="text1"/>
        </w:rPr>
        <w:t xml:space="preserve"> penalizing effect on the employee that would be greater than the sum of the penalizing effect of each individual clause; suggesting that “six clauses that restrict employee freedom [to compete] by 10 percent each” could, together, restrict employee freedom to compete with the former employer by nearly 100 percent; calling for judicial consideration of the “supra-addition effects” of bundled boilerplate clauses).</w:t>
      </w:r>
    </w:p>
    <w:p w14:paraId="2DD3515B" w14:textId="77777777" w:rsidR="004918E1" w:rsidRPr="00107570" w:rsidRDefault="004918E1" w:rsidP="004918E1">
      <w:pPr>
        <w:ind w:left="475"/>
        <w:rPr>
          <w:rFonts w:ascii="Baskerville" w:hAnsi="Baskerville"/>
          <w:color w:val="000000" w:themeColor="text1"/>
        </w:rPr>
      </w:pPr>
    </w:p>
    <w:p w14:paraId="1EE4CACE" w14:textId="77777777" w:rsidR="004918E1" w:rsidRPr="00107570" w:rsidRDefault="004918E1" w:rsidP="004918E1">
      <w:pPr>
        <w:ind w:left="475"/>
        <w:rPr>
          <w:rFonts w:ascii="Baskerville" w:hAnsi="Baskerville"/>
          <w:color w:val="000000" w:themeColor="text1"/>
        </w:rPr>
      </w:pPr>
      <w:r w:rsidRPr="00107570">
        <w:rPr>
          <w:rFonts w:ascii="Baskerville" w:hAnsi="Baskerville"/>
          <w:color w:val="000000" w:themeColor="text1"/>
        </w:rPr>
        <w:t xml:space="preserve">Vincent J. Love &amp; Scott I. Unger, </w:t>
      </w:r>
      <w:r w:rsidRPr="00107570">
        <w:rPr>
          <w:rFonts w:ascii="Baskerville" w:hAnsi="Baskerville"/>
          <w:i/>
          <w:iCs/>
          <w:color w:val="000000" w:themeColor="text1"/>
        </w:rPr>
        <w:t>When Business Owners Disagree and Separate</w:t>
      </w:r>
      <w:r w:rsidRPr="00107570">
        <w:rPr>
          <w:rFonts w:ascii="Baskerville" w:hAnsi="Baskerville"/>
          <w:color w:val="000000" w:themeColor="text1"/>
        </w:rPr>
        <w:t xml:space="preserve">, 67 </w:t>
      </w:r>
      <w:r w:rsidRPr="00107570">
        <w:rPr>
          <w:rFonts w:ascii="Baskerville" w:hAnsi="Baskerville"/>
          <w:smallCaps/>
          <w:color w:val="000000" w:themeColor="text1"/>
        </w:rPr>
        <w:t>Prac. Law.</w:t>
      </w:r>
      <w:r w:rsidRPr="00107570">
        <w:rPr>
          <w:rFonts w:ascii="Baskerville" w:hAnsi="Baskerville"/>
          <w:color w:val="000000" w:themeColor="text1"/>
        </w:rPr>
        <w:t xml:space="preserve"> 57 (2021).</w:t>
      </w:r>
    </w:p>
    <w:p w14:paraId="4A4503E5" w14:textId="77777777" w:rsidR="004918E1" w:rsidRPr="00107570" w:rsidRDefault="004918E1" w:rsidP="004918E1">
      <w:pPr>
        <w:ind w:left="475"/>
        <w:rPr>
          <w:rFonts w:ascii="Baskerville" w:hAnsi="Baskerville"/>
          <w:color w:val="000000" w:themeColor="text1"/>
        </w:rPr>
      </w:pPr>
    </w:p>
    <w:p w14:paraId="54B357D5" w14:textId="77777777" w:rsidR="004918E1" w:rsidRPr="00107570" w:rsidRDefault="004918E1" w:rsidP="004918E1">
      <w:pPr>
        <w:ind w:left="475"/>
        <w:rPr>
          <w:rFonts w:ascii="Baskerville" w:hAnsi="Baskerville"/>
          <w:color w:val="000000" w:themeColor="text1"/>
        </w:rPr>
      </w:pPr>
      <w:r w:rsidRPr="00107570">
        <w:rPr>
          <w:rFonts w:ascii="Baskerville" w:hAnsi="Baskerville"/>
          <w:color w:val="000000" w:themeColor="text1"/>
        </w:rPr>
        <w:t xml:space="preserve">Phillip M. Perry, </w:t>
      </w:r>
      <w:r w:rsidRPr="00107570">
        <w:rPr>
          <w:rFonts w:ascii="Baskerville" w:hAnsi="Baskerville"/>
          <w:i/>
          <w:iCs/>
          <w:color w:val="000000" w:themeColor="text1"/>
        </w:rPr>
        <w:t>Under Wraps</w:t>
      </w:r>
      <w:r w:rsidRPr="00107570">
        <w:rPr>
          <w:rFonts w:ascii="Baskerville" w:hAnsi="Baskerville"/>
          <w:color w:val="000000" w:themeColor="text1"/>
        </w:rPr>
        <w:t xml:space="preserve">, 40 </w:t>
      </w:r>
      <w:r w:rsidRPr="00107570">
        <w:rPr>
          <w:rFonts w:ascii="Baskerville" w:hAnsi="Baskerville"/>
          <w:smallCaps/>
          <w:color w:val="000000" w:themeColor="text1"/>
        </w:rPr>
        <w:t>Legal Mgmt.</w:t>
      </w:r>
      <w:r w:rsidRPr="00107570">
        <w:rPr>
          <w:rFonts w:ascii="Baskerville" w:hAnsi="Baskerville"/>
          <w:color w:val="000000" w:themeColor="text1"/>
        </w:rPr>
        <w:t xml:space="preserve"> 12 (2021).</w:t>
      </w:r>
    </w:p>
    <w:p w14:paraId="7F3D78F1" w14:textId="77777777" w:rsidR="004918E1" w:rsidRPr="00107570" w:rsidRDefault="004918E1" w:rsidP="004918E1">
      <w:pPr>
        <w:ind w:left="475"/>
        <w:rPr>
          <w:rFonts w:ascii="Baskerville" w:hAnsi="Baskerville"/>
          <w:color w:val="000000" w:themeColor="text1"/>
        </w:rPr>
      </w:pPr>
    </w:p>
    <w:p w14:paraId="7455AB56" w14:textId="77777777" w:rsidR="004918E1" w:rsidRPr="00107570" w:rsidRDefault="004918E1" w:rsidP="004918E1">
      <w:pPr>
        <w:ind w:left="475"/>
        <w:rPr>
          <w:rFonts w:ascii="Baskerville" w:hAnsi="Baskerville"/>
          <w:color w:val="000000" w:themeColor="text1"/>
        </w:rPr>
      </w:pPr>
      <w:r w:rsidRPr="00107570">
        <w:rPr>
          <w:rFonts w:ascii="Baskerville" w:hAnsi="Baskerville"/>
          <w:smallCaps/>
          <w:color w:val="000000" w:themeColor="text1"/>
        </w:rPr>
        <w:t>Eric A. Posner, How Antitrust Failed Workers</w:t>
      </w:r>
      <w:r w:rsidRPr="00107570">
        <w:rPr>
          <w:rFonts w:ascii="Baskerville" w:hAnsi="Baskerville"/>
          <w:color w:val="000000" w:themeColor="text1"/>
        </w:rPr>
        <w:t xml:space="preserve"> (2021).</w:t>
      </w:r>
    </w:p>
    <w:p w14:paraId="159AF0C4" w14:textId="77777777" w:rsidR="004918E1" w:rsidRPr="00107570" w:rsidRDefault="004918E1" w:rsidP="004918E1">
      <w:pPr>
        <w:shd w:val="clear" w:color="auto" w:fill="FFFFFF"/>
        <w:ind w:left="475"/>
        <w:rPr>
          <w:rFonts w:ascii="Baskerville" w:hAnsi="Baskerville" w:cs="Segoe UI"/>
          <w:color w:val="000000" w:themeColor="text1"/>
        </w:rPr>
      </w:pPr>
    </w:p>
    <w:p w14:paraId="74133FAE" w14:textId="77777777" w:rsidR="004918E1" w:rsidRPr="00107570" w:rsidRDefault="004918E1" w:rsidP="004918E1">
      <w:pPr>
        <w:ind w:left="475"/>
        <w:rPr>
          <w:rFonts w:ascii="Baskerville" w:hAnsi="Baskerville"/>
          <w:color w:val="000000" w:themeColor="text1"/>
        </w:rPr>
      </w:pPr>
      <w:r w:rsidRPr="00107570">
        <w:rPr>
          <w:rFonts w:ascii="Baskerville" w:hAnsi="Baskerville"/>
          <w:color w:val="000000" w:themeColor="text1"/>
        </w:rPr>
        <w:t xml:space="preserve">W. Nicholson Price II &amp; Arti K. Rai, </w:t>
      </w:r>
      <w:r w:rsidRPr="00107570">
        <w:rPr>
          <w:rFonts w:ascii="Baskerville" w:hAnsi="Baskerville"/>
          <w:i/>
          <w:iCs/>
          <w:color w:val="000000" w:themeColor="text1"/>
        </w:rPr>
        <w:t>Clearing Opacity Through Machine Learning</w:t>
      </w:r>
      <w:r w:rsidRPr="00107570">
        <w:rPr>
          <w:rFonts w:ascii="Baskerville" w:hAnsi="Baskerville"/>
          <w:color w:val="000000" w:themeColor="text1"/>
        </w:rPr>
        <w:t xml:space="preserve">, 106 </w:t>
      </w:r>
      <w:r w:rsidRPr="00107570">
        <w:rPr>
          <w:rFonts w:ascii="Baskerville" w:hAnsi="Baskerville"/>
          <w:smallCaps/>
          <w:color w:val="000000" w:themeColor="text1"/>
        </w:rPr>
        <w:t>Iowa L. Rev.</w:t>
      </w:r>
      <w:r w:rsidRPr="00107570">
        <w:rPr>
          <w:rFonts w:ascii="Baskerville" w:hAnsi="Baskerville"/>
          <w:color w:val="000000" w:themeColor="text1"/>
        </w:rPr>
        <w:t xml:space="preserve"> 775 (2021), https://ilr.law.uiowa.edu/print/volume-106-issue-2/clearing-opacity-through-machine-learning/.</w:t>
      </w:r>
    </w:p>
    <w:p w14:paraId="217EE40F" w14:textId="77777777" w:rsidR="004918E1" w:rsidRPr="00107570" w:rsidRDefault="004918E1" w:rsidP="004918E1">
      <w:pPr>
        <w:ind w:left="475"/>
        <w:rPr>
          <w:rFonts w:ascii="Baskerville" w:hAnsi="Baskerville"/>
          <w:color w:val="000000" w:themeColor="text1"/>
        </w:rPr>
      </w:pPr>
    </w:p>
    <w:p w14:paraId="1BFFD204" w14:textId="77777777" w:rsidR="004918E1" w:rsidRPr="00107570" w:rsidRDefault="004918E1" w:rsidP="004918E1">
      <w:pPr>
        <w:ind w:left="475"/>
        <w:rPr>
          <w:rFonts w:ascii="Baskerville" w:hAnsi="Baskerville"/>
          <w:color w:val="000000" w:themeColor="text1"/>
        </w:rPr>
      </w:pPr>
      <w:r w:rsidRPr="00107570">
        <w:rPr>
          <w:rFonts w:ascii="Baskerville" w:hAnsi="Baskerville"/>
          <w:color w:val="000000" w:themeColor="text1"/>
        </w:rPr>
        <w:t xml:space="preserve">Amelia L. B. Sargent, </w:t>
      </w:r>
      <w:r w:rsidRPr="00107570">
        <w:rPr>
          <w:rFonts w:ascii="Baskerville" w:hAnsi="Baskerville"/>
          <w:i/>
          <w:iCs/>
          <w:color w:val="000000" w:themeColor="text1"/>
        </w:rPr>
        <w:t>Five Steps to Protect Your Trade Secrets Without a Non-Compete</w:t>
      </w:r>
      <w:r w:rsidRPr="00107570">
        <w:rPr>
          <w:rFonts w:ascii="Baskerville" w:hAnsi="Baskerville"/>
          <w:color w:val="000000" w:themeColor="text1"/>
        </w:rPr>
        <w:t xml:space="preserve">, 67 </w:t>
      </w:r>
      <w:r w:rsidRPr="00107570">
        <w:rPr>
          <w:rFonts w:ascii="Baskerville" w:hAnsi="Baskerville"/>
          <w:smallCaps/>
          <w:color w:val="000000" w:themeColor="text1"/>
        </w:rPr>
        <w:t xml:space="preserve">Prac. Law. </w:t>
      </w:r>
      <w:r w:rsidRPr="00107570">
        <w:rPr>
          <w:rFonts w:ascii="Baskerville" w:hAnsi="Baskerville"/>
          <w:color w:val="000000" w:themeColor="text1"/>
        </w:rPr>
        <w:t>6 (2021).</w:t>
      </w:r>
    </w:p>
    <w:p w14:paraId="4028B0A1" w14:textId="77777777" w:rsidR="004918E1" w:rsidRPr="00107570" w:rsidRDefault="004918E1" w:rsidP="004918E1">
      <w:pPr>
        <w:ind w:left="475"/>
        <w:rPr>
          <w:rFonts w:ascii="Baskerville" w:hAnsi="Baskerville"/>
          <w:color w:val="000000" w:themeColor="text1"/>
        </w:rPr>
      </w:pPr>
    </w:p>
    <w:p w14:paraId="740CEDC5" w14:textId="77777777" w:rsidR="004918E1" w:rsidRPr="00107570" w:rsidRDefault="004918E1" w:rsidP="004918E1">
      <w:pPr>
        <w:ind w:left="475"/>
        <w:rPr>
          <w:rFonts w:ascii="Baskerville" w:hAnsi="Baskerville"/>
          <w:color w:val="000000" w:themeColor="text1"/>
        </w:rPr>
      </w:pPr>
      <w:r w:rsidRPr="00107570">
        <w:rPr>
          <w:rFonts w:ascii="Baskerville" w:hAnsi="Baskerville"/>
          <w:color w:val="000000" w:themeColor="text1"/>
        </w:rPr>
        <w:t xml:space="preserve">Julian Shen-Berro &amp; Kate Murphy, </w:t>
      </w:r>
      <w:r w:rsidRPr="00107570">
        <w:rPr>
          <w:rFonts w:ascii="Baskerville" w:hAnsi="Baskerville"/>
          <w:i/>
          <w:iCs/>
          <w:color w:val="000000" w:themeColor="text1"/>
        </w:rPr>
        <w:t>UNC, Duke Professors Get Paid from $19 Million Settlement in Alleged Hiring Scheme</w:t>
      </w:r>
      <w:r w:rsidRPr="00107570">
        <w:rPr>
          <w:rFonts w:ascii="Baskerville" w:hAnsi="Baskerville"/>
          <w:color w:val="000000" w:themeColor="text1"/>
        </w:rPr>
        <w:t xml:space="preserve">, </w:t>
      </w:r>
      <w:r w:rsidRPr="00107570">
        <w:rPr>
          <w:rFonts w:ascii="Baskerville" w:hAnsi="Baskerville"/>
          <w:smallCaps/>
          <w:color w:val="000000" w:themeColor="text1"/>
        </w:rPr>
        <w:t>News &amp; Observer</w:t>
      </w:r>
      <w:r w:rsidRPr="00107570">
        <w:rPr>
          <w:rFonts w:ascii="Baskerville" w:hAnsi="Baskerville"/>
          <w:color w:val="000000" w:themeColor="text1"/>
        </w:rPr>
        <w:t xml:space="preserve"> (Oct. 27, 2021), https:// www.newsobserver.com/news/local/education/article255247771.html. </w:t>
      </w:r>
    </w:p>
    <w:p w14:paraId="2F0AA43D" w14:textId="77777777" w:rsidR="004918E1" w:rsidRPr="00107570" w:rsidRDefault="004918E1" w:rsidP="004918E1">
      <w:pPr>
        <w:ind w:left="475"/>
        <w:rPr>
          <w:rFonts w:ascii="Baskerville" w:hAnsi="Baskerville"/>
          <w:color w:val="000000" w:themeColor="text1"/>
        </w:rPr>
      </w:pPr>
    </w:p>
    <w:p w14:paraId="464B93CC" w14:textId="0F0784E6" w:rsidR="004918E1" w:rsidRPr="00107570" w:rsidRDefault="004918E1" w:rsidP="004918E1">
      <w:pPr>
        <w:ind w:left="475"/>
        <w:rPr>
          <w:rFonts w:ascii="Baskerville" w:hAnsi="Baskerville"/>
          <w:color w:val="000000" w:themeColor="text1"/>
          <w:shd w:val="clear" w:color="auto" w:fill="FFFFFF"/>
        </w:rPr>
      </w:pPr>
      <w:r w:rsidRPr="00107570">
        <w:rPr>
          <w:rFonts w:ascii="Baskerville" w:hAnsi="Baskerville"/>
          <w:color w:val="000000" w:themeColor="text1"/>
        </w:rPr>
        <w:t xml:space="preserve">Evan P. Starr et al., </w:t>
      </w:r>
      <w:r w:rsidRPr="00107570">
        <w:rPr>
          <w:rFonts w:ascii="Baskerville" w:hAnsi="Baskerville"/>
          <w:i/>
          <w:iCs/>
          <w:color w:val="000000" w:themeColor="text1"/>
        </w:rPr>
        <w:t>Noncompete Agreements in the U.S. Labor Force</w:t>
      </w:r>
      <w:r w:rsidRPr="00107570">
        <w:rPr>
          <w:rFonts w:ascii="Baskerville" w:hAnsi="Baskerville"/>
          <w:color w:val="000000" w:themeColor="text1"/>
        </w:rPr>
        <w:t xml:space="preserve">, 64 </w:t>
      </w:r>
      <w:r w:rsidRPr="00107570">
        <w:rPr>
          <w:rFonts w:ascii="Baskerville" w:hAnsi="Baskerville"/>
          <w:smallCaps/>
          <w:color w:val="000000" w:themeColor="text1"/>
        </w:rPr>
        <w:t xml:space="preserve">J. L. &amp; Econ. 53 </w:t>
      </w:r>
      <w:r w:rsidRPr="00107570">
        <w:rPr>
          <w:rFonts w:ascii="Baskerville" w:hAnsi="Baskerville"/>
          <w:color w:val="000000" w:themeColor="text1"/>
        </w:rPr>
        <w:t xml:space="preserve">(2021), </w:t>
      </w:r>
      <w:hyperlink r:id="rId27" w:history="1">
        <w:r w:rsidRPr="00107570">
          <w:rPr>
            <w:rStyle w:val="Hyperlink"/>
            <w:rFonts w:ascii="Baskerville" w:hAnsi="Baskerville"/>
            <w:color w:val="000000" w:themeColor="text1"/>
            <w:u w:val="none"/>
          </w:rPr>
          <w:t>https://www.journals.uchicago.edu/doi/10.1086/712206</w:t>
        </w:r>
      </w:hyperlink>
      <w:r w:rsidRPr="00107570">
        <w:rPr>
          <w:rFonts w:ascii="Baskerville" w:hAnsi="Baskerville"/>
          <w:color w:val="000000" w:themeColor="text1"/>
        </w:rPr>
        <w:t xml:space="preserve"> (</w:t>
      </w:r>
      <w:r w:rsidRPr="00107570">
        <w:rPr>
          <w:rFonts w:ascii="Baskerville" w:hAnsi="Baskerville"/>
          <w:color w:val="000000" w:themeColor="text1"/>
          <w:shd w:val="clear" w:color="auto" w:fill="FFFFFF"/>
        </w:rPr>
        <w:t xml:space="preserve">citing, </w:t>
      </w:r>
      <w:r w:rsidRPr="00107570">
        <w:rPr>
          <w:rFonts w:ascii="Baskerville" w:hAnsi="Baskerville"/>
          <w:i/>
          <w:iCs/>
          <w:color w:val="000000" w:themeColor="text1"/>
          <w:shd w:val="clear" w:color="auto" w:fill="FFFFFF"/>
        </w:rPr>
        <w:t>id</w:t>
      </w:r>
      <w:r w:rsidRPr="00107570">
        <w:rPr>
          <w:rFonts w:ascii="Baskerville" w:hAnsi="Baskerville"/>
          <w:color w:val="000000" w:themeColor="text1"/>
          <w:shd w:val="clear" w:color="auto" w:fill="FFFFFF"/>
        </w:rPr>
        <w:t xml:space="preserve">. at 54 n.1, </w:t>
      </w:r>
      <w:r w:rsidRPr="00107570">
        <w:rPr>
          <w:rFonts w:ascii="Baskerville" w:hAnsi="Baskerville"/>
          <w:smallCaps/>
          <w:color w:val="000000" w:themeColor="text1"/>
        </w:rPr>
        <w:t>Brian M. Malsberger, Covenants Not to Compete: A State-by-State Survey</w:t>
      </w:r>
      <w:r w:rsidRPr="00107570">
        <w:rPr>
          <w:rFonts w:ascii="Baskerville" w:hAnsi="Baskerville"/>
          <w:color w:val="000000" w:themeColor="text1"/>
        </w:rPr>
        <w:t xml:space="preserve"> (Arlington, Va.: Bloomberg Law, 8th ed. 2012) (print), since replaced by the instant edition, </w:t>
      </w:r>
      <w:r w:rsidRPr="00107570">
        <w:rPr>
          <w:rFonts w:ascii="Baskerville" w:hAnsi="Baskerville"/>
          <w:smallCaps/>
          <w:color w:val="000000" w:themeColor="text1"/>
        </w:rPr>
        <w:t>Brian M. Malsberger, Covenants Not to Compete: A State-by-State Survey</w:t>
      </w:r>
      <w:r w:rsidRPr="00107570">
        <w:rPr>
          <w:rFonts w:ascii="Baskerville" w:hAnsi="Baskerville"/>
          <w:color w:val="000000" w:themeColor="text1"/>
        </w:rPr>
        <w:t xml:space="preserve"> (Arlington, Va.: Bloomberg Law, </w:t>
      </w:r>
      <w:r w:rsidR="004A3D31">
        <w:rPr>
          <w:rFonts w:ascii="Baskerville" w:hAnsi="Baskerville"/>
          <w:color w:val="000000" w:themeColor="text1"/>
        </w:rPr>
        <w:t>2023</w:t>
      </w:r>
      <w:r w:rsidRPr="00107570">
        <w:rPr>
          <w:rFonts w:ascii="Baskerville" w:hAnsi="Baskerville"/>
          <w:color w:val="000000" w:themeColor="text1"/>
        </w:rPr>
        <w:t xml:space="preserve"> ed.) </w:t>
      </w:r>
      <w:r w:rsidR="003207CE">
        <w:rPr>
          <w:rFonts w:ascii="Baskerville" w:hAnsi="Baskerville"/>
          <w:color w:val="000000" w:themeColor="text1"/>
        </w:rPr>
        <w:t>(ebook)</w:t>
      </w:r>
      <w:r w:rsidRPr="00107570">
        <w:rPr>
          <w:rFonts w:ascii="Baskerville" w:hAnsi="Baskerville"/>
          <w:color w:val="000000" w:themeColor="text1"/>
        </w:rPr>
        <w:t xml:space="preserve">; </w:t>
      </w:r>
      <w:r w:rsidRPr="00107570">
        <w:rPr>
          <w:rFonts w:ascii="Baskerville" w:hAnsi="Baskerville"/>
          <w:color w:val="000000" w:themeColor="text1"/>
          <w:shd w:val="clear" w:color="auto" w:fill="FFFFFF"/>
        </w:rPr>
        <w:t>estimating that approximately 18 percent of employees are bound by noncompetes; reporting that (1) noncompetes are more likely to be found in connection with high-skill, high-paying occupations, (2) 10 percent of employees negotiate the terms of their noncompetes, and (3) wages are lower in states where noncompetes are more easily enforced).</w:t>
      </w:r>
    </w:p>
    <w:p w14:paraId="5C71D891" w14:textId="77777777" w:rsidR="004918E1" w:rsidRPr="00107570" w:rsidRDefault="004918E1" w:rsidP="004918E1">
      <w:pPr>
        <w:ind w:left="475"/>
        <w:rPr>
          <w:rFonts w:ascii="Baskerville" w:hAnsi="Baskerville"/>
          <w:color w:val="000000" w:themeColor="text1"/>
          <w:shd w:val="clear" w:color="auto" w:fill="FFFFFF"/>
        </w:rPr>
      </w:pPr>
    </w:p>
    <w:p w14:paraId="168E1C41" w14:textId="6931EECE" w:rsidR="004918E1" w:rsidRPr="00107570" w:rsidRDefault="004918E1" w:rsidP="004918E1">
      <w:pPr>
        <w:ind w:left="475"/>
        <w:rPr>
          <w:rFonts w:ascii="Baskerville" w:hAnsi="Baskerville"/>
          <w:color w:val="000000" w:themeColor="text1"/>
        </w:rPr>
      </w:pPr>
      <w:r w:rsidRPr="00107570">
        <w:rPr>
          <w:rFonts w:ascii="Baskerville" w:hAnsi="Baskerville"/>
          <w:color w:val="000000" w:themeColor="text1"/>
        </w:rPr>
        <w:t xml:space="preserve">Charles A. Sullivan, </w:t>
      </w:r>
      <w:r w:rsidRPr="00107570">
        <w:rPr>
          <w:rFonts w:ascii="Baskerville" w:hAnsi="Baskerville"/>
          <w:i/>
          <w:iCs/>
          <w:color w:val="000000" w:themeColor="text1"/>
        </w:rPr>
        <w:t>Noncompetes in a Downsizing World</w:t>
      </w:r>
      <w:r w:rsidRPr="00107570">
        <w:rPr>
          <w:rFonts w:ascii="Baskerville" w:hAnsi="Baskerville"/>
          <w:color w:val="000000" w:themeColor="text1"/>
        </w:rPr>
        <w:t xml:space="preserve">, 58 </w:t>
      </w:r>
      <w:r w:rsidRPr="00107570">
        <w:rPr>
          <w:rFonts w:ascii="Baskerville" w:hAnsi="Baskerville"/>
          <w:smallCaps/>
          <w:color w:val="000000" w:themeColor="text1"/>
        </w:rPr>
        <w:t>San Diego L. Rev.</w:t>
      </w:r>
      <w:r w:rsidRPr="00107570">
        <w:rPr>
          <w:rFonts w:ascii="Baskerville" w:hAnsi="Baskerville"/>
          <w:color w:val="000000" w:themeColor="text1"/>
        </w:rPr>
        <w:t xml:space="preserve"> 677 (2021) (examining whether noncompetes are enforceable after employment termination not based on performance).</w:t>
      </w:r>
    </w:p>
    <w:p w14:paraId="64DE9A77" w14:textId="77777777" w:rsidR="004918E1" w:rsidRPr="00107570" w:rsidRDefault="004918E1" w:rsidP="004918E1">
      <w:pPr>
        <w:ind w:left="475"/>
        <w:rPr>
          <w:rFonts w:ascii="Baskerville" w:hAnsi="Baskerville"/>
          <w:color w:val="000000" w:themeColor="text1"/>
        </w:rPr>
      </w:pPr>
    </w:p>
    <w:p w14:paraId="4AD8B18E" w14:textId="77777777" w:rsidR="004918E1" w:rsidRPr="00107570" w:rsidRDefault="004918E1" w:rsidP="004918E1">
      <w:pPr>
        <w:pStyle w:val="NormalWeb"/>
        <w:spacing w:before="0" w:beforeAutospacing="0" w:after="0" w:afterAutospacing="0"/>
        <w:ind w:left="475"/>
        <w:rPr>
          <w:rFonts w:ascii="Baskerville" w:hAnsi="Baskerville"/>
          <w:color w:val="000000" w:themeColor="text1"/>
        </w:rPr>
      </w:pPr>
      <w:r w:rsidRPr="00107570">
        <w:rPr>
          <w:rFonts w:ascii="Baskerville" w:hAnsi="Baskerville"/>
          <w:color w:val="000000" w:themeColor="text1"/>
        </w:rPr>
        <w:t xml:space="preserve">Charles A. Sullivan, </w:t>
      </w:r>
      <w:r w:rsidRPr="00107570">
        <w:rPr>
          <w:rFonts w:ascii="Baskerville" w:hAnsi="Baskerville"/>
          <w:i/>
          <w:iCs/>
          <w:color w:val="000000" w:themeColor="text1"/>
        </w:rPr>
        <w:t>Poaching</w:t>
      </w:r>
      <w:r w:rsidRPr="00107570">
        <w:rPr>
          <w:rFonts w:ascii="Baskerville" w:hAnsi="Baskerville"/>
          <w:color w:val="000000" w:themeColor="text1"/>
        </w:rPr>
        <w:t xml:space="preserve">, 71 </w:t>
      </w:r>
      <w:r w:rsidRPr="00107570">
        <w:rPr>
          <w:rFonts w:ascii="Baskerville" w:hAnsi="Baskerville"/>
          <w:smallCaps/>
          <w:color w:val="000000" w:themeColor="text1"/>
        </w:rPr>
        <w:t>Am. U. L. Rev</w:t>
      </w:r>
      <w:r w:rsidRPr="00107570">
        <w:rPr>
          <w:rFonts w:ascii="Baskerville" w:hAnsi="Baskerville"/>
          <w:color w:val="000000" w:themeColor="text1"/>
        </w:rPr>
        <w:t xml:space="preserve">. 649 (2021), </w:t>
      </w:r>
      <w:hyperlink r:id="rId28" w:history="1">
        <w:r w:rsidRPr="00107570">
          <w:rPr>
            <w:rStyle w:val="Hyperlink"/>
            <w:rFonts w:ascii="Baskerville" w:hAnsi="Baskerville"/>
            <w:color w:val="000000" w:themeColor="text1"/>
            <w:u w:val="none"/>
          </w:rPr>
          <w:t>https://aulawreview.org/wp-content/uploads/2022/01/Sullivan.to_.Printer.pdf</w:t>
        </w:r>
      </w:hyperlink>
      <w:r w:rsidRPr="00107570">
        <w:rPr>
          <w:rFonts w:ascii="Baskerville" w:hAnsi="Baskerville"/>
          <w:color w:val="000000" w:themeColor="text1"/>
        </w:rPr>
        <w:t>.</w:t>
      </w:r>
    </w:p>
    <w:p w14:paraId="762064C2" w14:textId="77777777" w:rsidR="004918E1" w:rsidRPr="00107570" w:rsidRDefault="004918E1" w:rsidP="004918E1">
      <w:pPr>
        <w:pStyle w:val="NormalWeb"/>
        <w:spacing w:before="0" w:beforeAutospacing="0" w:after="0" w:afterAutospacing="0"/>
        <w:ind w:left="475"/>
        <w:rPr>
          <w:rFonts w:ascii="Baskerville" w:hAnsi="Baskerville"/>
          <w:color w:val="000000" w:themeColor="text1"/>
        </w:rPr>
      </w:pPr>
    </w:p>
    <w:p w14:paraId="53C64DF4" w14:textId="77777777" w:rsidR="004918E1" w:rsidRPr="00107570" w:rsidRDefault="004918E1" w:rsidP="004918E1">
      <w:pPr>
        <w:pStyle w:val="NormalWeb"/>
        <w:spacing w:before="0" w:beforeAutospacing="0" w:after="0" w:afterAutospacing="0"/>
        <w:ind w:left="475"/>
        <w:rPr>
          <w:rFonts w:ascii="Baskerville" w:hAnsi="Baskerville"/>
          <w:color w:val="000000" w:themeColor="text1"/>
        </w:rPr>
      </w:pPr>
      <w:r w:rsidRPr="00107570">
        <w:rPr>
          <w:rFonts w:ascii="Baskerville" w:hAnsi="Baskerville"/>
          <w:color w:val="000000" w:themeColor="text1"/>
        </w:rPr>
        <w:t xml:space="preserve">Christopher W. Tackett, </w:t>
      </w:r>
      <w:r w:rsidRPr="00107570">
        <w:rPr>
          <w:rFonts w:ascii="Baskerville" w:hAnsi="Baskerville"/>
          <w:i/>
          <w:iCs/>
          <w:color w:val="000000" w:themeColor="text1"/>
        </w:rPr>
        <w:t>Why Do Non-Compete Agreements Get All the Press?</w:t>
      </w:r>
      <w:r w:rsidRPr="00107570">
        <w:rPr>
          <w:rFonts w:ascii="Baskerville" w:hAnsi="Baskerville"/>
          <w:color w:val="000000" w:themeColor="text1"/>
        </w:rPr>
        <w:t xml:space="preserve">, 29 </w:t>
      </w:r>
      <w:r w:rsidRPr="00107570">
        <w:rPr>
          <w:rFonts w:ascii="Baskerville" w:hAnsi="Baskerville"/>
          <w:smallCaps/>
          <w:color w:val="000000" w:themeColor="text1"/>
        </w:rPr>
        <w:t xml:space="preserve">Bus. Torts &amp; Unfair Competition </w:t>
      </w:r>
      <w:r w:rsidRPr="00107570">
        <w:rPr>
          <w:rFonts w:ascii="Baskerville" w:hAnsi="Baskerville"/>
          <w:color w:val="000000" w:themeColor="text1"/>
        </w:rPr>
        <w:t xml:space="preserve">3 (2021), </w:t>
      </w:r>
      <w:hyperlink r:id="rId29" w:history="1">
        <w:r w:rsidRPr="00107570">
          <w:rPr>
            <w:rStyle w:val="Hyperlink"/>
            <w:rFonts w:ascii="Baskerville" w:hAnsi="Baskerville"/>
            <w:color w:val="000000" w:themeColor="text1"/>
            <w:u w:val="none"/>
          </w:rPr>
          <w:t>https://www.ralaw.com/storage/GJvpiUPpkCdCWCML98c0jhwWq67o9t1jtkglpgbL.pdf</w:t>
        </w:r>
      </w:hyperlink>
      <w:r w:rsidRPr="00107570">
        <w:rPr>
          <w:rFonts w:ascii="Baskerville" w:hAnsi="Baskerville"/>
          <w:color w:val="000000" w:themeColor="text1"/>
        </w:rPr>
        <w:t>.</w:t>
      </w:r>
    </w:p>
    <w:p w14:paraId="79A95DA2" w14:textId="77777777" w:rsidR="004918E1" w:rsidRPr="00107570" w:rsidRDefault="004918E1" w:rsidP="004918E1">
      <w:pPr>
        <w:pStyle w:val="NormalWeb"/>
        <w:spacing w:before="0" w:beforeAutospacing="0" w:after="0" w:afterAutospacing="0"/>
        <w:ind w:left="475"/>
        <w:rPr>
          <w:rFonts w:ascii="Baskerville" w:hAnsi="Baskerville"/>
          <w:color w:val="000000" w:themeColor="text1"/>
        </w:rPr>
      </w:pPr>
    </w:p>
    <w:p w14:paraId="717A0171" w14:textId="77777777" w:rsidR="004918E1" w:rsidRPr="00107570" w:rsidRDefault="004918E1" w:rsidP="004918E1">
      <w:pPr>
        <w:ind w:left="475"/>
        <w:rPr>
          <w:rFonts w:ascii="Baskerville" w:hAnsi="Baskerville"/>
          <w:color w:val="000000" w:themeColor="text1"/>
        </w:rPr>
      </w:pPr>
      <w:r w:rsidRPr="00107570">
        <w:rPr>
          <w:rFonts w:ascii="Baskerville" w:hAnsi="Baskerville"/>
          <w:color w:val="000000" w:themeColor="text1"/>
        </w:rPr>
        <w:t xml:space="preserve">Alexia Willis, Note, </w:t>
      </w:r>
      <w:r w:rsidRPr="00107570">
        <w:rPr>
          <w:rFonts w:ascii="Baskerville" w:hAnsi="Baskerville"/>
          <w:i/>
          <w:iCs/>
          <w:color w:val="000000" w:themeColor="text1"/>
        </w:rPr>
        <w:t>Utilizing Telehealth to Practice Medicine Across State Lines: The Enforceability of Physician Non-Compete Agreements and Non-Solicitation Clauses</w:t>
      </w:r>
      <w:r w:rsidRPr="00107570">
        <w:rPr>
          <w:rFonts w:ascii="Baskerville" w:hAnsi="Baskerville"/>
          <w:color w:val="000000" w:themeColor="text1"/>
        </w:rPr>
        <w:t xml:space="preserve">, 39 </w:t>
      </w:r>
      <w:r w:rsidRPr="00107570">
        <w:rPr>
          <w:rFonts w:ascii="Baskerville" w:hAnsi="Baskerville"/>
          <w:smallCaps/>
          <w:color w:val="000000" w:themeColor="text1"/>
        </w:rPr>
        <w:t>Hofstra Lab. &amp; Emp. L. J.</w:t>
      </w:r>
      <w:r w:rsidRPr="00107570">
        <w:rPr>
          <w:rFonts w:ascii="Baskerville" w:hAnsi="Baskerville"/>
          <w:color w:val="000000" w:themeColor="text1"/>
        </w:rPr>
        <w:t xml:space="preserve"> 213 (2021),</w:t>
      </w:r>
    </w:p>
    <w:p w14:paraId="709633F9" w14:textId="77777777" w:rsidR="004918E1" w:rsidRPr="00107570" w:rsidRDefault="00AC7E68" w:rsidP="004918E1">
      <w:pPr>
        <w:spacing w:after="160" w:line="259" w:lineRule="auto"/>
        <w:ind w:left="475"/>
        <w:rPr>
          <w:rFonts w:ascii="Baskerville" w:eastAsiaTheme="minorEastAsia" w:hAnsi="Baskerville"/>
          <w:color w:val="000000" w:themeColor="text1"/>
          <w:sz w:val="22"/>
          <w:szCs w:val="22"/>
        </w:rPr>
      </w:pPr>
      <w:hyperlink r:id="rId30" w:history="1">
        <w:r w:rsidR="004918E1" w:rsidRPr="00107570">
          <w:rPr>
            <w:rStyle w:val="Hyperlink"/>
            <w:rFonts w:ascii="Baskerville" w:hAnsi="Baskerville"/>
            <w:color w:val="000000" w:themeColor="text1"/>
            <w:u w:val="none"/>
          </w:rPr>
          <w:t>https://scholarlycommons.law.hofstra.edu/hlelj/vol39/iss1/6/</w:t>
        </w:r>
      </w:hyperlink>
      <w:r w:rsidR="004918E1" w:rsidRPr="00107570">
        <w:rPr>
          <w:rFonts w:ascii="Baskerville" w:hAnsi="Baskerville"/>
          <w:color w:val="000000" w:themeColor="text1"/>
        </w:rPr>
        <w:t>.</w:t>
      </w:r>
    </w:p>
    <w:p w14:paraId="182E09C4" w14:textId="77777777" w:rsidR="004918E1" w:rsidRDefault="004918E1" w:rsidP="005670EC">
      <w:pPr>
        <w:shd w:val="clear" w:color="auto" w:fill="FFFFFF"/>
        <w:ind w:left="475"/>
        <w:rPr>
          <w:rFonts w:ascii="Baskerville" w:hAnsi="Baskerville"/>
          <w:color w:val="000000" w:themeColor="text1"/>
        </w:rPr>
      </w:pPr>
    </w:p>
    <w:p w14:paraId="334AD72F" w14:textId="55076802" w:rsidR="005670EC" w:rsidRPr="008875A8" w:rsidRDefault="005670EC" w:rsidP="005670EC">
      <w:pPr>
        <w:shd w:val="clear" w:color="auto" w:fill="FFFFFF"/>
        <w:ind w:left="475"/>
        <w:rPr>
          <w:rFonts w:ascii="Baskerville" w:hAnsi="Baskerville" w:cs="Arial"/>
          <w:b/>
          <w:bCs/>
          <w:color w:val="000000" w:themeColor="text1"/>
        </w:rPr>
      </w:pPr>
      <w:r w:rsidRPr="008875A8">
        <w:rPr>
          <w:rFonts w:ascii="Baskerville" w:hAnsi="Baskerville"/>
          <w:color w:val="000000" w:themeColor="text1"/>
        </w:rPr>
        <w:t xml:space="preserve">Rachel Arnow-Richman, </w:t>
      </w:r>
      <w:r w:rsidRPr="008875A8">
        <w:rPr>
          <w:rFonts w:ascii="Baskerville" w:hAnsi="Baskerville"/>
          <w:i/>
          <w:iCs/>
          <w:color w:val="000000" w:themeColor="text1"/>
        </w:rPr>
        <w:t>The New Enforcement Regime: Revisiting the Law of Employee Competition (and the Scholarship of Professor Charles Sullivan) with 2020 Vision</w:t>
      </w:r>
      <w:r w:rsidRPr="008875A8">
        <w:rPr>
          <w:rFonts w:ascii="Baskerville" w:hAnsi="Baskerville"/>
          <w:color w:val="000000" w:themeColor="text1"/>
        </w:rPr>
        <w:t xml:space="preserve">, 50 </w:t>
      </w:r>
      <w:r w:rsidRPr="008875A8">
        <w:rPr>
          <w:rFonts w:ascii="Baskerville" w:hAnsi="Baskerville"/>
          <w:smallCaps/>
          <w:color w:val="000000" w:themeColor="text1"/>
        </w:rPr>
        <w:t>Seton Hall L. Rev.</w:t>
      </w:r>
      <w:r w:rsidRPr="008875A8">
        <w:rPr>
          <w:rFonts w:ascii="Baskerville" w:hAnsi="Baskerville"/>
          <w:color w:val="000000" w:themeColor="text1"/>
        </w:rPr>
        <w:t xml:space="preserve"> 1223 (2020).</w:t>
      </w:r>
    </w:p>
    <w:p w14:paraId="592DF499" w14:textId="77777777" w:rsidR="005670EC" w:rsidRPr="008875A8" w:rsidRDefault="005670EC" w:rsidP="005670EC">
      <w:pPr>
        <w:shd w:val="clear" w:color="auto" w:fill="FFFFFF"/>
        <w:ind w:left="475"/>
        <w:rPr>
          <w:rFonts w:ascii="Baskerville" w:hAnsi="Baskerville" w:cs="Arial"/>
          <w:b/>
          <w:bCs/>
          <w:color w:val="000000" w:themeColor="text1"/>
        </w:rPr>
      </w:pPr>
    </w:p>
    <w:p w14:paraId="530D7935" w14:textId="4F68B655" w:rsidR="005670EC" w:rsidRPr="008875A8" w:rsidRDefault="005670EC" w:rsidP="005670EC">
      <w:pPr>
        <w:ind w:left="475"/>
        <w:rPr>
          <w:rFonts w:ascii="Baskerville" w:hAnsi="Baskerville"/>
          <w:color w:val="000000" w:themeColor="text1"/>
        </w:rPr>
      </w:pPr>
      <w:r w:rsidRPr="008875A8">
        <w:rPr>
          <w:rFonts w:ascii="Baskerville" w:hAnsi="Baskerville"/>
          <w:color w:val="000000" w:themeColor="text1"/>
        </w:rPr>
        <w:t xml:space="preserve">Natarajan Balasubramanian, Jin Woo Chang, Mariko Sakakibara, Jagadeesh Sivadasan, &amp; Evan Starr, </w:t>
      </w:r>
      <w:r w:rsidRPr="008875A8">
        <w:rPr>
          <w:rFonts w:ascii="Baskerville" w:hAnsi="Baskerville"/>
          <w:i/>
          <w:iCs/>
          <w:color w:val="000000" w:themeColor="text1"/>
        </w:rPr>
        <w:t>Locked In? The Enforceability of Covenants Not to Compete and the Careers of High-Tech Workers</w:t>
      </w:r>
      <w:r w:rsidRPr="008875A8">
        <w:rPr>
          <w:rFonts w:ascii="Baskerville" w:hAnsi="Baskerville"/>
          <w:color w:val="000000" w:themeColor="text1"/>
        </w:rPr>
        <w:t xml:space="preserve"> (Apr. 2020), available at </w:t>
      </w:r>
      <w:hyperlink r:id="rId31" w:history="1">
        <w:r w:rsidRPr="00891AF9">
          <w:rPr>
            <w:rStyle w:val="Hyperlink"/>
            <w:rFonts w:ascii="Baskerville" w:hAnsi="Baskerville" w:cs="Arial"/>
            <w:color w:val="000000" w:themeColor="text1"/>
            <w:u w:val="none"/>
          </w:rPr>
          <w:t>http://jhr.uwpress.org/content/early/2020/05/04/jhr.monopsony.1218-9931R1.full.pdf</w:t>
        </w:r>
      </w:hyperlink>
      <w:r w:rsidRPr="00891AF9">
        <w:rPr>
          <w:rFonts w:ascii="Baskerville" w:hAnsi="Baskerville" w:cs="Arial"/>
          <w:b/>
          <w:bCs/>
          <w:color w:val="000000" w:themeColor="text1"/>
        </w:rPr>
        <w:t xml:space="preserve"> </w:t>
      </w:r>
      <w:r w:rsidRPr="008875A8">
        <w:rPr>
          <w:rFonts w:ascii="Baskerville" w:hAnsi="Baskerville" w:cs="Arial"/>
          <w:b/>
          <w:bCs/>
          <w:color w:val="000000" w:themeColor="text1"/>
        </w:rPr>
        <w:t>(</w:t>
      </w:r>
      <w:r w:rsidRPr="008875A8">
        <w:rPr>
          <w:rFonts w:ascii="Baskerville" w:hAnsi="Baskerville"/>
          <w:color w:val="000000" w:themeColor="text1"/>
        </w:rPr>
        <w:t xml:space="preserve">finding that Hawaii’s 2015 ban on covenants not to compete for technology workers in that state increased mobility by 11% and new-hire wages by 4%; finding that, across the nation, “eight years after starting a job in an average-enforceability state, technology workers have about 8% fewer jobs and 4.6% lower cumulative earnings relative to equivalent workers starting in a non-enforcing state;” citing various editions of “the Malsberger treatise,” the most recent of which is the instant </w:t>
      </w:r>
      <w:r w:rsidRPr="008875A8">
        <w:rPr>
          <w:rFonts w:ascii="Baskerville" w:hAnsi="Baskerville"/>
          <w:smallCaps/>
          <w:color w:val="000000" w:themeColor="text1"/>
        </w:rPr>
        <w:t>Brian M. Malsberger, Covenants Not to Compete: A State-by-State Survey</w:t>
      </w:r>
      <w:r w:rsidRPr="008875A8">
        <w:rPr>
          <w:rFonts w:ascii="Baskerville" w:hAnsi="Baskerville"/>
          <w:color w:val="000000" w:themeColor="text1"/>
        </w:rPr>
        <w:t xml:space="preserve"> (Arlington, Va.: Bloomberg Law, </w:t>
      </w:r>
      <w:r w:rsidR="004A3D31">
        <w:rPr>
          <w:rFonts w:ascii="Baskerville" w:hAnsi="Baskerville"/>
          <w:color w:val="000000" w:themeColor="text1"/>
        </w:rPr>
        <w:t>2023</w:t>
      </w:r>
      <w:r w:rsidRPr="008875A8">
        <w:rPr>
          <w:rFonts w:ascii="Baskerville" w:hAnsi="Baskerville"/>
          <w:color w:val="000000" w:themeColor="text1"/>
        </w:rPr>
        <w:t xml:space="preserve"> ed</w:t>
      </w:r>
      <w:r w:rsidR="004A3D31">
        <w:rPr>
          <w:rFonts w:ascii="Baskerville" w:hAnsi="Baskerville"/>
          <w:color w:val="000000" w:themeColor="text1"/>
        </w:rPr>
        <w:t>.</w:t>
      </w:r>
      <w:r w:rsidRPr="008875A8">
        <w:rPr>
          <w:rFonts w:ascii="Baskerville" w:hAnsi="Baskerville"/>
          <w:color w:val="000000" w:themeColor="text1"/>
        </w:rPr>
        <w:t xml:space="preserve">) </w:t>
      </w:r>
      <w:r w:rsidR="003207CE">
        <w:rPr>
          <w:rFonts w:ascii="Baskerville" w:hAnsi="Baskerville"/>
          <w:color w:val="000000" w:themeColor="text1"/>
        </w:rPr>
        <w:t>(ebook)</w:t>
      </w:r>
      <w:r w:rsidR="00A347CB">
        <w:rPr>
          <w:rFonts w:ascii="Baskerville" w:hAnsi="Baskerville"/>
          <w:color w:val="000000" w:themeColor="text1"/>
        </w:rPr>
        <w:t>)</w:t>
      </w:r>
      <w:r w:rsidRPr="008875A8">
        <w:rPr>
          <w:rFonts w:ascii="Baskerville" w:hAnsi="Baskerville"/>
          <w:color w:val="000000" w:themeColor="text1"/>
        </w:rPr>
        <w:t>.</w:t>
      </w:r>
    </w:p>
    <w:p w14:paraId="46EFC81C" w14:textId="77777777" w:rsidR="005670EC" w:rsidRPr="008875A8" w:rsidRDefault="005670EC" w:rsidP="005670EC">
      <w:pPr>
        <w:shd w:val="clear" w:color="auto" w:fill="FFFFFF"/>
        <w:ind w:left="475"/>
        <w:rPr>
          <w:rFonts w:ascii="Baskerville" w:hAnsi="Baskerville" w:cs="Arial"/>
          <w:b/>
          <w:bCs/>
          <w:color w:val="000000" w:themeColor="text1"/>
        </w:rPr>
      </w:pPr>
    </w:p>
    <w:p w14:paraId="77DCBC8D" w14:textId="77777777" w:rsidR="005670EC" w:rsidRPr="008875A8" w:rsidRDefault="005670EC" w:rsidP="005670EC">
      <w:pPr>
        <w:pStyle w:val="NormalWeb"/>
        <w:spacing w:before="0" w:beforeAutospacing="0" w:after="0" w:afterAutospacing="0"/>
        <w:ind w:left="475"/>
        <w:rPr>
          <w:rFonts w:ascii="Baskerville" w:hAnsi="Baskerville"/>
          <w:color w:val="000000" w:themeColor="text1"/>
        </w:rPr>
      </w:pPr>
      <w:r w:rsidRPr="008875A8">
        <w:rPr>
          <w:rFonts w:ascii="Baskerville" w:hAnsi="Baskerville"/>
          <w:color w:val="000000" w:themeColor="text1"/>
        </w:rPr>
        <w:t xml:space="preserve">Jonathan Barnett &amp; Ted Sichelman, </w:t>
      </w:r>
      <w:r w:rsidRPr="008875A8">
        <w:rPr>
          <w:rFonts w:ascii="Baskerville" w:hAnsi="Baskerville"/>
          <w:i/>
          <w:iCs/>
          <w:color w:val="000000" w:themeColor="text1"/>
        </w:rPr>
        <w:t>The Case for Noncompetes</w:t>
      </w:r>
      <w:r w:rsidRPr="008875A8">
        <w:rPr>
          <w:rFonts w:ascii="Baskerville" w:hAnsi="Baskerville"/>
          <w:color w:val="000000" w:themeColor="text1"/>
        </w:rPr>
        <w:t xml:space="preserve">, 87 </w:t>
      </w:r>
      <w:r w:rsidRPr="008875A8">
        <w:rPr>
          <w:rFonts w:ascii="Baskerville" w:hAnsi="Baskerville"/>
          <w:smallCaps/>
          <w:color w:val="000000" w:themeColor="text1"/>
        </w:rPr>
        <w:t>Univ. Chi. L. Rev.</w:t>
      </w:r>
      <w:r w:rsidRPr="008875A8">
        <w:rPr>
          <w:rFonts w:ascii="Baskerville" w:hAnsi="Baskerville"/>
          <w:color w:val="000000" w:themeColor="text1"/>
        </w:rPr>
        <w:t xml:space="preserve"> 953 (Jan. 9, 2020) (as revised July 23, 2020)</w:t>
      </w:r>
      <w:r w:rsidRPr="008875A8">
        <w:rPr>
          <w:rFonts w:ascii="Baskerville" w:hAnsi="Baskerville"/>
          <w:color w:val="000000" w:themeColor="text1"/>
          <w:shd w:val="clear" w:color="auto" w:fill="FFFFFF"/>
        </w:rPr>
        <w:t xml:space="preserve">, </w:t>
      </w:r>
      <w:hyperlink r:id="rId32" w:history="1">
        <w:r w:rsidRPr="00891AF9">
          <w:rPr>
            <w:rStyle w:val="Hyperlink"/>
            <w:rFonts w:ascii="Baskerville" w:hAnsi="Baskerville" w:cs="Arial"/>
            <w:color w:val="000000" w:themeColor="text1"/>
            <w:u w:val="none"/>
          </w:rPr>
          <w:t>https://lawreview.uchicago.edu/sites/lawreview.uchicago.edu/files/BarnettSichelman_CaseForNoncompetes_87UCLR953.pdf</w:t>
        </w:r>
      </w:hyperlink>
      <w:r w:rsidRPr="00891AF9">
        <w:rPr>
          <w:rFonts w:ascii="Baskerville" w:hAnsi="Baskerville" w:cs="Arial"/>
          <w:color w:val="000000" w:themeColor="text1"/>
        </w:rPr>
        <w:t xml:space="preserve"> and at</w:t>
      </w:r>
      <w:r w:rsidRPr="00891AF9">
        <w:rPr>
          <w:rFonts w:ascii="Baskerville" w:hAnsi="Baskerville"/>
          <w:color w:val="000000" w:themeColor="text1"/>
          <w:shd w:val="clear" w:color="auto" w:fill="FFFFFF"/>
        </w:rPr>
        <w:t> </w:t>
      </w:r>
      <w:hyperlink r:id="rId33" w:tgtFrame="_blank" w:history="1">
        <w:r w:rsidRPr="00891AF9">
          <w:rPr>
            <w:rStyle w:val="Hyperlink"/>
            <w:rFonts w:ascii="Baskerville" w:hAnsi="Baskerville"/>
            <w:color w:val="000000" w:themeColor="text1"/>
            <w:u w:val="none"/>
            <w:shd w:val="clear" w:color="auto" w:fill="FFFFFF"/>
          </w:rPr>
          <w:t>https://ssrn.com/abstract=3516397</w:t>
        </w:r>
      </w:hyperlink>
      <w:r w:rsidRPr="00891AF9">
        <w:rPr>
          <w:rFonts w:ascii="Baskerville" w:hAnsi="Baskerville"/>
          <w:color w:val="000000" w:themeColor="text1"/>
          <w:shd w:val="clear" w:color="auto" w:fill="FFFFFF"/>
        </w:rPr>
        <w:t> and </w:t>
      </w:r>
      <w:hyperlink r:id="rId34" w:tgtFrame="_blank" w:history="1">
        <w:r w:rsidRPr="00891AF9">
          <w:rPr>
            <w:rStyle w:val="Hyperlink"/>
            <w:rFonts w:ascii="Baskerville" w:hAnsi="Baskerville"/>
            <w:color w:val="000000" w:themeColor="text1"/>
            <w:u w:val="none"/>
            <w:shd w:val="clear" w:color="auto" w:fill="FFFFFF"/>
          </w:rPr>
          <w:t>http://dx.doi.org/10</w:t>
        </w:r>
        <w:r w:rsidRPr="00891AF9">
          <w:rPr>
            <w:rStyle w:val="Hyperlink"/>
            <w:rFonts w:ascii="Baskerville" w:hAnsi="Baskerville"/>
            <w:color w:val="000000" w:themeColor="text1"/>
            <w:u w:val="none"/>
            <w:shd w:val="clear" w:color="auto" w:fill="FFFFFF"/>
          </w:rPr>
          <w:lastRenderedPageBreak/>
          <w:t>.2139/ssrn.3516397</w:t>
        </w:r>
      </w:hyperlink>
      <w:r w:rsidRPr="008875A8">
        <w:rPr>
          <w:rFonts w:ascii="Baskerville" w:hAnsi="Baskerville" w:cs="Arial"/>
          <w:b/>
          <w:bCs/>
          <w:color w:val="000000" w:themeColor="text1"/>
        </w:rPr>
        <w:t xml:space="preserve"> (</w:t>
      </w:r>
      <w:r w:rsidRPr="008875A8">
        <w:rPr>
          <w:rFonts w:ascii="Baskerville" w:hAnsi="Baskerville"/>
          <w:color w:val="000000" w:themeColor="text1"/>
        </w:rPr>
        <w:t xml:space="preserve">criticizing studies “that purport to confirm the depressing effects of noncompetes on the cultivation of human capital” on the ground that they “fail to adequately account for the large menu of employee incentive mechanisms used in the actual market;” noting, </w:t>
      </w:r>
      <w:r w:rsidRPr="008875A8">
        <w:rPr>
          <w:rFonts w:ascii="Baskerville" w:hAnsi="Baskerville"/>
          <w:i/>
          <w:iCs/>
          <w:color w:val="000000" w:themeColor="text1"/>
        </w:rPr>
        <w:t>id.</w:t>
      </w:r>
      <w:r w:rsidRPr="008875A8">
        <w:rPr>
          <w:rFonts w:ascii="Baskerville" w:hAnsi="Baskerville"/>
          <w:color w:val="000000" w:themeColor="text1"/>
        </w:rPr>
        <w:t xml:space="preserve"> at 1112, that “It appears that Stuart and Sorenson [in Toby Stuart &amp; Olav Sorenson, </w:t>
      </w:r>
      <w:r w:rsidRPr="008875A8">
        <w:rPr>
          <w:rFonts w:ascii="Baskerville" w:hAnsi="Baskerville"/>
          <w:i/>
          <w:iCs/>
          <w:color w:val="000000" w:themeColor="text1"/>
        </w:rPr>
        <w:t>Liquidity Events and the Geographic Distribution of Entrepreneurial Activity,</w:t>
      </w:r>
      <w:r w:rsidRPr="008875A8">
        <w:rPr>
          <w:rFonts w:ascii="Baskerville" w:hAnsi="Baskerville"/>
          <w:color w:val="000000" w:themeColor="text1"/>
        </w:rPr>
        <w:t xml:space="preserve"> 48 </w:t>
      </w:r>
      <w:r w:rsidRPr="008875A8">
        <w:rPr>
          <w:rFonts w:ascii="Baskerville" w:hAnsi="Baskerville"/>
          <w:smallCaps/>
          <w:color w:val="000000" w:themeColor="text1"/>
        </w:rPr>
        <w:t>Admin. Sci. Q.</w:t>
      </w:r>
      <w:r w:rsidRPr="008875A8">
        <w:rPr>
          <w:rFonts w:ascii="Baskerville" w:hAnsi="Baskerville"/>
          <w:color w:val="000000" w:themeColor="text1"/>
        </w:rPr>
        <w:t xml:space="preserve"> 175, 190 (2003),] primarily examined the language of specific state statutes as reproduced in the 1996 edition of the Malsberger treatise on state enforcement of covenants not to compete,</w:t>
      </w:r>
      <w:r w:rsidRPr="008875A8">
        <w:rPr>
          <w:rFonts w:ascii="Baskerville" w:hAnsi="Baskerville"/>
          <w:color w:val="000000" w:themeColor="text1"/>
          <w:position w:val="6"/>
        </w:rPr>
        <w:t xml:space="preserve"> </w:t>
      </w:r>
      <w:r w:rsidRPr="008875A8">
        <w:rPr>
          <w:rFonts w:ascii="Baskerville" w:hAnsi="Baskerville"/>
          <w:color w:val="000000" w:themeColor="text1"/>
        </w:rPr>
        <w:t xml:space="preserve">without carefully reviewing the descriptions of actual case law in the same treatise. Critically, any state’s effective noncompete regime cannot be accurately described without taking into account both applicable statutes and judicial interpretation of those statutes.” (Footnote omitted)). </w:t>
      </w:r>
    </w:p>
    <w:p w14:paraId="6A3A5A04" w14:textId="77777777" w:rsidR="005670EC" w:rsidRPr="008875A8" w:rsidRDefault="005670EC" w:rsidP="005670EC">
      <w:pPr>
        <w:ind w:left="475"/>
        <w:rPr>
          <w:rStyle w:val="hlfld-contribauthor"/>
          <w:rFonts w:ascii="Baskerville" w:hAnsi="Baskerville"/>
          <w:color w:val="000000" w:themeColor="text1"/>
          <w:shd w:val="clear" w:color="auto" w:fill="FFFFFF"/>
        </w:rPr>
      </w:pPr>
    </w:p>
    <w:p w14:paraId="5B9C41C3" w14:textId="10B9F0D6" w:rsidR="005670EC" w:rsidRPr="008875A8" w:rsidRDefault="005670EC" w:rsidP="005670EC">
      <w:pPr>
        <w:ind w:left="475"/>
        <w:rPr>
          <w:rFonts w:ascii="Baskerville" w:hAnsi="Baskerville"/>
          <w:color w:val="000000" w:themeColor="text1"/>
        </w:rPr>
      </w:pPr>
      <w:r w:rsidRPr="008875A8">
        <w:rPr>
          <w:rStyle w:val="hlfld-contribauthor"/>
          <w:rFonts w:ascii="Baskerville" w:hAnsi="Baskerville"/>
          <w:color w:val="000000" w:themeColor="text1"/>
          <w:shd w:val="clear" w:color="auto" w:fill="FFFFFF"/>
        </w:rPr>
        <w:t>Laurel J. Fish, Dennis Halcoussis, G. Michael Phillips, </w:t>
      </w:r>
      <w:r w:rsidRPr="008875A8">
        <w:rPr>
          <w:rFonts w:ascii="Baskerville" w:hAnsi="Baskerville"/>
          <w:i/>
          <w:iCs/>
          <w:color w:val="000000" w:themeColor="text1"/>
          <w:shd w:val="clear" w:color="auto" w:fill="FFFFFF"/>
        </w:rPr>
        <w:t>Price-Parity Adjustments Shouldn’t Be a Trade Secret: State-Level Price Parity and Assessment of Covenants Not to Compete Enforceability</w:t>
      </w:r>
      <w:r w:rsidRPr="008875A8">
        <w:rPr>
          <w:rFonts w:ascii="Baskerville" w:hAnsi="Baskerville"/>
          <w:color w:val="000000" w:themeColor="text1"/>
          <w:shd w:val="clear" w:color="auto" w:fill="FFFFFF"/>
        </w:rPr>
        <w:t xml:space="preserve">, 39 </w:t>
      </w:r>
      <w:r w:rsidRPr="008875A8">
        <w:rPr>
          <w:rStyle w:val="seriestitle"/>
          <w:rFonts w:ascii="Baskerville" w:hAnsi="Baskerville"/>
          <w:smallCaps/>
          <w:color w:val="000000" w:themeColor="text1"/>
          <w:shd w:val="clear" w:color="auto" w:fill="FFFFFF"/>
        </w:rPr>
        <w:t>Contemp. Econ. Pol’y</w:t>
      </w:r>
      <w:r w:rsidRPr="008875A8">
        <w:rPr>
          <w:rStyle w:val="seriestitle"/>
          <w:rFonts w:ascii="Baskerville" w:hAnsi="Baskerville"/>
          <w:color w:val="000000" w:themeColor="text1"/>
          <w:shd w:val="clear" w:color="auto" w:fill="FFFFFF"/>
        </w:rPr>
        <w:t xml:space="preserve"> </w:t>
      </w:r>
      <w:r w:rsidR="003355A1">
        <w:rPr>
          <w:rStyle w:val="seriestitle"/>
          <w:rFonts w:ascii="Baskerville" w:hAnsi="Baskerville"/>
          <w:color w:val="000000" w:themeColor="text1"/>
          <w:shd w:val="clear" w:color="auto" w:fill="FFFFFF"/>
        </w:rPr>
        <w:t xml:space="preserve">220 </w:t>
      </w:r>
      <w:r w:rsidRPr="008875A8">
        <w:rPr>
          <w:rStyle w:val="seriestitle"/>
          <w:rFonts w:ascii="Baskerville" w:hAnsi="Baskerville"/>
          <w:color w:val="000000" w:themeColor="text1"/>
          <w:shd w:val="clear" w:color="auto" w:fill="FFFFFF"/>
        </w:rPr>
        <w:t>(</w:t>
      </w:r>
      <w:r w:rsidRPr="008875A8">
        <w:rPr>
          <w:rStyle w:val="pub-date"/>
          <w:rFonts w:ascii="Baskerville" w:hAnsi="Baskerville"/>
          <w:color w:val="000000" w:themeColor="text1"/>
          <w:shd w:val="clear" w:color="auto" w:fill="FFFFFF"/>
        </w:rPr>
        <w:t>2020).</w:t>
      </w:r>
    </w:p>
    <w:p w14:paraId="1493CEC7" w14:textId="77777777" w:rsidR="005670EC" w:rsidRPr="008875A8" w:rsidRDefault="005670EC" w:rsidP="005670EC">
      <w:pPr>
        <w:shd w:val="clear" w:color="auto" w:fill="FFFFFF"/>
        <w:ind w:left="475"/>
        <w:rPr>
          <w:rFonts w:ascii="Baskerville" w:hAnsi="Baskerville"/>
          <w:color w:val="000000" w:themeColor="text1"/>
        </w:rPr>
      </w:pPr>
    </w:p>
    <w:p w14:paraId="05706237" w14:textId="77777777" w:rsidR="005670EC" w:rsidRPr="008875A8" w:rsidRDefault="005670EC" w:rsidP="005670EC">
      <w:pPr>
        <w:pStyle w:val="NormalWeb"/>
        <w:spacing w:before="0" w:beforeAutospacing="0" w:after="0" w:afterAutospacing="0"/>
        <w:ind w:left="475"/>
        <w:textAlignment w:val="baseline"/>
        <w:rPr>
          <w:rFonts w:ascii="Baskerville" w:hAnsi="Baskerville"/>
          <w:color w:val="000000" w:themeColor="text1"/>
        </w:rPr>
      </w:pPr>
      <w:r w:rsidRPr="008875A8">
        <w:rPr>
          <w:rFonts w:ascii="Baskerville" w:hAnsi="Baskerville" w:cs="Calibri"/>
          <w:color w:val="000000" w:themeColor="text1"/>
          <w:kern w:val="36"/>
        </w:rPr>
        <w:t xml:space="preserve">Harrison Frye, </w:t>
      </w:r>
      <w:r w:rsidRPr="008875A8">
        <w:rPr>
          <w:rFonts w:ascii="Baskerville" w:hAnsi="Baskerville" w:cs="Calibri"/>
          <w:i/>
          <w:iCs/>
          <w:color w:val="000000" w:themeColor="text1"/>
          <w:kern w:val="36"/>
        </w:rPr>
        <w:t>T</w:t>
      </w:r>
      <w:r w:rsidRPr="008875A8">
        <w:rPr>
          <w:rFonts w:ascii="Baskerville" w:hAnsi="Baskerville"/>
          <w:i/>
          <w:iCs/>
          <w:color w:val="000000" w:themeColor="text1"/>
          <w:kern w:val="36"/>
        </w:rPr>
        <w:t>he Ethics of Noncompete Clauses</w:t>
      </w:r>
      <w:r w:rsidRPr="008875A8">
        <w:rPr>
          <w:rFonts w:ascii="Baskerville" w:hAnsi="Baskerville"/>
          <w:color w:val="000000" w:themeColor="text1"/>
          <w:kern w:val="36"/>
        </w:rPr>
        <w:t xml:space="preserve">, 30 </w:t>
      </w:r>
      <w:r w:rsidRPr="008875A8">
        <w:rPr>
          <w:rFonts w:ascii="Baskerville" w:hAnsi="Baskerville" w:cs="Calibri"/>
          <w:smallCaps/>
          <w:color w:val="000000" w:themeColor="text1"/>
          <w:kern w:val="36"/>
        </w:rPr>
        <w:t>Bus. Ethics</w:t>
      </w:r>
      <w:r w:rsidRPr="008875A8">
        <w:rPr>
          <w:rFonts w:ascii="Baskerville" w:hAnsi="Baskerville" w:cs="Calibri"/>
          <w:color w:val="000000" w:themeColor="text1"/>
          <w:kern w:val="36"/>
        </w:rPr>
        <w:t xml:space="preserve"> Q. 229 (Cambridge University Press, Apr. 2020) (taking the position that the argument that covenant not to compete should be banned as </w:t>
      </w:r>
      <w:r w:rsidRPr="008875A8">
        <w:rPr>
          <w:rFonts w:ascii="Baskerville" w:hAnsi="Baskerville"/>
          <w:color w:val="000000" w:themeColor="text1"/>
        </w:rPr>
        <w:t xml:space="preserve">unfairly limiting employees’ options “fails because it neglects the economist Thomas Schelling’s insight that limiting exit options can be beneficial for a person”). </w:t>
      </w:r>
    </w:p>
    <w:p w14:paraId="43749B1E" w14:textId="77777777" w:rsidR="005670EC" w:rsidRPr="008875A8" w:rsidRDefault="005670EC" w:rsidP="005670EC">
      <w:pPr>
        <w:ind w:left="475"/>
        <w:textAlignment w:val="baseline"/>
        <w:rPr>
          <w:rFonts w:ascii="Baskerville" w:hAnsi="Baskerville" w:cs="Helvetica"/>
          <w:color w:val="000000" w:themeColor="text1"/>
          <w:spacing w:val="-10"/>
          <w:kern w:val="36"/>
        </w:rPr>
      </w:pPr>
    </w:p>
    <w:p w14:paraId="6B6F9E25" w14:textId="77777777" w:rsidR="005670EC" w:rsidRPr="008875A8" w:rsidRDefault="005670EC" w:rsidP="005670EC">
      <w:pPr>
        <w:ind w:left="475"/>
        <w:textAlignment w:val="baseline"/>
        <w:rPr>
          <w:rFonts w:ascii="Baskerville" w:hAnsi="Baskerville" w:cs="Helvetica"/>
          <w:color w:val="000000" w:themeColor="text1"/>
          <w:spacing w:val="-10"/>
          <w:kern w:val="36"/>
        </w:rPr>
      </w:pPr>
      <w:r w:rsidRPr="008875A8">
        <w:rPr>
          <w:rFonts w:ascii="Baskerville" w:hAnsi="Baskerville" w:cs="Helvetica"/>
          <w:color w:val="000000" w:themeColor="text1"/>
          <w:spacing w:val="-10"/>
          <w:kern w:val="36"/>
        </w:rPr>
        <w:t xml:space="preserve">Michael Lipsitz &amp; Evan Starr, </w:t>
      </w:r>
      <w:r w:rsidRPr="008875A8">
        <w:rPr>
          <w:rFonts w:ascii="Baskerville" w:hAnsi="Baskerville" w:cs="Helvetica"/>
          <w:i/>
          <w:iCs/>
          <w:color w:val="000000" w:themeColor="text1"/>
          <w:spacing w:val="-10"/>
          <w:kern w:val="36"/>
        </w:rPr>
        <w:t>Low-Wage Workers and the Enforceability of Noncompete Agreement</w:t>
      </w:r>
      <w:r w:rsidRPr="008875A8">
        <w:rPr>
          <w:rFonts w:ascii="Baskerville" w:hAnsi="Baskerville" w:cs="Helvetica"/>
          <w:color w:val="000000" w:themeColor="text1"/>
          <w:spacing w:val="-10"/>
          <w:kern w:val="36"/>
        </w:rPr>
        <w:t>s (Apr. 20, 2020), https://ssrn.com/abstract=3452240 (revised Apr. 21, 2020).</w:t>
      </w:r>
    </w:p>
    <w:p w14:paraId="3412DFE3" w14:textId="77777777" w:rsidR="005670EC" w:rsidRPr="008875A8" w:rsidRDefault="005670EC" w:rsidP="005670EC">
      <w:pPr>
        <w:shd w:val="clear" w:color="auto" w:fill="FFFFFF"/>
        <w:ind w:left="475"/>
        <w:rPr>
          <w:rFonts w:ascii="Baskerville" w:hAnsi="Baskerville" w:cs="Arial"/>
          <w:b/>
          <w:bCs/>
          <w:color w:val="000000" w:themeColor="text1"/>
        </w:rPr>
      </w:pPr>
    </w:p>
    <w:p w14:paraId="5323D76A" w14:textId="342CD947" w:rsidR="005670EC" w:rsidRPr="008875A8" w:rsidRDefault="005670EC" w:rsidP="005670EC">
      <w:pPr>
        <w:shd w:val="clear" w:color="auto" w:fill="FFFFFF"/>
        <w:ind w:left="475"/>
        <w:rPr>
          <w:rFonts w:ascii="Baskerville" w:hAnsi="Baskerville"/>
          <w:color w:val="000000" w:themeColor="text1"/>
        </w:rPr>
      </w:pPr>
      <w:r w:rsidRPr="008875A8">
        <w:rPr>
          <w:rFonts w:ascii="Baskerville" w:hAnsi="Baskerville"/>
          <w:color w:val="000000" w:themeColor="text1"/>
        </w:rPr>
        <w:t xml:space="preserve">Sachin S. Pandya, </w:t>
      </w:r>
      <w:r w:rsidRPr="008875A8">
        <w:rPr>
          <w:rFonts w:ascii="Baskerville" w:hAnsi="Baskerville"/>
          <w:i/>
          <w:iCs/>
          <w:color w:val="000000" w:themeColor="text1"/>
        </w:rPr>
        <w:t>Employer Rights Against Worker Involuntary Servitude</w:t>
      </w:r>
      <w:r w:rsidRPr="008875A8">
        <w:rPr>
          <w:rFonts w:ascii="Baskerville" w:hAnsi="Baskerville"/>
          <w:color w:val="000000" w:themeColor="text1"/>
        </w:rPr>
        <w:t xml:space="preserve">, 41 </w:t>
      </w:r>
      <w:r w:rsidRPr="008875A8">
        <w:rPr>
          <w:rFonts w:ascii="Baskerville" w:hAnsi="Baskerville"/>
          <w:smallCaps/>
          <w:color w:val="000000" w:themeColor="text1"/>
        </w:rPr>
        <w:t xml:space="preserve">Berkeley J. Emp’t &amp; Lab. L. </w:t>
      </w:r>
      <w:r w:rsidRPr="008875A8">
        <w:rPr>
          <w:rFonts w:ascii="Baskerville" w:hAnsi="Baskerville"/>
          <w:color w:val="000000" w:themeColor="text1"/>
        </w:rPr>
        <w:t xml:space="preserve">390 (2020) (for guidance on how state law varies in the enforcement of covenants not to compete, citing, </w:t>
      </w:r>
      <w:r w:rsidRPr="008875A8">
        <w:rPr>
          <w:rFonts w:ascii="Baskerville" w:hAnsi="Baskerville"/>
          <w:i/>
          <w:iCs/>
          <w:color w:val="000000" w:themeColor="text1"/>
        </w:rPr>
        <w:t>id.</w:t>
      </w:r>
      <w:r w:rsidRPr="008875A8">
        <w:rPr>
          <w:rFonts w:ascii="Baskerville" w:hAnsi="Baskerville"/>
          <w:color w:val="000000" w:themeColor="text1"/>
        </w:rPr>
        <w:t xml:space="preserve"> at 4</w:t>
      </w:r>
      <w:r w:rsidR="003355A1">
        <w:rPr>
          <w:rFonts w:ascii="Baskerville" w:hAnsi="Baskerville"/>
          <w:color w:val="000000" w:themeColor="text1"/>
        </w:rPr>
        <w:t>04</w:t>
      </w:r>
      <w:r w:rsidRPr="008875A8">
        <w:rPr>
          <w:rFonts w:ascii="Baskerville" w:hAnsi="Baskerville"/>
          <w:color w:val="000000" w:themeColor="text1"/>
        </w:rPr>
        <w:t xml:space="preserve"> n.91, </w:t>
      </w:r>
      <w:r w:rsidRPr="008875A8">
        <w:rPr>
          <w:rFonts w:ascii="Baskerville" w:hAnsi="Baskerville"/>
          <w:smallCaps/>
          <w:color w:val="000000" w:themeColor="text1"/>
        </w:rPr>
        <w:t>Brian M. Malsberger, Covenants Not to Compete: A State-by-</w:t>
      </w:r>
      <w:r w:rsidRPr="008875A8">
        <w:rPr>
          <w:rFonts w:ascii="Baskerville" w:hAnsi="Baskerville"/>
          <w:smallCaps/>
          <w:color w:val="000000" w:themeColor="text1"/>
        </w:rPr>
        <w:lastRenderedPageBreak/>
        <w:t>State Survey</w:t>
      </w:r>
      <w:r w:rsidRPr="008875A8">
        <w:rPr>
          <w:rFonts w:ascii="Baskerville" w:hAnsi="Baskerville"/>
          <w:color w:val="000000" w:themeColor="text1"/>
        </w:rPr>
        <w:t xml:space="preserve"> (12th ed. 2018) (since updated and replaced by the instant </w:t>
      </w:r>
      <w:r w:rsidRPr="008875A8">
        <w:rPr>
          <w:rFonts w:ascii="Baskerville" w:hAnsi="Baskerville"/>
          <w:smallCaps/>
          <w:color w:val="000000" w:themeColor="text1"/>
        </w:rPr>
        <w:t>Brian M. Malsberger, Covenants Not to Compete: A State-by-State Survey</w:t>
      </w:r>
      <w:r w:rsidRPr="008875A8">
        <w:rPr>
          <w:rFonts w:ascii="Baskerville" w:hAnsi="Baskerville"/>
          <w:color w:val="000000" w:themeColor="text1"/>
        </w:rPr>
        <w:t xml:space="preserve"> (Bloomberg Law, </w:t>
      </w:r>
      <w:r w:rsidR="004A3D31">
        <w:rPr>
          <w:rFonts w:ascii="Baskerville" w:hAnsi="Baskerville"/>
          <w:color w:val="000000" w:themeColor="text1"/>
        </w:rPr>
        <w:t>2023</w:t>
      </w:r>
      <w:r w:rsidRPr="008875A8">
        <w:rPr>
          <w:rFonts w:ascii="Baskerville" w:hAnsi="Baskerville"/>
          <w:color w:val="000000" w:themeColor="text1"/>
        </w:rPr>
        <w:t xml:space="preserve"> ed.) </w:t>
      </w:r>
      <w:r w:rsidR="003207CE">
        <w:rPr>
          <w:rFonts w:ascii="Baskerville" w:hAnsi="Baskerville"/>
          <w:color w:val="000000" w:themeColor="text1"/>
        </w:rPr>
        <w:t>(ebook)</w:t>
      </w:r>
      <w:r w:rsidRPr="008875A8">
        <w:rPr>
          <w:rFonts w:ascii="Baskerville" w:hAnsi="Baskerville"/>
          <w:color w:val="000000" w:themeColor="text1"/>
        </w:rPr>
        <w:t xml:space="preserve">); for the principle that “most states recognize tort liability for intentional interference with an employment contract,” citing, </w:t>
      </w:r>
      <w:r w:rsidRPr="008875A8">
        <w:rPr>
          <w:rFonts w:ascii="Baskerville" w:hAnsi="Baskerville"/>
          <w:i/>
          <w:iCs/>
          <w:color w:val="000000" w:themeColor="text1"/>
        </w:rPr>
        <w:t>id</w:t>
      </w:r>
      <w:r w:rsidRPr="008875A8">
        <w:rPr>
          <w:rFonts w:ascii="Baskerville" w:hAnsi="Baskerville"/>
          <w:color w:val="000000" w:themeColor="text1"/>
        </w:rPr>
        <w:t>. at 4</w:t>
      </w:r>
      <w:r w:rsidR="003355A1">
        <w:rPr>
          <w:rFonts w:ascii="Baskerville" w:hAnsi="Baskerville"/>
          <w:color w:val="000000" w:themeColor="text1"/>
        </w:rPr>
        <w:t xml:space="preserve">07 </w:t>
      </w:r>
      <w:r w:rsidRPr="008875A8">
        <w:rPr>
          <w:rFonts w:ascii="Baskerville" w:hAnsi="Baskerville"/>
          <w:color w:val="000000" w:themeColor="text1"/>
        </w:rPr>
        <w:t xml:space="preserve">n.104, </w:t>
      </w:r>
      <w:r w:rsidRPr="008875A8">
        <w:rPr>
          <w:rFonts w:ascii="Baskerville" w:hAnsi="Baskerville"/>
          <w:smallCaps/>
          <w:color w:val="000000" w:themeColor="text1"/>
        </w:rPr>
        <w:t>Brian M. Malsberger, Tortious Interference in the Employment Context: A State-by-State Survey</w:t>
      </w:r>
      <w:r w:rsidRPr="008875A8">
        <w:rPr>
          <w:rFonts w:ascii="Baskerville" w:hAnsi="Baskerville"/>
          <w:color w:val="000000" w:themeColor="text1"/>
        </w:rPr>
        <w:t xml:space="preserve"> (6th ed. 2019) (print) (since updated and replaced by </w:t>
      </w:r>
      <w:r w:rsidRPr="008875A8">
        <w:rPr>
          <w:rFonts w:ascii="Baskerville" w:hAnsi="Baskerville"/>
          <w:smallCaps/>
          <w:color w:val="000000" w:themeColor="text1"/>
        </w:rPr>
        <w:t>Brian M. Malsberger, Tortious Interference in the Employment Context: A State-by-State Survey</w:t>
      </w:r>
      <w:r w:rsidRPr="008875A8">
        <w:rPr>
          <w:rFonts w:ascii="Baskerville" w:hAnsi="Baskerville"/>
          <w:color w:val="000000" w:themeColor="text1"/>
        </w:rPr>
        <w:t xml:space="preserve"> (Arlington, Va.: Bloomberg Law, </w:t>
      </w:r>
      <w:r w:rsidR="004A3D31">
        <w:rPr>
          <w:rFonts w:ascii="Baskerville" w:hAnsi="Baskerville"/>
          <w:color w:val="000000" w:themeColor="text1"/>
        </w:rPr>
        <w:t>2023</w:t>
      </w:r>
      <w:r w:rsidRPr="008875A8">
        <w:rPr>
          <w:rFonts w:ascii="Baskerville" w:hAnsi="Baskerville"/>
          <w:color w:val="000000" w:themeColor="text1"/>
        </w:rPr>
        <w:t xml:space="preserve"> ed.) </w:t>
      </w:r>
      <w:r w:rsidR="003207CE">
        <w:rPr>
          <w:rFonts w:ascii="Baskerville" w:hAnsi="Baskerville"/>
          <w:color w:val="000000" w:themeColor="text1"/>
        </w:rPr>
        <w:t>(ebook)</w:t>
      </w:r>
      <w:r w:rsidRPr="008875A8">
        <w:rPr>
          <w:rFonts w:ascii="Baskerville" w:hAnsi="Baskerville"/>
          <w:color w:val="000000" w:themeColor="text1"/>
        </w:rPr>
        <w:t>).</w:t>
      </w:r>
    </w:p>
    <w:p w14:paraId="210BD015" w14:textId="77777777" w:rsidR="005670EC" w:rsidRPr="008875A8" w:rsidRDefault="005670EC" w:rsidP="005670EC">
      <w:pPr>
        <w:shd w:val="clear" w:color="auto" w:fill="FFFFFF"/>
        <w:ind w:left="475"/>
        <w:rPr>
          <w:rFonts w:ascii="Baskerville" w:hAnsi="Baskerville"/>
          <w:color w:val="000000" w:themeColor="text1"/>
        </w:rPr>
      </w:pPr>
    </w:p>
    <w:p w14:paraId="5D3A6F8C" w14:textId="77777777" w:rsidR="005670EC" w:rsidRPr="008875A8" w:rsidRDefault="005670EC" w:rsidP="005670EC">
      <w:pPr>
        <w:ind w:left="475"/>
        <w:rPr>
          <w:rFonts w:ascii="Baskerville" w:hAnsi="Baskerville"/>
          <w:color w:val="000000" w:themeColor="text1"/>
        </w:rPr>
      </w:pPr>
      <w:r w:rsidRPr="008875A8">
        <w:rPr>
          <w:rFonts w:ascii="Baskerville" w:hAnsi="Baskerville"/>
          <w:color w:val="000000" w:themeColor="text1"/>
        </w:rPr>
        <w:t xml:space="preserve">Eric A. Posner, </w:t>
      </w:r>
      <w:r w:rsidRPr="008875A8">
        <w:rPr>
          <w:rFonts w:ascii="Baskerville" w:hAnsi="Baskerville"/>
          <w:i/>
          <w:iCs/>
          <w:color w:val="000000" w:themeColor="text1"/>
        </w:rPr>
        <w:t>The Antitrust Challenge to Covenants Not to Compete in Employment Contracts</w:t>
      </w:r>
      <w:r w:rsidRPr="008875A8">
        <w:rPr>
          <w:rFonts w:ascii="Baskerville" w:hAnsi="Baskerville"/>
          <w:color w:val="000000" w:themeColor="text1"/>
        </w:rPr>
        <w:t xml:space="preserve">, 83 </w:t>
      </w:r>
      <w:r w:rsidRPr="008875A8">
        <w:rPr>
          <w:rFonts w:ascii="Baskerville" w:hAnsi="Baskerville"/>
          <w:smallCaps/>
          <w:color w:val="000000" w:themeColor="text1"/>
        </w:rPr>
        <w:t>Antitrust L.J.</w:t>
      </w:r>
      <w:r w:rsidRPr="008875A8">
        <w:rPr>
          <w:rFonts w:ascii="Baskerville" w:hAnsi="Baskerville"/>
          <w:color w:val="000000" w:themeColor="text1"/>
        </w:rPr>
        <w:t xml:space="preserve"> 165 (2020).</w:t>
      </w:r>
    </w:p>
    <w:p w14:paraId="25D6375C" w14:textId="77777777" w:rsidR="005670EC" w:rsidRPr="008875A8" w:rsidRDefault="005670EC" w:rsidP="005670EC">
      <w:pPr>
        <w:ind w:left="475"/>
        <w:rPr>
          <w:rFonts w:ascii="Baskerville" w:hAnsi="Baskerville"/>
          <w:color w:val="000000" w:themeColor="text1"/>
        </w:rPr>
      </w:pPr>
    </w:p>
    <w:p w14:paraId="261694AC" w14:textId="77777777" w:rsidR="005670EC" w:rsidRPr="008875A8" w:rsidRDefault="005670EC" w:rsidP="005670EC">
      <w:pPr>
        <w:ind w:left="475"/>
        <w:rPr>
          <w:rFonts w:ascii="Baskerville" w:hAnsi="Baskerville"/>
          <w:color w:val="000000" w:themeColor="text1"/>
        </w:rPr>
      </w:pPr>
      <w:r w:rsidRPr="008875A8">
        <w:rPr>
          <w:rFonts w:ascii="Baskerville" w:hAnsi="Baskerville"/>
          <w:color w:val="000000" w:themeColor="text1"/>
        </w:rPr>
        <w:t xml:space="preserve">Eric A. Posner, </w:t>
      </w:r>
      <w:r w:rsidRPr="008875A8">
        <w:rPr>
          <w:rFonts w:ascii="Baskerville" w:hAnsi="Baskerville"/>
          <w:i/>
          <w:iCs/>
          <w:color w:val="000000" w:themeColor="text1"/>
        </w:rPr>
        <w:t>The Anticompetitive Effects of Covenants Not to Compete</w:t>
      </w:r>
      <w:r w:rsidRPr="008875A8">
        <w:rPr>
          <w:rFonts w:ascii="Baskerville" w:hAnsi="Baskerville"/>
          <w:color w:val="000000" w:themeColor="text1"/>
        </w:rPr>
        <w:t xml:space="preserve">, </w:t>
      </w:r>
      <w:r w:rsidRPr="008875A8">
        <w:rPr>
          <w:rFonts w:ascii="Baskerville" w:hAnsi="Baskerville"/>
          <w:smallCaps/>
          <w:color w:val="000000" w:themeColor="text1"/>
        </w:rPr>
        <w:t>Comp. Pol’y Int’l</w:t>
      </w:r>
      <w:r w:rsidRPr="008875A8">
        <w:rPr>
          <w:rFonts w:ascii="Baskerville" w:hAnsi="Baskerville"/>
          <w:color w:val="000000" w:themeColor="text1"/>
        </w:rPr>
        <w:t xml:space="preserve"> (Jan. 23, 2020), www.competitionpolicyinternational.com/the-anticompetitive-effects-of-covenants-not-to-compete/. </w:t>
      </w:r>
    </w:p>
    <w:p w14:paraId="4B525291" w14:textId="77777777" w:rsidR="005670EC" w:rsidRPr="008875A8" w:rsidRDefault="005670EC" w:rsidP="005670EC">
      <w:pPr>
        <w:ind w:left="475"/>
        <w:rPr>
          <w:rFonts w:ascii="Baskerville" w:hAnsi="Baskerville"/>
          <w:color w:val="000000" w:themeColor="text1"/>
        </w:rPr>
      </w:pPr>
    </w:p>
    <w:p w14:paraId="3036547A" w14:textId="77777777" w:rsidR="005670EC" w:rsidRPr="008875A8" w:rsidRDefault="005670EC" w:rsidP="005670EC">
      <w:pPr>
        <w:ind w:left="475"/>
        <w:textAlignment w:val="baseline"/>
        <w:rPr>
          <w:rFonts w:ascii="Baskerville" w:hAnsi="Baskerville" w:cs="Helvetica"/>
          <w:color w:val="000000" w:themeColor="text1"/>
          <w:spacing w:val="-10"/>
          <w:kern w:val="36"/>
        </w:rPr>
      </w:pPr>
      <w:r w:rsidRPr="008875A8">
        <w:rPr>
          <w:rFonts w:ascii="Baskerville" w:hAnsi="Baskerville" w:cs="Helvetica"/>
          <w:color w:val="000000" w:themeColor="text1"/>
          <w:spacing w:val="-10"/>
          <w:kern w:val="36"/>
        </w:rPr>
        <w:t xml:space="preserve">Evan Starr, J.J. Prescott, &amp; Norman Bishara, </w:t>
      </w:r>
      <w:r w:rsidRPr="008875A8">
        <w:rPr>
          <w:rFonts w:ascii="Baskerville" w:hAnsi="Baskerville" w:cs="Helvetica"/>
          <w:i/>
          <w:iCs/>
          <w:color w:val="000000" w:themeColor="text1"/>
          <w:spacing w:val="-10"/>
          <w:kern w:val="36"/>
        </w:rPr>
        <w:t xml:space="preserve">Noncompetes in the U.S. Labor Force </w:t>
      </w:r>
      <w:r w:rsidRPr="008875A8">
        <w:rPr>
          <w:rFonts w:ascii="Baskerville" w:hAnsi="Baskerville" w:cs="Helvetica"/>
          <w:color w:val="000000" w:themeColor="text1"/>
          <w:spacing w:val="-10"/>
          <w:kern w:val="36"/>
        </w:rPr>
        <w:t>(May 7, 2020), Univ. of Michigan Law &amp; Econ. Research Paper No. 18-013</w:t>
      </w:r>
      <w:r w:rsidRPr="00891AF9">
        <w:rPr>
          <w:rFonts w:ascii="Baskerville" w:hAnsi="Baskerville" w:cs="Helvetica"/>
          <w:color w:val="000000" w:themeColor="text1"/>
          <w:spacing w:val="-10"/>
          <w:kern w:val="36"/>
        </w:rPr>
        <w:t xml:space="preserve">, </w:t>
      </w:r>
      <w:hyperlink r:id="rId35" w:history="1">
        <w:r w:rsidRPr="00891AF9">
          <w:rPr>
            <w:rStyle w:val="Hyperlink"/>
            <w:rFonts w:ascii="Baskerville" w:hAnsi="Baskerville" w:cs="Helvetica"/>
            <w:color w:val="000000" w:themeColor="text1"/>
            <w:spacing w:val="-10"/>
            <w:kern w:val="36"/>
            <w:u w:val="none"/>
          </w:rPr>
          <w:t>https://ssrn.com/abstract=2625714</w:t>
        </w:r>
      </w:hyperlink>
      <w:r w:rsidRPr="008875A8">
        <w:rPr>
          <w:rFonts w:ascii="Baskerville" w:hAnsi="Baskerville" w:cs="Helvetica"/>
          <w:color w:val="000000" w:themeColor="text1"/>
          <w:spacing w:val="-10"/>
          <w:kern w:val="36"/>
        </w:rPr>
        <w:t xml:space="preserve"> (revised May 18, 2020).</w:t>
      </w:r>
    </w:p>
    <w:p w14:paraId="2F5390F5" w14:textId="77777777" w:rsidR="005670EC" w:rsidRPr="008875A8" w:rsidRDefault="005670EC" w:rsidP="005670EC">
      <w:pPr>
        <w:shd w:val="clear" w:color="auto" w:fill="FFFFFF"/>
        <w:ind w:left="475"/>
        <w:rPr>
          <w:rFonts w:ascii="Baskerville" w:hAnsi="Baskerville"/>
          <w:color w:val="000000" w:themeColor="text1"/>
        </w:rPr>
      </w:pPr>
    </w:p>
    <w:p w14:paraId="33ECC92B" w14:textId="4EE5AA9F" w:rsidR="005670EC" w:rsidRPr="008875A8" w:rsidRDefault="005670EC" w:rsidP="005670EC">
      <w:pPr>
        <w:shd w:val="clear" w:color="auto" w:fill="FFFFFF"/>
        <w:ind w:left="475"/>
        <w:rPr>
          <w:rFonts w:ascii="Baskerville" w:hAnsi="Baskerville"/>
          <w:color w:val="000000" w:themeColor="text1"/>
        </w:rPr>
      </w:pPr>
      <w:r w:rsidRPr="008875A8">
        <w:rPr>
          <w:rFonts w:ascii="Baskerville" w:hAnsi="Baskerville"/>
          <w:color w:val="000000" w:themeColor="text1"/>
        </w:rPr>
        <w:t xml:space="preserve">Toby Stuart &amp; Olav Sorenson, </w:t>
      </w:r>
      <w:r w:rsidRPr="008875A8">
        <w:rPr>
          <w:rFonts w:ascii="Baskerville" w:hAnsi="Baskerville"/>
          <w:i/>
          <w:iCs/>
          <w:color w:val="000000" w:themeColor="text1"/>
        </w:rPr>
        <w:t>Liquidity Events and the Geographic Distribution of Entrepreneurial Activity,</w:t>
      </w:r>
      <w:r w:rsidRPr="008875A8">
        <w:rPr>
          <w:rFonts w:ascii="Baskerville" w:hAnsi="Baskerville"/>
          <w:color w:val="000000" w:themeColor="text1"/>
        </w:rPr>
        <w:t xml:space="preserve"> 48 </w:t>
      </w:r>
      <w:r w:rsidRPr="008875A8">
        <w:rPr>
          <w:rFonts w:ascii="Baskerville" w:hAnsi="Baskerville"/>
          <w:smallCaps/>
          <w:color w:val="000000" w:themeColor="text1"/>
        </w:rPr>
        <w:t>Admin. Sci. Q.</w:t>
      </w:r>
      <w:r w:rsidRPr="008875A8">
        <w:rPr>
          <w:rFonts w:ascii="Baskerville" w:hAnsi="Baskerville"/>
          <w:color w:val="000000" w:themeColor="text1"/>
        </w:rPr>
        <w:t xml:space="preserve"> 175 (2003) (primarily examining, </w:t>
      </w:r>
      <w:r w:rsidRPr="008875A8">
        <w:rPr>
          <w:rFonts w:ascii="Baskerville" w:hAnsi="Baskerville"/>
          <w:i/>
          <w:iCs/>
          <w:color w:val="000000" w:themeColor="text1"/>
        </w:rPr>
        <w:t>id</w:t>
      </w:r>
      <w:r w:rsidRPr="008875A8">
        <w:rPr>
          <w:rFonts w:ascii="Baskerville" w:hAnsi="Baskerville"/>
          <w:color w:val="000000" w:themeColor="text1"/>
        </w:rPr>
        <w:t xml:space="preserve">. at 190, the language of specific state statutes reproduced in the 1996 edition of the </w:t>
      </w:r>
      <w:r w:rsidRPr="008875A8">
        <w:rPr>
          <w:rFonts w:ascii="Baskerville" w:hAnsi="Baskerville"/>
          <w:smallCaps/>
          <w:color w:val="000000" w:themeColor="text1"/>
        </w:rPr>
        <w:t>Brian M. Malsberger, Covenants Not to Compete</w:t>
      </w:r>
      <w:r w:rsidR="00AD628F">
        <w:rPr>
          <w:rFonts w:ascii="Baskerville" w:hAnsi="Baskerville"/>
          <w:smallCaps/>
          <w:color w:val="000000" w:themeColor="text1"/>
        </w:rPr>
        <w:t>:</w:t>
      </w:r>
      <w:r w:rsidRPr="008875A8">
        <w:rPr>
          <w:rFonts w:ascii="Baskerville" w:hAnsi="Baskerville"/>
          <w:smallCaps/>
          <w:color w:val="000000" w:themeColor="text1"/>
        </w:rPr>
        <w:t xml:space="preserve"> A State-by-State Survey</w:t>
      </w:r>
      <w:r w:rsidRPr="008875A8">
        <w:rPr>
          <w:rFonts w:ascii="Baskerville" w:hAnsi="Baskerville"/>
          <w:color w:val="000000" w:themeColor="text1"/>
        </w:rPr>
        <w:t>, since replaced by the instant</w:t>
      </w:r>
      <w:r w:rsidRPr="008875A8">
        <w:rPr>
          <w:rFonts w:ascii="Baskerville" w:hAnsi="Baskerville"/>
          <w:smallCaps/>
          <w:color w:val="000000" w:themeColor="text1"/>
        </w:rPr>
        <w:t xml:space="preserve"> Brian M. Malsberger, Covenants Not to Compete</w:t>
      </w:r>
      <w:r w:rsidR="00AD628F">
        <w:rPr>
          <w:rFonts w:ascii="Baskerville" w:hAnsi="Baskerville"/>
          <w:smallCaps/>
          <w:color w:val="000000" w:themeColor="text1"/>
        </w:rPr>
        <w:t>:</w:t>
      </w:r>
      <w:r w:rsidRPr="008875A8">
        <w:rPr>
          <w:rFonts w:ascii="Baskerville" w:hAnsi="Baskerville"/>
          <w:smallCaps/>
          <w:color w:val="000000" w:themeColor="text1"/>
        </w:rPr>
        <w:t xml:space="preserve"> A State-by-State Survey</w:t>
      </w:r>
      <w:r w:rsidRPr="008875A8">
        <w:rPr>
          <w:rFonts w:ascii="Baskerville" w:hAnsi="Baskerville"/>
          <w:color w:val="000000" w:themeColor="text1"/>
        </w:rPr>
        <w:t xml:space="preserve"> (Arlington, Va.: Bloomberg Law, </w:t>
      </w:r>
      <w:r w:rsidR="004A3D31">
        <w:rPr>
          <w:rFonts w:ascii="Baskerville" w:hAnsi="Baskerville"/>
          <w:color w:val="000000" w:themeColor="text1"/>
        </w:rPr>
        <w:t>2023</w:t>
      </w:r>
      <w:r w:rsidRPr="008875A8">
        <w:rPr>
          <w:rFonts w:ascii="Baskerville" w:hAnsi="Baskerville"/>
          <w:color w:val="000000" w:themeColor="text1"/>
        </w:rPr>
        <w:t xml:space="preserve"> ed.) </w:t>
      </w:r>
      <w:r w:rsidR="003207CE">
        <w:rPr>
          <w:rFonts w:ascii="Baskerville" w:hAnsi="Baskerville"/>
          <w:color w:val="000000" w:themeColor="text1"/>
        </w:rPr>
        <w:t>(ebook)</w:t>
      </w:r>
      <w:r w:rsidRPr="008875A8">
        <w:rPr>
          <w:rFonts w:ascii="Baskerville" w:hAnsi="Baskerville"/>
          <w:color w:val="000000" w:themeColor="text1"/>
        </w:rPr>
        <w:t xml:space="preserve">); cited in Jonathan Barnett &amp; Ted Sichelman, </w:t>
      </w:r>
      <w:r w:rsidRPr="008875A8">
        <w:rPr>
          <w:rFonts w:ascii="Baskerville" w:hAnsi="Baskerville"/>
          <w:i/>
          <w:iCs/>
          <w:color w:val="000000" w:themeColor="text1"/>
        </w:rPr>
        <w:t>The Case for Noncompetes</w:t>
      </w:r>
      <w:r w:rsidRPr="008875A8">
        <w:rPr>
          <w:rFonts w:ascii="Baskerville" w:hAnsi="Baskerville"/>
          <w:color w:val="000000" w:themeColor="text1"/>
        </w:rPr>
        <w:t xml:space="preserve">, 87 </w:t>
      </w:r>
      <w:r w:rsidRPr="008875A8">
        <w:rPr>
          <w:rFonts w:ascii="Baskerville" w:hAnsi="Baskerville"/>
          <w:smallCaps/>
          <w:color w:val="000000" w:themeColor="text1"/>
        </w:rPr>
        <w:t>Univ. Chi. L. Rev.</w:t>
      </w:r>
      <w:r w:rsidRPr="008875A8">
        <w:rPr>
          <w:rFonts w:ascii="Baskerville" w:hAnsi="Baskerville"/>
          <w:color w:val="000000" w:themeColor="text1"/>
        </w:rPr>
        <w:t xml:space="preserve"> 953, 1112 (Jan. 9, 2020)).</w:t>
      </w:r>
    </w:p>
    <w:p w14:paraId="1DEE3903" w14:textId="77777777" w:rsidR="005670EC" w:rsidRPr="008875A8" w:rsidRDefault="005670EC" w:rsidP="005670EC">
      <w:pPr>
        <w:shd w:val="clear" w:color="auto" w:fill="FFFFFF"/>
        <w:ind w:left="475"/>
        <w:rPr>
          <w:rFonts w:ascii="Baskerville" w:hAnsi="Baskerville"/>
          <w:color w:val="000000" w:themeColor="text1"/>
        </w:rPr>
      </w:pPr>
    </w:p>
    <w:p w14:paraId="63AFDD93" w14:textId="494B5FBF" w:rsidR="005670EC" w:rsidRPr="005670EC" w:rsidRDefault="005670EC" w:rsidP="005670EC">
      <w:pPr>
        <w:spacing w:after="160" w:line="259" w:lineRule="auto"/>
        <w:ind w:left="475"/>
        <w:rPr>
          <w:rFonts w:ascii="Baskerville" w:eastAsiaTheme="minorEastAsia" w:hAnsi="Baskerville"/>
          <w:color w:val="000000" w:themeColor="text1"/>
          <w:sz w:val="22"/>
          <w:szCs w:val="22"/>
        </w:rPr>
      </w:pPr>
      <w:r w:rsidRPr="00083510">
        <w:rPr>
          <w:rFonts w:ascii="Baskerville" w:hAnsi="Baskerville"/>
          <w:color w:val="000000" w:themeColor="text1"/>
        </w:rPr>
        <w:lastRenderedPageBreak/>
        <w:t xml:space="preserve">Christopher W. Tackett, </w:t>
      </w:r>
      <w:hyperlink r:id="rId36" w:history="1">
        <w:r w:rsidRPr="00083510">
          <w:rPr>
            <w:rStyle w:val="Hyperlink"/>
            <w:rFonts w:ascii="Baskerville" w:hAnsi="Baskerville"/>
            <w:i/>
            <w:iCs/>
            <w:color w:val="000000" w:themeColor="text1"/>
            <w:u w:val="none"/>
          </w:rPr>
          <w:t>Why Companies Must Ensure Their Non-Solicitation Agreements Are Fit for the Social Media Era</w:t>
        </w:r>
      </w:hyperlink>
      <w:r w:rsidRPr="00083510">
        <w:rPr>
          <w:rFonts w:ascii="Baskerville" w:hAnsi="Baskerville" w:cs="Arial"/>
          <w:color w:val="000000" w:themeColor="text1"/>
          <w:shd w:val="clear" w:color="auto" w:fill="FFFFFF"/>
        </w:rPr>
        <w:t xml:space="preserve">, </w:t>
      </w:r>
      <w:r w:rsidRPr="00083510">
        <w:rPr>
          <w:rFonts w:ascii="Baskerville" w:hAnsi="Baskerville"/>
          <w:smallCaps/>
          <w:color w:val="000000" w:themeColor="text1"/>
        </w:rPr>
        <w:t xml:space="preserve">Bus. Torts &amp; Unfair Competition </w:t>
      </w:r>
      <w:r w:rsidRPr="00083510">
        <w:rPr>
          <w:rFonts w:ascii="Baskerville" w:hAnsi="Baskerville"/>
          <w:color w:val="000000" w:themeColor="text1"/>
        </w:rPr>
        <w:t>(ABA Section of Litigation, Sept. 28, 2020),</w:t>
      </w:r>
      <w:r w:rsidRPr="00083510">
        <w:rPr>
          <w:rFonts w:ascii="Baskerville" w:hAnsi="Baskerville" w:cs="Arial"/>
          <w:color w:val="000000" w:themeColor="text1"/>
          <w:shd w:val="clear" w:color="auto" w:fill="FFFFFF"/>
        </w:rPr>
        <w:t xml:space="preserve"> </w:t>
      </w:r>
      <w:hyperlink r:id="rId37" w:history="1">
        <w:r w:rsidRPr="00083510">
          <w:rPr>
            <w:rStyle w:val="Hyperlink"/>
            <w:rFonts w:ascii="Baskerville" w:hAnsi="Baskerville" w:cs="Arial"/>
            <w:color w:val="000000" w:themeColor="text1"/>
            <w:u w:val="none"/>
            <w:shd w:val="clear" w:color="auto" w:fill="FFFFFF"/>
          </w:rPr>
          <w:t>https://www.americanbar.org/groups/litigation/committees/business-torts-unfair-competition/articles/2020/non-solicitation-agreements-social-media-litigation/</w:t>
        </w:r>
      </w:hyperlink>
      <w:r w:rsidRPr="00083510">
        <w:rPr>
          <w:rFonts w:ascii="Baskerville" w:hAnsi="Baskerville" w:cs="Arial"/>
          <w:color w:val="000000" w:themeColor="text1"/>
          <w:shd w:val="clear" w:color="auto" w:fill="FFFFFF"/>
        </w:rPr>
        <w:t>.</w:t>
      </w:r>
    </w:p>
    <w:p w14:paraId="247EE603" w14:textId="77777777" w:rsidR="005670EC" w:rsidRDefault="005670EC" w:rsidP="00FC70C2">
      <w:pPr>
        <w:ind w:left="475"/>
        <w:jc w:val="both"/>
        <w:rPr>
          <w:rFonts w:ascii="Baskerville" w:hAnsi="Baskerville"/>
        </w:rPr>
      </w:pPr>
    </w:p>
    <w:p w14:paraId="21E004CB" w14:textId="6CD43840" w:rsidR="00FC70C2" w:rsidRPr="00822E35" w:rsidRDefault="00FC70C2" w:rsidP="00FC70C2">
      <w:pPr>
        <w:ind w:left="475"/>
        <w:jc w:val="both"/>
        <w:rPr>
          <w:rFonts w:ascii="Baskerville" w:hAnsi="Baskerville"/>
        </w:rPr>
      </w:pPr>
      <w:r w:rsidRPr="00E60C49">
        <w:rPr>
          <w:rFonts w:ascii="Baskerville" w:hAnsi="Baskerville"/>
        </w:rPr>
        <w:t xml:space="preserve">Gjergi Cici, Mario Hendriock, &amp; Alexander Kempf, </w:t>
      </w:r>
      <w:r w:rsidRPr="00E60C49">
        <w:rPr>
          <w:rFonts w:ascii="Baskerville" w:hAnsi="Baskerville"/>
          <w:i/>
          <w:iCs/>
        </w:rPr>
        <w:t xml:space="preserve">The Impact of Labor Mobility Restrictions and Managerial Actions: Evidence </w:t>
      </w:r>
      <w:r w:rsidRPr="00822E35">
        <w:rPr>
          <w:rFonts w:ascii="Baskerville" w:hAnsi="Baskerville"/>
          <w:i/>
          <w:iCs/>
        </w:rPr>
        <w:t xml:space="preserve">from the Mutual Fund Industry, </w:t>
      </w:r>
      <w:r w:rsidRPr="00822E35">
        <w:rPr>
          <w:rFonts w:ascii="Baskerville" w:hAnsi="Baskerville"/>
        </w:rPr>
        <w:t>American Finance Association 2019 Atlanta Meeting Paper,</w:t>
      </w:r>
      <w:r w:rsidRPr="00822E35">
        <w:rPr>
          <w:rFonts w:ascii="Baskerville" w:hAnsi="Baskerville"/>
          <w:i/>
          <w:iCs/>
        </w:rPr>
        <w:t xml:space="preserve"> </w:t>
      </w:r>
      <w:hyperlink r:id="rId38" w:history="1">
        <w:r w:rsidRPr="00822E35">
          <w:rPr>
            <w:rStyle w:val="Hyperlink"/>
            <w:rFonts w:ascii="Baskerville" w:hAnsi="Baskerville"/>
            <w:u w:val="none"/>
          </w:rPr>
          <w:t>https://ssrn.com/abstract=3151473</w:t>
        </w:r>
      </w:hyperlink>
      <w:r w:rsidRPr="00822E35">
        <w:rPr>
          <w:rFonts w:ascii="Baskerville" w:hAnsi="Baskerville"/>
        </w:rPr>
        <w:t xml:space="preserve"> (as revised Feb. 20, 2020).</w:t>
      </w:r>
    </w:p>
    <w:p w14:paraId="2A249E8A" w14:textId="77777777" w:rsidR="00FC70C2" w:rsidRPr="00822E35" w:rsidRDefault="00FC70C2" w:rsidP="00FC70C2">
      <w:pPr>
        <w:ind w:left="475"/>
        <w:jc w:val="both"/>
        <w:rPr>
          <w:rFonts w:ascii="Baskerville" w:hAnsi="Baskerville"/>
        </w:rPr>
      </w:pPr>
    </w:p>
    <w:p w14:paraId="59E2CFD9" w14:textId="77777777" w:rsidR="00FC70C2" w:rsidRPr="00FE5822" w:rsidRDefault="00FC70C2" w:rsidP="00FC70C2">
      <w:pPr>
        <w:ind w:left="475"/>
        <w:jc w:val="both"/>
        <w:rPr>
          <w:rFonts w:ascii="Baskerville" w:hAnsi="Baskerville"/>
        </w:rPr>
      </w:pPr>
      <w:r w:rsidRPr="00822E35">
        <w:rPr>
          <w:rFonts w:ascii="Baskerville" w:hAnsi="Baskerville"/>
        </w:rPr>
        <w:t xml:space="preserve">Matt Marx, </w:t>
      </w:r>
      <w:r w:rsidRPr="00822E35">
        <w:rPr>
          <w:rFonts w:ascii="Baskerville" w:hAnsi="Baskerville"/>
          <w:i/>
          <w:iCs/>
        </w:rPr>
        <w:t xml:space="preserve">Employee Non-compete Agreements, Gender, and the Timing of Entrepreneurship </w:t>
      </w:r>
      <w:r w:rsidRPr="00822E35">
        <w:rPr>
          <w:rFonts w:ascii="Baskerville" w:hAnsi="Baskerville"/>
        </w:rPr>
        <w:t xml:space="preserve">(My 4, 2018), </w:t>
      </w:r>
      <w:hyperlink r:id="rId39" w:history="1">
        <w:r w:rsidRPr="00822E35">
          <w:rPr>
            <w:rStyle w:val="Hyperlink"/>
            <w:rFonts w:ascii="Baskerville" w:hAnsi="Baskerville"/>
            <w:u w:val="none"/>
          </w:rPr>
          <w:t>https://ssrn.com/abstract=3173831</w:t>
        </w:r>
      </w:hyperlink>
      <w:r w:rsidRPr="00822E35">
        <w:rPr>
          <w:rFonts w:ascii="Baskerville" w:hAnsi="Baskerville"/>
        </w:rPr>
        <w:t xml:space="preserve"> (as revised Jan. 11, 2019) (finding that women subject to postemployment</w:t>
      </w:r>
      <w:r>
        <w:rPr>
          <w:rFonts w:ascii="Baskerville" w:hAnsi="Baskerville"/>
        </w:rPr>
        <w:t xml:space="preserve"> noncompetes are 13 percent more likely to postpone establishing a competing business until the former employer dissolves).</w:t>
      </w:r>
    </w:p>
    <w:p w14:paraId="6D4CAF1E" w14:textId="77777777" w:rsidR="00FC70C2" w:rsidRPr="00E60C49" w:rsidRDefault="00FC70C2" w:rsidP="00FC70C2">
      <w:pPr>
        <w:ind w:left="475"/>
        <w:jc w:val="both"/>
        <w:rPr>
          <w:rFonts w:ascii="Baskerville" w:hAnsi="Baskerville"/>
        </w:rPr>
      </w:pPr>
    </w:p>
    <w:p w14:paraId="31E6F255" w14:textId="77777777" w:rsidR="00FC70C2" w:rsidRPr="00E60C49" w:rsidRDefault="00FC70C2" w:rsidP="00FC70C2">
      <w:pPr>
        <w:ind w:left="475"/>
        <w:jc w:val="both"/>
        <w:rPr>
          <w:rFonts w:ascii="Baskerville" w:hAnsi="Baskerville"/>
        </w:rPr>
      </w:pPr>
      <w:r w:rsidRPr="00E60C49">
        <w:rPr>
          <w:rFonts w:ascii="Baskerville" w:hAnsi="Baskerville"/>
          <w:shd w:val="clear" w:color="auto" w:fill="FFFFFF"/>
        </w:rPr>
        <w:t xml:space="preserve">Arijit Mukherjee, </w:t>
      </w:r>
      <w:r w:rsidRPr="00E60C49">
        <w:rPr>
          <w:rFonts w:ascii="Baskerville" w:hAnsi="Baskerville"/>
          <w:i/>
          <w:shd w:val="clear" w:color="auto" w:fill="FFFFFF"/>
        </w:rPr>
        <w:t>On the Trade-Off Between Efficiency in Job Assignment and Turnover: The Role of Breakup Fees</w:t>
      </w:r>
      <w:r w:rsidRPr="00E60C49">
        <w:rPr>
          <w:rFonts w:ascii="Baskerville" w:hAnsi="Baskerville"/>
          <w:shd w:val="clear" w:color="auto" w:fill="FFFFFF"/>
        </w:rPr>
        <w:t xml:space="preserve">, 34 </w:t>
      </w:r>
      <w:r w:rsidRPr="00E60C49">
        <w:rPr>
          <w:rFonts w:ascii="Baskerville" w:hAnsi="Baskerville"/>
          <w:smallCaps/>
          <w:shd w:val="clear" w:color="auto" w:fill="FFFFFF"/>
        </w:rPr>
        <w:t>J. L. Econ. &amp; Org</w:t>
      </w:r>
      <w:r w:rsidRPr="00E60C49">
        <w:rPr>
          <w:rFonts w:ascii="Baskerville" w:hAnsi="Baskerville"/>
          <w:shd w:val="clear" w:color="auto" w:fill="FFFFFF"/>
        </w:rPr>
        <w:t xml:space="preserve">. 230 (2019) (noting </w:t>
      </w:r>
      <w:r w:rsidRPr="00E60C49">
        <w:rPr>
          <w:rFonts w:ascii="Baskerville" w:hAnsi="Baskerville"/>
        </w:rPr>
        <w:t xml:space="preserve">that contractual restrictions on worker mobility are becoming common at the very time that the growth in recruiting networks, such as LinkedIn, has made a worker’s career progress within a firm more visible to outsiders; observing that scholarly literature on breakup fees, which effectively include noncompetition covenants, fails to explain the widespread use of such clauses in certain industries). </w:t>
      </w:r>
    </w:p>
    <w:p w14:paraId="03EB7808" w14:textId="77777777" w:rsidR="00FC70C2" w:rsidRDefault="00FC70C2" w:rsidP="00FC70C2">
      <w:pPr>
        <w:pStyle w:val="Heading1"/>
        <w:shd w:val="clear" w:color="auto" w:fill="FFFFFF"/>
        <w:spacing w:before="0" w:line="240" w:lineRule="auto"/>
        <w:ind w:left="475"/>
        <w:jc w:val="both"/>
        <w:textAlignment w:val="baseline"/>
        <w:rPr>
          <w:rFonts w:ascii="Baskerville" w:eastAsia="Times New Roman" w:hAnsi="Baskerville" w:cs="Times New Roman"/>
          <w:color w:val="000000" w:themeColor="text1"/>
          <w:sz w:val="24"/>
          <w:szCs w:val="24"/>
          <w:u w:val="none"/>
        </w:rPr>
      </w:pPr>
    </w:p>
    <w:p w14:paraId="7B687384" w14:textId="3E97A886" w:rsidR="00FC70C2" w:rsidRPr="00FC70C2" w:rsidRDefault="00FC70C2" w:rsidP="00FC70C2">
      <w:pPr>
        <w:pStyle w:val="Heading1"/>
        <w:shd w:val="clear" w:color="auto" w:fill="FFFFFF"/>
        <w:spacing w:before="0" w:line="240" w:lineRule="auto"/>
        <w:ind w:left="475"/>
        <w:jc w:val="both"/>
        <w:textAlignment w:val="baseline"/>
        <w:rPr>
          <w:rFonts w:ascii="Baskerville" w:eastAsia="Times New Roman" w:hAnsi="Baskerville" w:cs="Times New Roman"/>
          <w:bCs/>
          <w:color w:val="000000" w:themeColor="text1"/>
          <w:kern w:val="36"/>
          <w:sz w:val="24"/>
          <w:szCs w:val="24"/>
          <w:u w:val="none"/>
          <w:bdr w:val="none" w:sz="0" w:space="0" w:color="auto" w:frame="1"/>
        </w:rPr>
      </w:pPr>
      <w:r w:rsidRPr="00E60C49">
        <w:rPr>
          <w:rFonts w:ascii="Baskerville" w:eastAsia="Times New Roman" w:hAnsi="Baskerville" w:cs="Times New Roman"/>
          <w:color w:val="000000" w:themeColor="text1"/>
          <w:sz w:val="24"/>
          <w:szCs w:val="24"/>
          <w:u w:val="none"/>
        </w:rPr>
        <w:t xml:space="preserve">Toru Ueda, </w:t>
      </w:r>
      <w:r w:rsidRPr="00E60C49">
        <w:rPr>
          <w:rFonts w:ascii="Baskerville" w:eastAsia="Times New Roman" w:hAnsi="Baskerville" w:cs="Times New Roman"/>
          <w:i/>
          <w:color w:val="000000" w:themeColor="text1"/>
          <w:sz w:val="24"/>
          <w:szCs w:val="24"/>
          <w:u w:val="none"/>
        </w:rPr>
        <w:t>Restrictions on Post-Employment Competition: Comparing the United States with Japan</w:t>
      </w:r>
      <w:r w:rsidRPr="00E60C49">
        <w:rPr>
          <w:rFonts w:ascii="Baskerville" w:eastAsia="Times New Roman" w:hAnsi="Baskerville" w:cs="Times New Roman"/>
          <w:color w:val="000000" w:themeColor="text1"/>
          <w:sz w:val="24"/>
          <w:szCs w:val="24"/>
          <w:u w:val="none"/>
        </w:rPr>
        <w:t xml:space="preserve">, </w:t>
      </w:r>
      <w:r w:rsidRPr="00E60C49">
        <w:rPr>
          <w:rFonts w:ascii="Baskerville" w:eastAsia="Times New Roman" w:hAnsi="Baskerville" w:cs="Times New Roman"/>
          <w:bCs/>
          <w:color w:val="000000" w:themeColor="text1"/>
          <w:kern w:val="36"/>
          <w:sz w:val="24"/>
          <w:szCs w:val="24"/>
          <w:u w:val="none"/>
          <w:bdr w:val="none" w:sz="0" w:space="0" w:color="auto" w:frame="1"/>
        </w:rPr>
        <w:t xml:space="preserve">34 </w:t>
      </w:r>
      <w:r w:rsidRPr="00E60C49">
        <w:rPr>
          <w:rFonts w:ascii="Baskerville" w:eastAsia="Times New Roman" w:hAnsi="Baskerville" w:cs="Times New Roman"/>
          <w:bCs/>
          <w:smallCaps/>
          <w:color w:val="000000" w:themeColor="text1"/>
          <w:kern w:val="36"/>
          <w:sz w:val="24"/>
          <w:szCs w:val="24"/>
          <w:u w:val="none"/>
          <w:bdr w:val="none" w:sz="0" w:space="0" w:color="auto" w:frame="1"/>
        </w:rPr>
        <w:t>Conn. J. Int’l L.</w:t>
      </w:r>
      <w:r w:rsidRPr="00E60C49">
        <w:rPr>
          <w:rFonts w:ascii="Baskerville" w:eastAsia="Times New Roman" w:hAnsi="Baskerville" w:cs="Times New Roman"/>
          <w:bCs/>
          <w:color w:val="000000" w:themeColor="text1"/>
          <w:kern w:val="36"/>
          <w:sz w:val="24"/>
          <w:szCs w:val="24"/>
          <w:u w:val="none"/>
          <w:bdr w:val="none" w:sz="0" w:space="0" w:color="auto" w:frame="1"/>
        </w:rPr>
        <w:t xml:space="preserve"> 169 (2019) (citing, </w:t>
      </w:r>
      <w:r w:rsidRPr="00E60C49">
        <w:rPr>
          <w:rFonts w:ascii="Baskerville" w:eastAsia="Times New Roman" w:hAnsi="Baskerville" w:cs="Times New Roman"/>
          <w:bCs/>
          <w:i/>
          <w:iCs/>
          <w:color w:val="000000" w:themeColor="text1"/>
          <w:kern w:val="36"/>
          <w:sz w:val="24"/>
          <w:szCs w:val="24"/>
          <w:u w:val="none"/>
          <w:bdr w:val="none" w:sz="0" w:space="0" w:color="auto" w:frame="1"/>
        </w:rPr>
        <w:t>id</w:t>
      </w:r>
      <w:r w:rsidRPr="00E60C49">
        <w:rPr>
          <w:rFonts w:ascii="Baskerville" w:eastAsia="Times New Roman" w:hAnsi="Baskerville" w:cs="Times New Roman"/>
          <w:bCs/>
          <w:color w:val="000000" w:themeColor="text1"/>
          <w:kern w:val="36"/>
          <w:sz w:val="24"/>
          <w:szCs w:val="24"/>
          <w:u w:val="none"/>
          <w:bdr w:val="none" w:sz="0" w:space="0" w:color="auto" w:frame="1"/>
        </w:rPr>
        <w:t xml:space="preserve">. at 173 n.13, </w:t>
      </w:r>
      <w:r w:rsidRPr="00E60C49">
        <w:rPr>
          <w:rFonts w:ascii="Baskerville" w:eastAsia="Times New Roman" w:hAnsi="Baskerville" w:cs="Times New Roman"/>
          <w:bCs/>
          <w:smallCaps/>
          <w:color w:val="000000" w:themeColor="text1"/>
          <w:kern w:val="36"/>
          <w:sz w:val="24"/>
          <w:szCs w:val="24"/>
          <w:u w:val="none"/>
          <w:bdr w:val="none" w:sz="0" w:space="0" w:color="auto" w:frame="1"/>
        </w:rPr>
        <w:t>Brian M. Malsberger,</w:t>
      </w:r>
      <w:r w:rsidRPr="00E60C49">
        <w:rPr>
          <w:rFonts w:ascii="Baskerville" w:eastAsia="Times New Roman" w:hAnsi="Baskerville" w:cs="Times New Roman"/>
          <w:bCs/>
          <w:color w:val="000000" w:themeColor="text1"/>
          <w:kern w:val="36"/>
          <w:sz w:val="24"/>
          <w:szCs w:val="24"/>
          <w:u w:val="none"/>
          <w:bdr w:val="none" w:sz="0" w:space="0" w:color="auto" w:frame="1"/>
        </w:rPr>
        <w:t xml:space="preserve"> </w:t>
      </w:r>
      <w:r w:rsidRPr="00E60C49">
        <w:rPr>
          <w:rFonts w:ascii="Baskerville" w:eastAsia="Times New Roman" w:hAnsi="Baskerville" w:cs="Times New Roman"/>
          <w:bCs/>
          <w:smallCaps/>
          <w:color w:val="000000" w:themeColor="text1"/>
          <w:kern w:val="36"/>
          <w:sz w:val="24"/>
          <w:szCs w:val="24"/>
          <w:u w:val="none"/>
          <w:bdr w:val="none" w:sz="0" w:space="0" w:color="auto" w:frame="1"/>
        </w:rPr>
        <w:t>Covenants Not to Compete: A State-by-State Survey</w:t>
      </w:r>
      <w:r w:rsidRPr="00E60C49">
        <w:rPr>
          <w:rFonts w:ascii="Baskerville" w:eastAsia="Times New Roman" w:hAnsi="Baskerville" w:cs="Times New Roman"/>
          <w:bCs/>
          <w:color w:val="000000" w:themeColor="text1"/>
          <w:kern w:val="36"/>
          <w:sz w:val="24"/>
          <w:szCs w:val="24"/>
          <w:u w:val="none"/>
          <w:bdr w:val="none" w:sz="0" w:space="0" w:color="auto" w:frame="1"/>
        </w:rPr>
        <w:t xml:space="preserve"> (Arlington, Va.: Bloomberg Law, 11th ed. 2017), since replaced by </w:t>
      </w:r>
      <w:r w:rsidRPr="00E60C49">
        <w:rPr>
          <w:rFonts w:ascii="Baskerville" w:eastAsia="Times New Roman" w:hAnsi="Baskerville" w:cs="Times New Roman"/>
          <w:bCs/>
          <w:smallCaps/>
          <w:color w:val="000000" w:themeColor="text1"/>
          <w:kern w:val="36"/>
          <w:sz w:val="24"/>
          <w:szCs w:val="24"/>
          <w:u w:val="none"/>
          <w:bdr w:val="none" w:sz="0" w:space="0" w:color="auto" w:frame="1"/>
        </w:rPr>
        <w:t>Brian M. Malsberger,</w:t>
      </w:r>
      <w:r w:rsidRPr="00E60C49">
        <w:rPr>
          <w:rFonts w:ascii="Baskerville" w:eastAsia="Times New Roman" w:hAnsi="Baskerville" w:cs="Times New Roman"/>
          <w:bCs/>
          <w:color w:val="000000" w:themeColor="text1"/>
          <w:kern w:val="36"/>
          <w:sz w:val="24"/>
          <w:szCs w:val="24"/>
          <w:u w:val="none"/>
          <w:bdr w:val="none" w:sz="0" w:space="0" w:color="auto" w:frame="1"/>
        </w:rPr>
        <w:t xml:space="preserve"> </w:t>
      </w:r>
      <w:r w:rsidRPr="00E60C49">
        <w:rPr>
          <w:rFonts w:ascii="Baskerville" w:eastAsia="Times New Roman" w:hAnsi="Baskerville" w:cs="Times New Roman"/>
          <w:bCs/>
          <w:smallCaps/>
          <w:color w:val="000000" w:themeColor="text1"/>
          <w:kern w:val="36"/>
          <w:sz w:val="24"/>
          <w:szCs w:val="24"/>
          <w:u w:val="none"/>
          <w:bdr w:val="none" w:sz="0" w:space="0" w:color="auto" w:frame="1"/>
        </w:rPr>
        <w:t>Covenants Not to Compete: A State-by-State Survey</w:t>
      </w:r>
      <w:r w:rsidRPr="00E60C49">
        <w:rPr>
          <w:rFonts w:ascii="Baskerville" w:eastAsia="Times New Roman" w:hAnsi="Baskerville" w:cs="Times New Roman"/>
          <w:bCs/>
          <w:color w:val="000000" w:themeColor="text1"/>
          <w:kern w:val="36"/>
          <w:sz w:val="24"/>
          <w:szCs w:val="24"/>
          <w:u w:val="none"/>
          <w:bdr w:val="none" w:sz="0" w:space="0" w:color="auto" w:frame="1"/>
        </w:rPr>
        <w:t xml:space="preserve"> (Arlington, Va.: Bloomberg Law, </w:t>
      </w:r>
      <w:r w:rsidR="004A3D31">
        <w:rPr>
          <w:rFonts w:ascii="Baskerville" w:eastAsia="Times New Roman" w:hAnsi="Baskerville" w:cs="Times New Roman"/>
          <w:bCs/>
          <w:color w:val="000000" w:themeColor="text1"/>
          <w:kern w:val="36"/>
          <w:sz w:val="24"/>
          <w:szCs w:val="24"/>
          <w:u w:val="none"/>
          <w:bdr w:val="none" w:sz="0" w:space="0" w:color="auto" w:frame="1"/>
        </w:rPr>
        <w:t>2023</w:t>
      </w:r>
      <w:r w:rsidR="009060B6">
        <w:rPr>
          <w:rFonts w:ascii="Baskerville" w:eastAsia="Times New Roman" w:hAnsi="Baskerville" w:cs="Times New Roman"/>
          <w:bCs/>
          <w:color w:val="000000" w:themeColor="text1"/>
          <w:kern w:val="36"/>
          <w:sz w:val="24"/>
          <w:szCs w:val="24"/>
          <w:u w:val="none"/>
          <w:bdr w:val="none" w:sz="0" w:space="0" w:color="auto" w:frame="1"/>
        </w:rPr>
        <w:t xml:space="preserve"> </w:t>
      </w:r>
      <w:r w:rsidRPr="00E60C49">
        <w:rPr>
          <w:rFonts w:ascii="Baskerville" w:eastAsia="Times New Roman" w:hAnsi="Baskerville" w:cs="Times New Roman"/>
          <w:bCs/>
          <w:color w:val="000000" w:themeColor="text1"/>
          <w:kern w:val="36"/>
          <w:sz w:val="24"/>
          <w:szCs w:val="24"/>
          <w:u w:val="none"/>
          <w:bdr w:val="none" w:sz="0" w:space="0" w:color="auto" w:frame="1"/>
        </w:rPr>
        <w:t>ed.</w:t>
      </w:r>
      <w:r w:rsidR="009060B6">
        <w:rPr>
          <w:rFonts w:ascii="Baskerville" w:eastAsia="Times New Roman" w:hAnsi="Baskerville" w:cs="Times New Roman"/>
          <w:bCs/>
          <w:color w:val="000000" w:themeColor="text1"/>
          <w:kern w:val="36"/>
          <w:sz w:val="24"/>
          <w:szCs w:val="24"/>
          <w:u w:val="none"/>
          <w:bdr w:val="none" w:sz="0" w:space="0" w:color="auto" w:frame="1"/>
        </w:rPr>
        <w:t xml:space="preserve">) </w:t>
      </w:r>
      <w:r w:rsidR="003207CE">
        <w:rPr>
          <w:rFonts w:ascii="Baskerville" w:eastAsia="Times New Roman" w:hAnsi="Baskerville" w:cs="Times New Roman"/>
          <w:bCs/>
          <w:color w:val="000000" w:themeColor="text1"/>
          <w:kern w:val="36"/>
          <w:sz w:val="24"/>
          <w:szCs w:val="24"/>
          <w:u w:val="none"/>
          <w:bdr w:val="none" w:sz="0" w:space="0" w:color="auto" w:frame="1"/>
        </w:rPr>
        <w:t>(ebook)</w:t>
      </w:r>
      <w:r w:rsidRPr="00E60C49">
        <w:rPr>
          <w:rFonts w:ascii="Baskerville" w:eastAsia="Times New Roman" w:hAnsi="Baskerville" w:cs="Times New Roman"/>
          <w:bCs/>
          <w:color w:val="000000" w:themeColor="text1"/>
          <w:kern w:val="36"/>
          <w:sz w:val="24"/>
          <w:szCs w:val="24"/>
          <w:u w:val="none"/>
          <w:bdr w:val="none" w:sz="0" w:space="0" w:color="auto" w:frame="1"/>
        </w:rPr>
        <w:t>, for the observation that the reasonableness rules of enforceability among the 50 American states and the District of Columbia “subtly vary in detail,” and explaining that their general principles</w:t>
      </w:r>
      <w:r w:rsidR="00FB1D09">
        <w:rPr>
          <w:rFonts w:ascii="Baskerville" w:eastAsia="Times New Roman" w:hAnsi="Baskerville" w:cs="Times New Roman"/>
          <w:bCs/>
          <w:color w:val="000000" w:themeColor="text1"/>
          <w:kern w:val="36"/>
          <w:sz w:val="24"/>
          <w:szCs w:val="24"/>
          <w:u w:val="none"/>
          <w:bdr w:val="none" w:sz="0" w:space="0" w:color="auto" w:frame="1"/>
        </w:rPr>
        <w:t xml:space="preserve"> </w:t>
      </w:r>
      <w:r w:rsidRPr="00E60C49">
        <w:rPr>
          <w:rFonts w:ascii="Baskerville" w:eastAsia="Times New Roman" w:hAnsi="Baskerville" w:cs="Times New Roman"/>
          <w:bCs/>
          <w:color w:val="000000" w:themeColor="text1"/>
          <w:kern w:val="36"/>
          <w:sz w:val="24"/>
          <w:szCs w:val="24"/>
          <w:u w:val="none"/>
          <w:bdr w:val="none" w:sz="0" w:space="0" w:color="auto" w:frame="1"/>
        </w:rPr>
        <w:t>“are sufficiently clear to offer a useful contrast to the reasonableness rules in Japan”).</w:t>
      </w:r>
    </w:p>
    <w:p w14:paraId="71247A06" w14:textId="77777777" w:rsidR="008A7919" w:rsidRDefault="008A7919" w:rsidP="00FC70C2">
      <w:pPr>
        <w:widowControl w:val="0"/>
        <w:tabs>
          <w:tab w:val="left" w:pos="960"/>
          <w:tab w:val="left" w:pos="1440"/>
        </w:tabs>
        <w:autoSpaceDE w:val="0"/>
        <w:autoSpaceDN w:val="0"/>
        <w:adjustRightInd w:val="0"/>
        <w:ind w:left="475"/>
        <w:textAlignment w:val="center"/>
        <w:rPr>
          <w:rFonts w:ascii="Baskerville Old Face" w:hAnsi="Baskerville Old Face"/>
          <w:color w:val="000000"/>
        </w:rPr>
      </w:pPr>
    </w:p>
    <w:p w14:paraId="1F6A27C0" w14:textId="6F6B7B51" w:rsidR="00A05A11" w:rsidRDefault="00A05A11" w:rsidP="00FC70C2">
      <w:pPr>
        <w:widowControl w:val="0"/>
        <w:tabs>
          <w:tab w:val="left" w:pos="960"/>
          <w:tab w:val="left" w:pos="1440"/>
        </w:tabs>
        <w:autoSpaceDE w:val="0"/>
        <w:autoSpaceDN w:val="0"/>
        <w:adjustRightInd w:val="0"/>
        <w:ind w:left="475"/>
        <w:textAlignment w:val="center"/>
        <w:rPr>
          <w:rFonts w:ascii="Baskerville Old Face" w:hAnsi="Baskerville Old Face"/>
          <w:color w:val="000000"/>
        </w:rPr>
      </w:pPr>
      <w:r w:rsidRPr="0016514A">
        <w:rPr>
          <w:rFonts w:ascii="Baskerville Old Face" w:hAnsi="Baskerville Old Face"/>
          <w:color w:val="000000"/>
        </w:rPr>
        <w:t xml:space="preserve">Yifat Aran, </w:t>
      </w:r>
      <w:r w:rsidRPr="0016514A">
        <w:rPr>
          <w:rFonts w:ascii="Baskerville Old Face" w:hAnsi="Baskerville Old Face"/>
          <w:i/>
          <w:iCs/>
          <w:color w:val="000000"/>
        </w:rPr>
        <w:t>Beyond Covenants Not to Compete: Equilibrium in High-Tech Startup Labor Markets</w:t>
      </w:r>
      <w:r w:rsidRPr="0016514A">
        <w:rPr>
          <w:rFonts w:ascii="Baskerville Old Face" w:hAnsi="Baskerville Old Face"/>
          <w:color w:val="000000"/>
        </w:rPr>
        <w:t xml:space="preserve">, 70 </w:t>
      </w:r>
      <w:r w:rsidRPr="0016514A">
        <w:rPr>
          <w:rFonts w:ascii="Baskerville Old Face" w:hAnsi="Baskerville Old Face"/>
          <w:smallCaps/>
          <w:color w:val="000000"/>
        </w:rPr>
        <w:t>Stan. L. Rev</w:t>
      </w:r>
      <w:r w:rsidRPr="0016514A">
        <w:rPr>
          <w:rFonts w:ascii="Baskerville Old Face" w:hAnsi="Baskerville Old Face"/>
          <w:color w:val="000000"/>
        </w:rPr>
        <w:t>. 1235, 1235 (2018) (arguing that a narrowly tailored retention function provides a “more compelling explanation for Silicon Valley’s success than does an explanation that has become popular among policymakers in recent years: the unenforceability of noncompetes as the sole factor;” for the principle that “noncompete agreements discourage executives from making investments in their own human capital and</w:t>
      </w:r>
      <w:r w:rsidRPr="00A05A11">
        <w:rPr>
          <w:color w:val="000000"/>
        </w:rPr>
        <w:t> </w:t>
      </w:r>
      <w:r w:rsidR="00944F63">
        <w:rPr>
          <w:rFonts w:ascii="Baskerville Old Face" w:hAnsi="Baskerville Old Face"/>
          <w:color w:val="000000"/>
        </w:rPr>
        <w:t>…</w:t>
      </w:r>
      <w:r w:rsidRPr="00A05A11">
        <w:rPr>
          <w:color w:val="000000"/>
        </w:rPr>
        <w:t> </w:t>
      </w:r>
      <w:r w:rsidRPr="0016514A">
        <w:rPr>
          <w:rFonts w:ascii="Baskerville Old Face" w:hAnsi="Baskerville Old Face"/>
          <w:color w:val="000000"/>
        </w:rPr>
        <w:t xml:space="preserve">this effect has a stronger influence than does the firm’s greater tendency to invest in executives’ human capital under high-enforceability regimes,” citing, </w:t>
      </w:r>
      <w:r w:rsidRPr="0016514A">
        <w:rPr>
          <w:rFonts w:ascii="Baskerville Old Face" w:hAnsi="Baskerville Old Face"/>
          <w:i/>
          <w:iCs/>
          <w:color w:val="000000"/>
        </w:rPr>
        <w:t>id</w:t>
      </w:r>
      <w:r w:rsidRPr="0016514A">
        <w:rPr>
          <w:rFonts w:ascii="Baskerville Old Face" w:hAnsi="Baskerville Old Face"/>
          <w:color w:val="000000"/>
        </w:rPr>
        <w:t xml:space="preserve">. at 1258, Mark J. Garmaise, </w:t>
      </w:r>
      <w:r w:rsidRPr="0016514A">
        <w:rPr>
          <w:rFonts w:ascii="Baskerville Old Face" w:hAnsi="Baskerville Old Face"/>
          <w:i/>
          <w:iCs/>
          <w:color w:val="000000"/>
        </w:rPr>
        <w:t>Ties That Truly Bind: Noncompetition Agreements, Executive Compensation, and Firm Investment</w:t>
      </w:r>
      <w:r w:rsidRPr="0016514A">
        <w:rPr>
          <w:rFonts w:ascii="Baskerville Old Face" w:hAnsi="Baskerville Old Face"/>
          <w:color w:val="000000"/>
        </w:rPr>
        <w:t xml:space="preserve">, 27 </w:t>
      </w:r>
      <w:r w:rsidRPr="0016514A">
        <w:rPr>
          <w:rFonts w:ascii="Baskerville Old Face" w:hAnsi="Baskerville Old Face"/>
          <w:smallCaps/>
          <w:color w:val="000000"/>
        </w:rPr>
        <w:t>J.L. Econ. &amp; Org.</w:t>
      </w:r>
      <w:r w:rsidRPr="0016514A">
        <w:rPr>
          <w:rFonts w:ascii="Baskerville Old Face" w:hAnsi="Baskerville Old Face"/>
          <w:color w:val="000000"/>
        </w:rPr>
        <w:t xml:space="preserve"> 376, 383 (2009) (relying on the model constructed in </w:t>
      </w:r>
      <w:r w:rsidRPr="0016514A">
        <w:rPr>
          <w:rFonts w:ascii="Baskerville Old Face" w:hAnsi="Baskerville Old Face"/>
          <w:smallCaps/>
          <w:color w:val="000000"/>
        </w:rPr>
        <w:t>Brian M. Malsberger, Covenants Not to Compete: A State-by-State Survey</w:t>
      </w:r>
      <w:r w:rsidRPr="0016514A">
        <w:rPr>
          <w:rFonts w:ascii="Baskerville Old Face" w:hAnsi="Baskerville Old Face"/>
          <w:color w:val="000000"/>
        </w:rPr>
        <w:t xml:space="preserve"> (BNA Books, 4th ed. 2004), since updated and most recently replaced by </w:t>
      </w:r>
      <w:r w:rsidR="00F46976">
        <w:rPr>
          <w:rFonts w:ascii="Baskerville Old Face" w:hAnsi="Baskerville Old Face"/>
          <w:color w:val="000000"/>
        </w:rPr>
        <w:t xml:space="preserve">the instant </w:t>
      </w:r>
      <w:r w:rsidRPr="0016514A">
        <w:rPr>
          <w:rFonts w:ascii="Baskerville Old Face" w:hAnsi="Baskerville Old Face"/>
          <w:smallCaps/>
          <w:color w:val="000000"/>
        </w:rPr>
        <w:t xml:space="preserve">Brian M. Malsberger, Covenants Not to Compete: A State-by-State Survey </w:t>
      </w:r>
      <w:r w:rsidRPr="0016514A">
        <w:rPr>
          <w:rFonts w:ascii="Baskerville Old Face" w:hAnsi="Baskerville Old Face"/>
          <w:color w:val="000000"/>
        </w:rPr>
        <w:t xml:space="preserve">(Arlington, Va.: Bloomberg Law, </w:t>
      </w:r>
      <w:r w:rsidR="004A3D31">
        <w:rPr>
          <w:rFonts w:ascii="Baskerville Old Face" w:hAnsi="Baskerville Old Face"/>
          <w:color w:val="000000"/>
        </w:rPr>
        <w:t>2023</w:t>
      </w:r>
      <w:r w:rsidR="009060B6">
        <w:rPr>
          <w:rFonts w:ascii="Baskerville Old Face" w:hAnsi="Baskerville Old Face"/>
          <w:color w:val="000000"/>
        </w:rPr>
        <w:t xml:space="preserve"> </w:t>
      </w:r>
      <w:r w:rsidRPr="0016514A">
        <w:rPr>
          <w:rFonts w:ascii="Baskerville Old Face" w:hAnsi="Baskerville Old Face"/>
          <w:color w:val="000000"/>
        </w:rPr>
        <w:t>ed.</w:t>
      </w:r>
      <w:r w:rsidR="009060B6">
        <w:rPr>
          <w:rFonts w:ascii="Baskerville Old Face" w:hAnsi="Baskerville Old Face"/>
          <w:color w:val="000000"/>
        </w:rPr>
        <w:t xml:space="preserve">) </w:t>
      </w:r>
      <w:r w:rsidR="003207CE">
        <w:rPr>
          <w:rFonts w:ascii="Baskerville Old Face" w:hAnsi="Baskerville Old Face"/>
          <w:color w:val="000000"/>
        </w:rPr>
        <w:t>(ebook)</w:t>
      </w:r>
      <w:r w:rsidRPr="0016514A">
        <w:rPr>
          <w:rFonts w:ascii="Baskerville Old Face" w:hAnsi="Baskerville Old Face"/>
          <w:color w:val="000000"/>
        </w:rPr>
        <w:t xml:space="preserve">); noting, </w:t>
      </w:r>
      <w:r w:rsidRPr="0016514A">
        <w:rPr>
          <w:rFonts w:ascii="Baskerville Old Face" w:hAnsi="Baskerville Old Face"/>
          <w:i/>
          <w:iCs/>
          <w:color w:val="000000"/>
        </w:rPr>
        <w:t>id.</w:t>
      </w:r>
      <w:r w:rsidRPr="0016514A">
        <w:rPr>
          <w:rFonts w:ascii="Baskerville Old Face" w:hAnsi="Baskerville Old Face"/>
          <w:color w:val="000000"/>
        </w:rPr>
        <w:t xml:space="preserve"> at 1258, that “Garmaise’s index considers twelve questions asked by Brian Malsberger about each jurisdiction and assigns 1 point to each jurisdiction for each question if the jurisdiction’s enforcement of that dimension of </w:t>
      </w:r>
      <w:r w:rsidRPr="0016514A">
        <w:rPr>
          <w:rFonts w:ascii="Baskerville Old Face" w:hAnsi="Baskerville Old Face"/>
          <w:color w:val="000000"/>
        </w:rPr>
        <w:lastRenderedPageBreak/>
        <w:t xml:space="preserve">noncompetition law exceeds a given threshold;” citing Garmaise, 27 </w:t>
      </w:r>
      <w:r w:rsidRPr="0016514A">
        <w:rPr>
          <w:rFonts w:ascii="Baskerville Old Face" w:hAnsi="Baskerville Old Face"/>
          <w:smallCaps/>
          <w:color w:val="000000"/>
        </w:rPr>
        <w:t>J.L. Econ. &amp; Org.</w:t>
      </w:r>
      <w:r w:rsidRPr="0016514A">
        <w:rPr>
          <w:rFonts w:ascii="Baskerville Old Face" w:hAnsi="Baskerville Old Face"/>
          <w:color w:val="000000"/>
        </w:rPr>
        <w:t xml:space="preserve"> at 388–89).</w:t>
      </w:r>
    </w:p>
    <w:p w14:paraId="32ED7C01" w14:textId="77777777" w:rsidR="009060B6" w:rsidRPr="0016514A" w:rsidRDefault="009060B6" w:rsidP="00FC70C2">
      <w:pPr>
        <w:widowControl w:val="0"/>
        <w:tabs>
          <w:tab w:val="left" w:pos="960"/>
          <w:tab w:val="left" w:pos="1440"/>
        </w:tabs>
        <w:autoSpaceDE w:val="0"/>
        <w:autoSpaceDN w:val="0"/>
        <w:adjustRightInd w:val="0"/>
        <w:ind w:left="475"/>
        <w:textAlignment w:val="center"/>
        <w:rPr>
          <w:rFonts w:ascii="Baskerville Old Face" w:hAnsi="Baskerville Old Face"/>
          <w:color w:val="000000"/>
        </w:rPr>
      </w:pPr>
    </w:p>
    <w:p w14:paraId="4683B60F" w14:textId="77777777" w:rsidR="00A05A11" w:rsidRPr="0016514A" w:rsidRDefault="00A05A11" w:rsidP="00FC70C2">
      <w:pPr>
        <w:widowControl w:val="0"/>
        <w:tabs>
          <w:tab w:val="left" w:pos="960"/>
          <w:tab w:val="left" w:pos="1440"/>
        </w:tabs>
        <w:autoSpaceDE w:val="0"/>
        <w:autoSpaceDN w:val="0"/>
        <w:adjustRightInd w:val="0"/>
        <w:ind w:left="475"/>
        <w:textAlignment w:val="center"/>
        <w:rPr>
          <w:rFonts w:ascii="Baskerville Old Face" w:hAnsi="Baskerville Old Face"/>
          <w:color w:val="000000"/>
        </w:rPr>
      </w:pPr>
      <w:r w:rsidRPr="0016514A">
        <w:rPr>
          <w:rFonts w:ascii="Baskerville Old Face" w:hAnsi="Baskerville Old Face"/>
          <w:color w:val="000000"/>
        </w:rPr>
        <w:t xml:space="preserve">Rochella T. Davis, </w:t>
      </w:r>
      <w:r w:rsidRPr="0016514A">
        <w:rPr>
          <w:rFonts w:ascii="Baskerville Old Face" w:hAnsi="Baskerville Old Face"/>
          <w:i/>
          <w:iCs/>
          <w:color w:val="000000"/>
        </w:rPr>
        <w:t>Talent Can’t Be Allocated: A Labor Economics Justification for No-Poaching Agreement Criminality in Antitrust Regulation</w:t>
      </w:r>
      <w:r w:rsidRPr="0016514A">
        <w:rPr>
          <w:rFonts w:ascii="Baskerville Old Face" w:hAnsi="Baskerville Old Face"/>
          <w:color w:val="000000"/>
        </w:rPr>
        <w:t xml:space="preserve">, 12 </w:t>
      </w:r>
      <w:r w:rsidRPr="0016514A">
        <w:rPr>
          <w:rFonts w:ascii="Baskerville Old Face" w:hAnsi="Baskerville Old Face"/>
          <w:smallCaps/>
          <w:color w:val="000000"/>
        </w:rPr>
        <w:t>Brook J. Corp. Fin. &amp; Com. L.</w:t>
      </w:r>
      <w:r w:rsidRPr="0016514A">
        <w:rPr>
          <w:rFonts w:ascii="Baskerville Old Face" w:hAnsi="Baskerville Old Face"/>
          <w:color w:val="000000"/>
        </w:rPr>
        <w:t xml:space="preserve"> 279, 279 (2018) (asserting that the economic effects that no-poaching agreements have on labor markets mirror the anticompetitive effects of customer allocation agreements).</w:t>
      </w:r>
    </w:p>
    <w:p w14:paraId="45EC37F6" w14:textId="200E8A40" w:rsidR="00A05A11" w:rsidRDefault="00A05A11" w:rsidP="00FC70C2">
      <w:pPr>
        <w:widowControl w:val="0"/>
        <w:tabs>
          <w:tab w:val="left" w:pos="960"/>
          <w:tab w:val="left" w:pos="1440"/>
        </w:tabs>
        <w:autoSpaceDE w:val="0"/>
        <w:autoSpaceDN w:val="0"/>
        <w:adjustRightInd w:val="0"/>
        <w:ind w:left="475"/>
        <w:textAlignment w:val="center"/>
        <w:rPr>
          <w:rFonts w:ascii="Baskerville Old Face" w:hAnsi="Baskerville Old Face"/>
          <w:color w:val="000000"/>
        </w:rPr>
      </w:pPr>
      <w:r w:rsidRPr="0016514A">
        <w:rPr>
          <w:rFonts w:ascii="Baskerville Old Face" w:hAnsi="Baskerville Old Face"/>
          <w:color w:val="000000"/>
        </w:rPr>
        <w:t xml:space="preserve">Erin Brendel Mathews, </w:t>
      </w:r>
      <w:r w:rsidRPr="0016514A">
        <w:rPr>
          <w:rFonts w:ascii="Baskerville Old Face" w:hAnsi="Baskerville Old Face"/>
          <w:i/>
          <w:iCs/>
          <w:color w:val="000000"/>
        </w:rPr>
        <w:t>Forbidden Friending: A Framework for Assessing the Reasonableness of Nonsolicitation Agreements and Determining What Constitutes a Breach on Social Media</w:t>
      </w:r>
      <w:r w:rsidRPr="0016514A">
        <w:rPr>
          <w:rFonts w:ascii="Baskerville Old Face" w:hAnsi="Baskerville Old Face"/>
          <w:color w:val="000000"/>
        </w:rPr>
        <w:t xml:space="preserve">, 87 </w:t>
      </w:r>
      <w:r w:rsidRPr="0016514A">
        <w:rPr>
          <w:rFonts w:ascii="Baskerville Old Face" w:hAnsi="Baskerville Old Face"/>
          <w:smallCaps/>
          <w:color w:val="000000"/>
        </w:rPr>
        <w:t xml:space="preserve">Fordham L. Rev. </w:t>
      </w:r>
      <w:r w:rsidRPr="0016514A">
        <w:rPr>
          <w:rFonts w:ascii="Baskerville Old Face" w:hAnsi="Baskerville Old Face"/>
          <w:color w:val="000000"/>
        </w:rPr>
        <w:t>1217 (2018).</w:t>
      </w:r>
    </w:p>
    <w:p w14:paraId="68DA78F0" w14:textId="77777777" w:rsidR="007800AF" w:rsidRPr="0016514A" w:rsidRDefault="007800AF" w:rsidP="00FC70C2">
      <w:pPr>
        <w:widowControl w:val="0"/>
        <w:tabs>
          <w:tab w:val="left" w:pos="960"/>
          <w:tab w:val="left" w:pos="1440"/>
        </w:tabs>
        <w:autoSpaceDE w:val="0"/>
        <w:autoSpaceDN w:val="0"/>
        <w:adjustRightInd w:val="0"/>
        <w:ind w:left="475"/>
        <w:textAlignment w:val="center"/>
        <w:rPr>
          <w:rFonts w:ascii="Baskerville Old Face" w:hAnsi="Baskerville Old Face"/>
          <w:color w:val="000000"/>
        </w:rPr>
      </w:pPr>
    </w:p>
    <w:p w14:paraId="122BC265" w14:textId="6B4C0EC5" w:rsidR="00A05A11" w:rsidRDefault="00A05A11" w:rsidP="00FC70C2">
      <w:pPr>
        <w:widowControl w:val="0"/>
        <w:tabs>
          <w:tab w:val="left" w:pos="960"/>
          <w:tab w:val="left" w:pos="1440"/>
        </w:tabs>
        <w:autoSpaceDE w:val="0"/>
        <w:autoSpaceDN w:val="0"/>
        <w:adjustRightInd w:val="0"/>
        <w:ind w:left="475"/>
        <w:textAlignment w:val="center"/>
        <w:rPr>
          <w:rFonts w:ascii="Baskerville Old Face" w:hAnsi="Baskerville Old Face"/>
          <w:color w:val="000000"/>
        </w:rPr>
      </w:pPr>
      <w:r w:rsidRPr="0016514A">
        <w:rPr>
          <w:rFonts w:ascii="Baskerville Old Face" w:hAnsi="Baskerville Old Face"/>
          <w:color w:val="000000"/>
        </w:rPr>
        <w:t xml:space="preserve">Rebecca N. Morrow, </w:t>
      </w:r>
      <w:r w:rsidRPr="0016514A">
        <w:rPr>
          <w:rFonts w:ascii="Baskerville Old Face" w:hAnsi="Baskerville Old Face"/>
          <w:i/>
          <w:iCs/>
          <w:color w:val="000000"/>
        </w:rPr>
        <w:t>Noncompetes as Tax Evasion</w:t>
      </w:r>
      <w:r w:rsidRPr="0016514A">
        <w:rPr>
          <w:rFonts w:ascii="Baskerville Old Face" w:hAnsi="Baskerville Old Face"/>
          <w:color w:val="000000"/>
        </w:rPr>
        <w:t xml:space="preserve">, 96 </w:t>
      </w:r>
      <w:r w:rsidRPr="0016514A">
        <w:rPr>
          <w:rFonts w:ascii="Baskerville Old Face" w:hAnsi="Baskerville Old Face"/>
          <w:smallCaps/>
          <w:color w:val="000000"/>
        </w:rPr>
        <w:t>Wash. U.L. Rev</w:t>
      </w:r>
      <w:r w:rsidRPr="0016514A">
        <w:rPr>
          <w:rFonts w:ascii="Baskerville Old Face" w:hAnsi="Baskerville Old Face"/>
          <w:color w:val="000000"/>
        </w:rPr>
        <w:t>. 265, 265 (2018) (contending that “employment noncompetes, as employers currently use them, constitute tax evasion and should be attacked as such. If employers pay employees for noncompetes through compensation, then by employers’ own account, this compensation is not purely an expense associated with immediate benefits; rather, it is an expenditure associated with future benefits—benefits that the employer will enjoy years after payment”).</w:t>
      </w:r>
    </w:p>
    <w:p w14:paraId="5FDF9972" w14:textId="77777777" w:rsidR="007800AF" w:rsidRPr="0016514A" w:rsidRDefault="007800AF" w:rsidP="00FC70C2">
      <w:pPr>
        <w:widowControl w:val="0"/>
        <w:tabs>
          <w:tab w:val="left" w:pos="960"/>
          <w:tab w:val="left" w:pos="1440"/>
        </w:tabs>
        <w:autoSpaceDE w:val="0"/>
        <w:autoSpaceDN w:val="0"/>
        <w:adjustRightInd w:val="0"/>
        <w:ind w:left="475"/>
        <w:textAlignment w:val="center"/>
        <w:rPr>
          <w:rFonts w:ascii="Baskerville Old Face" w:hAnsi="Baskerville Old Face"/>
          <w:color w:val="000000"/>
        </w:rPr>
      </w:pPr>
    </w:p>
    <w:p w14:paraId="33CD50FE" w14:textId="4857E00F" w:rsidR="00A05A11" w:rsidRPr="0016514A" w:rsidRDefault="00A05A11" w:rsidP="00FC70C2">
      <w:pPr>
        <w:widowControl w:val="0"/>
        <w:tabs>
          <w:tab w:val="left" w:pos="960"/>
          <w:tab w:val="left" w:pos="1440"/>
        </w:tabs>
        <w:autoSpaceDE w:val="0"/>
        <w:autoSpaceDN w:val="0"/>
        <w:adjustRightInd w:val="0"/>
        <w:ind w:left="475"/>
        <w:textAlignment w:val="center"/>
        <w:rPr>
          <w:rFonts w:ascii="Baskerville Old Face" w:hAnsi="Baskerville Old Face"/>
          <w:color w:val="000000"/>
        </w:rPr>
      </w:pPr>
      <w:r w:rsidRPr="0016514A">
        <w:rPr>
          <w:rFonts w:ascii="Baskerville Old Face" w:hAnsi="Baskerville Old Face"/>
        </w:rPr>
        <w:t xml:space="preserve">Phillip D. Thomas, </w:t>
      </w:r>
      <w:r w:rsidRPr="0016514A">
        <w:rPr>
          <w:rFonts w:ascii="Baskerville Old Face" w:hAnsi="Baskerville Old Face"/>
          <w:i/>
          <w:iCs/>
        </w:rPr>
        <w:t>Would California Survive the MOVE Act? A Preemption Analysis of Employee Noncompetition Law</w:t>
      </w:r>
      <w:r w:rsidRPr="0016514A">
        <w:rPr>
          <w:rFonts w:ascii="Baskerville Old Face" w:hAnsi="Baskerville Old Face"/>
        </w:rPr>
        <w:t xml:space="preserve">, 2017 </w:t>
      </w:r>
      <w:r w:rsidRPr="0016514A">
        <w:rPr>
          <w:rFonts w:ascii="Baskerville Old Face" w:hAnsi="Baskerville Old Face"/>
          <w:smallCaps/>
        </w:rPr>
        <w:t>U. Chi. Legal F.</w:t>
      </w:r>
      <w:r w:rsidRPr="0016514A">
        <w:rPr>
          <w:rFonts w:ascii="Baskerville Old Face" w:hAnsi="Baskerville Old Face"/>
        </w:rPr>
        <w:t xml:space="preserve"> 823, 825 (2018) (“Although restrictive covenants were generally disfavored as ‘restraints of trade’ under English common law, the enforceability of covenants not to compete varies widely throughout the United States;” citing, </w:t>
      </w:r>
      <w:r w:rsidRPr="0016514A">
        <w:rPr>
          <w:rFonts w:ascii="Baskerville Old Face" w:hAnsi="Baskerville Old Face"/>
          <w:i/>
          <w:iCs/>
        </w:rPr>
        <w:t>id</w:t>
      </w:r>
      <w:r w:rsidRPr="0016514A">
        <w:rPr>
          <w:rFonts w:ascii="Baskerville Old Face" w:hAnsi="Baskerville Old Face"/>
        </w:rPr>
        <w:t xml:space="preserve">. at n.8, Norman D. Bishara, </w:t>
      </w:r>
      <w:r w:rsidRPr="0016514A">
        <w:rPr>
          <w:rFonts w:ascii="Baskerville Old Face" w:hAnsi="Baskerville Old Face"/>
          <w:i/>
          <w:iCs/>
        </w:rPr>
        <w:t>Fifty Ways to Leave Your Employer: Relative Enforcement of Covenants Not to Compete, Trends, and Implications for Employee Mobility Policy</w:t>
      </w:r>
      <w:r w:rsidRPr="0016514A">
        <w:rPr>
          <w:rFonts w:ascii="Baskerville Old Face" w:hAnsi="Baskerville Old Face"/>
        </w:rPr>
        <w:t xml:space="preserve">, 13 </w:t>
      </w:r>
      <w:r w:rsidRPr="0016514A">
        <w:rPr>
          <w:rFonts w:ascii="Baskerville Old Face" w:hAnsi="Baskerville Old Face"/>
          <w:smallCaps/>
        </w:rPr>
        <w:t>U. Pa. J. Bus. L.</w:t>
      </w:r>
      <w:r w:rsidRPr="0016514A">
        <w:rPr>
          <w:rFonts w:ascii="Baskerville Old Face" w:hAnsi="Baskerville Old Face"/>
        </w:rPr>
        <w:t xml:space="preserve"> 751, 771–79, 786–87 fig.1 (2011), and noting that Bishara created a noncompete agreement enforceability index for all 50 states and the District of Columbia by assigning scores to the results presented in </w:t>
      </w:r>
      <w:r w:rsidRPr="0016514A">
        <w:rPr>
          <w:rFonts w:ascii="Baskerville Old Face" w:hAnsi="Baskerville Old Face"/>
          <w:smallCaps/>
        </w:rPr>
        <w:t>Brian M. Malsberger</w:t>
      </w:r>
      <w:r w:rsidRPr="0016514A">
        <w:rPr>
          <w:rFonts w:ascii="Baskerville Old Face" w:hAnsi="Baskerville Old Face"/>
        </w:rPr>
        <w:t xml:space="preserve">, </w:t>
      </w:r>
      <w:r w:rsidRPr="0016514A">
        <w:rPr>
          <w:rFonts w:ascii="Baskerville Old Face" w:hAnsi="Baskerville Old Face"/>
          <w:smallCaps/>
        </w:rPr>
        <w:t>Covenants Not to Compete: A State-by-State Survey</w:t>
      </w:r>
      <w:r w:rsidRPr="0016514A">
        <w:rPr>
          <w:rFonts w:ascii="Baskerville Old Face" w:hAnsi="Baskerville Old Face"/>
        </w:rPr>
        <w:t xml:space="preserve"> (6th ed. 2008 &amp; Supp. 2009), since replaced </w:t>
      </w:r>
      <w:r w:rsidRPr="0016514A">
        <w:rPr>
          <w:rFonts w:ascii="Baskerville Old Face" w:hAnsi="Baskerville Old Face"/>
        </w:rPr>
        <w:lastRenderedPageBreak/>
        <w:t>by the instant edition</w:t>
      </w:r>
      <w:r w:rsidR="009060B6">
        <w:rPr>
          <w:rFonts w:ascii="Baskerville Old Face" w:hAnsi="Baskerville Old Face"/>
        </w:rPr>
        <w:t xml:space="preserve">, </w:t>
      </w:r>
      <w:r w:rsidR="009060B6" w:rsidRPr="0016514A">
        <w:rPr>
          <w:rFonts w:ascii="Baskerville Old Face" w:hAnsi="Baskerville Old Face"/>
          <w:smallCaps/>
        </w:rPr>
        <w:t>Brian M. Malsberger</w:t>
      </w:r>
      <w:r w:rsidR="009060B6" w:rsidRPr="0016514A">
        <w:rPr>
          <w:rFonts w:ascii="Baskerville Old Face" w:hAnsi="Baskerville Old Face"/>
        </w:rPr>
        <w:t xml:space="preserve">, </w:t>
      </w:r>
      <w:r w:rsidR="009060B6" w:rsidRPr="0016514A">
        <w:rPr>
          <w:rFonts w:ascii="Baskerville Old Face" w:hAnsi="Baskerville Old Face"/>
          <w:smallCaps/>
        </w:rPr>
        <w:t>Covenants Not to Compete: A State-by-State Survey</w:t>
      </w:r>
      <w:r w:rsidR="009060B6" w:rsidRPr="0016514A">
        <w:rPr>
          <w:rFonts w:ascii="Baskerville Old Face" w:hAnsi="Baskerville Old Face"/>
        </w:rPr>
        <w:t xml:space="preserve"> (</w:t>
      </w:r>
      <w:r w:rsidR="009060B6">
        <w:rPr>
          <w:rFonts w:ascii="Baskerville Old Face" w:hAnsi="Baskerville Old Face"/>
        </w:rPr>
        <w:t xml:space="preserve">Arlington, Va.: Bloomberg Law, </w:t>
      </w:r>
      <w:r w:rsidR="004A3D31">
        <w:rPr>
          <w:rFonts w:ascii="Baskerville Old Face" w:hAnsi="Baskerville Old Face"/>
        </w:rPr>
        <w:t>2023</w:t>
      </w:r>
      <w:r w:rsidR="009060B6">
        <w:rPr>
          <w:rFonts w:ascii="Baskerville Old Face" w:hAnsi="Baskerville Old Face"/>
        </w:rPr>
        <w:t xml:space="preserve"> ed.) </w:t>
      </w:r>
      <w:r w:rsidR="003207CE">
        <w:rPr>
          <w:rFonts w:ascii="Baskerville Old Face" w:hAnsi="Baskerville Old Face"/>
        </w:rPr>
        <w:t>(ebook)</w:t>
      </w:r>
      <w:r w:rsidRPr="0016514A">
        <w:rPr>
          <w:rFonts w:ascii="Baskerville Old Face" w:hAnsi="Baskerville Old Face"/>
        </w:rPr>
        <w:t>).</w:t>
      </w:r>
    </w:p>
    <w:p w14:paraId="66A8F1DE" w14:textId="77777777" w:rsidR="00655396" w:rsidRDefault="00655396" w:rsidP="008B512B">
      <w:pPr>
        <w:pStyle w:val="BodyText"/>
        <w:spacing w:line="240" w:lineRule="auto"/>
      </w:pPr>
    </w:p>
    <w:p w14:paraId="7A53CA6E" w14:textId="7CCDF1AA" w:rsidR="00655396" w:rsidRDefault="00655396" w:rsidP="008B512B">
      <w:pPr>
        <w:pStyle w:val="BodyText"/>
        <w:spacing w:line="240" w:lineRule="auto"/>
      </w:pPr>
      <w:r>
        <w:tab/>
        <w:t xml:space="preserve">In addition, a broadly illuminating listing of </w:t>
      </w:r>
      <w:r w:rsidR="007800AF">
        <w:t xml:space="preserve">earlier </w:t>
      </w:r>
      <w:r>
        <w:t xml:space="preserve">resources, not necessarily addressing the law of this jurisdiction in particular, is contained in Appendix </w:t>
      </w:r>
      <w:r w:rsidR="00E22509">
        <w:t>A</w:t>
      </w:r>
      <w:r>
        <w:t>.</w:t>
      </w:r>
    </w:p>
    <w:p w14:paraId="7B89D6AB" w14:textId="77777777" w:rsidR="00655396" w:rsidRDefault="00655396" w:rsidP="008B512B">
      <w:pPr>
        <w:pStyle w:val="BodyText"/>
        <w:spacing w:line="240" w:lineRule="auto"/>
      </w:pPr>
    </w:p>
    <w:p w14:paraId="71FD4FEF" w14:textId="77777777" w:rsidR="00655396" w:rsidRDefault="00655396" w:rsidP="008B512B">
      <w:pPr>
        <w:pStyle w:val="BodyTextIndent"/>
        <w:spacing w:line="240" w:lineRule="auto"/>
      </w:pPr>
    </w:p>
    <w:p w14:paraId="1DF080BB" w14:textId="77777777" w:rsidR="00655396" w:rsidRDefault="00655396" w:rsidP="008B512B">
      <w:pPr>
        <w:pStyle w:val="Question"/>
        <w:spacing w:line="240" w:lineRule="auto"/>
      </w:pPr>
      <w:r>
        <w:t>14.</w:t>
      </w:r>
      <w:r>
        <w:tab/>
        <w:t>Illustrative Cases</w:t>
      </w:r>
    </w:p>
    <w:p w14:paraId="2E8757FB" w14:textId="77777777" w:rsidR="00655396" w:rsidRDefault="00655396" w:rsidP="008B512B">
      <w:pPr>
        <w:pStyle w:val="BodyText"/>
        <w:spacing w:line="240" w:lineRule="auto"/>
        <w:rPr>
          <w:i/>
          <w:iCs/>
        </w:rPr>
      </w:pPr>
    </w:p>
    <w:p w14:paraId="19470E0E" w14:textId="77777777" w:rsidR="00655396" w:rsidRDefault="00655396" w:rsidP="008B512B">
      <w:pPr>
        <w:pStyle w:val="BodyTextIndent"/>
        <w:spacing w:line="240" w:lineRule="auto"/>
        <w:rPr>
          <w:i/>
          <w:iCs/>
        </w:rPr>
      </w:pPr>
      <w:r>
        <w:rPr>
          <w:i/>
          <w:iCs/>
        </w:rPr>
        <w:t>Taimoorazy v. Bloomington Anesthesiology Serv., Ltd., 122 F. Supp. 2d 967 (C.D. Ill. 2000)</w:t>
      </w:r>
    </w:p>
    <w:p w14:paraId="55F2E8B4" w14:textId="77777777" w:rsidR="00655396" w:rsidRDefault="00655396" w:rsidP="008B512B">
      <w:pPr>
        <w:pStyle w:val="BodyText"/>
        <w:spacing w:line="240" w:lineRule="auto"/>
      </w:pPr>
    </w:p>
    <w:p w14:paraId="62D63561" w14:textId="402CB62B" w:rsidR="00655396" w:rsidRDefault="00655396" w:rsidP="008B512B">
      <w:pPr>
        <w:pStyle w:val="BodyText"/>
        <w:spacing w:line="240" w:lineRule="auto"/>
      </w:pPr>
      <w:r>
        <w:tab/>
        <w:t>In this action, an anesthesiology service provider unsuccessfully charged that two former employee anesthesiologists had breached covenants not to compete within McLean County (one of the employees was also barred from competing in Livingston County) when they began working at a hospital located in McLean County, but at which the employer was itself precluded from providing services.</w:t>
      </w:r>
      <w:r w:rsidR="00FB1D09">
        <w:t xml:space="preserve"> </w:t>
      </w:r>
      <w:r>
        <w:t>Focusing on the word “compete,” the court of appeals observed:</w:t>
      </w:r>
    </w:p>
    <w:p w14:paraId="4ECAAAF8" w14:textId="77777777" w:rsidR="00655396" w:rsidRDefault="00655396" w:rsidP="008B512B">
      <w:pPr>
        <w:pStyle w:val="BodyText"/>
        <w:spacing w:line="240" w:lineRule="auto"/>
      </w:pPr>
    </w:p>
    <w:p w14:paraId="500DD90A" w14:textId="2FEC8CF6" w:rsidR="00655396" w:rsidRPr="00655396" w:rsidRDefault="00655396" w:rsidP="008B512B">
      <w:pPr>
        <w:pStyle w:val="BQ"/>
        <w:spacing w:line="240" w:lineRule="auto"/>
        <w:rPr>
          <w:b/>
        </w:rPr>
      </w:pPr>
      <w:r w:rsidRPr="00655396">
        <w:tab/>
        <w:t>Contrary to the interpretation that has sometimes been offered by [former employer] Bloomington Anesthesiology in its letters and pleadings, the plain language of the restrictive covenant in Article 20 of the Employment Agreement does not preclude [the former employees] from doing business or practicing medicine in McLean County</w:t>
      </w:r>
      <w:r w:rsidR="00D47546">
        <w:t xml:space="preserve">; </w:t>
      </w:r>
      <w:r w:rsidRPr="00655396">
        <w:t>rather, it only prohibits [them] from participating in or associating with a practice which competes with Bloomington Anesthesiology.</w:t>
      </w:r>
      <w:r w:rsidR="00FB1D09">
        <w:t xml:space="preserve"> </w:t>
      </w:r>
      <w:r w:rsidRPr="00655396">
        <w:t>“Competition” is commonly defined as “[t]he efforts or action of two or more commercial interests to obtain the same business from third parties.”</w:t>
      </w:r>
      <w:r w:rsidR="00FB1D09">
        <w:t xml:space="preserve"> </w:t>
      </w:r>
      <w:r w:rsidRPr="00655396">
        <w:t>Black’s Law Dictionary, 7th Edition ([added emphasis omitted]).</w:t>
      </w:r>
      <w:r w:rsidR="00FB1D09">
        <w:t xml:space="preserve"> </w:t>
      </w:r>
      <w:r w:rsidRPr="00655396">
        <w:t>Similarly, Illinois courts have defined the term as follows</w:t>
      </w:r>
      <w:r w:rsidR="00D47546">
        <w:t xml:space="preserve">: </w:t>
      </w:r>
      <w:r w:rsidRPr="00655396">
        <w:t xml:space="preserve">“ ‘Compete’ means to seek or strive for something for which others are contending or to vie with another for a prize </w:t>
      </w:r>
      <w:r w:rsidRPr="00655396">
        <w:rPr>
          <w:rFonts w:ascii="Times New Roman" w:hAnsi="Times New Roman" w:cs="Times New Roman"/>
        </w:rPr>
        <w:t> </w:t>
      </w:r>
      <w:r w:rsidR="00944F63">
        <w:t>…</w:t>
      </w:r>
      <w:r w:rsidRPr="00655396">
        <w:t xml:space="preserve"> to strive for a position, reward, profit or goal for which another is striving; to contend in rivalry.”</w:t>
      </w:r>
      <w:r w:rsidR="00FB1D09">
        <w:t xml:space="preserve"> </w:t>
      </w:r>
      <w:r w:rsidRPr="00655396">
        <w:rPr>
          <w:bCs w:val="0"/>
          <w:i/>
          <w:iCs/>
        </w:rPr>
        <w:t>Hagerty, Lockenvitz, Ginzkey, etc. v. Ginzkey</w:t>
      </w:r>
      <w:r w:rsidRPr="00655396">
        <w:t>, 85 Ill. App. 3d 640, 40 Ill. Dec. 778, 406 N.E.2d 1145, 1146 (4th Dist. 1980) ([added emphasis omitted]).</w:t>
      </w:r>
      <w:r w:rsidR="00FB1D09">
        <w:t xml:space="preserve"> </w:t>
      </w:r>
      <w:r w:rsidRPr="00655396">
        <w:t xml:space="preserve">An individual who is merely present and available to provide services, but who has not actively </w:t>
      </w:r>
      <w:r w:rsidRPr="00655396">
        <w:lastRenderedPageBreak/>
        <w:t>solicited business, has not engaged in competition.</w:t>
      </w:r>
      <w:r w:rsidR="00FB1D09">
        <w:t xml:space="preserve"> </w:t>
      </w:r>
      <w:r w:rsidRPr="00655396">
        <w:rPr>
          <w:bCs w:val="0"/>
          <w:i/>
          <w:iCs/>
        </w:rPr>
        <w:t>Id.</w:t>
      </w:r>
      <w:r w:rsidRPr="00655396">
        <w:t xml:space="preserve"> at 1147, 40 Ill. Dec. 778.</w:t>
      </w:r>
    </w:p>
    <w:p w14:paraId="3E4C3285" w14:textId="5AF2DC25" w:rsidR="00655396" w:rsidRPr="00655396" w:rsidRDefault="00655396" w:rsidP="008B512B">
      <w:pPr>
        <w:pStyle w:val="BQ"/>
        <w:spacing w:line="240" w:lineRule="auto"/>
        <w:rPr>
          <w:b/>
        </w:rPr>
      </w:pPr>
      <w:r w:rsidRPr="00655396">
        <w:tab/>
        <w:t>Here, [the former employees] sought positions with the anesthesia group that provided services to BroMenn Hospital and ultimately obtained staff privileges at BroMenn Hospital.</w:t>
      </w:r>
      <w:r w:rsidR="00FB1D09">
        <w:t xml:space="preserve"> </w:t>
      </w:r>
      <w:r w:rsidRPr="00655396">
        <w:t>The record is devoid of any evidence suggesting that [the former employees] have actively solicited any of the patients or hospitals served by Bloomington Anesthesiology or that Bloomington Anesthesiology is either seeking or has any interest in developing an anesthesiology practice at BroMenn Hospital.</w:t>
      </w:r>
      <w:r w:rsidR="00FB1D09">
        <w:t xml:space="preserve"> </w:t>
      </w:r>
      <w:r w:rsidRPr="00655396">
        <w:t>To the contrary, Bloomington Anesthesiology admits that as part of its agreement with OSF Healthcare System to provide exclusive anesthesia services at St. Joseph[, which is located in McLean County], it agreed not to provide any anesthesia services at BroMenn Hospital.</w:t>
      </w:r>
      <w:r w:rsidR="00FB1D09">
        <w:t xml:space="preserve"> </w:t>
      </w:r>
      <w:r w:rsidRPr="00655396">
        <w:t>In fact, the contract specifically provides that Bloomington Anesthesiology “shall not participate in or maintain an interest, either directly or indirectly, in any anesthesiology services which are in competition in any manner with the [St. Joseph] MEDICAL CENTER or the SURGICAL CENTER within McLean County, Illinois.”</w:t>
      </w:r>
    </w:p>
    <w:p w14:paraId="0C3AE2A6" w14:textId="06670109" w:rsidR="00655396" w:rsidRPr="00655396" w:rsidRDefault="00655396" w:rsidP="008B512B">
      <w:pPr>
        <w:pStyle w:val="BQ"/>
        <w:spacing w:line="240" w:lineRule="auto"/>
        <w:rPr>
          <w:b/>
        </w:rPr>
      </w:pPr>
      <w:r w:rsidRPr="00655396">
        <w:tab/>
        <w:t>[The former employer] argues that there has been competition in violation of Article 20, because BroMenn Hospital in some sense competes with St. Joseph for patients. However, the Court rejects this argument, as there has been no demonstration that [the former employees] have “actively solicited business” as opposed to being “merely present and available” to provide services when requested at a facility in which [doctors still associated with the former employer] are precluded from offering services.</w:t>
      </w:r>
      <w:r w:rsidR="00FB1D09">
        <w:t xml:space="preserve"> </w:t>
      </w:r>
      <w:r w:rsidRPr="00655396">
        <w:rPr>
          <w:bCs w:val="0"/>
          <w:i/>
          <w:iCs/>
        </w:rPr>
        <w:t>See Hagerty, et al.</w:t>
      </w:r>
      <w:r w:rsidRPr="00655396">
        <w:t>, 40 Ill. Dec. 778, 406 N.E.2d at 1147.</w:t>
      </w:r>
      <w:r w:rsidR="00FB1D09">
        <w:t xml:space="preserve"> </w:t>
      </w:r>
      <w:r w:rsidRPr="00655396">
        <w:t>The concept of theoretical or conceptual competition proposed by [the former employer] is contrary to Illinois law.</w:t>
      </w:r>
    </w:p>
    <w:p w14:paraId="4A15B4F9" w14:textId="0D21F993" w:rsidR="00655396" w:rsidRPr="00655396" w:rsidRDefault="00655396" w:rsidP="008B512B">
      <w:pPr>
        <w:pStyle w:val="BQ"/>
        <w:spacing w:line="240" w:lineRule="auto"/>
        <w:rPr>
          <w:b/>
        </w:rPr>
      </w:pPr>
      <w:r w:rsidRPr="00655396">
        <w:tab/>
        <w:t xml:space="preserve">Moreover, “the meaning to be given to the plain words of a written instrument is a question of law for the court’s determination where the parties have attached no unusual or peculiar meaning to the words.” </w:t>
      </w:r>
      <w:r w:rsidRPr="00655396">
        <w:rPr>
          <w:bCs w:val="0"/>
          <w:i/>
          <w:iCs/>
        </w:rPr>
        <w:t>Id.</w:t>
      </w:r>
      <w:r w:rsidRPr="00655396">
        <w:t xml:space="preserve"> at 1146, 40 Ill. Dec. 778.</w:t>
      </w:r>
      <w:r w:rsidR="00FB1D09">
        <w:t xml:space="preserve"> </w:t>
      </w:r>
      <w:r w:rsidRPr="00655396">
        <w:t>The plain language of the restrictive covenant at issue in this case prohibits [the former employees] from competing with Bloomington Anesthesiology and the business that it conducts but does not prohibit them from engaging in any services offered by St. Joseph or practicing medicine in a location within McLean County that does not infringe on the business conducted by Bloomington Anesthesiology.</w:t>
      </w:r>
      <w:r w:rsidR="00FB1D09">
        <w:t xml:space="preserve"> </w:t>
      </w:r>
      <w:r w:rsidRPr="00655396">
        <w:t xml:space="preserve">The fact that the hospitals themselves may compete for patients is not included within the plain language of the restrictive covenant and is simply irrelevant to any </w:t>
      </w:r>
      <w:r w:rsidRPr="00655396">
        <w:lastRenderedPageBreak/>
        <w:t>legitimate interest that Bloomington Anesthesiology has in protecting its medical practice at St. Joseph.</w:t>
      </w:r>
      <w:r w:rsidR="00FB1D09">
        <w:t xml:space="preserve"> </w:t>
      </w:r>
      <w:r w:rsidRPr="00655396">
        <w:t>In drafting the Employment Agreement, Bloomington Anesthesiology did not include language indicating an intent to bar [the former employees] from practicing medicine at any hospital that can be said to compete with the hospital(s) at which [the former employer] provides exclusive services, and it cannot now seek to enforce an aspect of a covenant that does not exist.</w:t>
      </w:r>
    </w:p>
    <w:p w14:paraId="3DCC96EA" w14:textId="61069625" w:rsidR="00655396" w:rsidRPr="00655396" w:rsidRDefault="00655396" w:rsidP="008B512B">
      <w:pPr>
        <w:pStyle w:val="BQ"/>
        <w:spacing w:line="240" w:lineRule="auto"/>
        <w:rPr>
          <w:b/>
        </w:rPr>
      </w:pPr>
      <w:r w:rsidRPr="00655396">
        <w:tab/>
        <w:t>Thus, under the particular and somewhat unique circumstances of this case, Bloomington Anesthesiology is contractually prohibited from providing any anesthesia services at BroMenn Hospital and can therefore have no legitimate business interest in preventing [the former employees] from providing such services.</w:t>
      </w:r>
      <w:r w:rsidR="00FB1D09">
        <w:t xml:space="preserve"> </w:t>
      </w:r>
      <w:r w:rsidRPr="00655396">
        <w:t>In light of the facts of record in this case, [the former employees] cannot reasonably be said to have associated with or participated in a practice which competes with the business conducted by Bloomington Anesthesiology or to have actively solicited its clients.</w:t>
      </w:r>
      <w:r w:rsidR="00FB1D09">
        <w:t xml:space="preserve"> </w:t>
      </w:r>
      <w:r w:rsidRPr="00655396">
        <w:t>Accordingly, even assuming that the restrictive covenant was generally valid and enforceable, the Court finds that [the former employees have] not violated Article 20 of [the] Employment Agreement as written</w:t>
      </w:r>
      <w:r w:rsidR="00944F63">
        <w:t>…</w:t>
      </w:r>
      <w:r w:rsidRPr="00655396">
        <w:rPr>
          <w:rFonts w:ascii="Times New Roman" w:hAnsi="Times New Roman" w:cs="Times New Roman"/>
        </w:rPr>
        <w:t> </w:t>
      </w:r>
      <w:r w:rsidRPr="00655396">
        <w:t>.</w:t>
      </w:r>
    </w:p>
    <w:p w14:paraId="6CC65C68" w14:textId="77777777" w:rsidR="00655396" w:rsidRDefault="00655396" w:rsidP="008B512B">
      <w:pPr>
        <w:pStyle w:val="BodyTextIndent"/>
        <w:spacing w:line="240" w:lineRule="auto"/>
      </w:pPr>
    </w:p>
    <w:p w14:paraId="10D3F3FA" w14:textId="77777777" w:rsidR="00655396" w:rsidRDefault="00655396" w:rsidP="008B512B">
      <w:pPr>
        <w:pStyle w:val="BodyText"/>
        <w:spacing w:line="240" w:lineRule="auto"/>
      </w:pPr>
      <w:r>
        <w:rPr>
          <w:i/>
          <w:iCs/>
        </w:rPr>
        <w:t>Id.</w:t>
      </w:r>
      <w:r>
        <w:t xml:space="preserve"> at 979–80.</w:t>
      </w:r>
    </w:p>
    <w:p w14:paraId="2E436A67" w14:textId="77777777" w:rsidR="00655396" w:rsidRDefault="00655396" w:rsidP="008B512B">
      <w:pPr>
        <w:pStyle w:val="BodyText"/>
        <w:spacing w:line="240" w:lineRule="auto"/>
        <w:rPr>
          <w:i/>
          <w:iCs/>
        </w:rPr>
      </w:pPr>
    </w:p>
    <w:p w14:paraId="6B55CE2D" w14:textId="77777777" w:rsidR="00655396" w:rsidRDefault="00655396" w:rsidP="008B512B">
      <w:pPr>
        <w:pStyle w:val="Indpara"/>
        <w:spacing w:line="240" w:lineRule="auto"/>
      </w:pPr>
      <w:r>
        <w:rPr>
          <w:i/>
          <w:iCs/>
        </w:rPr>
        <w:t>Midwest Television, Inc. v. Oloffson, 298 Ill. App. 3d 548, 232 Ill. Dec. 783, 699 N.E.2d 230 (3d Dist. 1998)</w:t>
      </w:r>
    </w:p>
    <w:p w14:paraId="55D38F9B" w14:textId="77777777" w:rsidR="00655396" w:rsidRDefault="00655396" w:rsidP="008B512B">
      <w:pPr>
        <w:pStyle w:val="BodyText"/>
        <w:spacing w:line="240" w:lineRule="auto"/>
      </w:pPr>
    </w:p>
    <w:p w14:paraId="3038FF82" w14:textId="263DE338" w:rsidR="00655396" w:rsidRDefault="00655396" w:rsidP="008B512B">
      <w:pPr>
        <w:pStyle w:val="BodyText"/>
        <w:spacing w:line="240" w:lineRule="auto"/>
      </w:pPr>
      <w:r>
        <w:tab/>
        <w:t>In this action, the Illinois Court of Appeals for the Third District found reasonable a one-year covenant barring an on-air radio “personality” (broadcaster) from working within a 100-mile radius of the former employer’s transmission tower in East Peoria, Illinois, in broadcast positions requiring the performance of “services which are the same or of similar kind or are of similar or greater responsibility” than he performed for the former employer.</w:t>
      </w:r>
      <w:r w:rsidR="00FB1D09">
        <w:t xml:space="preserve"> </w:t>
      </w:r>
      <w:r>
        <w:rPr>
          <w:i/>
          <w:iCs/>
        </w:rPr>
        <w:t>Id.</w:t>
      </w:r>
      <w:r>
        <w:t xml:space="preserve"> at 557, 232 Ill. Dec. at 788, 699 N.E.2d at 235.</w:t>
      </w:r>
    </w:p>
    <w:p w14:paraId="15AEDBAC" w14:textId="106E4177" w:rsidR="00655396" w:rsidRDefault="00655396" w:rsidP="008B512B">
      <w:pPr>
        <w:pStyle w:val="BodyText"/>
        <w:spacing w:line="240" w:lineRule="auto"/>
      </w:pPr>
      <w:r>
        <w:tab/>
        <w:t xml:space="preserve">The court found the 100-mile-radius </w:t>
      </w:r>
      <w:r>
        <w:rPr>
          <w:i/>
          <w:iCs/>
        </w:rPr>
        <w:t>geographic term</w:t>
      </w:r>
      <w:r>
        <w:t xml:space="preserve"> reasonable because it was “reasonably coextensive with” the former employer’s business territory.</w:t>
      </w:r>
      <w:r w:rsidR="00FB1D09">
        <w:t xml:space="preserve"> </w:t>
      </w:r>
      <w:r>
        <w:rPr>
          <w:i/>
          <w:iCs/>
        </w:rPr>
        <w:t>Id.</w:t>
      </w:r>
      <w:r>
        <w:t>, 232 Ill. Dec. at 788, 699 N.E.2d at 235.</w:t>
      </w:r>
      <w:r w:rsidR="00FB1D09">
        <w:t xml:space="preserve"> </w:t>
      </w:r>
      <w:r>
        <w:t>It explained:</w:t>
      </w:r>
    </w:p>
    <w:p w14:paraId="702E06DC" w14:textId="77777777" w:rsidR="00655396" w:rsidRDefault="00655396" w:rsidP="008B512B">
      <w:pPr>
        <w:pStyle w:val="BodyText"/>
        <w:spacing w:line="240" w:lineRule="auto"/>
        <w:rPr>
          <w:sz w:val="22"/>
          <w:szCs w:val="22"/>
        </w:rPr>
      </w:pPr>
    </w:p>
    <w:p w14:paraId="30CA1AA9" w14:textId="4AC38DFE"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 xml:space="preserve">The evidence shows that [the former employer’s AM and FM] stations </w:t>
      </w:r>
      <w:r>
        <w:rPr>
          <w:rFonts w:ascii="Baskerville" w:hAnsi="Baskerville" w:cs="Baskerville"/>
          <w:sz w:val="22"/>
          <w:szCs w:val="22"/>
        </w:rPr>
        <w:lastRenderedPageBreak/>
        <w:t>[for both of which the former employee had worked] generally have a 60-mile broadcast range, with its FM station capable of reaching up to 90 miles.</w:t>
      </w:r>
      <w:r w:rsidR="00FB1D09">
        <w:rPr>
          <w:rFonts w:ascii="Baskerville" w:hAnsi="Baskerville" w:cs="Baskerville"/>
          <w:sz w:val="22"/>
          <w:szCs w:val="22"/>
        </w:rPr>
        <w:t xml:space="preserve"> </w:t>
      </w:r>
      <w:r>
        <w:rPr>
          <w:rFonts w:ascii="Baskerville" w:hAnsi="Baskerville" w:cs="Baskerville"/>
          <w:sz w:val="22"/>
          <w:szCs w:val="22"/>
        </w:rPr>
        <w:t>[The former employer’s] station manager testified that a 100-mile geographic restriction was necessary because a station with a somewhat stronger signal located near the edge of this zone could effectively cover [the former employer’s] broadcast territory, competing for its listeners and advertisers.</w:t>
      </w:r>
    </w:p>
    <w:p w14:paraId="546D9F3C" w14:textId="77777777" w:rsidR="00655396" w:rsidRDefault="00655396" w:rsidP="008B512B">
      <w:pPr>
        <w:pStyle w:val="BodyTextIndent"/>
        <w:spacing w:line="240" w:lineRule="auto"/>
      </w:pPr>
    </w:p>
    <w:p w14:paraId="0C829279" w14:textId="5105E02C" w:rsidR="00655396" w:rsidRDefault="00655396" w:rsidP="008B512B">
      <w:pPr>
        <w:pStyle w:val="BodyText"/>
        <w:spacing w:line="240" w:lineRule="auto"/>
      </w:pPr>
      <w:r>
        <w:rPr>
          <w:i/>
          <w:iCs/>
        </w:rPr>
        <w:t>Id.</w:t>
      </w:r>
      <w:r>
        <w:t>, 232 Ill. Dec. at 788, 699 N.E.2d at 235.</w:t>
      </w:r>
      <w:r w:rsidR="00FB1D09">
        <w:t xml:space="preserve"> </w:t>
      </w:r>
      <w:r>
        <w:t xml:space="preserve">The court also reasoned: </w:t>
      </w:r>
    </w:p>
    <w:p w14:paraId="0839DEFD" w14:textId="77777777" w:rsidR="00655396" w:rsidRDefault="00655396" w:rsidP="008B512B">
      <w:pPr>
        <w:pStyle w:val="BodyTextIndent"/>
        <w:spacing w:line="240" w:lineRule="auto"/>
      </w:pPr>
    </w:p>
    <w:p w14:paraId="2F2C37C6" w14:textId="68BD14C9"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Because the evidence indicates that [the former employee] is an extremely popular radio personality, [the former employer’s] concern that its listeners and advertisers would follow him to a station within an overlapping broadcast zone is not unreasonable.</w:t>
      </w:r>
      <w:r w:rsidR="00FB1D09">
        <w:rPr>
          <w:rFonts w:ascii="Baskerville" w:hAnsi="Baskerville" w:cs="Baskerville"/>
          <w:sz w:val="22"/>
          <w:szCs w:val="22"/>
        </w:rPr>
        <w:t xml:space="preserve"> </w:t>
      </w:r>
      <w:r>
        <w:rPr>
          <w:rFonts w:ascii="Baskerville" w:hAnsi="Baskerville" w:cs="Baskerville"/>
          <w:sz w:val="22"/>
          <w:szCs w:val="22"/>
        </w:rPr>
        <w:t>In fact, [the former employer’s] station manager testified that both listeners and advertisers followed [the former employee] when he moved between its AM and FM stations.</w:t>
      </w:r>
    </w:p>
    <w:p w14:paraId="4E6472AE" w14:textId="77777777" w:rsidR="00655396" w:rsidRDefault="00655396" w:rsidP="008B512B">
      <w:pPr>
        <w:pStyle w:val="BodyTextIndent"/>
        <w:spacing w:line="240" w:lineRule="auto"/>
      </w:pPr>
    </w:p>
    <w:p w14:paraId="7E906F8C" w14:textId="77777777" w:rsidR="00655396" w:rsidRDefault="00655396" w:rsidP="008B512B">
      <w:pPr>
        <w:pStyle w:val="BodyText"/>
        <w:spacing w:line="240" w:lineRule="auto"/>
      </w:pPr>
      <w:r>
        <w:rPr>
          <w:i/>
          <w:iCs/>
        </w:rPr>
        <w:t>Id.</w:t>
      </w:r>
      <w:r>
        <w:t>, 232 Ill. Dec. at 788, 699 N.E.2d at 235.</w:t>
      </w:r>
    </w:p>
    <w:p w14:paraId="0614551C" w14:textId="604D692B" w:rsidR="00655396" w:rsidRDefault="00655396" w:rsidP="008B512B">
      <w:pPr>
        <w:pStyle w:val="BodyText"/>
        <w:spacing w:line="240" w:lineRule="auto"/>
      </w:pPr>
      <w:r>
        <w:tab/>
        <w:t xml:space="preserve">The court also found the one-year </w:t>
      </w:r>
      <w:r>
        <w:rPr>
          <w:i/>
          <w:iCs/>
        </w:rPr>
        <w:t>temporal</w:t>
      </w:r>
      <w:r>
        <w:t xml:space="preserve"> term “reasonably related to [the former employer’s] business development needs” (</w:t>
      </w:r>
      <w:r>
        <w:rPr>
          <w:i/>
          <w:iCs/>
        </w:rPr>
        <w:t>id.</w:t>
      </w:r>
      <w:r>
        <w:t>, 232 Ill. Dec. at 788, 699 N.E.2d at 235), because “[t]he trial testimony established that a new advertiser’s business can take much longer than 12 months to develop.</w:t>
      </w:r>
      <w:r w:rsidR="00FB1D09">
        <w:t xml:space="preserve"> </w:t>
      </w:r>
      <w:r>
        <w:t>The station must spend substantial amounts of time and effort to attract listeners and advertisers.”</w:t>
      </w:r>
      <w:r w:rsidR="00FB1D09">
        <w:t xml:space="preserve"> </w:t>
      </w:r>
      <w:r>
        <w:rPr>
          <w:i/>
          <w:iCs/>
        </w:rPr>
        <w:t>Id.</w:t>
      </w:r>
      <w:r>
        <w:t>, 232 Ill. Dec. at 788, 699 N.E.2d at 235.</w:t>
      </w:r>
    </w:p>
    <w:p w14:paraId="5511C167" w14:textId="6AE515A3" w:rsidR="00655396" w:rsidRDefault="00655396" w:rsidP="008B512B">
      <w:pPr>
        <w:pStyle w:val="BodyText"/>
        <w:spacing w:line="240" w:lineRule="auto"/>
      </w:pPr>
      <w:r>
        <w:tab/>
        <w:t xml:space="preserve">The court likewise found the </w:t>
      </w:r>
      <w:r>
        <w:rPr>
          <w:i/>
          <w:iCs/>
        </w:rPr>
        <w:t>scope-of-activity</w:t>
      </w:r>
      <w:r>
        <w:t xml:space="preserve"> term reasonable because the term “leaves open the possibility of a wide range of positions in the broadcasting industry that are located within the restricted geographical area.”</w:t>
      </w:r>
      <w:r w:rsidR="00FB1D09">
        <w:t xml:space="preserve"> </w:t>
      </w:r>
      <w:r>
        <w:rPr>
          <w:i/>
          <w:iCs/>
        </w:rPr>
        <w:t>Id.</w:t>
      </w:r>
      <w:r>
        <w:t>, 232 Ill. Dec. at 788, 699 N.E.2d at 235).</w:t>
      </w:r>
    </w:p>
    <w:p w14:paraId="25356908" w14:textId="77777777" w:rsidR="00655396" w:rsidRDefault="00655396" w:rsidP="008B512B">
      <w:pPr>
        <w:pStyle w:val="BodyTextIndent"/>
        <w:spacing w:line="240" w:lineRule="auto"/>
      </w:pPr>
    </w:p>
    <w:p w14:paraId="0D0B1EDE" w14:textId="77777777" w:rsidR="00655396" w:rsidRDefault="00655396" w:rsidP="008B512B">
      <w:pPr>
        <w:pStyle w:val="Indpara"/>
        <w:spacing w:line="240" w:lineRule="auto"/>
      </w:pPr>
      <w:r>
        <w:rPr>
          <w:i/>
          <w:iCs/>
        </w:rPr>
        <w:t>Woodfield Grp., Inc. v. DeLisle, 295 Ill. App. 3d 935, 230 Ill. Dec. 335, 693 N.E.2d 464, 13 IER Cases 1646 (1st Dist. 1998)</w:t>
      </w:r>
    </w:p>
    <w:p w14:paraId="7EABDEA5" w14:textId="77777777" w:rsidR="00655396" w:rsidRDefault="00655396" w:rsidP="008B512B">
      <w:pPr>
        <w:pStyle w:val="BodyTextIndent"/>
        <w:spacing w:line="240" w:lineRule="auto"/>
      </w:pPr>
    </w:p>
    <w:p w14:paraId="22896265" w14:textId="3D36C828" w:rsidR="00655396" w:rsidRDefault="00655396" w:rsidP="008B512B">
      <w:pPr>
        <w:pStyle w:val="BodyText"/>
        <w:spacing w:line="240" w:lineRule="auto"/>
      </w:pPr>
      <w:r>
        <w:tab/>
        <w:t>In this action, the Sixth Division of the First District registered its agreement with the Second and Fourth Districts and determined that a restrictive covenant “may meet the requirements for ancillarity if it is ancillary to an employment relationship even though the employment may lack a written agreement and remain at will.”</w:t>
      </w:r>
      <w:r w:rsidR="00FB1D09">
        <w:t xml:space="preserve"> </w:t>
      </w:r>
      <w:r>
        <w:rPr>
          <w:i/>
          <w:iCs/>
        </w:rPr>
        <w:t>Id.</w:t>
      </w:r>
      <w:r>
        <w:t xml:space="preserve"> at </w:t>
      </w:r>
      <w:r>
        <w:lastRenderedPageBreak/>
        <w:t>941, 230 Ill. Dec. at 339, 693 N.E.2d at 468, 13 IER Cases 1646.</w:t>
      </w:r>
    </w:p>
    <w:p w14:paraId="0B907950" w14:textId="77777777" w:rsidR="00655396" w:rsidRDefault="00655396" w:rsidP="008B512B">
      <w:pPr>
        <w:pStyle w:val="Indpara"/>
        <w:spacing w:line="240" w:lineRule="auto"/>
      </w:pPr>
      <w:r>
        <w:rPr>
          <w:i/>
          <w:iCs/>
        </w:rPr>
        <w:t>Bloomington Urological Assocs., SC v. Scaglia, 292 Ill. App. 3d 793, 226 Ill. Dec. 759, 686 N.E.2d 389 (4th Dist. 1997)</w:t>
      </w:r>
    </w:p>
    <w:p w14:paraId="408AA384" w14:textId="77777777" w:rsidR="00655396" w:rsidRDefault="00655396" w:rsidP="008B512B">
      <w:pPr>
        <w:pStyle w:val="BodyTextIndent"/>
        <w:spacing w:line="240" w:lineRule="auto"/>
      </w:pPr>
    </w:p>
    <w:p w14:paraId="21AFD44C" w14:textId="7516608B" w:rsidR="00655396" w:rsidRDefault="00655396" w:rsidP="008B512B">
      <w:pPr>
        <w:pStyle w:val="BodyText"/>
        <w:spacing w:line="240" w:lineRule="auto"/>
      </w:pPr>
      <w:r>
        <w:tab/>
        <w:t xml:space="preserve">In this action, the majority construed a restriction under which a former employee physician agreed not to be “involved in the business of providing urological medicine services” from any office located within a 50-mile radius of any office of the former employer </w:t>
      </w:r>
      <w:r>
        <w:rPr>
          <w:i/>
          <w:iCs/>
        </w:rPr>
        <w:t>not to include</w:t>
      </w:r>
      <w:r>
        <w:t xml:space="preserve"> “administrative or managerial aspects of medical practice, such as billing, scheduling, and updating patients’ charts” (</w:t>
      </w:r>
      <w:r>
        <w:rPr>
          <w:i/>
          <w:iCs/>
        </w:rPr>
        <w:t>id.</w:t>
      </w:r>
      <w:r>
        <w:t xml:space="preserve"> at 799, 226 Ill. Dec. at 763, 686 N.E.2d at 393) or “telephone inquiries from existing patients to a physician (or his employees acting as conduits of information) or responses to those patients—either in the form of recommending treatment or prescribing medication.”</w:t>
      </w:r>
      <w:r w:rsidR="00FB1D09">
        <w:t xml:space="preserve"> </w:t>
      </w:r>
      <w:r>
        <w:rPr>
          <w:i/>
          <w:iCs/>
        </w:rPr>
        <w:t>Id.</w:t>
      </w:r>
      <w:r>
        <w:t xml:space="preserve"> at 799, 226 Ill. Dec. at 764, 686 N.E.2d at 394.</w:t>
      </w:r>
    </w:p>
    <w:p w14:paraId="71703D2D" w14:textId="77777777" w:rsidR="00655396" w:rsidRDefault="00655396" w:rsidP="008B512B">
      <w:pPr>
        <w:pStyle w:val="BodyTextIndent"/>
        <w:spacing w:line="240" w:lineRule="auto"/>
      </w:pPr>
    </w:p>
    <w:p w14:paraId="79E7D1D1" w14:textId="10BF78BE"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[A]lthough we do not decide precisely what “</w:t>
      </w:r>
      <w:r>
        <w:rPr>
          <w:rFonts w:ascii="Baskerville" w:hAnsi="Baskerville" w:cs="Baskerville"/>
          <w:i/>
          <w:iCs/>
          <w:sz w:val="22"/>
          <w:szCs w:val="22"/>
        </w:rPr>
        <w:t>the practice of medicine</w:t>
      </w:r>
      <w:r>
        <w:rPr>
          <w:rFonts w:ascii="Baskerville" w:hAnsi="Baskerville" w:cs="Baskerville"/>
          <w:sz w:val="22"/>
          <w:szCs w:val="22"/>
        </w:rPr>
        <w:t xml:space="preserve">” means in the context of a restrictive covenant, we conclude that, in [the context of the instant agreed order emanating from a restrictive covenant], it </w:t>
      </w:r>
      <w:r>
        <w:rPr>
          <w:rFonts w:ascii="Baskerville" w:hAnsi="Baskerville" w:cs="Baskerville"/>
          <w:i/>
          <w:iCs/>
          <w:sz w:val="22"/>
          <w:szCs w:val="22"/>
        </w:rPr>
        <w:t>cannot include telephone inquiries from existing patients to a physician (or his employees acting as conduits of information) or responses to those patients—either in the form of recommending treatment or prescribing medication</w:t>
      </w:r>
      <w:r>
        <w:rPr>
          <w:rFonts w:ascii="Baskerville" w:hAnsi="Baskerville" w:cs="Baskerville"/>
          <w:sz w:val="22"/>
          <w:szCs w:val="22"/>
        </w:rPr>
        <w:t>.</w:t>
      </w:r>
      <w:r w:rsidR="00FB1D09">
        <w:rPr>
          <w:rFonts w:ascii="Baskerville" w:hAnsi="Baskerville" w:cs="Baskerville"/>
          <w:sz w:val="22"/>
          <w:szCs w:val="22"/>
        </w:rPr>
        <w:t xml:space="preserve"> </w:t>
      </w:r>
      <w:r>
        <w:rPr>
          <w:rFonts w:ascii="Baskerville" w:hAnsi="Baskerville" w:cs="Baskerville"/>
          <w:sz w:val="22"/>
          <w:szCs w:val="22"/>
        </w:rPr>
        <w:t>In the age of modern technology—where telephones and beepers travel with an individual and telephone calls can be automatically forwarded to another line—it simply makes no sense to place significance upon where a physician happens to take phone calls.</w:t>
      </w:r>
    </w:p>
    <w:p w14:paraId="4D694379" w14:textId="77777777" w:rsidR="00655396" w:rsidRDefault="00655396" w:rsidP="008B512B">
      <w:pPr>
        <w:pStyle w:val="BodyText"/>
        <w:spacing w:line="240" w:lineRule="auto"/>
        <w:rPr>
          <w:i/>
          <w:iCs/>
        </w:rPr>
      </w:pPr>
    </w:p>
    <w:p w14:paraId="5A4E5F3C" w14:textId="77777777" w:rsidR="00655396" w:rsidRDefault="00655396" w:rsidP="008B512B">
      <w:pPr>
        <w:pStyle w:val="BodyText"/>
        <w:spacing w:line="240" w:lineRule="auto"/>
      </w:pPr>
      <w:r>
        <w:rPr>
          <w:i/>
          <w:iCs/>
        </w:rPr>
        <w:t>Id.</w:t>
      </w:r>
      <w:r>
        <w:t xml:space="preserve"> at 799, 226 Ill. Dec. at 764, 686 N.E.2d at 394 (emphasis added).</w:t>
      </w:r>
    </w:p>
    <w:p w14:paraId="0BA85851" w14:textId="713042B0" w:rsidR="00655396" w:rsidRDefault="00655396" w:rsidP="008B512B">
      <w:pPr>
        <w:pStyle w:val="BodyText"/>
        <w:spacing w:line="240" w:lineRule="auto"/>
      </w:pPr>
      <w:r>
        <w:tab/>
        <w:t>This interpretation is consistent with the “legal and ethical obligation [imposed on Illinois physicians] to attend to their patients’ needs.”</w:t>
      </w:r>
      <w:r w:rsidR="00FB1D09">
        <w:t xml:space="preserve"> </w:t>
      </w:r>
      <w:r>
        <w:rPr>
          <w:i/>
          <w:iCs/>
        </w:rPr>
        <w:t>Id.</w:t>
      </w:r>
      <w:r>
        <w:t xml:space="preserve"> at 799–800, 226 Ill. Dec. at 764, 686 N.E.2d at 394.</w:t>
      </w:r>
      <w:r w:rsidR="00FB1D09">
        <w:t xml:space="preserve"> </w:t>
      </w:r>
      <w:r>
        <w:t xml:space="preserve">The </w:t>
      </w:r>
      <w:r>
        <w:rPr>
          <w:i/>
          <w:iCs/>
        </w:rPr>
        <w:t>Bloomington Urological</w:t>
      </w:r>
      <w:r>
        <w:t xml:space="preserve"> majority explained:</w:t>
      </w:r>
    </w:p>
    <w:p w14:paraId="5450D4E5" w14:textId="77777777" w:rsidR="00655396" w:rsidRDefault="00655396" w:rsidP="008B512B">
      <w:pPr>
        <w:pStyle w:val="BodyTextIndent"/>
        <w:spacing w:line="240" w:lineRule="auto"/>
      </w:pPr>
    </w:p>
    <w:p w14:paraId="3C043B3F" w14:textId="40B5560B"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Physicians licensed in Illinois are specifically prohibited from abandoning their patients.</w:t>
      </w:r>
      <w:r w:rsidR="00FB1D09">
        <w:rPr>
          <w:rFonts w:ascii="Baskerville" w:hAnsi="Baskerville" w:cs="Baskerville"/>
          <w:sz w:val="22"/>
          <w:szCs w:val="22"/>
        </w:rPr>
        <w:t xml:space="preserve"> </w:t>
      </w:r>
      <w:r>
        <w:rPr>
          <w:rFonts w:ascii="Baskerville" w:hAnsi="Baskerville" w:cs="Baskerville"/>
          <w:sz w:val="22"/>
          <w:szCs w:val="22"/>
        </w:rPr>
        <w:t>See 225 ILCS 60/22(A)(16) (West 1994).</w:t>
      </w:r>
      <w:r w:rsidR="00FB1D09">
        <w:rPr>
          <w:rFonts w:ascii="Baskerville" w:hAnsi="Baskerville" w:cs="Baskerville"/>
          <w:sz w:val="22"/>
          <w:szCs w:val="22"/>
        </w:rPr>
        <w:t xml:space="preserve"> </w:t>
      </w:r>
      <w:r>
        <w:rPr>
          <w:rFonts w:ascii="Baskerville" w:hAnsi="Baskerville" w:cs="Baskerville"/>
          <w:sz w:val="22"/>
          <w:szCs w:val="22"/>
        </w:rPr>
        <w:t>Further, the American Medical Association’s Council on Ethical and Judicial Affairs mandates that “once having undertaken a case, the physician should not neglect the patients.”</w:t>
      </w:r>
      <w:r w:rsidR="00FB1D09">
        <w:rPr>
          <w:rFonts w:ascii="Baskerville" w:hAnsi="Baskerville" w:cs="Baskerville"/>
          <w:sz w:val="22"/>
          <w:szCs w:val="22"/>
        </w:rPr>
        <w:t xml:space="preserve"> </w:t>
      </w:r>
      <w:r>
        <w:rPr>
          <w:rFonts w:ascii="Baskerville" w:hAnsi="Baskerville" w:cs="Baskerville"/>
          <w:sz w:val="22"/>
          <w:szCs w:val="22"/>
        </w:rPr>
        <w:t xml:space="preserve">American Medical Association Code of Medical Ethics: Current Opinions with </w:t>
      </w:r>
      <w:r>
        <w:rPr>
          <w:rFonts w:ascii="Baskerville" w:hAnsi="Baskerville" w:cs="Baskerville"/>
          <w:sz w:val="22"/>
          <w:szCs w:val="22"/>
        </w:rPr>
        <w:lastRenderedPageBreak/>
        <w:t>Annotations, 8.11 (1996).</w:t>
      </w:r>
      <w:r w:rsidR="00FB1D09">
        <w:rPr>
          <w:rFonts w:ascii="Baskerville" w:hAnsi="Baskerville" w:cs="Baskerville"/>
          <w:sz w:val="22"/>
          <w:szCs w:val="22"/>
        </w:rPr>
        <w:t xml:space="preserve"> </w:t>
      </w:r>
      <w:r>
        <w:rPr>
          <w:rFonts w:ascii="Baskerville" w:hAnsi="Baskerville" w:cs="Baskerville"/>
          <w:i/>
          <w:iCs/>
          <w:sz w:val="22"/>
          <w:szCs w:val="22"/>
        </w:rPr>
        <w:t>To conclude that telephone inquiries from existing patients to their physician constitute the practice of medicine in the context of a restrictive covenant would effectively force a physician to neglect or abandon his patients whenever they telephone or page him with medical-related questions, concerns, or emergencies at a time when he happens to be in the restricted geographical area</w:t>
      </w:r>
      <w:r>
        <w:rPr>
          <w:rFonts w:ascii="Baskerville" w:hAnsi="Baskerville" w:cs="Baskerville"/>
          <w:sz w:val="22"/>
          <w:szCs w:val="22"/>
        </w:rPr>
        <w:t>.</w:t>
      </w:r>
    </w:p>
    <w:p w14:paraId="0961A280" w14:textId="77777777" w:rsidR="00655396" w:rsidRDefault="00655396" w:rsidP="008B512B">
      <w:pPr>
        <w:pStyle w:val="BodyText"/>
        <w:spacing w:line="240" w:lineRule="auto"/>
        <w:rPr>
          <w:i/>
          <w:iCs/>
        </w:rPr>
      </w:pPr>
    </w:p>
    <w:p w14:paraId="01A3CE56" w14:textId="77777777" w:rsidR="00655396" w:rsidRDefault="00655396" w:rsidP="008B512B">
      <w:pPr>
        <w:pStyle w:val="BodyText"/>
        <w:spacing w:line="240" w:lineRule="auto"/>
      </w:pPr>
      <w:r>
        <w:rPr>
          <w:i/>
          <w:iCs/>
        </w:rPr>
        <w:t>Id.</w:t>
      </w:r>
      <w:r>
        <w:t xml:space="preserve"> at 800, 226 Ill. Dec. at 764, 686 N.E.2d at 394 (emphasis added).</w:t>
      </w:r>
    </w:p>
    <w:p w14:paraId="042F77D0" w14:textId="77777777" w:rsidR="00655396" w:rsidRDefault="00655396" w:rsidP="008B512B">
      <w:pPr>
        <w:pStyle w:val="BodyText"/>
        <w:spacing w:line="240" w:lineRule="auto"/>
      </w:pPr>
      <w:r>
        <w:tab/>
        <w:t xml:space="preserve">Having so interpreted the parties’ agreed order, the </w:t>
      </w:r>
      <w:r>
        <w:rPr>
          <w:i/>
          <w:iCs/>
        </w:rPr>
        <w:t>Bloomington Urological</w:t>
      </w:r>
      <w:r>
        <w:t xml:space="preserve"> majority concluded that</w:t>
      </w:r>
    </w:p>
    <w:p w14:paraId="2C140D61" w14:textId="77777777" w:rsidR="00655396" w:rsidRDefault="00655396" w:rsidP="008B512B">
      <w:pPr>
        <w:pStyle w:val="BodyTextIndent"/>
        <w:spacing w:line="240" w:lineRule="auto"/>
      </w:pPr>
    </w:p>
    <w:p w14:paraId="185204A9" w14:textId="43200DDB"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Scaglia did not violate the agreed order.</w:t>
      </w:r>
      <w:r w:rsidR="00FB1D09">
        <w:rPr>
          <w:rFonts w:ascii="Baskerville" w:hAnsi="Baskerville" w:cs="Baskerville"/>
          <w:sz w:val="22"/>
          <w:szCs w:val="22"/>
        </w:rPr>
        <w:t xml:space="preserve"> </w:t>
      </w:r>
      <w:r>
        <w:rPr>
          <w:rFonts w:ascii="Baskerville" w:hAnsi="Baskerville" w:cs="Baskerville"/>
          <w:sz w:val="22"/>
          <w:szCs w:val="22"/>
        </w:rPr>
        <w:t xml:space="preserve">The order permitted him to examine, diagnose, and treat patients in his [Ottawa, Illinois] office, and </w:t>
      </w:r>
      <w:r>
        <w:rPr>
          <w:rFonts w:ascii="Baskerville" w:hAnsi="Baskerville" w:cs="Baskerville"/>
          <w:i/>
          <w:iCs/>
          <w:sz w:val="22"/>
          <w:szCs w:val="22"/>
        </w:rPr>
        <w:t>it is undisputed that he never personally examined a patient in his home office</w:t>
      </w:r>
      <w:r>
        <w:rPr>
          <w:rFonts w:ascii="Baskerville" w:hAnsi="Baskerville" w:cs="Baskerville"/>
          <w:sz w:val="22"/>
          <w:szCs w:val="22"/>
        </w:rPr>
        <w:t xml:space="preserve"> [</w:t>
      </w:r>
      <w:r>
        <w:rPr>
          <w:rFonts w:ascii="Baskerville" w:hAnsi="Baskerville" w:cs="Baskerville"/>
          <w:i/>
          <w:iCs/>
          <w:sz w:val="22"/>
          <w:szCs w:val="22"/>
        </w:rPr>
        <w:t>located within the agreed order’s proscriptive area—in Bloomington, Illinois</w:t>
      </w:r>
      <w:r>
        <w:rPr>
          <w:rFonts w:ascii="Baskerville" w:hAnsi="Baskerville" w:cs="Baskerville"/>
          <w:sz w:val="22"/>
          <w:szCs w:val="22"/>
        </w:rPr>
        <w:t>].</w:t>
      </w:r>
      <w:r w:rsidR="00FB1D09">
        <w:rPr>
          <w:rFonts w:ascii="Baskerville" w:hAnsi="Baskerville" w:cs="Baskerville"/>
          <w:sz w:val="22"/>
          <w:szCs w:val="22"/>
        </w:rPr>
        <w:t xml:space="preserve"> </w:t>
      </w:r>
      <w:r>
        <w:rPr>
          <w:rFonts w:ascii="Baskerville" w:hAnsi="Baskerville" w:cs="Baskerville"/>
          <w:i/>
          <w:iCs/>
          <w:sz w:val="22"/>
          <w:szCs w:val="22"/>
        </w:rPr>
        <w:t>Nor did the evidence show that he or his nurses ever solicited patients from his own office.</w:t>
      </w:r>
      <w:r w:rsidR="00FB1D09">
        <w:rPr>
          <w:rFonts w:ascii="Baskerville" w:hAnsi="Baskerville" w:cs="Baskerville"/>
          <w:i/>
          <w:iCs/>
          <w:sz w:val="22"/>
          <w:szCs w:val="22"/>
        </w:rPr>
        <w:t xml:space="preserve"> </w:t>
      </w:r>
      <w:r>
        <w:rPr>
          <w:rFonts w:ascii="Baskerville" w:hAnsi="Baskerville" w:cs="Baskerville"/>
          <w:i/>
          <w:iCs/>
          <w:sz w:val="22"/>
          <w:szCs w:val="22"/>
        </w:rPr>
        <w:t>Scaglia’s response—and his nurses’ responses—to telephone calls from patients he had already personally seen and treated in Ottawa is a necessary concomitant to his treatment of those patients</w:t>
      </w:r>
      <w:r>
        <w:rPr>
          <w:rFonts w:ascii="Baskerville" w:hAnsi="Baskerville" w:cs="Baskerville"/>
          <w:sz w:val="22"/>
          <w:szCs w:val="22"/>
        </w:rPr>
        <w:t>.</w:t>
      </w:r>
    </w:p>
    <w:p w14:paraId="1D898759" w14:textId="77777777" w:rsidR="00655396" w:rsidRDefault="00655396" w:rsidP="008B512B">
      <w:pPr>
        <w:pStyle w:val="BodyTextIndent"/>
        <w:spacing w:line="240" w:lineRule="auto"/>
      </w:pPr>
    </w:p>
    <w:p w14:paraId="401A2927" w14:textId="77777777" w:rsidR="00655396" w:rsidRDefault="00655396" w:rsidP="008B512B">
      <w:pPr>
        <w:pStyle w:val="BodyText"/>
        <w:spacing w:line="240" w:lineRule="auto"/>
      </w:pPr>
      <w:r>
        <w:rPr>
          <w:i/>
          <w:iCs/>
        </w:rPr>
        <w:t>Id.</w:t>
      </w:r>
      <w:r>
        <w:t>, 226 Ill. Dec. at 764, 686 N.E.2d at 394 (emphasis added).</w:t>
      </w:r>
    </w:p>
    <w:p w14:paraId="46A987C2" w14:textId="77777777" w:rsidR="00655396" w:rsidRDefault="00655396" w:rsidP="008B512B">
      <w:pPr>
        <w:pStyle w:val="BodyText"/>
        <w:spacing w:line="240" w:lineRule="auto"/>
      </w:pPr>
      <w:r>
        <w:tab/>
        <w:t xml:space="preserve">In </w:t>
      </w:r>
      <w:r>
        <w:rPr>
          <w:i/>
          <w:iCs/>
        </w:rPr>
        <w:t>dissent</w:t>
      </w:r>
      <w:r>
        <w:t xml:space="preserve"> from the majority’s conclusion that the agreed order was ambiguous as to the scope of acts prohibited, Justice McCullough observed:</w:t>
      </w:r>
    </w:p>
    <w:p w14:paraId="70CA03AD" w14:textId="77777777" w:rsidR="00655396" w:rsidRDefault="00655396" w:rsidP="008B512B">
      <w:pPr>
        <w:pStyle w:val="BodyTextIndent"/>
        <w:spacing w:line="240" w:lineRule="auto"/>
      </w:pPr>
    </w:p>
    <w:p w14:paraId="10FBFAC3" w14:textId="6FFDA19C" w:rsidR="00655396" w:rsidRDefault="00655396" w:rsidP="008B512B">
      <w:pPr>
        <w:pStyle w:val="NoParagraphStyle"/>
        <w:tabs>
          <w:tab w:val="left" w:pos="960"/>
          <w:tab w:val="left" w:pos="1440"/>
        </w:tabs>
        <w:spacing w:line="240" w:lineRule="auto"/>
        <w:ind w:left="480"/>
        <w:jc w:val="both"/>
        <w:rPr>
          <w:rFonts w:ascii="Baskerville" w:hAnsi="Baskerville" w:cs="Baskerville"/>
          <w:i/>
          <w:iCs/>
          <w:sz w:val="22"/>
          <w:szCs w:val="22"/>
        </w:rPr>
      </w:pPr>
      <w:r>
        <w:rPr>
          <w:rFonts w:ascii="Baskerville" w:hAnsi="Baskerville" w:cs="Baskerville"/>
          <w:sz w:val="22"/>
          <w:szCs w:val="22"/>
        </w:rPr>
        <w:t>The parties here were free to draft any provisions they liked for purposes of resolving their dispute by means of the agreed order.</w:t>
      </w:r>
      <w:r w:rsidR="00FB1D09">
        <w:rPr>
          <w:rFonts w:ascii="Baskerville" w:hAnsi="Baskerville" w:cs="Baskerville"/>
          <w:sz w:val="22"/>
          <w:szCs w:val="22"/>
        </w:rPr>
        <w:t xml:space="preserve"> </w:t>
      </w:r>
      <w:r>
        <w:rPr>
          <w:rFonts w:ascii="Baskerville" w:hAnsi="Baskerville" w:cs="Baskerville"/>
          <w:i/>
          <w:iCs/>
          <w:sz w:val="22"/>
          <w:szCs w:val="22"/>
        </w:rPr>
        <w:t>Had they wished merely to prohibit Scaglia from the “practice of medicine,” a concept the majority itself declines to define, they might readily have done so.</w:t>
      </w:r>
      <w:r w:rsidR="00FB1D09">
        <w:rPr>
          <w:rFonts w:ascii="Baskerville" w:hAnsi="Baskerville" w:cs="Baskerville"/>
          <w:i/>
          <w:iCs/>
          <w:sz w:val="22"/>
          <w:szCs w:val="22"/>
        </w:rPr>
        <w:t xml:space="preserve"> </w:t>
      </w:r>
      <w:r>
        <w:rPr>
          <w:rFonts w:ascii="Baskerville" w:hAnsi="Baskerville" w:cs="Baskerville"/>
          <w:i/>
          <w:iCs/>
          <w:sz w:val="22"/>
          <w:szCs w:val="22"/>
        </w:rPr>
        <w:t>Instead, the agreed order prohibited Scaglia from being “involved in the business of providing urological medicine services,” a limitation necessarily broader than the “practice of medicine.”</w:t>
      </w:r>
    </w:p>
    <w:p w14:paraId="2DCFC882" w14:textId="77777777" w:rsidR="00655396" w:rsidRDefault="00655396" w:rsidP="008B512B">
      <w:pPr>
        <w:pStyle w:val="NoParagraphStyle"/>
        <w:tabs>
          <w:tab w:val="left" w:pos="960"/>
          <w:tab w:val="left" w:pos="1440"/>
        </w:tabs>
        <w:spacing w:line="240" w:lineRule="auto"/>
        <w:ind w:left="480"/>
        <w:jc w:val="center"/>
        <w:rPr>
          <w:rFonts w:ascii="Baskerville" w:hAnsi="Baskerville" w:cs="Baskerville"/>
          <w:sz w:val="22"/>
          <w:szCs w:val="22"/>
        </w:rPr>
      </w:pPr>
      <w:r>
        <w:rPr>
          <w:rFonts w:ascii="Baskerville" w:hAnsi="Baskerville" w:cs="Baskerville"/>
          <w:sz w:val="22"/>
          <w:szCs w:val="22"/>
        </w:rPr>
        <w:t>* * * * *</w:t>
      </w:r>
    </w:p>
    <w:p w14:paraId="174BE983" w14:textId="0F656BC8"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Provisions of the Medical Practice Act of 1987 relating to the unauthorized practice of medicine describe the practice of medicine as “the diagnosis or treatment of physical or mental ailments (225 ILCS 60/49(i) (West 1994)), and also include the conduct of a person who “attaches the title Doctor, Physician, Surgeon, [or] M.D. * * * to his or her name indicating that he or she is engaged in the treatment </w:t>
      </w:r>
      <w:r>
        <w:rPr>
          <w:rFonts w:ascii="Baskerville" w:hAnsi="Baskerville" w:cs="Baskerville"/>
          <w:sz w:val="22"/>
          <w:szCs w:val="22"/>
        </w:rPr>
        <w:lastRenderedPageBreak/>
        <w:t>of human ailments or conditions as a business.”</w:t>
      </w:r>
      <w:r w:rsidR="00FB1D09">
        <w:rPr>
          <w:rFonts w:ascii="Baskerville" w:hAnsi="Baskerville" w:cs="Baskerville"/>
          <w:sz w:val="22"/>
          <w:szCs w:val="22"/>
        </w:rPr>
        <w:t xml:space="preserve"> </w:t>
      </w:r>
      <w:r>
        <w:rPr>
          <w:rFonts w:ascii="Baskerville" w:hAnsi="Baskerville" w:cs="Baskerville"/>
          <w:sz w:val="22"/>
          <w:szCs w:val="22"/>
        </w:rPr>
        <w:t>225 ILCS 60/49(v) (West 1994).</w:t>
      </w:r>
      <w:r w:rsidR="00FB1D09">
        <w:rPr>
          <w:rFonts w:ascii="Baskerville" w:hAnsi="Baskerville" w:cs="Baskerville"/>
          <w:sz w:val="22"/>
          <w:szCs w:val="22"/>
        </w:rPr>
        <w:t xml:space="preserve"> </w:t>
      </w:r>
      <w:r>
        <w:rPr>
          <w:rFonts w:ascii="Baskerville" w:hAnsi="Baskerville" w:cs="Baskerville"/>
          <w:i/>
          <w:iCs/>
          <w:sz w:val="22"/>
          <w:szCs w:val="22"/>
        </w:rPr>
        <w:t>The trial judge could reasonably find that defendant’s maintenance of a telephone listing in his professional capacity constituted providing urological medicine services</w:t>
      </w:r>
      <w:r>
        <w:rPr>
          <w:rFonts w:ascii="Baskerville" w:hAnsi="Baskerville" w:cs="Baskerville"/>
          <w:sz w:val="22"/>
          <w:szCs w:val="22"/>
        </w:rPr>
        <w:t xml:space="preserve"> and, therefore, the provision of medical services within the restricted area.</w:t>
      </w:r>
      <w:r w:rsidR="00FB1D09">
        <w:rPr>
          <w:rFonts w:ascii="Baskerville" w:hAnsi="Baskerville" w:cs="Baskerville"/>
          <w:sz w:val="22"/>
          <w:szCs w:val="22"/>
        </w:rPr>
        <w:t xml:space="preserve"> </w:t>
      </w:r>
      <w:r>
        <w:rPr>
          <w:rFonts w:ascii="Baskerville" w:hAnsi="Baskerville" w:cs="Baskerville"/>
          <w:sz w:val="22"/>
          <w:szCs w:val="22"/>
        </w:rPr>
        <w:t>Patients charts and files are necessarily integral to the diagnosis and treatment of patients, and [the defendant’s] maintenance of files in [his] Bloomington office could also reasonably be found to constitute the “business of providing urological medical services.”</w:t>
      </w:r>
      <w:r w:rsidR="00FB1D09">
        <w:rPr>
          <w:rFonts w:ascii="Baskerville" w:hAnsi="Baskerville" w:cs="Baskerville"/>
          <w:sz w:val="22"/>
          <w:szCs w:val="22"/>
        </w:rPr>
        <w:t xml:space="preserve"> </w:t>
      </w:r>
      <w:r>
        <w:rPr>
          <w:rFonts w:ascii="Baskerville" w:hAnsi="Baskerville" w:cs="Baskerville"/>
          <w:sz w:val="22"/>
          <w:szCs w:val="22"/>
        </w:rPr>
        <w:t>Similarly, defendant employs two nurses in the Bloomington home office who operate under his direction and control and act as a conduit for defendant’s prescription of medication and other medical treatment.</w:t>
      </w:r>
      <w:r w:rsidR="00FB1D09">
        <w:rPr>
          <w:rFonts w:ascii="Baskerville" w:hAnsi="Baskerville" w:cs="Baskerville"/>
          <w:sz w:val="22"/>
          <w:szCs w:val="22"/>
        </w:rPr>
        <w:t xml:space="preserve"> </w:t>
      </w:r>
      <w:r>
        <w:rPr>
          <w:rFonts w:ascii="Baskerville" w:hAnsi="Baskerville" w:cs="Baskerville"/>
          <w:sz w:val="22"/>
          <w:szCs w:val="22"/>
        </w:rPr>
        <w:t>Defendant personally provided medical advice and prescribed treatment from the Bloomington home office in response to patient calls to that location</w:t>
      </w:r>
      <w:r w:rsidR="00944F63">
        <w:rPr>
          <w:rFonts w:ascii="Baskerville" w:hAnsi="Baskerville" w:cs="Baskerville"/>
          <w:sz w:val="22"/>
          <w:szCs w:val="22"/>
        </w:rPr>
        <w:t>…</w:t>
      </w:r>
      <w:r>
        <w:rPr>
          <w:sz w:val="22"/>
          <w:szCs w:val="22"/>
        </w:rPr>
        <w:t> </w:t>
      </w:r>
      <w:r>
        <w:rPr>
          <w:rFonts w:ascii="Baskerville" w:hAnsi="Baskerville" w:cs="Baskerville"/>
          <w:sz w:val="22"/>
          <w:szCs w:val="22"/>
        </w:rPr>
        <w:t>. [I]t is clear defendant violated the agreed order.</w:t>
      </w:r>
    </w:p>
    <w:p w14:paraId="564A089A" w14:textId="593655F4"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The parties bargained for the restriction of “being involved in the business of providing urological medicine services.”</w:t>
      </w:r>
      <w:r w:rsidR="00FB1D09">
        <w:rPr>
          <w:rFonts w:ascii="Baskerville" w:hAnsi="Baskerville" w:cs="Baskerville"/>
          <w:sz w:val="22"/>
          <w:szCs w:val="22"/>
        </w:rPr>
        <w:t xml:space="preserve"> </w:t>
      </w:r>
      <w:r>
        <w:rPr>
          <w:rFonts w:ascii="Baskerville" w:hAnsi="Baskerville" w:cs="Baskerville"/>
          <w:sz w:val="22"/>
          <w:szCs w:val="22"/>
        </w:rPr>
        <w:t>That Scaglia would pay that agreement only cursory heed, by limiting his physical contact with patients to the Ottawa office, evidences his disdain for the broader reach of the agreement he voluntarily entered into.</w:t>
      </w:r>
      <w:r w:rsidR="00FB1D09">
        <w:rPr>
          <w:rFonts w:ascii="Baskerville" w:hAnsi="Baskerville" w:cs="Baskerville"/>
          <w:sz w:val="22"/>
          <w:szCs w:val="22"/>
        </w:rPr>
        <w:t xml:space="preserve"> </w:t>
      </w:r>
      <w:r>
        <w:rPr>
          <w:rFonts w:ascii="Baskerville" w:hAnsi="Baskerville" w:cs="Baskerville"/>
          <w:i/>
          <w:iCs/>
          <w:sz w:val="22"/>
          <w:szCs w:val="22"/>
        </w:rPr>
        <w:t>The majority’s constriction of the agreed order to the prohibition of face-to-face, physician-patient contact, is not supported by the language the parties chose in framing their consensus</w:t>
      </w:r>
      <w:r>
        <w:rPr>
          <w:rFonts w:ascii="Baskerville" w:hAnsi="Baskerville" w:cs="Baskerville"/>
          <w:sz w:val="22"/>
          <w:szCs w:val="22"/>
        </w:rPr>
        <w:t>.</w:t>
      </w:r>
    </w:p>
    <w:p w14:paraId="7138D6C1"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r>
      <w:r>
        <w:rPr>
          <w:rFonts w:ascii="Baskerville" w:hAnsi="Baskerville" w:cs="Baskerville"/>
          <w:i/>
          <w:iCs/>
          <w:sz w:val="22"/>
          <w:szCs w:val="22"/>
        </w:rPr>
        <w:t>Curiously, the majority does not contend a restriction on the practice of medicine, a course of conduct it agrees involves the diagnosis and treatment of physical ailment, is against public policy—but</w:t>
      </w:r>
      <w:r>
        <w:rPr>
          <w:rFonts w:ascii="Baskerville" w:hAnsi="Baskerville" w:cs="Baskerville"/>
          <w:sz w:val="22"/>
          <w:szCs w:val="22"/>
        </w:rPr>
        <w:t>[</w:t>
      </w:r>
      <w:r>
        <w:rPr>
          <w:rFonts w:ascii="Baskerville" w:hAnsi="Baskerville" w:cs="Baskerville"/>
          <w:i/>
          <w:iCs/>
          <w:sz w:val="22"/>
          <w:szCs w:val="22"/>
        </w:rPr>
        <w:t>, according to the majority,</w:t>
      </w:r>
      <w:r>
        <w:rPr>
          <w:rFonts w:ascii="Baskerville" w:hAnsi="Baskerville" w:cs="Baskerville"/>
          <w:sz w:val="22"/>
          <w:szCs w:val="22"/>
        </w:rPr>
        <w:t>]</w:t>
      </w:r>
      <w:r>
        <w:rPr>
          <w:rFonts w:ascii="Baskerville" w:hAnsi="Baskerville" w:cs="Baskerville"/>
          <w:i/>
          <w:iCs/>
          <w:sz w:val="22"/>
          <w:szCs w:val="22"/>
        </w:rPr>
        <w:t xml:space="preserve"> it becomes so when there is a restriction on doctor-patient telephone cont</w:t>
      </w:r>
      <w:r>
        <w:rPr>
          <w:rFonts w:ascii="Baskerville" w:hAnsi="Baskerville" w:cs="Baskerville"/>
          <w:sz w:val="22"/>
          <w:szCs w:val="22"/>
        </w:rPr>
        <w:t>[</w:t>
      </w:r>
      <w:r>
        <w:rPr>
          <w:rFonts w:ascii="Baskerville" w:hAnsi="Baskerville" w:cs="Baskerville"/>
          <w:i/>
          <w:iCs/>
          <w:sz w:val="22"/>
          <w:szCs w:val="22"/>
        </w:rPr>
        <w:t>act</w:t>
      </w:r>
      <w:r>
        <w:rPr>
          <w:rFonts w:ascii="Baskerville" w:hAnsi="Baskerville" w:cs="Baskerville"/>
          <w:sz w:val="22"/>
          <w:szCs w:val="22"/>
        </w:rPr>
        <w:t>]</w:t>
      </w:r>
      <w:r>
        <w:rPr>
          <w:rFonts w:ascii="Baskerville" w:hAnsi="Baskerville" w:cs="Baskerville"/>
          <w:i/>
          <w:iCs/>
          <w:sz w:val="22"/>
          <w:szCs w:val="22"/>
        </w:rPr>
        <w:t xml:space="preserve"> for that same purpose.</w:t>
      </w:r>
    </w:p>
    <w:p w14:paraId="2C93B003" w14:textId="77777777" w:rsidR="00655396" w:rsidRDefault="00655396" w:rsidP="008B512B">
      <w:pPr>
        <w:pStyle w:val="BodyTextIndent"/>
        <w:spacing w:line="240" w:lineRule="auto"/>
      </w:pPr>
    </w:p>
    <w:p w14:paraId="38D42D58" w14:textId="77777777" w:rsidR="00655396" w:rsidRDefault="00655396" w:rsidP="008B512B">
      <w:pPr>
        <w:pStyle w:val="BodyText"/>
        <w:spacing w:line="240" w:lineRule="auto"/>
      </w:pPr>
      <w:r>
        <w:rPr>
          <w:i/>
          <w:iCs/>
        </w:rPr>
        <w:t>Id.</w:t>
      </w:r>
      <w:r>
        <w:t xml:space="preserve"> at 801–02, 226 Ill. Dec. at 764–65, 686 N.E.2d at 394–95 (emphasis added).</w:t>
      </w:r>
    </w:p>
    <w:p w14:paraId="3EDC6308" w14:textId="77777777" w:rsidR="00655396" w:rsidRDefault="00655396" w:rsidP="008B512B">
      <w:pPr>
        <w:pStyle w:val="BodyText"/>
        <w:spacing w:line="240" w:lineRule="auto"/>
        <w:rPr>
          <w:i/>
          <w:iCs/>
        </w:rPr>
      </w:pPr>
    </w:p>
    <w:p w14:paraId="27D0107C"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i/>
          <w:iCs/>
        </w:rPr>
        <w:t>Emergency Med. Care, Inc. v. Marion Mem’l Hosp., 94 F.3d 1059 (7th Cir. 1996)</w:t>
      </w:r>
    </w:p>
    <w:p w14:paraId="74153212" w14:textId="77777777" w:rsidR="00655396" w:rsidRDefault="00655396" w:rsidP="008B512B">
      <w:pPr>
        <w:pStyle w:val="BodyText"/>
        <w:spacing w:line="240" w:lineRule="auto"/>
      </w:pPr>
    </w:p>
    <w:p w14:paraId="6C2ED240" w14:textId="7C51FEDA" w:rsidR="00655396" w:rsidRDefault="00655396" w:rsidP="008B512B">
      <w:pPr>
        <w:pStyle w:val="NoParagraphStyle"/>
        <w:tabs>
          <w:tab w:val="left" w:pos="480"/>
          <w:tab w:val="left" w:pos="960"/>
          <w:tab w:val="left" w:pos="1440"/>
        </w:tabs>
        <w:spacing w:line="240" w:lineRule="auto"/>
        <w:jc w:val="both"/>
        <w:rPr>
          <w:rFonts w:ascii="Baskerville" w:hAnsi="Baskerville" w:cs="Baskerville"/>
          <w:spacing w:val="-1"/>
        </w:rPr>
      </w:pPr>
      <w:r>
        <w:rPr>
          <w:rFonts w:ascii="Baskerville" w:hAnsi="Baskerville" w:cs="Baskerville"/>
          <w:spacing w:val="-1"/>
        </w:rPr>
        <w:tab/>
        <w:t xml:space="preserve">In this case, the U.S. Court of Appeals for the Seventh Circuit was called upon to construe under Illinois law an anti-raiding/liquidated damages clause (Paragraph J) in an emergency room physician-staffing contract between Marion Memorial Hospital </w:t>
      </w:r>
      <w:r>
        <w:rPr>
          <w:rFonts w:ascii="Baskerville" w:hAnsi="Baskerville" w:cs="Baskerville"/>
          <w:spacing w:val="-1"/>
        </w:rPr>
        <w:lastRenderedPageBreak/>
        <w:t>and Emergency Medical Care, Inc. (EMC), a medical organization that once supplied the hospital with physicians to staff its emergency room.</w:t>
      </w:r>
      <w:r w:rsidR="00FB1D09">
        <w:rPr>
          <w:rFonts w:ascii="Baskerville" w:hAnsi="Baskerville" w:cs="Baskerville"/>
          <w:spacing w:val="-1"/>
        </w:rPr>
        <w:t xml:space="preserve"> </w:t>
      </w:r>
      <w:r>
        <w:rPr>
          <w:rFonts w:ascii="Baskerville" w:hAnsi="Baskerville" w:cs="Baskerville"/>
          <w:spacing w:val="-1"/>
        </w:rPr>
        <w:t>Paragraph J provided that the Hospital would not “</w:t>
      </w:r>
      <w:r>
        <w:rPr>
          <w:rFonts w:ascii="Baskerville" w:hAnsi="Baskerville" w:cs="Baskerville"/>
          <w:i/>
          <w:iCs/>
          <w:spacing w:val="-1"/>
        </w:rPr>
        <w:t>directly or indirectly enter into any agreement</w:t>
      </w:r>
      <w:r>
        <w:rPr>
          <w:rFonts w:ascii="Baskerville" w:hAnsi="Baskerville" w:cs="Baskerville"/>
          <w:spacing w:val="-1"/>
        </w:rPr>
        <w:t xml:space="preserve"> covering the same or similar services as are provided herein </w:t>
      </w:r>
      <w:r>
        <w:rPr>
          <w:rFonts w:ascii="Baskerville" w:hAnsi="Baskerville" w:cs="Baskerville"/>
          <w:i/>
          <w:iCs/>
          <w:spacing w:val="-1"/>
        </w:rPr>
        <w:t>with</w:t>
      </w:r>
      <w:r>
        <w:rPr>
          <w:rFonts w:ascii="Baskerville" w:hAnsi="Baskerville" w:cs="Baskerville"/>
          <w:spacing w:val="-1"/>
        </w:rPr>
        <w:t xml:space="preserve"> any physician introduced to it by EMC or with whom it came into a business or professional relationship as a result of this Agreement.”</w:t>
      </w:r>
      <w:r w:rsidR="00FB1D09">
        <w:rPr>
          <w:rFonts w:ascii="Baskerville" w:hAnsi="Baskerville" w:cs="Baskerville"/>
          <w:spacing w:val="-1"/>
        </w:rPr>
        <w:t xml:space="preserve"> </w:t>
      </w:r>
      <w:r>
        <w:rPr>
          <w:rFonts w:ascii="Baskerville" w:hAnsi="Baskerville" w:cs="Baskerville"/>
          <w:i/>
          <w:iCs/>
          <w:spacing w:val="-1"/>
        </w:rPr>
        <w:t>Id.</w:t>
      </w:r>
      <w:r>
        <w:rPr>
          <w:rFonts w:ascii="Baskerville" w:hAnsi="Baskerville" w:cs="Baskerville"/>
          <w:spacing w:val="-1"/>
        </w:rPr>
        <w:t xml:space="preserve"> at 1060 (emphasis added).</w:t>
      </w:r>
      <w:r w:rsidR="00FB1D09">
        <w:rPr>
          <w:rFonts w:ascii="Baskerville" w:hAnsi="Baskerville" w:cs="Baskerville"/>
          <w:spacing w:val="-1"/>
        </w:rPr>
        <w:t xml:space="preserve"> </w:t>
      </w:r>
      <w:r>
        <w:rPr>
          <w:rFonts w:ascii="Baskerville" w:hAnsi="Baskerville" w:cs="Baskerville"/>
          <w:spacing w:val="-1"/>
        </w:rPr>
        <w:t>The hospital’s contract with EMC was properly terminated, and it subsequently entered into a contract with a third party, Healthline Management, Inc. (HMI), to supply it with physicians to staff the hospital’s emergency room.</w:t>
      </w:r>
      <w:r w:rsidR="00FB1D09">
        <w:rPr>
          <w:rFonts w:ascii="Baskerville" w:hAnsi="Baskerville" w:cs="Baskerville"/>
          <w:spacing w:val="-1"/>
        </w:rPr>
        <w:t xml:space="preserve"> </w:t>
      </w:r>
      <w:r>
        <w:rPr>
          <w:rFonts w:ascii="Baskerville" w:hAnsi="Baskerville" w:cs="Baskerville"/>
          <w:spacing w:val="-1"/>
        </w:rPr>
        <w:t>When HMI scheduled a number of physicians who had previously been affiliated with EMC to staff the hospital’s emergency room, EMC filed suit charging that the hospital had breached Paragraph J.</w:t>
      </w:r>
    </w:p>
    <w:p w14:paraId="5B44C8E0" w14:textId="4EC5A4AA"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On the parties’ cross-motions for summary judgment, the U.S. District Court for the Southern District of Illinois entered summary judgment in favor of the hospital on finding that the hospital had not itself hired the physicians about whom EMC complained.</w:t>
      </w:r>
      <w:r w:rsidR="00FB1D09">
        <w:rPr>
          <w:rFonts w:ascii="Baskerville" w:hAnsi="Baskerville" w:cs="Baskerville"/>
        </w:rPr>
        <w:t xml:space="preserve"> </w:t>
      </w:r>
      <w:r>
        <w:rPr>
          <w:rFonts w:ascii="Baskerville" w:hAnsi="Baskerville" w:cs="Baskerville"/>
          <w:i/>
          <w:iCs/>
        </w:rPr>
        <w:t>Id.</w:t>
      </w:r>
    </w:p>
    <w:p w14:paraId="78DB1B4E" w14:textId="128D62C8"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On appeal, the Seventh Circuit affirmed, insisting that the clause phrase “directly or indirectly” would not be construed to mean “use or utilize.”</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1061.</w:t>
      </w:r>
      <w:r w:rsidR="00FB1D09">
        <w:rPr>
          <w:rFonts w:ascii="Baskerville" w:hAnsi="Baskerville" w:cs="Baskerville"/>
        </w:rPr>
        <w:t xml:space="preserve"> </w:t>
      </w:r>
      <w:r>
        <w:rPr>
          <w:rFonts w:ascii="Baskerville" w:hAnsi="Baskerville" w:cs="Baskerville"/>
        </w:rPr>
        <w:t>The Seventh Circuit also determined that the hospital’s agreement to credential physicians associated with HMI was not a “direct agreement” with the physicians at issue such as to violate the agreement with EMC.</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1061 n.1.</w:t>
      </w:r>
      <w:r w:rsidR="00CD7A12">
        <w:rPr>
          <w:rFonts w:ascii="Baskerville" w:hAnsi="Baskerville" w:cs="Baskerville"/>
        </w:rPr>
        <w:t xml:space="preserve"> </w:t>
      </w:r>
      <w:r>
        <w:rPr>
          <w:rFonts w:ascii="Baskerville" w:hAnsi="Baskerville" w:cs="Baskerville"/>
        </w:rPr>
        <w:t>The court explained:</w:t>
      </w:r>
    </w:p>
    <w:p w14:paraId="08B368B0"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65C3EA66" w14:textId="13E4BC81"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[B]ecause Illinois courts favor fair competition and disfavor restraints of trade, we must strictly construe noncompetition agreements against the party seeking restriction.</w:t>
      </w:r>
      <w:r w:rsidR="00FB1D09">
        <w:rPr>
          <w:rFonts w:ascii="Baskerville" w:hAnsi="Baskerville" w:cs="Baskerville"/>
          <w:sz w:val="22"/>
          <w:szCs w:val="22"/>
        </w:rPr>
        <w:t xml:space="preserve"> </w:t>
      </w:r>
      <w:r>
        <w:rPr>
          <w:rFonts w:ascii="Baskerville" w:hAnsi="Baskerville" w:cs="Baskerville"/>
          <w:i/>
          <w:iCs/>
          <w:sz w:val="22"/>
          <w:szCs w:val="22"/>
        </w:rPr>
        <w:t>Diepholz v. Rutledge</w:t>
      </w:r>
      <w:r>
        <w:rPr>
          <w:rFonts w:ascii="Baskerville" w:hAnsi="Baskerville" w:cs="Baskerville"/>
          <w:sz w:val="22"/>
          <w:szCs w:val="22"/>
        </w:rPr>
        <w:t>, 276 Ill. App. 3d 1013, 213, Ill. Dec. 643, 645, 659 N.E.2d 989, 991 (1995).</w:t>
      </w:r>
    </w:p>
    <w:p w14:paraId="28042951" w14:textId="77777777" w:rsidR="00655396" w:rsidRDefault="00655396" w:rsidP="008B512B">
      <w:pPr>
        <w:pStyle w:val="BodyText"/>
        <w:spacing w:line="240" w:lineRule="auto"/>
        <w:rPr>
          <w:sz w:val="10"/>
          <w:szCs w:val="10"/>
        </w:rPr>
      </w:pPr>
    </w:p>
    <w:p w14:paraId="42B1CF3C" w14:textId="77777777" w:rsidR="00655396" w:rsidRDefault="00655396" w:rsidP="008B512B">
      <w:pPr>
        <w:pStyle w:val="NoParagraphStyle"/>
        <w:tabs>
          <w:tab w:val="left" w:pos="960"/>
          <w:tab w:val="left" w:pos="1440"/>
        </w:tabs>
        <w:spacing w:line="240" w:lineRule="auto"/>
        <w:ind w:left="480"/>
        <w:jc w:val="center"/>
        <w:rPr>
          <w:rFonts w:ascii="Baskerville" w:hAnsi="Baskerville" w:cs="Baskerville"/>
          <w:sz w:val="22"/>
          <w:szCs w:val="22"/>
        </w:rPr>
      </w:pPr>
      <w:r>
        <w:rPr>
          <w:rFonts w:ascii="Baskerville" w:hAnsi="Baskerville" w:cs="Baskerville"/>
          <w:sz w:val="22"/>
          <w:szCs w:val="22"/>
        </w:rPr>
        <w:t>* * * *</w:t>
      </w:r>
    </w:p>
    <w:p w14:paraId="3A67FD39" w14:textId="7D66D400"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This case comes down to the meaning of the phrase “directly or indirectly enter into any agreement </w:t>
      </w:r>
      <w:r w:rsidR="00944F63">
        <w:rPr>
          <w:rFonts w:ascii="Baskerville" w:hAnsi="Baskerville" w:cs="Baskerville"/>
          <w:sz w:val="22"/>
          <w:szCs w:val="22"/>
        </w:rPr>
        <w:t>…</w:t>
      </w:r>
      <w:r>
        <w:rPr>
          <w:rFonts w:ascii="Baskerville" w:hAnsi="Baskerville" w:cs="Baskerville"/>
          <w:sz w:val="22"/>
          <w:szCs w:val="22"/>
        </w:rPr>
        <w:t xml:space="preserve"> with [a former EMC-affiliated] physician.</w:t>
      </w:r>
      <w:r w:rsidR="00FB1D09">
        <w:rPr>
          <w:rFonts w:ascii="Baskerville" w:hAnsi="Baskerville" w:cs="Baskerville"/>
          <w:sz w:val="22"/>
          <w:szCs w:val="22"/>
        </w:rPr>
        <w:t xml:space="preserve"> </w:t>
      </w:r>
      <w:r>
        <w:rPr>
          <w:rFonts w:ascii="Baskerville" w:hAnsi="Baskerville" w:cs="Baskerville"/>
          <w:sz w:val="22"/>
          <w:szCs w:val="22"/>
        </w:rPr>
        <w:t>Because these terms are not defined in the agreement, we look to their common and ordinary meaning.</w:t>
      </w:r>
      <w:r w:rsidR="00FB1D09">
        <w:rPr>
          <w:rFonts w:ascii="Baskerville" w:hAnsi="Baskerville" w:cs="Baskerville"/>
          <w:sz w:val="22"/>
          <w:szCs w:val="22"/>
        </w:rPr>
        <w:t xml:space="preserve"> </w:t>
      </w:r>
      <w:r>
        <w:rPr>
          <w:rFonts w:ascii="Baskerville" w:hAnsi="Baskerville" w:cs="Baskerville"/>
          <w:i/>
          <w:iCs/>
          <w:sz w:val="22"/>
          <w:szCs w:val="22"/>
        </w:rPr>
        <w:t>Church</w:t>
      </w:r>
      <w:r>
        <w:rPr>
          <w:rFonts w:ascii="Baskerville" w:hAnsi="Baskerville" w:cs="Baskerville"/>
          <w:sz w:val="22"/>
          <w:szCs w:val="22"/>
        </w:rPr>
        <w:t xml:space="preserve"> [</w:t>
      </w:r>
      <w:r>
        <w:rPr>
          <w:rFonts w:ascii="Baskerville" w:hAnsi="Baskerville" w:cs="Baskerville"/>
          <w:i/>
          <w:iCs/>
          <w:sz w:val="22"/>
          <w:szCs w:val="22"/>
        </w:rPr>
        <w:t>v. General Motors Corp.</w:t>
      </w:r>
      <w:r>
        <w:rPr>
          <w:rFonts w:ascii="Baskerville" w:hAnsi="Baskerville" w:cs="Baskerville"/>
          <w:sz w:val="22"/>
          <w:szCs w:val="22"/>
        </w:rPr>
        <w:t>, 74 F.3d 795, 799 (7th Cir. 1996)].</w:t>
      </w:r>
      <w:r w:rsidR="00FB1D09">
        <w:rPr>
          <w:rFonts w:ascii="Baskerville" w:hAnsi="Baskerville" w:cs="Baskerville"/>
          <w:sz w:val="22"/>
          <w:szCs w:val="22"/>
        </w:rPr>
        <w:t xml:space="preserve"> </w:t>
      </w:r>
      <w:r>
        <w:rPr>
          <w:rFonts w:ascii="Baskerville" w:hAnsi="Baskerville" w:cs="Baskerville"/>
          <w:sz w:val="22"/>
          <w:szCs w:val="22"/>
        </w:rPr>
        <w:t>Both parties agree with this principle, but disagree with its application.</w:t>
      </w:r>
      <w:r w:rsidR="00FB1D09">
        <w:rPr>
          <w:rFonts w:ascii="Baskerville" w:hAnsi="Baskerville" w:cs="Baskerville"/>
          <w:sz w:val="22"/>
          <w:szCs w:val="22"/>
        </w:rPr>
        <w:t xml:space="preserve"> </w:t>
      </w:r>
      <w:r>
        <w:rPr>
          <w:rFonts w:ascii="Baskerville" w:hAnsi="Baskerville" w:cs="Baskerville"/>
          <w:sz w:val="22"/>
          <w:szCs w:val="22"/>
        </w:rPr>
        <w:t xml:space="preserve">The Hospital asserts that it did not breach the agreement because it did not enter </w:t>
      </w:r>
      <w:r>
        <w:rPr>
          <w:rFonts w:ascii="Baskerville" w:hAnsi="Baskerville" w:cs="Baskerville"/>
          <w:sz w:val="22"/>
          <w:szCs w:val="22"/>
        </w:rPr>
        <w:lastRenderedPageBreak/>
        <w:t>into any agreement “with” the physicians in question.</w:t>
      </w:r>
      <w:r w:rsidR="00FB1D09">
        <w:rPr>
          <w:rFonts w:ascii="Baskerville" w:hAnsi="Baskerville" w:cs="Baskerville"/>
          <w:sz w:val="22"/>
          <w:szCs w:val="22"/>
        </w:rPr>
        <w:t xml:space="preserve"> </w:t>
      </w:r>
      <w:r>
        <w:rPr>
          <w:rFonts w:ascii="Baskerville" w:hAnsi="Baskerville" w:cs="Baskerville"/>
          <w:sz w:val="22"/>
          <w:szCs w:val="22"/>
        </w:rPr>
        <w:t>In its complaint and before the district court, EMC argued that the language in question prohibited the Hospital from “using or utilizing” these physicians.</w:t>
      </w:r>
      <w:r w:rsidR="00FB1D09">
        <w:rPr>
          <w:rFonts w:ascii="Baskerville" w:hAnsi="Baskerville" w:cs="Baskerville"/>
          <w:sz w:val="22"/>
          <w:szCs w:val="22"/>
        </w:rPr>
        <w:t xml:space="preserve"> </w:t>
      </w:r>
      <w:r>
        <w:rPr>
          <w:rFonts w:ascii="Baskerville" w:hAnsi="Baskerville" w:cs="Baskerville"/>
          <w:sz w:val="22"/>
          <w:szCs w:val="22"/>
        </w:rPr>
        <w:t>In this court, EMC continues to argue that “directly or indirectly” means “use or utilize.”</w:t>
      </w:r>
    </w:p>
    <w:p w14:paraId="426A5809" w14:textId="6B76A41A"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After considering both parties’ arguments, we come down on the side of the Hospital.</w:t>
      </w:r>
      <w:r w:rsidR="00FB1D09">
        <w:rPr>
          <w:rFonts w:ascii="Baskerville" w:hAnsi="Baskerville" w:cs="Baskerville"/>
          <w:sz w:val="22"/>
          <w:szCs w:val="22"/>
        </w:rPr>
        <w:t xml:space="preserve"> </w:t>
      </w:r>
      <w:r>
        <w:rPr>
          <w:rFonts w:ascii="Baskerville" w:hAnsi="Baskerville" w:cs="Baskerville"/>
          <w:sz w:val="22"/>
          <w:szCs w:val="22"/>
        </w:rPr>
        <w:t>Given our mandate to look to the precise language of Paragraph J, we simply do not see how the Hospital’s arrangement with HMI constitutes an agreement between the Hospital and the physicians.</w:t>
      </w:r>
      <w:r w:rsidR="00FB1D09">
        <w:rPr>
          <w:rFonts w:ascii="Baskerville" w:hAnsi="Baskerville" w:cs="Baskerville"/>
          <w:sz w:val="22"/>
          <w:szCs w:val="22"/>
        </w:rPr>
        <w:t xml:space="preserve"> </w:t>
      </w:r>
      <w:r>
        <w:rPr>
          <w:rFonts w:ascii="Baskerville" w:hAnsi="Baskerville" w:cs="Baskerville"/>
          <w:sz w:val="22"/>
          <w:szCs w:val="22"/>
        </w:rPr>
        <w:t>EMC concedes that it is not a “direct” agreement, but insists that it falls squarely within the “indirect” clause of Paragraph J.</w:t>
      </w:r>
      <w:r w:rsidR="00FB1D09">
        <w:rPr>
          <w:rFonts w:ascii="Baskerville" w:hAnsi="Baskerville" w:cs="Baskerville"/>
          <w:sz w:val="22"/>
          <w:szCs w:val="22"/>
        </w:rPr>
        <w:t xml:space="preserve"> </w:t>
      </w:r>
      <w:r>
        <w:rPr>
          <w:rFonts w:ascii="Baskerville" w:hAnsi="Baskerville" w:cs="Baskerville"/>
          <w:sz w:val="22"/>
          <w:szCs w:val="22"/>
        </w:rPr>
        <w:t xml:space="preserve">We have a hard time divining what might constitute an indirect agreement </w:t>
      </w:r>
      <w:r>
        <w:rPr>
          <w:rFonts w:ascii="Baskerville" w:hAnsi="Baskerville" w:cs="Baskerville"/>
          <w:i/>
          <w:iCs/>
          <w:sz w:val="22"/>
          <w:szCs w:val="22"/>
        </w:rPr>
        <w:t>with</w:t>
      </w:r>
      <w:r>
        <w:rPr>
          <w:rFonts w:ascii="Baskerville" w:hAnsi="Baskerville" w:cs="Baskerville"/>
          <w:sz w:val="22"/>
          <w:szCs w:val="22"/>
        </w:rPr>
        <w:t xml:space="preserve"> the physicians.</w:t>
      </w:r>
      <w:r w:rsidR="00FB1D09">
        <w:rPr>
          <w:rFonts w:ascii="Baskerville" w:hAnsi="Baskerville" w:cs="Baskerville"/>
          <w:sz w:val="22"/>
          <w:szCs w:val="22"/>
        </w:rPr>
        <w:t xml:space="preserve"> </w:t>
      </w:r>
      <w:r>
        <w:rPr>
          <w:rFonts w:ascii="Baskerville" w:hAnsi="Baskerville" w:cs="Baskerville"/>
          <w:sz w:val="22"/>
          <w:szCs w:val="22"/>
        </w:rPr>
        <w:t>Of course, this is not to say that the “indirectly” language is meaningless.</w:t>
      </w:r>
      <w:r w:rsidR="00FB1D09">
        <w:rPr>
          <w:rFonts w:ascii="Baskerville" w:hAnsi="Baskerville" w:cs="Baskerville"/>
          <w:sz w:val="22"/>
          <w:szCs w:val="22"/>
        </w:rPr>
        <w:t xml:space="preserve"> </w:t>
      </w:r>
      <w:r>
        <w:rPr>
          <w:rFonts w:ascii="Baskerville" w:hAnsi="Baskerville" w:cs="Baskerville"/>
          <w:sz w:val="22"/>
          <w:szCs w:val="22"/>
        </w:rPr>
        <w:t>While we are unsure what it might encompass, we are sure that it does not cover the HMI agreement.</w:t>
      </w:r>
      <w:r w:rsidR="00FB1D09">
        <w:rPr>
          <w:rFonts w:ascii="Baskerville" w:hAnsi="Baskerville" w:cs="Baskerville"/>
          <w:sz w:val="22"/>
          <w:szCs w:val="22"/>
        </w:rPr>
        <w:t xml:space="preserve"> </w:t>
      </w:r>
      <w:r>
        <w:rPr>
          <w:rFonts w:ascii="Baskerville" w:hAnsi="Baskerville" w:cs="Baskerville"/>
          <w:sz w:val="22"/>
          <w:szCs w:val="22"/>
        </w:rPr>
        <w:t>EMC has not provided any examples, relying instead on its argument that the provision really means “use and utilize.”</w:t>
      </w:r>
    </w:p>
    <w:p w14:paraId="04C0336E" w14:textId="39CA25B8"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EMC quotes a dictionary definition of “indirect” in an effort to demonstrate that the Hospital’s agreement with HMI constitutes an “indirect” agreement with the physicians.</w:t>
      </w:r>
      <w:r w:rsidR="00FB1D09">
        <w:rPr>
          <w:rFonts w:ascii="Baskerville" w:hAnsi="Baskerville" w:cs="Baskerville"/>
          <w:sz w:val="22"/>
          <w:szCs w:val="22"/>
        </w:rPr>
        <w:t xml:space="preserve"> </w:t>
      </w:r>
      <w:r>
        <w:rPr>
          <w:rFonts w:ascii="Baskerville" w:hAnsi="Baskerville" w:cs="Baskerville"/>
          <w:sz w:val="22"/>
          <w:szCs w:val="22"/>
        </w:rPr>
        <w:t xml:space="preserve">It then extrapolates from the definitions, which include “not straightforward and open,” to argue that “the parties intended to prevent the Hospital from utilizing the EMC[-]provided physicians by </w:t>
      </w:r>
      <w:r>
        <w:rPr>
          <w:rFonts w:ascii="Baskerville" w:hAnsi="Baskerville" w:cs="Baskerville"/>
          <w:i/>
          <w:iCs/>
          <w:sz w:val="22"/>
          <w:szCs w:val="22"/>
        </w:rPr>
        <w:t>any</w:t>
      </w:r>
      <w:r>
        <w:rPr>
          <w:rFonts w:ascii="Baskerville" w:hAnsi="Baskerville" w:cs="Baskerville"/>
          <w:sz w:val="22"/>
          <w:szCs w:val="22"/>
        </w:rPr>
        <w:t xml:space="preserve"> means within the agreement period.”</w:t>
      </w:r>
      <w:r w:rsidR="00FB1D09">
        <w:rPr>
          <w:rFonts w:ascii="Baskerville" w:hAnsi="Baskerville" w:cs="Baskerville"/>
          <w:sz w:val="22"/>
          <w:szCs w:val="22"/>
        </w:rPr>
        <w:t xml:space="preserve"> </w:t>
      </w:r>
      <w:r>
        <w:rPr>
          <w:rFonts w:ascii="Baskerville" w:hAnsi="Baskerville" w:cs="Baskerville"/>
          <w:sz w:val="22"/>
          <w:szCs w:val="22"/>
        </w:rPr>
        <w:t>This interpretation fails a common sense rule of contract interpretation because, had the parties intended to prevent the [H]ospital from “using or utilizing” any of the doctors formerly on EMC’s roster, the contract should have said so.</w:t>
      </w:r>
      <w:r w:rsidR="00FB1D09">
        <w:rPr>
          <w:rFonts w:ascii="Baskerville" w:hAnsi="Baskerville" w:cs="Baskerville"/>
          <w:sz w:val="22"/>
          <w:szCs w:val="22"/>
        </w:rPr>
        <w:t xml:space="preserve"> </w:t>
      </w:r>
      <w:r>
        <w:rPr>
          <w:rFonts w:ascii="Baskerville" w:hAnsi="Baskerville" w:cs="Baskerville"/>
          <w:i/>
          <w:iCs/>
          <w:sz w:val="22"/>
          <w:szCs w:val="22"/>
        </w:rPr>
        <w:t>See Diepholz</w:t>
      </w:r>
      <w:r>
        <w:rPr>
          <w:rFonts w:ascii="Baskerville" w:hAnsi="Baskerville" w:cs="Baskerville"/>
          <w:sz w:val="22"/>
          <w:szCs w:val="22"/>
        </w:rPr>
        <w:t>, 213 Ill. Dec. at 645, 659 N.E.2d at 991.</w:t>
      </w:r>
    </w:p>
    <w:p w14:paraId="5C81B47D" w14:textId="2D571D3E"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sz w:val="22"/>
          <w:szCs w:val="22"/>
        </w:rPr>
        <w:tab/>
        <w:t>To summarize: we conclude that Paragraph J is unambiguous and that the Hospital did not breach the provision by utilizing HMI doctors who previously had affiliated with EMC. The hospital’s agreement was “with” HMI and not the physicians.</w:t>
      </w:r>
      <w:r w:rsidR="00FB1D09">
        <w:rPr>
          <w:rFonts w:ascii="Baskerville" w:hAnsi="Baskerville" w:cs="Baskerville"/>
          <w:sz w:val="22"/>
          <w:szCs w:val="22"/>
        </w:rPr>
        <w:t xml:space="preserve"> </w:t>
      </w:r>
      <w:r>
        <w:rPr>
          <w:rFonts w:ascii="Baskerville" w:hAnsi="Baskerville" w:cs="Baskerville"/>
          <w:sz w:val="22"/>
          <w:szCs w:val="22"/>
        </w:rPr>
        <w:t xml:space="preserve">End of subject. </w:t>
      </w:r>
    </w:p>
    <w:p w14:paraId="76F5FBB8"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i/>
          <w:iCs/>
        </w:rPr>
      </w:pPr>
    </w:p>
    <w:p w14:paraId="55C6B9A7"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xml:space="preserve"> at 1061–62 (court’s emphasis; footnote omitted).</w:t>
      </w:r>
    </w:p>
    <w:p w14:paraId="43CD2697" w14:textId="74B7F1AD"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The Seventh Circuit also rejected EMC’s argument that the Hospital’s agreement to credential the HMI doctors constituted a direct agreement violative of Paragraph J.</w:t>
      </w:r>
      <w:r w:rsidR="00FB1D09">
        <w:rPr>
          <w:rFonts w:ascii="Baskerville" w:hAnsi="Baskerville" w:cs="Baskerville"/>
        </w:rPr>
        <w:t xml:space="preserve"> </w:t>
      </w:r>
      <w:r>
        <w:rPr>
          <w:rFonts w:ascii="Baskerville" w:hAnsi="Baskerville" w:cs="Baskerville"/>
        </w:rPr>
        <w:t>The court reasoned that credentialing “involves merely the Hospital’s acknowledgment of a physician’s qualifications.”</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1061 n.1.</w:t>
      </w:r>
    </w:p>
    <w:p w14:paraId="304E506A"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i/>
          <w:iCs/>
        </w:rPr>
      </w:pPr>
    </w:p>
    <w:p w14:paraId="476FB904"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i/>
          <w:iCs/>
        </w:rPr>
        <w:t xml:space="preserve">Applied Micro, Inc. v. SJI Fulfillment, Inc., 941 F. Supp. 750 </w:t>
      </w:r>
      <w:r>
        <w:rPr>
          <w:rFonts w:ascii="Baskerville" w:hAnsi="Baskerville" w:cs="Baskerville"/>
          <w:i/>
          <w:iCs/>
        </w:rPr>
        <w:lastRenderedPageBreak/>
        <w:t>(N.D. Ill. 1996)</w:t>
      </w:r>
    </w:p>
    <w:p w14:paraId="2419A55F" w14:textId="77777777" w:rsidR="00655396" w:rsidRDefault="00655396" w:rsidP="008B512B">
      <w:pPr>
        <w:pStyle w:val="BodyText"/>
        <w:spacing w:line="240" w:lineRule="auto"/>
      </w:pPr>
    </w:p>
    <w:p w14:paraId="06E9FBF7" w14:textId="5305E1F0"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In this case, the U.S. District Court for the Northern District of Illinois noted the “clear </w:t>
      </w:r>
      <w:r w:rsidR="00944F63">
        <w:rPr>
          <w:rFonts w:ascii="Baskerville" w:hAnsi="Baskerville" w:cs="Baskerville"/>
        </w:rPr>
        <w:t>…</w:t>
      </w:r>
      <w:r>
        <w:rPr>
          <w:rFonts w:ascii="Baskerville" w:hAnsi="Baskerville" w:cs="Baskerville"/>
        </w:rPr>
        <w:t xml:space="preserve"> split between [the First and Fourth District Courts of Appeal] over what kind of employment relationship is a valid foundation for a covenant not to compete.”</w:t>
      </w:r>
      <w:r w:rsidR="00FB1D09">
        <w:rPr>
          <w:rFonts w:ascii="Baskerville" w:hAnsi="Baskerville" w:cs="Baskerville"/>
        </w:rPr>
        <w:t xml:space="preserve"> </w:t>
      </w:r>
      <w:r>
        <w:rPr>
          <w:rFonts w:ascii="Baskerville" w:hAnsi="Baskerville" w:cs="Baskerville"/>
        </w:rPr>
        <w:t>941 F. Supp. at 754.</w:t>
      </w:r>
      <w:r w:rsidR="00FB1D09">
        <w:rPr>
          <w:rFonts w:ascii="Baskerville" w:hAnsi="Baskerville" w:cs="Baskerville"/>
        </w:rPr>
        <w:t xml:space="preserve"> </w:t>
      </w:r>
      <w:r>
        <w:rPr>
          <w:rFonts w:ascii="Baskerville" w:hAnsi="Baskerville" w:cs="Baskerville"/>
        </w:rPr>
        <w:t>That is, there is a split among the district courts of appeal as to whether a covenant need be ancillary to an employment agreement, as opposed to an employment relationship.</w:t>
      </w:r>
      <w:r w:rsidR="00FB1D09">
        <w:rPr>
          <w:rFonts w:ascii="Baskerville" w:hAnsi="Baskerville" w:cs="Baskerville"/>
        </w:rPr>
        <w:t xml:space="preserve"> </w:t>
      </w:r>
      <w:r>
        <w:rPr>
          <w:rFonts w:ascii="Baskerville" w:hAnsi="Baskerville" w:cs="Baskerville"/>
        </w:rPr>
        <w:t xml:space="preserve">The </w:t>
      </w:r>
      <w:r>
        <w:rPr>
          <w:rFonts w:ascii="Baskerville" w:hAnsi="Baskerville" w:cs="Baskerville"/>
          <w:i/>
          <w:iCs/>
        </w:rPr>
        <w:t>Applied Micro</w:t>
      </w:r>
      <w:r>
        <w:rPr>
          <w:rFonts w:ascii="Baskerville" w:hAnsi="Baskerville" w:cs="Baskerville"/>
        </w:rPr>
        <w:t xml:space="preserve"> court explained:</w:t>
      </w:r>
    </w:p>
    <w:p w14:paraId="5973ED06" w14:textId="77777777" w:rsidR="00655396" w:rsidRDefault="00655396" w:rsidP="008B512B">
      <w:pPr>
        <w:pStyle w:val="BodyText"/>
        <w:spacing w:line="240" w:lineRule="auto"/>
      </w:pPr>
    </w:p>
    <w:p w14:paraId="4F58E528" w14:textId="17BFAA0A"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In </w:t>
      </w:r>
      <w:r>
        <w:rPr>
          <w:rFonts w:ascii="Baskerville" w:hAnsi="Baskerville" w:cs="Baskerville"/>
          <w:i/>
          <w:iCs/>
          <w:sz w:val="22"/>
          <w:szCs w:val="22"/>
        </w:rPr>
        <w:t>Creative Entertainment</w:t>
      </w:r>
      <w:r>
        <w:rPr>
          <w:rFonts w:ascii="Baskerville" w:hAnsi="Baskerville" w:cs="Baskerville"/>
          <w:sz w:val="22"/>
          <w:szCs w:val="22"/>
        </w:rPr>
        <w:t>[</w:t>
      </w:r>
      <w:r>
        <w:rPr>
          <w:rFonts w:ascii="Baskerville" w:hAnsi="Baskerville" w:cs="Baskerville"/>
          <w:i/>
          <w:iCs/>
          <w:sz w:val="22"/>
          <w:szCs w:val="22"/>
        </w:rPr>
        <w:t>, Inc. v. Lorenz</w:t>
      </w:r>
      <w:r>
        <w:rPr>
          <w:rFonts w:ascii="Baskerville" w:hAnsi="Baskerville" w:cs="Baskerville"/>
          <w:sz w:val="22"/>
          <w:szCs w:val="22"/>
        </w:rPr>
        <w:t>, 265 Ill. App. 3d 343, 202 Ill. Dec. 571, 638 N.E.2d 217 (1st Dist. 1994)], the First District struck down a noncompete on ancillarity grounds, and dismissed the count on which it was based, because no written contract specified the defendant’s terms and conditions of employment.</w:t>
      </w:r>
      <w:r w:rsidR="00FB1D09">
        <w:rPr>
          <w:rFonts w:ascii="Baskerville" w:hAnsi="Baskerville" w:cs="Baskerville"/>
          <w:sz w:val="22"/>
          <w:szCs w:val="22"/>
        </w:rPr>
        <w:t xml:space="preserve"> </w:t>
      </w:r>
      <w:r>
        <w:rPr>
          <w:rFonts w:ascii="Baskerville" w:hAnsi="Baskerville" w:cs="Baskerville"/>
          <w:sz w:val="22"/>
          <w:szCs w:val="22"/>
        </w:rPr>
        <w:t>Defendant Lorenz had been employed at will, and the only written agreement he executed was a noncompete signed eight months after he began working.</w:t>
      </w:r>
      <w:r w:rsidR="00FB1D09">
        <w:rPr>
          <w:rFonts w:ascii="Baskerville" w:hAnsi="Baskerville" w:cs="Baskerville"/>
          <w:sz w:val="22"/>
          <w:szCs w:val="22"/>
        </w:rPr>
        <w:t xml:space="preserve"> </w:t>
      </w:r>
      <w:r>
        <w:rPr>
          <w:rFonts w:ascii="Baskerville" w:hAnsi="Baskerville" w:cs="Baskerville"/>
          <w:sz w:val="22"/>
          <w:szCs w:val="22"/>
        </w:rPr>
        <w:t>When Lorenz left to form his own business, and began contacting his former employer’s customers in violation of the agreement’s provisions, the employer sued to enforce the covenant.</w:t>
      </w:r>
      <w:r w:rsidR="00FB1D09">
        <w:rPr>
          <w:rFonts w:ascii="Baskerville" w:hAnsi="Baskerville" w:cs="Baskerville"/>
          <w:sz w:val="22"/>
          <w:szCs w:val="22"/>
        </w:rPr>
        <w:t xml:space="preserve"> </w:t>
      </w:r>
      <w:r>
        <w:rPr>
          <w:rFonts w:ascii="Baskerville" w:hAnsi="Baskerville" w:cs="Baskerville"/>
          <w:sz w:val="22"/>
          <w:szCs w:val="22"/>
        </w:rPr>
        <w:t>Finding the noncompete unenforceable as a matter of law, the court stated that to be ancillary to a valid employment contract, the covenant had to be “subordinate to the contract’s main purpose.”</w:t>
      </w:r>
      <w:r w:rsidR="00FB1D09">
        <w:rPr>
          <w:rFonts w:ascii="Baskerville" w:hAnsi="Baskerville" w:cs="Baskerville"/>
          <w:sz w:val="22"/>
          <w:szCs w:val="22"/>
        </w:rPr>
        <w:t xml:space="preserve"> </w:t>
      </w:r>
      <w:r w:rsidRPr="00F46976">
        <w:rPr>
          <w:rFonts w:ascii="Baskerville" w:hAnsi="Baskerville" w:cs="Baskerville"/>
          <w:sz w:val="22"/>
          <w:szCs w:val="22"/>
          <w:lang w:val="nb-NO"/>
        </w:rPr>
        <w:t>265 Ill. App. 3d at 346, 202 Ill. Dec. at 573, 638 N.E.2d at 219.</w:t>
      </w:r>
      <w:r w:rsidR="00FB1D09">
        <w:rPr>
          <w:rFonts w:ascii="Baskerville" w:hAnsi="Baskerville" w:cs="Baskerville"/>
          <w:sz w:val="22"/>
          <w:szCs w:val="22"/>
          <w:lang w:val="nb-NO"/>
        </w:rPr>
        <w:t xml:space="preserve"> </w:t>
      </w:r>
      <w:r>
        <w:rPr>
          <w:rFonts w:ascii="Baskerville" w:hAnsi="Baskerville" w:cs="Baskerville"/>
          <w:sz w:val="22"/>
          <w:szCs w:val="22"/>
        </w:rPr>
        <w:t>An at-will arrangement, subject to change at the whim of the employer, was not itself a valid employment contract.</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at 348, 202 Ill. Dec. at 575, 638 N.E.2d at 221.</w:t>
      </w:r>
      <w:r w:rsidR="00FB1D09">
        <w:rPr>
          <w:rFonts w:ascii="Baskerville" w:hAnsi="Baskerville" w:cs="Baskerville"/>
          <w:sz w:val="22"/>
          <w:szCs w:val="22"/>
        </w:rPr>
        <w:t xml:space="preserve"> </w:t>
      </w:r>
      <w:r>
        <w:rPr>
          <w:rFonts w:ascii="Baskerville" w:hAnsi="Baskerville" w:cs="Baskerville"/>
          <w:sz w:val="22"/>
          <w:szCs w:val="22"/>
        </w:rPr>
        <w:t>And no separate written provisions covered the grounds for termination, or promised a definite term of employment in exchange for not competing against the company.</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at 348, 202 Ill. Dec. at 574, 638 N.E.2d at 220.</w:t>
      </w:r>
      <w:r w:rsidR="00FB1D09">
        <w:rPr>
          <w:rFonts w:ascii="Baskerville" w:hAnsi="Baskerville" w:cs="Baskerville"/>
          <w:sz w:val="22"/>
          <w:szCs w:val="22"/>
        </w:rPr>
        <w:t xml:space="preserve"> </w:t>
      </w:r>
      <w:r>
        <w:rPr>
          <w:rFonts w:ascii="Baskerville" w:hAnsi="Baskerville" w:cs="Baskerville"/>
          <w:sz w:val="22"/>
          <w:szCs w:val="22"/>
        </w:rPr>
        <w:t>From this, the court concluded, “Clearly, the covenant was not ancillary to an employment contract”; rather, it was a “naked agreement” to restrain trade.</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at 348–49, 202 Ill. Dec. at 575, 638 N.E.2d at 221.</w:t>
      </w:r>
    </w:p>
    <w:p w14:paraId="205C118A" w14:textId="01A6CD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sz w:val="22"/>
          <w:szCs w:val="22"/>
        </w:rPr>
        <w:tab/>
        <w:t xml:space="preserve">In contrast, [the Fourth District in] </w:t>
      </w:r>
      <w:r>
        <w:rPr>
          <w:rFonts w:ascii="Baskerville" w:hAnsi="Baskerville" w:cs="Baskerville"/>
          <w:i/>
          <w:iCs/>
          <w:sz w:val="22"/>
          <w:szCs w:val="22"/>
        </w:rPr>
        <w:t>Abel v. Fox</w:t>
      </w:r>
      <w:r>
        <w:rPr>
          <w:rFonts w:ascii="Baskerville" w:hAnsi="Baskerville" w:cs="Baskerville"/>
          <w:sz w:val="22"/>
          <w:szCs w:val="22"/>
        </w:rPr>
        <w:t>[, 274 Ill. App. 3d 811, 211 Ill. Dec. 129, 654 N.E.2d 591 (4th Dist. 1995),] held that an oral at-will arrangement is a valid contract or “relationship” that satisfies the ancillarity requirement.</w:t>
      </w:r>
      <w:r w:rsidR="00FB1D09">
        <w:rPr>
          <w:rFonts w:ascii="Baskerville" w:hAnsi="Baskerville" w:cs="Baskerville"/>
          <w:sz w:val="22"/>
          <w:szCs w:val="22"/>
        </w:rPr>
        <w:t xml:space="preserve"> </w:t>
      </w:r>
      <w:r w:rsidRPr="00F46976">
        <w:rPr>
          <w:rFonts w:ascii="Baskerville" w:hAnsi="Baskerville" w:cs="Baskerville"/>
          <w:sz w:val="22"/>
          <w:szCs w:val="22"/>
          <w:lang w:val="nb-NO"/>
        </w:rPr>
        <w:t>274 Ill. App. 3d at 820, 21 Ill. Dec. at 135, 654 N.E.2d at 597.</w:t>
      </w:r>
      <w:r w:rsidR="00FB1D09">
        <w:rPr>
          <w:rFonts w:ascii="Baskerville" w:hAnsi="Baskerville" w:cs="Baskerville"/>
          <w:sz w:val="22"/>
          <w:szCs w:val="22"/>
          <w:lang w:val="nb-NO"/>
        </w:rPr>
        <w:t xml:space="preserve"> </w:t>
      </w:r>
      <w:r>
        <w:rPr>
          <w:rFonts w:ascii="Baskerville" w:hAnsi="Baskerville" w:cs="Baskerville"/>
          <w:sz w:val="22"/>
          <w:szCs w:val="22"/>
        </w:rPr>
        <w:t>Like Lorenz, defendant Fox was employed at will, and signed a covenant not to compete “sometime during her employment.”</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at 812, 211 Ill. Dec. at 130, 654 N.E.2d </w:t>
      </w:r>
      <w:r>
        <w:rPr>
          <w:rFonts w:ascii="Baskerville" w:hAnsi="Baskerville" w:cs="Baskerville"/>
          <w:sz w:val="22"/>
          <w:szCs w:val="22"/>
        </w:rPr>
        <w:lastRenderedPageBreak/>
        <w:t>at 592.</w:t>
      </w:r>
      <w:r w:rsidR="00FB1D09">
        <w:rPr>
          <w:rFonts w:ascii="Baskerville" w:hAnsi="Baskerville" w:cs="Baskerville"/>
          <w:sz w:val="22"/>
          <w:szCs w:val="22"/>
        </w:rPr>
        <w:t xml:space="preserve"> </w:t>
      </w:r>
      <w:r>
        <w:rPr>
          <w:rFonts w:ascii="Baskerville" w:hAnsi="Baskerville" w:cs="Baskerville"/>
          <w:sz w:val="22"/>
          <w:szCs w:val="22"/>
        </w:rPr>
        <w:t>After she left that job, Fox began soliciting her former employer’s customers to patronize her newly formed business, even though the noncompete forbade her from doing so.</w:t>
      </w:r>
      <w:r w:rsidR="00FB1D09">
        <w:rPr>
          <w:rFonts w:ascii="Baskerville" w:hAnsi="Baskerville" w:cs="Baskerville"/>
          <w:sz w:val="22"/>
          <w:szCs w:val="22"/>
        </w:rPr>
        <w:t xml:space="preserve"> </w:t>
      </w:r>
      <w:r>
        <w:rPr>
          <w:rFonts w:ascii="Baskerville" w:hAnsi="Baskerville" w:cs="Baskerville"/>
          <w:sz w:val="22"/>
          <w:szCs w:val="22"/>
        </w:rPr>
        <w:t>Reversing the trial court’s dismissal of the employer’s breach of contract claim, the appellate court relied on persuasive authority and older state supreme court precedent to support its holding that courts may enforce noncompetition agreements in at-will relationships.</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at 816–21, 211 Ill. Dec. at 133–36, 654 N.E.2d at 595­–98.</w:t>
      </w:r>
      <w:r w:rsidR="00FB1D09">
        <w:rPr>
          <w:rFonts w:ascii="Baskerville" w:hAnsi="Baskerville" w:cs="Baskerville"/>
          <w:sz w:val="22"/>
          <w:szCs w:val="22"/>
        </w:rPr>
        <w:t xml:space="preserve"> </w:t>
      </w:r>
      <w:r>
        <w:rPr>
          <w:rFonts w:ascii="Baskerville" w:hAnsi="Baskerville" w:cs="Baskerville"/>
          <w:sz w:val="22"/>
          <w:szCs w:val="22"/>
        </w:rPr>
        <w:t xml:space="preserve">The court roundly criticized </w:t>
      </w:r>
      <w:r>
        <w:rPr>
          <w:rFonts w:ascii="Baskerville" w:hAnsi="Baskerville" w:cs="Baskerville"/>
          <w:i/>
          <w:iCs/>
          <w:sz w:val="22"/>
          <w:szCs w:val="22"/>
        </w:rPr>
        <w:t>Creative Entertainment</w:t>
      </w:r>
      <w:r>
        <w:rPr>
          <w:rFonts w:ascii="Baskerville" w:hAnsi="Baskerville" w:cs="Baskerville"/>
          <w:sz w:val="22"/>
          <w:szCs w:val="22"/>
        </w:rPr>
        <w:t xml:space="preserve"> as contrary to this authority and without basis in law or public policy.</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at 818, 820, 211 Ill. Dec. at 134–35, 654 N.E.2d at 596–97.</w:t>
      </w:r>
      <w:r w:rsidR="00FB1D09">
        <w:rPr>
          <w:rFonts w:ascii="Baskerville" w:hAnsi="Baskerville" w:cs="Baskerville"/>
          <w:sz w:val="22"/>
          <w:szCs w:val="22"/>
        </w:rPr>
        <w:t xml:space="preserve"> </w:t>
      </w:r>
      <w:r>
        <w:rPr>
          <w:rFonts w:ascii="Baskerville" w:hAnsi="Baskerville" w:cs="Baskerville"/>
          <w:sz w:val="22"/>
          <w:szCs w:val="22"/>
        </w:rPr>
        <w:t>Whether written or oral, an at-will arrangement “is nonetheless an agreement and relationship with numerous consequences, imposing rights and obligations on both parties.”</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at 820, 211 Ill. Dec. at 135, 654 N.E.2d at 597.</w:t>
      </w:r>
      <w:r w:rsidR="00FB1D09">
        <w:rPr>
          <w:rFonts w:ascii="Baskerville" w:hAnsi="Baskerville" w:cs="Baskerville"/>
          <w:sz w:val="22"/>
          <w:szCs w:val="22"/>
        </w:rPr>
        <w:t xml:space="preserve"> </w:t>
      </w:r>
      <w:r>
        <w:rPr>
          <w:rFonts w:ascii="Baskerville" w:hAnsi="Baskerville" w:cs="Baskerville"/>
          <w:sz w:val="22"/>
          <w:szCs w:val="22"/>
        </w:rPr>
        <w:t>Even when supplemented by a noncompete, the primary purpose remains, as in term employment, establishing an employee-employer relationship.</w:t>
      </w:r>
      <w:r w:rsidR="00FB1D09">
        <w:rPr>
          <w:rFonts w:ascii="Baskerville" w:hAnsi="Baskerville" w:cs="Baskerville"/>
          <w:sz w:val="22"/>
          <w:szCs w:val="22"/>
        </w:rPr>
        <w:t xml:space="preserve"> </w:t>
      </w:r>
      <w:r>
        <w:rPr>
          <w:rFonts w:ascii="Baskerville" w:hAnsi="Baskerville" w:cs="Baskerville"/>
          <w:i/>
          <w:iCs/>
          <w:sz w:val="22"/>
          <w:szCs w:val="22"/>
        </w:rPr>
        <w:t>Id.</w:t>
      </w:r>
    </w:p>
    <w:p w14:paraId="0719A517" w14:textId="77777777" w:rsidR="00655396" w:rsidRDefault="00655396" w:rsidP="008B512B">
      <w:pPr>
        <w:pStyle w:val="BodyText"/>
        <w:spacing w:line="240" w:lineRule="auto"/>
      </w:pPr>
    </w:p>
    <w:p w14:paraId="7DDF218B"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at 754.</w:t>
      </w:r>
    </w:p>
    <w:p w14:paraId="7416C88E" w14:textId="44197666"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Because “[t]he Illinois Supreme Court has never addressed” the issue of whether a covenant must be ancillary to an employment </w:t>
      </w:r>
      <w:r>
        <w:rPr>
          <w:rFonts w:ascii="Baskerville" w:hAnsi="Baskerville" w:cs="Baskerville"/>
          <w:i/>
          <w:iCs/>
        </w:rPr>
        <w:t>agreement</w:t>
      </w:r>
      <w:r>
        <w:rPr>
          <w:rFonts w:ascii="Baskerville" w:hAnsi="Baskerville" w:cs="Baskerville"/>
        </w:rPr>
        <w:t xml:space="preserve"> as opposed to merely an at-will employment </w:t>
      </w:r>
      <w:r>
        <w:rPr>
          <w:rFonts w:ascii="Baskerville" w:hAnsi="Baskerville" w:cs="Baskerville"/>
          <w:i/>
          <w:iCs/>
        </w:rPr>
        <w:t>relationship</w:t>
      </w:r>
      <w:r>
        <w:rPr>
          <w:rFonts w:ascii="Baskerville" w:hAnsi="Baskerville" w:cs="Baskerville"/>
        </w:rPr>
        <w:t xml:space="preserve"> (</w:t>
      </w:r>
      <w:r>
        <w:rPr>
          <w:rFonts w:ascii="Baskerville" w:hAnsi="Baskerville" w:cs="Baskerville"/>
          <w:i/>
          <w:iCs/>
        </w:rPr>
        <w:t>id.</w:t>
      </w:r>
      <w:r>
        <w:rPr>
          <w:rFonts w:ascii="Baskerville" w:hAnsi="Baskerville" w:cs="Baskerville"/>
        </w:rPr>
        <w:t xml:space="preserve">), the </w:t>
      </w:r>
      <w:r>
        <w:rPr>
          <w:rFonts w:ascii="Baskerville" w:hAnsi="Baskerville" w:cs="Baskerville"/>
          <w:i/>
          <w:iCs/>
        </w:rPr>
        <w:t>Applied Micro</w:t>
      </w:r>
      <w:r>
        <w:rPr>
          <w:rFonts w:ascii="Baskerville" w:hAnsi="Baskerville" w:cs="Baskerville"/>
        </w:rPr>
        <w:t xml:space="preserve"> court was compelled to choose between </w:t>
      </w:r>
      <w:r>
        <w:rPr>
          <w:rFonts w:ascii="Baskerville" w:hAnsi="Baskerville" w:cs="Baskerville"/>
          <w:i/>
          <w:iCs/>
        </w:rPr>
        <w:t>Creative Entertainment</w:t>
      </w:r>
      <w:r>
        <w:rPr>
          <w:rFonts w:ascii="Baskerville" w:hAnsi="Baskerville" w:cs="Baskerville"/>
        </w:rPr>
        <w:t xml:space="preserve"> (agreement required) and </w:t>
      </w:r>
      <w:r>
        <w:rPr>
          <w:rFonts w:ascii="Baskerville" w:hAnsi="Baskerville" w:cs="Baskerville"/>
          <w:i/>
          <w:iCs/>
        </w:rPr>
        <w:t>Abel</w:t>
      </w:r>
      <w:r>
        <w:rPr>
          <w:rFonts w:ascii="Baskerville" w:hAnsi="Baskerville" w:cs="Baskerville"/>
        </w:rPr>
        <w:t xml:space="preserve"> (at-will relationship suffices).</w:t>
      </w:r>
      <w:r w:rsidR="00FB1D09">
        <w:rPr>
          <w:rFonts w:ascii="Baskerville" w:hAnsi="Baskerville" w:cs="Baskerville"/>
        </w:rPr>
        <w:t xml:space="preserve"> </w:t>
      </w:r>
      <w:r>
        <w:rPr>
          <w:rFonts w:ascii="Baskerville" w:hAnsi="Baskerville" w:cs="Baskerville"/>
          <w:i/>
          <w:iCs/>
        </w:rPr>
        <w:t>Id.</w:t>
      </w:r>
      <w:r w:rsidR="00FB1D09">
        <w:rPr>
          <w:rFonts w:ascii="Baskerville" w:hAnsi="Baskerville" w:cs="Baskerville"/>
        </w:rPr>
        <w:t xml:space="preserve"> </w:t>
      </w:r>
      <w:r>
        <w:rPr>
          <w:rFonts w:ascii="Baskerville" w:hAnsi="Baskerville" w:cs="Baskerville"/>
        </w:rPr>
        <w:t xml:space="preserve">The </w:t>
      </w:r>
      <w:r>
        <w:rPr>
          <w:rFonts w:ascii="Baskerville" w:hAnsi="Baskerville" w:cs="Baskerville"/>
          <w:i/>
          <w:iCs/>
        </w:rPr>
        <w:t>Applied Micro</w:t>
      </w:r>
      <w:r>
        <w:rPr>
          <w:rFonts w:ascii="Baskerville" w:hAnsi="Baskerville" w:cs="Baskerville"/>
        </w:rPr>
        <w:t xml:space="preserve"> court predicted that the Illinois Supreme Court would follow </w:t>
      </w:r>
      <w:r>
        <w:rPr>
          <w:rFonts w:ascii="Baskerville" w:hAnsi="Baskerville" w:cs="Baskerville"/>
          <w:i/>
          <w:iCs/>
        </w:rPr>
        <w:t>Abel</w:t>
      </w:r>
      <w:r>
        <w:rPr>
          <w:rFonts w:ascii="Baskerville" w:hAnsi="Baskerville" w:cs="Baskerville"/>
        </w:rPr>
        <w:t xml:space="preserve"> and its holding that an at-will relationship can serve as the basis for a covenant not to compete. </w:t>
      </w:r>
      <w:r>
        <w:rPr>
          <w:rFonts w:ascii="Baskerville" w:hAnsi="Baskerville" w:cs="Baskerville"/>
          <w:i/>
          <w:iCs/>
        </w:rPr>
        <w:t>Id.</w:t>
      </w:r>
      <w:r>
        <w:rPr>
          <w:rFonts w:ascii="Baskerville" w:hAnsi="Baskerville" w:cs="Baskerville"/>
        </w:rPr>
        <w:t xml:space="preserve"> at 756.</w:t>
      </w:r>
      <w:r w:rsidR="00FB1D09">
        <w:rPr>
          <w:rFonts w:ascii="Baskerville" w:hAnsi="Baskerville" w:cs="Baskerville"/>
        </w:rPr>
        <w:t xml:space="preserve"> </w:t>
      </w:r>
      <w:r>
        <w:rPr>
          <w:rFonts w:ascii="Baskerville" w:hAnsi="Baskerville" w:cs="Baskerville"/>
        </w:rPr>
        <w:t xml:space="preserve">On ruling, the court insisted that covenants need only be ancillary to “employment </w:t>
      </w:r>
      <w:r>
        <w:rPr>
          <w:rFonts w:ascii="Baskerville" w:hAnsi="Baskerville" w:cs="Baskerville"/>
          <w:i/>
          <w:iCs/>
        </w:rPr>
        <w:t>relationships</w:t>
      </w:r>
      <w:r>
        <w:rPr>
          <w:rFonts w:ascii="Baskerville" w:hAnsi="Baskerville" w:cs="Baskerville"/>
        </w:rPr>
        <w:t>, no matter how configured,” in order to satisfy the ancillarity requirement.</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757 (emphasis added).</w:t>
      </w:r>
      <w:r w:rsidR="00FB1D09">
        <w:rPr>
          <w:rFonts w:ascii="Baskerville" w:hAnsi="Baskerville" w:cs="Baskerville"/>
        </w:rPr>
        <w:t xml:space="preserve"> </w:t>
      </w:r>
      <w:r>
        <w:rPr>
          <w:rFonts w:ascii="Baskerville" w:hAnsi="Baskerville" w:cs="Baskerville"/>
        </w:rPr>
        <w:t>The court explained:</w:t>
      </w:r>
    </w:p>
    <w:p w14:paraId="2918E18E" w14:textId="77777777" w:rsidR="00655396" w:rsidRDefault="00655396" w:rsidP="008B512B">
      <w:pPr>
        <w:pStyle w:val="BodyText"/>
        <w:spacing w:line="240" w:lineRule="auto"/>
      </w:pPr>
    </w:p>
    <w:p w14:paraId="3A91C2B4" w14:textId="7FD476F6"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Guidelines do exist to aid the Court in predicting how the state supreme court would rule in this case.</w:t>
      </w:r>
      <w:r w:rsidR="00FB1D09">
        <w:rPr>
          <w:rFonts w:ascii="Baskerville" w:hAnsi="Baskerville" w:cs="Baskerville"/>
          <w:sz w:val="22"/>
          <w:szCs w:val="22"/>
        </w:rPr>
        <w:t xml:space="preserve"> </w:t>
      </w:r>
      <w:r>
        <w:rPr>
          <w:rFonts w:ascii="Baskerville" w:hAnsi="Baskerville" w:cs="Baskerville"/>
          <w:sz w:val="22"/>
          <w:szCs w:val="22"/>
        </w:rPr>
        <w:t>We begin with supreme court precedent, and examine authorities on point, analogous cases, the policies and doctrinal trends that influenced those decisions, and the court’s “considered dicta,” in that order.</w:t>
      </w:r>
      <w:r w:rsidR="00FB1D09">
        <w:rPr>
          <w:rFonts w:ascii="Baskerville" w:hAnsi="Baskerville" w:cs="Baskerville"/>
          <w:sz w:val="22"/>
          <w:szCs w:val="22"/>
        </w:rPr>
        <w:t xml:space="preserve"> </w:t>
      </w:r>
      <w:r>
        <w:rPr>
          <w:rFonts w:ascii="Baskerville" w:hAnsi="Baskerville" w:cs="Baskerville"/>
          <w:i/>
          <w:iCs/>
          <w:sz w:val="22"/>
          <w:szCs w:val="22"/>
        </w:rPr>
        <w:t>Roberts</w:t>
      </w:r>
      <w:r>
        <w:rPr>
          <w:rFonts w:ascii="Baskerville" w:hAnsi="Baskerville" w:cs="Baskerville"/>
          <w:sz w:val="22"/>
          <w:szCs w:val="22"/>
        </w:rPr>
        <w:t xml:space="preserve"> [</w:t>
      </w:r>
      <w:r>
        <w:rPr>
          <w:rFonts w:ascii="Baskerville" w:hAnsi="Baskerville" w:cs="Baskerville"/>
          <w:i/>
          <w:iCs/>
          <w:sz w:val="22"/>
          <w:szCs w:val="22"/>
        </w:rPr>
        <w:t>v. Western-Southern Life Ins. Co.</w:t>
      </w:r>
      <w:r>
        <w:rPr>
          <w:rFonts w:ascii="Baskerville" w:hAnsi="Baskerville" w:cs="Baskerville"/>
          <w:sz w:val="22"/>
          <w:szCs w:val="22"/>
        </w:rPr>
        <w:t xml:space="preserve">, 568 F. Supp. 536, 544 (N.D. Ill. 1983)] (quoting </w:t>
      </w:r>
      <w:r>
        <w:rPr>
          <w:rFonts w:ascii="Baskerville" w:hAnsi="Baskerville" w:cs="Baskerville"/>
          <w:i/>
          <w:iCs/>
          <w:sz w:val="22"/>
          <w:szCs w:val="22"/>
        </w:rPr>
        <w:t>McKenna v. Ortho Pharmaceutical Corp.</w:t>
      </w:r>
      <w:r>
        <w:rPr>
          <w:rFonts w:ascii="Baskerville" w:hAnsi="Baskerville" w:cs="Baskerville"/>
          <w:sz w:val="22"/>
          <w:szCs w:val="22"/>
        </w:rPr>
        <w:t>, 622 F.2d 657, 662 (2d Cir. 1980)).</w:t>
      </w:r>
      <w:r w:rsidR="00FB1D09">
        <w:rPr>
          <w:rFonts w:ascii="Baskerville" w:hAnsi="Baskerville" w:cs="Baskerville"/>
          <w:sz w:val="22"/>
          <w:szCs w:val="22"/>
        </w:rPr>
        <w:t xml:space="preserve"> </w:t>
      </w:r>
      <w:r>
        <w:rPr>
          <w:rFonts w:ascii="Baskerville" w:hAnsi="Baskerville" w:cs="Baskerville"/>
          <w:sz w:val="22"/>
          <w:szCs w:val="22"/>
        </w:rPr>
        <w:t xml:space="preserve">“Of somewhat less importance” are decisions of lower state courts and other federal courts, which “should be accorded </w:t>
      </w:r>
      <w:r>
        <w:rPr>
          <w:rFonts w:ascii="Baskerville" w:hAnsi="Baskerville" w:cs="Baskerville"/>
          <w:sz w:val="22"/>
          <w:szCs w:val="22"/>
        </w:rPr>
        <w:lastRenderedPageBreak/>
        <w:t>proper regard, of course, but not conclusive effect.”</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(internal quotations omitted).</w:t>
      </w:r>
      <w:r w:rsidR="00FB1D09">
        <w:rPr>
          <w:rFonts w:ascii="Baskerville" w:hAnsi="Baskerville" w:cs="Baskerville"/>
          <w:sz w:val="22"/>
          <w:szCs w:val="22"/>
        </w:rPr>
        <w:t xml:space="preserve"> </w:t>
      </w:r>
      <w:r>
        <w:rPr>
          <w:rFonts w:ascii="Baskerville" w:hAnsi="Baskerville" w:cs="Baskerville"/>
          <w:sz w:val="22"/>
          <w:szCs w:val="22"/>
        </w:rPr>
        <w:t>Research has revealed no supreme court decisions on point, but a number of cases evincing policy and doctrine that would inform the court’s decision if faced with the issue before us.</w:t>
      </w:r>
      <w:r w:rsidR="00FB1D09">
        <w:rPr>
          <w:rFonts w:ascii="Baskerville" w:hAnsi="Baskerville" w:cs="Baskerville"/>
          <w:sz w:val="22"/>
          <w:szCs w:val="22"/>
        </w:rPr>
        <w:t xml:space="preserve"> </w:t>
      </w:r>
      <w:r>
        <w:rPr>
          <w:rFonts w:ascii="Baskerville" w:hAnsi="Baskerville" w:cs="Baskerville"/>
          <w:sz w:val="22"/>
          <w:szCs w:val="22"/>
        </w:rPr>
        <w:t xml:space="preserve">Moreover, the [Fourth District’s] opinion in </w:t>
      </w:r>
      <w:r>
        <w:rPr>
          <w:rFonts w:ascii="Baskerville" w:hAnsi="Baskerville" w:cs="Baskerville"/>
          <w:i/>
          <w:iCs/>
          <w:sz w:val="22"/>
          <w:szCs w:val="22"/>
        </w:rPr>
        <w:t>Abel</w:t>
      </w:r>
      <w:r>
        <w:rPr>
          <w:rFonts w:ascii="Baskerville" w:hAnsi="Baskerville" w:cs="Baskerville"/>
          <w:sz w:val="22"/>
          <w:szCs w:val="22"/>
        </w:rPr>
        <w:t xml:space="preserve"> provides a compelling analysis grounded in this precedent and in persuasive authority.</w:t>
      </w:r>
    </w:p>
    <w:p w14:paraId="04E73D20" w14:textId="5E9871A1" w:rsidR="00655396" w:rsidRDefault="00655396" w:rsidP="008B512B">
      <w:pPr>
        <w:pStyle w:val="NoParagraphStyle"/>
        <w:tabs>
          <w:tab w:val="left" w:pos="960"/>
          <w:tab w:val="left" w:pos="1440"/>
        </w:tabs>
        <w:spacing w:line="240" w:lineRule="auto"/>
        <w:ind w:left="480"/>
        <w:jc w:val="both"/>
        <w:rPr>
          <w:rFonts w:ascii="Baskerville" w:hAnsi="Baskerville" w:cs="Baskerville"/>
          <w:sz w:val="12"/>
          <w:szCs w:val="12"/>
        </w:rPr>
      </w:pPr>
      <w:r>
        <w:rPr>
          <w:rFonts w:ascii="Baskerville" w:hAnsi="Baskerville" w:cs="Baskerville"/>
          <w:sz w:val="22"/>
          <w:szCs w:val="22"/>
        </w:rPr>
        <w:tab/>
        <w:t xml:space="preserve">As discussed in </w:t>
      </w:r>
      <w:r>
        <w:rPr>
          <w:rFonts w:ascii="Baskerville" w:hAnsi="Baskerville" w:cs="Baskerville"/>
          <w:i/>
          <w:iCs/>
          <w:sz w:val="22"/>
          <w:szCs w:val="22"/>
        </w:rPr>
        <w:t>Abel</w:t>
      </w:r>
      <w:r>
        <w:rPr>
          <w:rFonts w:ascii="Baskerville" w:hAnsi="Baskerville" w:cs="Baskerville"/>
          <w:sz w:val="22"/>
          <w:szCs w:val="22"/>
        </w:rPr>
        <w:t>, the Illinois Supreme Court has expressed its approval of restrictive covenants that protect the fruits of one party’s efforts from unjust use by the other party.</w:t>
      </w:r>
      <w:r w:rsidR="00FB1D09">
        <w:rPr>
          <w:rFonts w:ascii="Baskerville" w:hAnsi="Baskerville" w:cs="Baskerville"/>
          <w:sz w:val="22"/>
          <w:szCs w:val="22"/>
        </w:rPr>
        <w:t xml:space="preserve"> </w:t>
      </w:r>
      <w:r w:rsidR="00121FAC">
        <w:rPr>
          <w:rFonts w:ascii="Baskerville" w:hAnsi="Baskerville" w:cs="Baskerville"/>
          <w:sz w:val="22"/>
          <w:szCs w:val="22"/>
        </w:rPr>
        <w:t xml:space="preserve"> </w:t>
      </w:r>
      <w:r w:rsidR="00944F63">
        <w:rPr>
          <w:rFonts w:ascii="Baskerville" w:hAnsi="Baskerville" w:cs="Baskerville"/>
          <w:sz w:val="22"/>
          <w:szCs w:val="22"/>
        </w:rPr>
        <w:t>…</w:t>
      </w:r>
      <w:r>
        <w:rPr>
          <w:sz w:val="22"/>
          <w:szCs w:val="22"/>
        </w:rPr>
        <w:t> </w:t>
      </w:r>
      <w:r>
        <w:rPr>
          <w:rFonts w:ascii="Baskerville" w:hAnsi="Baskerville" w:cs="Baskerville"/>
          <w:sz w:val="22"/>
          <w:szCs w:val="22"/>
        </w:rPr>
        <w:t xml:space="preserve">. [B]road language [in </w:t>
      </w:r>
      <w:r>
        <w:rPr>
          <w:rFonts w:ascii="Baskerville" w:hAnsi="Baskerville" w:cs="Baskerville"/>
          <w:i/>
          <w:iCs/>
          <w:sz w:val="22"/>
          <w:szCs w:val="22"/>
        </w:rPr>
        <w:t>Union Trust &amp; Sav. Bank v. Kinloch Long-Distance Tel. Co.</w:t>
      </w:r>
      <w:r>
        <w:rPr>
          <w:rFonts w:ascii="Baskerville" w:hAnsi="Baskerville" w:cs="Baskerville"/>
          <w:sz w:val="22"/>
          <w:szCs w:val="22"/>
        </w:rPr>
        <w:t xml:space="preserve">, 258 Ill. 202, 207, 101 N.E.2d 535, 537 (1913),] indicates that the supreme court will uphold restrictive covenants to protect an employer’s investments, </w:t>
      </w:r>
      <w:r>
        <w:rPr>
          <w:rFonts w:ascii="Baskerville" w:hAnsi="Baskerville" w:cs="Baskerville"/>
          <w:i/>
          <w:iCs/>
          <w:sz w:val="22"/>
          <w:szCs w:val="22"/>
        </w:rPr>
        <w:t>without regard to the nature of the employer-employee relationship</w:t>
      </w:r>
      <w:r>
        <w:rPr>
          <w:rFonts w:ascii="Baskerville" w:hAnsi="Baskerville" w:cs="Baskerville"/>
          <w:sz w:val="22"/>
          <w:szCs w:val="22"/>
        </w:rPr>
        <w:t>.</w:t>
      </w:r>
    </w:p>
    <w:p w14:paraId="36209DE9" w14:textId="77777777" w:rsidR="00655396" w:rsidRDefault="00655396" w:rsidP="008B512B">
      <w:pPr>
        <w:pStyle w:val="NoParagraphStyle"/>
        <w:tabs>
          <w:tab w:val="left" w:pos="960"/>
          <w:tab w:val="left" w:pos="1440"/>
        </w:tabs>
        <w:spacing w:line="240" w:lineRule="auto"/>
        <w:ind w:left="480"/>
        <w:jc w:val="center"/>
        <w:rPr>
          <w:rFonts w:ascii="Baskerville" w:hAnsi="Baskerville" w:cs="Baskerville"/>
          <w:sz w:val="22"/>
          <w:szCs w:val="22"/>
        </w:rPr>
      </w:pPr>
      <w:r>
        <w:rPr>
          <w:rFonts w:ascii="Baskerville" w:hAnsi="Baskerville" w:cs="Baskerville"/>
          <w:sz w:val="22"/>
          <w:szCs w:val="22"/>
        </w:rPr>
        <w:t>* * * *</w:t>
      </w:r>
    </w:p>
    <w:p w14:paraId="1C56D0B5" w14:textId="2C9CD5B1"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Not only does supreme court precedent support </w:t>
      </w:r>
      <w:r>
        <w:rPr>
          <w:rFonts w:ascii="Baskerville" w:hAnsi="Baskerville" w:cs="Baskerville"/>
          <w:i/>
          <w:iCs/>
          <w:sz w:val="22"/>
          <w:szCs w:val="22"/>
        </w:rPr>
        <w:t>Abel’s</w:t>
      </w:r>
      <w:r>
        <w:rPr>
          <w:rFonts w:ascii="Baskerville" w:hAnsi="Baskerville" w:cs="Baskerville"/>
          <w:sz w:val="22"/>
          <w:szCs w:val="22"/>
        </w:rPr>
        <w:t xml:space="preserve"> conclusion that </w:t>
      </w:r>
      <w:r>
        <w:rPr>
          <w:rFonts w:ascii="Baskerville" w:hAnsi="Baskerville" w:cs="Baskerville"/>
          <w:i/>
          <w:iCs/>
          <w:sz w:val="22"/>
          <w:szCs w:val="22"/>
        </w:rPr>
        <w:t>employment relationships, no matter how configured, may be supplemented by noncompetes</w:t>
      </w:r>
      <w:r>
        <w:rPr>
          <w:rFonts w:ascii="Baskerville" w:hAnsi="Baskerville" w:cs="Baskerville"/>
          <w:sz w:val="22"/>
          <w:szCs w:val="22"/>
        </w:rPr>
        <w:t>, but persuasive authority solidifies it.</w:t>
      </w:r>
      <w:r w:rsidR="00FB1D09">
        <w:rPr>
          <w:rFonts w:ascii="Baskerville" w:hAnsi="Baskerville" w:cs="Baskerville"/>
          <w:sz w:val="22"/>
          <w:szCs w:val="22"/>
        </w:rPr>
        <w:t xml:space="preserve"> </w:t>
      </w:r>
      <w:r>
        <w:rPr>
          <w:rFonts w:ascii="Baskerville" w:hAnsi="Baskerville" w:cs="Baskerville"/>
          <w:sz w:val="22"/>
          <w:szCs w:val="22"/>
        </w:rPr>
        <w:t xml:space="preserve">As </w:t>
      </w:r>
      <w:r>
        <w:rPr>
          <w:rFonts w:ascii="Baskerville" w:hAnsi="Baskerville" w:cs="Baskerville"/>
          <w:i/>
          <w:iCs/>
          <w:sz w:val="22"/>
          <w:szCs w:val="22"/>
        </w:rPr>
        <w:t>Abel</w:t>
      </w:r>
      <w:r>
        <w:rPr>
          <w:rFonts w:ascii="Baskerville" w:hAnsi="Baskerville" w:cs="Baskerville"/>
          <w:sz w:val="22"/>
          <w:szCs w:val="22"/>
        </w:rPr>
        <w:t xml:space="preserve"> points out, section 187 of the Restatement (Second) of Contracts directly supports allowing noncompetes despite the absence of a written contract: “A promise to refrain from competition that imposes a restraint that is not ancillary to an otherwise valid transaction </w:t>
      </w:r>
      <w:r>
        <w:rPr>
          <w:rFonts w:ascii="Baskerville" w:hAnsi="Baskerville" w:cs="Baskerville"/>
          <w:i/>
          <w:iCs/>
          <w:sz w:val="22"/>
          <w:szCs w:val="22"/>
        </w:rPr>
        <w:t>or relationship</w:t>
      </w:r>
      <w:r>
        <w:rPr>
          <w:rFonts w:ascii="Baskerville" w:hAnsi="Baskerville" w:cs="Baskerville"/>
          <w:sz w:val="22"/>
          <w:szCs w:val="22"/>
        </w:rPr>
        <w:t xml:space="preserve"> is unreasonably in restraint of trade.”</w:t>
      </w:r>
      <w:r w:rsidR="00FB1D09">
        <w:rPr>
          <w:rFonts w:ascii="Baskerville" w:hAnsi="Baskerville" w:cs="Baskerville"/>
          <w:sz w:val="22"/>
          <w:szCs w:val="22"/>
        </w:rPr>
        <w:t xml:space="preserve"> </w:t>
      </w:r>
      <w:r>
        <w:rPr>
          <w:rFonts w:ascii="Baskerville" w:hAnsi="Baskerville" w:cs="Baskerville"/>
          <w:smallCaps/>
          <w:sz w:val="22"/>
          <w:szCs w:val="22"/>
        </w:rPr>
        <w:t>Restatement (Second) of Contracts</w:t>
      </w:r>
      <w:r>
        <w:rPr>
          <w:rFonts w:ascii="Baskerville" w:hAnsi="Baskerville" w:cs="Baskerville"/>
          <w:sz w:val="22"/>
          <w:szCs w:val="22"/>
        </w:rPr>
        <w:t xml:space="preserve"> §187, at 38 (1979) (emphasis added).</w:t>
      </w:r>
      <w:r w:rsidR="00FB1D09">
        <w:rPr>
          <w:rFonts w:ascii="Baskerville" w:hAnsi="Baskerville" w:cs="Baskerville"/>
          <w:sz w:val="22"/>
          <w:szCs w:val="22"/>
        </w:rPr>
        <w:t xml:space="preserve"> </w:t>
      </w:r>
      <w:r>
        <w:rPr>
          <w:rFonts w:ascii="Baskerville" w:hAnsi="Baskerville" w:cs="Baskerville"/>
          <w:sz w:val="22"/>
          <w:szCs w:val="22"/>
        </w:rPr>
        <w:t>Comment b to section 187 explains that the promisee’s interest may arise out of “a relationship between himself as employer or principal and the promisor as employee or agent,” and says nothing about the need for an employment contract setting forth specific terms of employment.</w:t>
      </w:r>
      <w:r w:rsidR="00FB1D09">
        <w:rPr>
          <w:rFonts w:ascii="Baskerville" w:hAnsi="Baskerville" w:cs="Baskerville"/>
          <w:sz w:val="22"/>
          <w:szCs w:val="22"/>
        </w:rPr>
        <w:t xml:space="preserve"> </w:t>
      </w:r>
      <w:r>
        <w:rPr>
          <w:rFonts w:ascii="Baskerville" w:hAnsi="Baskerville" w:cs="Baskerville"/>
          <w:sz w:val="22"/>
          <w:szCs w:val="22"/>
        </w:rPr>
        <w:t>Finally, comment g to section 188 is right on point: “A restraint may be ancillary to a relationship although, as in the case of an employment at will, no contract of employment is involved.”</w:t>
      </w:r>
      <w:r w:rsidR="00FB1D09">
        <w:rPr>
          <w:rFonts w:ascii="Baskerville" w:hAnsi="Baskerville" w:cs="Baskerville"/>
          <w:sz w:val="22"/>
          <w:szCs w:val="22"/>
        </w:rPr>
        <w:t xml:space="preserve"> </w:t>
      </w:r>
      <w:r>
        <w:rPr>
          <w:rFonts w:ascii="Baskerville" w:hAnsi="Baskerville" w:cs="Baskerville"/>
          <w:smallCaps/>
          <w:sz w:val="22"/>
          <w:szCs w:val="22"/>
        </w:rPr>
        <w:t>Restatement (Second) of Contracts</w:t>
      </w:r>
      <w:r>
        <w:rPr>
          <w:rFonts w:ascii="Baskerville" w:hAnsi="Baskerville" w:cs="Baskerville"/>
          <w:sz w:val="22"/>
          <w:szCs w:val="22"/>
        </w:rPr>
        <w:t xml:space="preserve"> §188 comment g, at 45 (1979).</w:t>
      </w:r>
    </w:p>
    <w:p w14:paraId="49917A28" w14:textId="629853F1" w:rsidR="00655396" w:rsidRPr="00F46976" w:rsidRDefault="00655396" w:rsidP="008B512B">
      <w:pPr>
        <w:pStyle w:val="NoParagraphStyle"/>
        <w:tabs>
          <w:tab w:val="left" w:pos="960"/>
          <w:tab w:val="left" w:pos="1440"/>
        </w:tabs>
        <w:spacing w:line="240" w:lineRule="auto"/>
        <w:ind w:left="480"/>
        <w:jc w:val="both"/>
        <w:rPr>
          <w:rFonts w:ascii="Baskerville" w:hAnsi="Baskerville" w:cs="Baskerville"/>
          <w:sz w:val="22"/>
          <w:szCs w:val="22"/>
          <w:lang w:val="nb-NO"/>
        </w:rPr>
      </w:pPr>
      <w:r>
        <w:rPr>
          <w:rFonts w:ascii="Baskerville" w:hAnsi="Baskerville" w:cs="Baskerville"/>
          <w:sz w:val="22"/>
          <w:szCs w:val="22"/>
        </w:rPr>
        <w:tab/>
        <w:t xml:space="preserve">These authorities, compiled in the </w:t>
      </w:r>
      <w:r>
        <w:rPr>
          <w:rFonts w:ascii="Baskerville" w:hAnsi="Baskerville" w:cs="Baskerville"/>
          <w:i/>
          <w:iCs/>
          <w:sz w:val="22"/>
          <w:szCs w:val="22"/>
        </w:rPr>
        <w:t>Abel</w:t>
      </w:r>
      <w:r>
        <w:rPr>
          <w:rFonts w:ascii="Baskerville" w:hAnsi="Baskerville" w:cs="Baskerville"/>
          <w:sz w:val="22"/>
          <w:szCs w:val="22"/>
        </w:rPr>
        <w:t xml:space="preserve"> decision, recognize that pitting employment by contract against employment at will makes a distinction without a difference.</w:t>
      </w:r>
      <w:r w:rsidR="00FB1D09">
        <w:rPr>
          <w:rFonts w:ascii="Baskerville" w:hAnsi="Baskerville" w:cs="Baskerville"/>
          <w:sz w:val="22"/>
          <w:szCs w:val="22"/>
        </w:rPr>
        <w:t xml:space="preserve"> </w:t>
      </w:r>
      <w:r>
        <w:rPr>
          <w:rFonts w:ascii="Baskerville" w:hAnsi="Baskerville" w:cs="Baskerville"/>
          <w:sz w:val="22"/>
          <w:szCs w:val="22"/>
        </w:rPr>
        <w:t>The Seventh Circuit has said as much, noting that “[e]mployment at will is of course a valid contractual relationship.”</w:t>
      </w:r>
      <w:r w:rsidR="00CD7A12">
        <w:rPr>
          <w:rFonts w:ascii="Baskerville" w:hAnsi="Baskerville" w:cs="Baskerville"/>
          <w:sz w:val="22"/>
          <w:szCs w:val="22"/>
        </w:rPr>
        <w:t xml:space="preserve"> </w:t>
      </w:r>
      <w:r>
        <w:rPr>
          <w:rFonts w:ascii="Baskerville" w:hAnsi="Baskerville" w:cs="Baskerville"/>
          <w:i/>
          <w:iCs/>
          <w:sz w:val="22"/>
          <w:szCs w:val="22"/>
        </w:rPr>
        <w:t>Curtis</w:t>
      </w:r>
      <w:r>
        <w:rPr>
          <w:rFonts w:ascii="Baskerville" w:hAnsi="Baskerville" w:cs="Baskerville"/>
          <w:sz w:val="22"/>
          <w:szCs w:val="22"/>
        </w:rPr>
        <w:t xml:space="preserve"> [</w:t>
      </w:r>
      <w:r>
        <w:rPr>
          <w:rFonts w:ascii="Baskerville" w:hAnsi="Baskerville" w:cs="Baskerville"/>
          <w:i/>
          <w:iCs/>
          <w:sz w:val="22"/>
          <w:szCs w:val="22"/>
        </w:rPr>
        <w:t>1000, Inc. v. Suess</w:t>
      </w:r>
      <w:r>
        <w:rPr>
          <w:rFonts w:ascii="Baskerville" w:hAnsi="Baskerville" w:cs="Baskerville"/>
          <w:sz w:val="22"/>
          <w:szCs w:val="22"/>
        </w:rPr>
        <w:t>, 24 F.3d 941, 943 (7th Cir. 1994)].</w:t>
      </w:r>
      <w:r w:rsidR="00FB1D09">
        <w:rPr>
          <w:rFonts w:ascii="Baskerville" w:hAnsi="Baskerville" w:cs="Baskerville"/>
          <w:sz w:val="22"/>
          <w:szCs w:val="22"/>
        </w:rPr>
        <w:t xml:space="preserve"> </w:t>
      </w:r>
      <w:r>
        <w:rPr>
          <w:rFonts w:ascii="Baskerville" w:hAnsi="Baskerville" w:cs="Baskerville"/>
          <w:i/>
          <w:iCs/>
          <w:sz w:val="22"/>
          <w:szCs w:val="22"/>
        </w:rPr>
        <w:t>What matters in the ancillarity analysis is that</w:t>
      </w:r>
      <w:r>
        <w:rPr>
          <w:rFonts w:ascii="Baskerville" w:hAnsi="Baskerville" w:cs="Baskerville"/>
          <w:sz w:val="22"/>
          <w:szCs w:val="22"/>
        </w:rPr>
        <w:t xml:space="preserve"> [</w:t>
      </w:r>
      <w:r>
        <w:rPr>
          <w:rFonts w:ascii="Baskerville" w:hAnsi="Baskerville" w:cs="Baskerville"/>
          <w:i/>
          <w:iCs/>
          <w:sz w:val="22"/>
          <w:szCs w:val="22"/>
        </w:rPr>
        <w:t>the</w:t>
      </w:r>
      <w:r>
        <w:rPr>
          <w:rFonts w:ascii="Baskerville" w:hAnsi="Baskerville" w:cs="Baskerville"/>
          <w:sz w:val="22"/>
          <w:szCs w:val="22"/>
        </w:rPr>
        <w:t xml:space="preserve">] </w:t>
      </w:r>
      <w:r>
        <w:rPr>
          <w:rFonts w:ascii="Baskerville" w:hAnsi="Baskerville" w:cs="Baskerville"/>
          <w:i/>
          <w:iCs/>
          <w:sz w:val="22"/>
          <w:szCs w:val="22"/>
        </w:rPr>
        <w:t>noncompete be subordinate to the employer-employee relationship, which is no less valid or meaningful simply because it is at-will.</w:t>
      </w:r>
      <w:r w:rsidR="00FB1D09">
        <w:rPr>
          <w:rFonts w:ascii="Baskerville" w:hAnsi="Baskerville" w:cs="Baskerville"/>
          <w:sz w:val="22"/>
          <w:szCs w:val="22"/>
        </w:rPr>
        <w:t xml:space="preserve"> </w:t>
      </w:r>
      <w:r>
        <w:rPr>
          <w:rFonts w:ascii="Baskerville" w:hAnsi="Baskerville" w:cs="Baskerville"/>
          <w:sz w:val="22"/>
          <w:szCs w:val="22"/>
        </w:rPr>
        <w:t xml:space="preserve">As the </w:t>
      </w:r>
      <w:r>
        <w:rPr>
          <w:rFonts w:ascii="Baskerville" w:hAnsi="Baskerville" w:cs="Baskerville"/>
          <w:i/>
          <w:iCs/>
          <w:sz w:val="22"/>
          <w:szCs w:val="22"/>
        </w:rPr>
        <w:lastRenderedPageBreak/>
        <w:t>Abel</w:t>
      </w:r>
      <w:r>
        <w:rPr>
          <w:rFonts w:ascii="Baskerville" w:hAnsi="Baskerville" w:cs="Baskerville"/>
          <w:sz w:val="22"/>
          <w:szCs w:val="22"/>
        </w:rPr>
        <w:t xml:space="preserve"> court correctly observes, at-will employment is a “relationship with numerous legal consequences, imposing rights and obligations on both parties.”</w:t>
      </w:r>
      <w:r w:rsidR="00FB1D09">
        <w:rPr>
          <w:rFonts w:ascii="Baskerville" w:hAnsi="Baskerville" w:cs="Baskerville"/>
          <w:sz w:val="22"/>
          <w:szCs w:val="22"/>
        </w:rPr>
        <w:t xml:space="preserve"> </w:t>
      </w:r>
      <w:r w:rsidRPr="00F46976">
        <w:rPr>
          <w:rFonts w:ascii="Baskerville" w:hAnsi="Baskerville" w:cs="Baskerville"/>
          <w:sz w:val="22"/>
          <w:szCs w:val="22"/>
          <w:lang w:val="nb-NO"/>
        </w:rPr>
        <w:t>274 Ill. App. 3d at 820, 221 Ill. Dec. at 135, 654 N.E.2d at 597.</w:t>
      </w:r>
    </w:p>
    <w:p w14:paraId="6D083887" w14:textId="77777777" w:rsidR="00655396" w:rsidRDefault="00655396" w:rsidP="008B512B">
      <w:pPr>
        <w:pStyle w:val="BQ"/>
        <w:spacing w:line="240" w:lineRule="auto"/>
        <w:jc w:val="center"/>
      </w:pPr>
      <w:r>
        <w:t>* * * *</w:t>
      </w:r>
    </w:p>
    <w:p w14:paraId="6F6D97BD" w14:textId="2E15172B"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[The former employee in the instant case] argues that if we decline to follow </w:t>
      </w:r>
      <w:r>
        <w:rPr>
          <w:rFonts w:ascii="Baskerville" w:hAnsi="Baskerville" w:cs="Baskerville"/>
          <w:i/>
          <w:iCs/>
          <w:sz w:val="22"/>
          <w:szCs w:val="22"/>
        </w:rPr>
        <w:t>Creative Entertainment</w:t>
      </w:r>
      <w:r>
        <w:rPr>
          <w:rFonts w:ascii="Baskerville" w:hAnsi="Baskerville" w:cs="Baskerville"/>
          <w:sz w:val="22"/>
          <w:szCs w:val="22"/>
        </w:rPr>
        <w:t xml:space="preserve"> and uphold her noncompete, we will be ignoring the “underlying evil” that the case attempts to cure.</w:t>
      </w:r>
      <w:r w:rsidR="00FB1D09">
        <w:rPr>
          <w:rFonts w:ascii="Baskerville" w:hAnsi="Baskerville" w:cs="Baskerville"/>
          <w:sz w:val="22"/>
          <w:szCs w:val="22"/>
        </w:rPr>
        <w:t xml:space="preserve"> </w:t>
      </w:r>
      <w:r>
        <w:rPr>
          <w:rFonts w:ascii="Baskerville" w:hAnsi="Baskerville" w:cs="Baskerville"/>
          <w:sz w:val="22"/>
          <w:szCs w:val="22"/>
        </w:rPr>
        <w:t>Def. Reply at 7.</w:t>
      </w:r>
      <w:r w:rsidR="00FB1D09">
        <w:rPr>
          <w:rFonts w:ascii="Baskerville" w:hAnsi="Baskerville" w:cs="Baskerville"/>
          <w:sz w:val="22"/>
          <w:szCs w:val="22"/>
        </w:rPr>
        <w:t xml:space="preserve"> </w:t>
      </w:r>
      <w:r>
        <w:rPr>
          <w:rFonts w:ascii="Baskerville" w:hAnsi="Baskerville" w:cs="Baskerville"/>
          <w:sz w:val="22"/>
          <w:szCs w:val="22"/>
        </w:rPr>
        <w:t>Specifically, such a decision would purportedly enable employers to ask an existing at-will employee to sign a restrictive covenant, fire the at-will employee right afterward, and still enforce the restrictive covenant.</w:t>
      </w:r>
      <w:r w:rsidR="00FB1D09">
        <w:rPr>
          <w:rFonts w:ascii="Baskerville" w:hAnsi="Baskerville" w:cs="Baskerville"/>
          <w:sz w:val="22"/>
          <w:szCs w:val="22"/>
        </w:rPr>
        <w:t xml:space="preserve"> </w:t>
      </w:r>
      <w:r>
        <w:rPr>
          <w:rFonts w:ascii="Baskerville" w:hAnsi="Baskerville" w:cs="Baskerville"/>
          <w:i/>
          <w:iCs/>
          <w:sz w:val="22"/>
          <w:szCs w:val="22"/>
        </w:rPr>
        <w:t>Id.</w:t>
      </w:r>
      <w:r w:rsidR="00FB1D09">
        <w:rPr>
          <w:rFonts w:ascii="Baskerville" w:hAnsi="Baskerville" w:cs="Baskerville"/>
          <w:sz w:val="22"/>
          <w:szCs w:val="22"/>
        </w:rPr>
        <w:t xml:space="preserve"> </w:t>
      </w:r>
      <w:r>
        <w:rPr>
          <w:rFonts w:ascii="Baskerville" w:hAnsi="Baskerville" w:cs="Baskerville"/>
          <w:sz w:val="22"/>
          <w:szCs w:val="22"/>
        </w:rPr>
        <w:t>This argument is without merit.</w:t>
      </w:r>
      <w:r w:rsidR="00FB1D09">
        <w:rPr>
          <w:rFonts w:ascii="Baskerville" w:hAnsi="Baskerville" w:cs="Baskerville"/>
          <w:sz w:val="22"/>
          <w:szCs w:val="22"/>
        </w:rPr>
        <w:t xml:space="preserve"> </w:t>
      </w:r>
      <w:r>
        <w:rPr>
          <w:rFonts w:ascii="Baskerville" w:hAnsi="Baskerville" w:cs="Baskerville"/>
          <w:sz w:val="22"/>
          <w:szCs w:val="22"/>
        </w:rPr>
        <w:t>It ignores the long line of cases, which our decision does not disturb, requiring continued employment for a substantial period after the employee signs the noncompete.</w:t>
      </w:r>
      <w:r w:rsidR="00FB1D09">
        <w:rPr>
          <w:rFonts w:ascii="Baskerville" w:hAnsi="Baskerville" w:cs="Baskerville"/>
          <w:sz w:val="22"/>
          <w:szCs w:val="22"/>
        </w:rPr>
        <w:t xml:space="preserve"> </w:t>
      </w:r>
      <w:r>
        <w:rPr>
          <w:rFonts w:ascii="Baskerville" w:hAnsi="Baskerville" w:cs="Baskerville"/>
          <w:sz w:val="22"/>
          <w:szCs w:val="22"/>
        </w:rPr>
        <w:t>An employer in the situation posited by [the former employee in the instant case] would clearly be unable to enforce the restrictive covenant for lack of consideration.</w:t>
      </w:r>
    </w:p>
    <w:p w14:paraId="5A6321DF" w14:textId="1FD0B5F8"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Our decision that the supreme court would favor the reasoning and result in </w:t>
      </w:r>
      <w:r>
        <w:rPr>
          <w:rFonts w:ascii="Baskerville" w:hAnsi="Baskerville" w:cs="Baskerville"/>
          <w:i/>
          <w:iCs/>
          <w:sz w:val="22"/>
          <w:szCs w:val="22"/>
        </w:rPr>
        <w:t>Abel</w:t>
      </w:r>
      <w:r>
        <w:rPr>
          <w:rFonts w:ascii="Baskerville" w:hAnsi="Baskerville" w:cs="Baskerville"/>
          <w:sz w:val="22"/>
          <w:szCs w:val="22"/>
        </w:rPr>
        <w:t xml:space="preserve"> over </w:t>
      </w:r>
      <w:r>
        <w:rPr>
          <w:rFonts w:ascii="Baskerville" w:hAnsi="Baskerville" w:cs="Baskerville"/>
          <w:i/>
          <w:iCs/>
          <w:sz w:val="22"/>
          <w:szCs w:val="22"/>
        </w:rPr>
        <w:t>Creative Entertainment</w:t>
      </w:r>
      <w:r>
        <w:rPr>
          <w:rFonts w:ascii="Baskerville" w:hAnsi="Baskerville" w:cs="Baskerville"/>
          <w:sz w:val="22"/>
          <w:szCs w:val="22"/>
        </w:rPr>
        <w:t xml:space="preserve"> is strengthened by the fact that </w:t>
      </w:r>
      <w:r>
        <w:rPr>
          <w:rFonts w:ascii="Baskerville" w:hAnsi="Baskerville" w:cs="Baskerville"/>
          <w:i/>
          <w:iCs/>
          <w:sz w:val="22"/>
          <w:szCs w:val="22"/>
        </w:rPr>
        <w:t>Creative Entertainment</w:t>
      </w:r>
      <w:r>
        <w:rPr>
          <w:rFonts w:ascii="Baskerville" w:hAnsi="Baskerville" w:cs="Baskerville"/>
          <w:sz w:val="22"/>
          <w:szCs w:val="22"/>
        </w:rPr>
        <w:t xml:space="preserve"> cites no supreme court cases or persuasive authority for its conclusion, and is even inconsistent with one of its own earlier decisions.</w:t>
      </w:r>
      <w:r w:rsidR="00FB1D09">
        <w:rPr>
          <w:rFonts w:ascii="Baskerville" w:hAnsi="Baskerville" w:cs="Baskerville"/>
          <w:sz w:val="22"/>
          <w:szCs w:val="22"/>
        </w:rPr>
        <w:t xml:space="preserve"> </w:t>
      </w:r>
      <w:r>
        <w:rPr>
          <w:rFonts w:ascii="Baskerville" w:hAnsi="Baskerville" w:cs="Baskerville"/>
          <w:sz w:val="22"/>
          <w:szCs w:val="22"/>
        </w:rPr>
        <w:t xml:space="preserve">In </w:t>
      </w:r>
      <w:r>
        <w:rPr>
          <w:rFonts w:ascii="Baskerville" w:hAnsi="Baskerville" w:cs="Baskerville"/>
          <w:i/>
          <w:iCs/>
          <w:sz w:val="22"/>
          <w:szCs w:val="22"/>
        </w:rPr>
        <w:t>Agrimerica, Inc. v. Mathes</w:t>
      </w:r>
      <w:r>
        <w:rPr>
          <w:rFonts w:ascii="Baskerville" w:hAnsi="Baskerville" w:cs="Baskerville"/>
          <w:sz w:val="22"/>
          <w:szCs w:val="22"/>
        </w:rPr>
        <w:t>[, 199 Ill. App. 3d 435, 145 Ill. Dec. 587, 557 N.E.2d 357 (1st Dist. 1990)], the First District rebuffed challenges to a noncompete’s consideration and ancillarity despite the fact that the challenger was an at-will employee.</w:t>
      </w:r>
      <w:r w:rsidR="00FB1D09">
        <w:rPr>
          <w:rFonts w:ascii="Baskerville" w:hAnsi="Baskerville" w:cs="Baskerville"/>
          <w:sz w:val="22"/>
          <w:szCs w:val="22"/>
        </w:rPr>
        <w:t xml:space="preserve"> </w:t>
      </w:r>
      <w:r w:rsidRPr="00F46976">
        <w:rPr>
          <w:rFonts w:ascii="Baskerville" w:hAnsi="Baskerville" w:cs="Baskerville"/>
          <w:sz w:val="22"/>
          <w:szCs w:val="22"/>
          <w:lang w:val="nb-NO"/>
        </w:rPr>
        <w:t>199 Ill. App. 3d at 439, 442, 145 Ill. Dec. at 590, 592, 557 N.E.2d at 360, 362, 366.</w:t>
      </w:r>
      <w:r w:rsidR="00FB1D09">
        <w:rPr>
          <w:rFonts w:ascii="Baskerville" w:hAnsi="Baskerville" w:cs="Baskerville"/>
          <w:sz w:val="22"/>
          <w:szCs w:val="22"/>
          <w:lang w:val="nb-NO"/>
        </w:rPr>
        <w:t xml:space="preserve"> </w:t>
      </w:r>
      <w:r>
        <w:rPr>
          <w:rFonts w:ascii="Baskerville" w:hAnsi="Baskerville" w:cs="Baskerville"/>
          <w:sz w:val="22"/>
          <w:szCs w:val="22"/>
        </w:rPr>
        <w:t xml:space="preserve">The court made no issue of the fact, as it did in </w:t>
      </w:r>
      <w:r>
        <w:rPr>
          <w:rFonts w:ascii="Baskerville" w:hAnsi="Baskerville" w:cs="Baskerville"/>
          <w:i/>
          <w:iCs/>
          <w:sz w:val="22"/>
          <w:szCs w:val="22"/>
        </w:rPr>
        <w:t>Creative Entertainment</w:t>
      </w:r>
      <w:r>
        <w:rPr>
          <w:rFonts w:ascii="Baskerville" w:hAnsi="Baskerville" w:cs="Baskerville"/>
          <w:sz w:val="22"/>
          <w:szCs w:val="22"/>
        </w:rPr>
        <w:t>, that the relationship was at-will, did not promise a specific period of employment, and was not embodied in a contract setting forth other employment terms and conditions.</w:t>
      </w:r>
    </w:p>
    <w:p w14:paraId="28175DBA" w14:textId="511E0FDB" w:rsidR="00655396" w:rsidRPr="00F46976" w:rsidRDefault="00655396" w:rsidP="008B512B">
      <w:pPr>
        <w:pStyle w:val="NoParagraphStyle"/>
        <w:tabs>
          <w:tab w:val="left" w:pos="960"/>
          <w:tab w:val="left" w:pos="1440"/>
        </w:tabs>
        <w:spacing w:line="240" w:lineRule="auto"/>
        <w:ind w:left="480"/>
        <w:jc w:val="both"/>
        <w:rPr>
          <w:rFonts w:ascii="Baskerville" w:hAnsi="Baskerville" w:cs="Baskerville"/>
          <w:sz w:val="22"/>
          <w:szCs w:val="22"/>
          <w:lang w:val="nb-NO"/>
        </w:rPr>
      </w:pPr>
      <w:r>
        <w:rPr>
          <w:rFonts w:ascii="Baskerville" w:hAnsi="Baskerville" w:cs="Baskerville"/>
          <w:sz w:val="22"/>
          <w:szCs w:val="22"/>
        </w:rPr>
        <w:tab/>
        <w:t xml:space="preserve">In sum, </w:t>
      </w:r>
      <w:r>
        <w:rPr>
          <w:rFonts w:ascii="Baskerville" w:hAnsi="Baskerville" w:cs="Baskerville"/>
          <w:i/>
          <w:iCs/>
          <w:sz w:val="22"/>
          <w:szCs w:val="22"/>
        </w:rPr>
        <w:t>Creative Entertainment</w:t>
      </w:r>
      <w:r>
        <w:rPr>
          <w:rFonts w:ascii="Baskerville" w:hAnsi="Baskerville" w:cs="Baskerville"/>
          <w:sz w:val="22"/>
          <w:szCs w:val="22"/>
        </w:rPr>
        <w:t xml:space="preserve"> is out of step with precedent, persuasive authority, and policy.</w:t>
      </w:r>
      <w:r w:rsidR="00FB1D09">
        <w:rPr>
          <w:rFonts w:ascii="Baskerville" w:hAnsi="Baskerville" w:cs="Baskerville"/>
          <w:sz w:val="22"/>
          <w:szCs w:val="22"/>
        </w:rPr>
        <w:t xml:space="preserve"> </w:t>
      </w:r>
      <w:r>
        <w:rPr>
          <w:rFonts w:ascii="Baskerville" w:hAnsi="Baskerville" w:cs="Baskerville"/>
          <w:sz w:val="22"/>
          <w:szCs w:val="22"/>
        </w:rPr>
        <w:t xml:space="preserve">Because we have determined that the supreme court would in all likelihood share our view, we decline to accept </w:t>
      </w:r>
      <w:r>
        <w:rPr>
          <w:rFonts w:ascii="Baskerville" w:hAnsi="Baskerville" w:cs="Baskerville"/>
          <w:i/>
          <w:iCs/>
          <w:sz w:val="22"/>
          <w:szCs w:val="22"/>
        </w:rPr>
        <w:t>Creative Entertainment’s</w:t>
      </w:r>
      <w:r>
        <w:rPr>
          <w:rFonts w:ascii="Baskerville" w:hAnsi="Baskerville" w:cs="Baskerville"/>
          <w:sz w:val="22"/>
          <w:szCs w:val="22"/>
        </w:rPr>
        <w:t xml:space="preserve"> invitation to adopt a legal perspective that would strike down all noncompetes in at-will employment relationships.</w:t>
      </w:r>
      <w:r w:rsidR="00FB1D09">
        <w:rPr>
          <w:rFonts w:ascii="Baskerville" w:hAnsi="Baskerville" w:cs="Baskerville"/>
          <w:sz w:val="22"/>
          <w:szCs w:val="22"/>
        </w:rPr>
        <w:t xml:space="preserve"> </w:t>
      </w:r>
      <w:r>
        <w:rPr>
          <w:rFonts w:ascii="Baskerville" w:hAnsi="Baskerville" w:cs="Baskerville"/>
          <w:sz w:val="22"/>
          <w:szCs w:val="22"/>
        </w:rPr>
        <w:t>Rather, the enforceability of covenants not to compete in at-will arrangements is “based on the same rules which apply to any other post-employment noncompetition covenant made during an employment relationship.”</w:t>
      </w:r>
      <w:r w:rsidR="00FB1D09">
        <w:rPr>
          <w:rFonts w:ascii="Baskerville" w:hAnsi="Baskerville" w:cs="Baskerville"/>
          <w:sz w:val="22"/>
          <w:szCs w:val="22"/>
        </w:rPr>
        <w:t xml:space="preserve"> </w:t>
      </w:r>
      <w:r w:rsidRPr="00F46976">
        <w:rPr>
          <w:rFonts w:ascii="Baskerville" w:hAnsi="Baskerville" w:cs="Baskerville"/>
          <w:i/>
          <w:iCs/>
          <w:sz w:val="22"/>
          <w:szCs w:val="22"/>
          <w:lang w:val="nb-NO"/>
        </w:rPr>
        <w:t>Abel</w:t>
      </w:r>
      <w:r w:rsidRPr="00F46976">
        <w:rPr>
          <w:rFonts w:ascii="Baskerville" w:hAnsi="Baskerville" w:cs="Baskerville"/>
          <w:sz w:val="22"/>
          <w:szCs w:val="22"/>
          <w:lang w:val="nb-NO"/>
        </w:rPr>
        <w:t>, 274 Ill. App. 3d at 820, 211 Ill. Dec. at 135, 654 N.E.2d at 597.</w:t>
      </w:r>
    </w:p>
    <w:p w14:paraId="237369C3" w14:textId="77777777" w:rsidR="00655396" w:rsidRPr="00F46976" w:rsidRDefault="00655396" w:rsidP="008B512B">
      <w:pPr>
        <w:pStyle w:val="BodyText"/>
        <w:spacing w:line="240" w:lineRule="auto"/>
        <w:rPr>
          <w:sz w:val="20"/>
          <w:szCs w:val="20"/>
          <w:lang w:val="nb-NO"/>
        </w:rPr>
      </w:pPr>
    </w:p>
    <w:p w14:paraId="1DAD125E"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at 756–58 (emphasis added).</w:t>
      </w:r>
    </w:p>
    <w:p w14:paraId="13A6604A" w14:textId="77777777" w:rsidR="00655396" w:rsidRDefault="00655396" w:rsidP="008B512B">
      <w:pPr>
        <w:pStyle w:val="BodyText"/>
        <w:spacing w:line="240" w:lineRule="auto"/>
      </w:pPr>
    </w:p>
    <w:p w14:paraId="70C8BCF0"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i/>
          <w:iCs/>
        </w:rPr>
        <w:t>Diepholz v. Rutledge, 276 Ill. App. 3d 1013, 213 Ill. Dec. 643, 659 N.E.2d 989 (4th Dist. 1995)</w:t>
      </w:r>
    </w:p>
    <w:p w14:paraId="60053D05" w14:textId="77777777" w:rsidR="00655396" w:rsidRDefault="00655396" w:rsidP="008B512B">
      <w:pPr>
        <w:pStyle w:val="BodyText"/>
        <w:spacing w:line="240" w:lineRule="auto"/>
      </w:pPr>
    </w:p>
    <w:p w14:paraId="4402D025" w14:textId="5FD40D49"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In this sale-of-business covenant case, the court construed a covenant barring the seller of an automobile dealership for four years from “engaging in the automobile sales or service business as an individual or as an owner in Coles County, Illinois” not to restrict the seller’s right to engage in untargeted newspaper and radio advertising in that county.</w:t>
      </w:r>
      <w:r w:rsidR="00FB1D09">
        <w:rPr>
          <w:rFonts w:ascii="Baskerville" w:hAnsi="Baskerville" w:cs="Baskerville"/>
        </w:rPr>
        <w:t xml:space="preserve"> </w:t>
      </w:r>
      <w:r>
        <w:rPr>
          <w:rFonts w:ascii="Baskerville" w:hAnsi="Baskerville" w:cs="Baskerville"/>
        </w:rPr>
        <w:t>659 N.E.2d at 990, 992.</w:t>
      </w:r>
      <w:r w:rsidR="00FB1D09">
        <w:rPr>
          <w:rFonts w:ascii="Baskerville" w:hAnsi="Baskerville" w:cs="Baskerville"/>
        </w:rPr>
        <w:t xml:space="preserve"> </w:t>
      </w:r>
      <w:r>
        <w:rPr>
          <w:rFonts w:ascii="Baskerville" w:hAnsi="Baskerville" w:cs="Baskerville"/>
        </w:rPr>
        <w:t>The court explained:</w:t>
      </w:r>
    </w:p>
    <w:p w14:paraId="3AF7E16D" w14:textId="77777777" w:rsidR="00655396" w:rsidRDefault="00655396" w:rsidP="008B512B">
      <w:pPr>
        <w:pStyle w:val="BodyText"/>
        <w:spacing w:line="240" w:lineRule="auto"/>
        <w:rPr>
          <w:sz w:val="20"/>
          <w:szCs w:val="20"/>
        </w:rPr>
      </w:pPr>
    </w:p>
    <w:p w14:paraId="528FDF19" w14:textId="0825161C"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The covenant forbids [the seller] from engaging in the automobile business in Coles County.</w:t>
      </w:r>
      <w:r w:rsidR="00FB1D09">
        <w:rPr>
          <w:rFonts w:ascii="Baskerville" w:hAnsi="Baskerville" w:cs="Baskerville"/>
          <w:sz w:val="22"/>
          <w:szCs w:val="22"/>
        </w:rPr>
        <w:t xml:space="preserve"> </w:t>
      </w:r>
      <w:r>
        <w:rPr>
          <w:rFonts w:ascii="Baskerville" w:hAnsi="Baskerville" w:cs="Baskerville"/>
          <w:sz w:val="22"/>
          <w:szCs w:val="22"/>
        </w:rPr>
        <w:t>Advertising is undeniably part of the automobile sales business.</w:t>
      </w:r>
      <w:r w:rsidR="00FB1D09">
        <w:rPr>
          <w:rFonts w:ascii="Baskerville" w:hAnsi="Baskerville" w:cs="Baskerville"/>
          <w:sz w:val="22"/>
          <w:szCs w:val="22"/>
        </w:rPr>
        <w:t xml:space="preserve"> </w:t>
      </w:r>
      <w:r>
        <w:rPr>
          <w:rFonts w:ascii="Baskerville" w:hAnsi="Baskerville" w:cs="Baskerville"/>
          <w:sz w:val="22"/>
          <w:szCs w:val="22"/>
        </w:rPr>
        <w:t>However, an automobile dealer is not “engaged in” business in every location his [newspaper and radio] advertisements reach.</w:t>
      </w:r>
      <w:r w:rsidR="00FB1D09">
        <w:rPr>
          <w:rFonts w:ascii="Baskerville" w:hAnsi="Baskerville" w:cs="Baskerville"/>
          <w:sz w:val="22"/>
          <w:szCs w:val="22"/>
        </w:rPr>
        <w:t xml:space="preserve"> </w:t>
      </w:r>
      <w:r>
        <w:rPr>
          <w:rFonts w:ascii="Baskerville" w:hAnsi="Baskerville" w:cs="Baskerville"/>
          <w:sz w:val="22"/>
          <w:szCs w:val="22"/>
        </w:rPr>
        <w:t>Advertising in Coles County is not “engaging in the automobile sales or service business as an individual or as an owner in Coles County.”</w:t>
      </w:r>
      <w:r w:rsidR="00FB1D09">
        <w:rPr>
          <w:rFonts w:ascii="Baskerville" w:hAnsi="Baskerville" w:cs="Baskerville"/>
          <w:sz w:val="22"/>
          <w:szCs w:val="22"/>
        </w:rPr>
        <w:t xml:space="preserve"> </w:t>
      </w:r>
      <w:r>
        <w:rPr>
          <w:rFonts w:ascii="Baskerville" w:hAnsi="Baskerville" w:cs="Baskerville"/>
          <w:sz w:val="22"/>
          <w:szCs w:val="22"/>
        </w:rPr>
        <w:t>Modern media advertisements normally cover a substantial area.</w:t>
      </w:r>
      <w:r w:rsidR="00FB1D09">
        <w:rPr>
          <w:rFonts w:ascii="Baskerville" w:hAnsi="Baskerville" w:cs="Baskerville"/>
          <w:sz w:val="22"/>
          <w:szCs w:val="22"/>
        </w:rPr>
        <w:t xml:space="preserve"> </w:t>
      </w:r>
      <w:r>
        <w:rPr>
          <w:rFonts w:ascii="Baskerville" w:hAnsi="Baskerville" w:cs="Baskerville"/>
          <w:sz w:val="22"/>
          <w:szCs w:val="22"/>
        </w:rPr>
        <w:t>It would have been nearly impossible for [the seller] to operate a dealership in [adjacent] Moultrie County without advertising in Coles and other adjacent counties.</w:t>
      </w:r>
      <w:r w:rsidR="00FB1D09">
        <w:rPr>
          <w:rFonts w:ascii="Baskerville" w:hAnsi="Baskerville" w:cs="Baskerville"/>
          <w:sz w:val="22"/>
          <w:szCs w:val="22"/>
        </w:rPr>
        <w:t xml:space="preserve"> </w:t>
      </w:r>
      <w:r>
        <w:rPr>
          <w:rFonts w:ascii="Baskerville" w:hAnsi="Baskerville" w:cs="Baskerville"/>
          <w:sz w:val="22"/>
          <w:szCs w:val="22"/>
        </w:rPr>
        <w:t>Had the parties intended to prevent defendant from engaging in every adjacent county, the covenant should have so stated.</w:t>
      </w:r>
    </w:p>
    <w:p w14:paraId="746EAD60" w14:textId="4B1BAF9B"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In </w:t>
      </w:r>
      <w:r>
        <w:rPr>
          <w:rFonts w:ascii="Baskerville" w:hAnsi="Baskerville" w:cs="Baskerville"/>
          <w:i/>
          <w:iCs/>
          <w:sz w:val="22"/>
          <w:szCs w:val="22"/>
        </w:rPr>
        <w:t>Jackson v. Hammer</w:t>
      </w:r>
      <w:r>
        <w:rPr>
          <w:rFonts w:ascii="Baskerville" w:hAnsi="Baskerville" w:cs="Baskerville"/>
          <w:sz w:val="22"/>
          <w:szCs w:val="22"/>
        </w:rPr>
        <w:t xml:space="preserve"> (1995), 274 Ill. App. 3d 59, 64, 210 Ill. Dec. 614, 618, 653 N.E.2d 809, 813, this court stated that the sellers of a hobby store apparently violated the terms of a noncompete clause by mailing advertising flyers to their former customers within the noncompete area.</w:t>
      </w:r>
      <w:r w:rsidR="00FB1D09">
        <w:rPr>
          <w:rFonts w:ascii="Baskerville" w:hAnsi="Baskerville" w:cs="Baskerville"/>
          <w:sz w:val="22"/>
          <w:szCs w:val="22"/>
        </w:rPr>
        <w:t xml:space="preserve"> </w:t>
      </w:r>
      <w:r>
        <w:rPr>
          <w:rFonts w:ascii="Baskerville" w:hAnsi="Baskerville" w:cs="Baskerville"/>
          <w:sz w:val="22"/>
          <w:szCs w:val="22"/>
        </w:rPr>
        <w:t>The present case is distinguishable.</w:t>
      </w:r>
      <w:r w:rsidR="00FB1D09">
        <w:rPr>
          <w:rFonts w:ascii="Baskerville" w:hAnsi="Baskerville" w:cs="Baskerville"/>
          <w:sz w:val="22"/>
          <w:szCs w:val="22"/>
        </w:rPr>
        <w:t xml:space="preserve"> </w:t>
      </w:r>
      <w:r>
        <w:rPr>
          <w:rFonts w:ascii="Baskerville" w:hAnsi="Baskerville" w:cs="Baskerville"/>
          <w:sz w:val="22"/>
          <w:szCs w:val="22"/>
        </w:rPr>
        <w:t xml:space="preserve">In </w:t>
      </w:r>
      <w:r>
        <w:rPr>
          <w:rFonts w:ascii="Baskerville" w:hAnsi="Baskerville" w:cs="Baskerville"/>
          <w:i/>
          <w:iCs/>
          <w:sz w:val="22"/>
          <w:szCs w:val="22"/>
        </w:rPr>
        <w:t>Jackson</w:t>
      </w:r>
      <w:r>
        <w:rPr>
          <w:rFonts w:ascii="Baskerville" w:hAnsi="Baskerville" w:cs="Baskerville"/>
          <w:sz w:val="22"/>
          <w:szCs w:val="22"/>
        </w:rPr>
        <w:t>, the sellers targeted specific customers with special interests within the noncompete area.</w:t>
      </w:r>
      <w:r w:rsidR="00FB1D09">
        <w:rPr>
          <w:rFonts w:ascii="Baskerville" w:hAnsi="Baskerville" w:cs="Baskerville"/>
          <w:sz w:val="22"/>
          <w:szCs w:val="22"/>
        </w:rPr>
        <w:t xml:space="preserve"> </w:t>
      </w:r>
      <w:r>
        <w:rPr>
          <w:rFonts w:ascii="Baskerville" w:hAnsi="Baskerville" w:cs="Baskerville"/>
          <w:sz w:val="22"/>
          <w:szCs w:val="22"/>
        </w:rPr>
        <w:t xml:space="preserve">Although [the seller in the instant case] hoped to reach Coles County residents with his [newspaper and radio] advertisements, he did not engage in the same sort of </w:t>
      </w:r>
      <w:r>
        <w:rPr>
          <w:rFonts w:ascii="Baskerville" w:hAnsi="Baskerville" w:cs="Baskerville"/>
          <w:i/>
          <w:iCs/>
          <w:sz w:val="22"/>
          <w:szCs w:val="22"/>
        </w:rPr>
        <w:t>targeted marketing</w:t>
      </w:r>
      <w:r>
        <w:rPr>
          <w:rFonts w:ascii="Baskerville" w:hAnsi="Baskerville" w:cs="Baskerville"/>
          <w:sz w:val="22"/>
          <w:szCs w:val="22"/>
        </w:rPr>
        <w:t xml:space="preserve"> as the sellers in </w:t>
      </w:r>
      <w:r>
        <w:rPr>
          <w:rFonts w:ascii="Baskerville" w:hAnsi="Baskerville" w:cs="Baskerville"/>
          <w:i/>
          <w:iCs/>
          <w:sz w:val="22"/>
          <w:szCs w:val="22"/>
        </w:rPr>
        <w:t>Jackson</w:t>
      </w:r>
      <w:r>
        <w:rPr>
          <w:rFonts w:ascii="Baskerville" w:hAnsi="Baskerville" w:cs="Baskerville"/>
          <w:sz w:val="22"/>
          <w:szCs w:val="22"/>
        </w:rPr>
        <w:t>.</w:t>
      </w:r>
    </w:p>
    <w:p w14:paraId="54FE4046" w14:textId="77777777" w:rsidR="00655396" w:rsidRDefault="00655396" w:rsidP="008B512B">
      <w:pPr>
        <w:pStyle w:val="BodyText"/>
        <w:spacing w:line="240" w:lineRule="auto"/>
        <w:rPr>
          <w:sz w:val="16"/>
          <w:szCs w:val="16"/>
        </w:rPr>
      </w:pPr>
    </w:p>
    <w:p w14:paraId="38F495C5"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xml:space="preserve"> at 992 (emphasis added).</w:t>
      </w:r>
    </w:p>
    <w:p w14:paraId="1A228654"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3987FD3D"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i/>
          <w:iCs/>
        </w:rPr>
        <w:t>Audio Props., Inc. v. Kovach, 275 Ill. App. 3d 145, 211 Ill. Dec. 651, 655 N.E.2d 1034 (1st Dist. 1995)</w:t>
      </w:r>
    </w:p>
    <w:p w14:paraId="310AD3E5" w14:textId="77777777" w:rsidR="00655396" w:rsidRDefault="00655396" w:rsidP="008B512B">
      <w:pPr>
        <w:pStyle w:val="BodyText"/>
        <w:spacing w:line="240" w:lineRule="auto"/>
      </w:pPr>
    </w:p>
    <w:p w14:paraId="076FBDA7"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In this action, the court applied the seven-factor test set forth in </w:t>
      </w:r>
      <w:r>
        <w:rPr>
          <w:rFonts w:ascii="Baskerville" w:hAnsi="Baskerville" w:cs="Baskerville"/>
          <w:i/>
          <w:iCs/>
        </w:rPr>
        <w:t>LSBZ, Inc. v. Brokis</w:t>
      </w:r>
      <w:r>
        <w:rPr>
          <w:rFonts w:ascii="Baskerville" w:hAnsi="Baskerville" w:cs="Baskerville"/>
        </w:rPr>
        <w:t xml:space="preserve">, 237 Ill. App. 3d 415, 426, 177 Ill. Dec. 886, </w:t>
      </w:r>
      <w:r>
        <w:rPr>
          <w:rFonts w:ascii="Baskerville" w:hAnsi="Baskerville" w:cs="Baskerville"/>
        </w:rPr>
        <w:lastRenderedPageBreak/>
        <w:t xml:space="preserve">874, 603 N.E.2d 1240, 1248 (2d Dist. 1992), </w:t>
      </w:r>
      <w:r>
        <w:rPr>
          <w:rFonts w:ascii="Baskerville" w:hAnsi="Baskerville" w:cs="Baskerville"/>
          <w:i/>
          <w:iCs/>
        </w:rPr>
        <w:t>Agrimerica, Inc. v. Mathes</w:t>
      </w:r>
      <w:r>
        <w:rPr>
          <w:rFonts w:ascii="Baskerville" w:hAnsi="Baskerville" w:cs="Baskerville"/>
        </w:rPr>
        <w:t xml:space="preserve">, 199 Ill. App. 3d 435, 443–44, 145 Ill. Dec. 587, 593, 557 N.E.2d 357, 363 (1st Dist. 1990), and </w:t>
      </w:r>
      <w:r>
        <w:rPr>
          <w:rFonts w:ascii="Baskerville" w:hAnsi="Baskerville" w:cs="Baskerville"/>
          <w:i/>
          <w:iCs/>
        </w:rPr>
        <w:t>McRand, Inc. v. Van Beelen</w:t>
      </w:r>
      <w:r>
        <w:rPr>
          <w:rFonts w:ascii="Baskerville" w:hAnsi="Baskerville" w:cs="Baskerville"/>
        </w:rPr>
        <w:t>, 138 Ill. App. 3d 1045, 93 Ill. Dec. 471, 486 N.E.2d 1306 (1st Dist. 1985), to determine whether Audio Properties, Inc., a recording studio doing business as Chicago Recording Co. (CRC), had a “near permanent” relationship with its clients generally such as to have an interest in its clientele protectable by a 1-year, 4-mile radius customer-servicing covenant against William Kovach, a sound engineer it had employed.</w:t>
      </w:r>
    </w:p>
    <w:p w14:paraId="64CB71C1"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The seven factors to examine to determine near permanency are: (1) the length of time required to develop the clientele; (2) the amount of money invested to acquire clients; (3) the degree of difficulty in acquiring clients; (4) the extent of personal customer contact by the employee; (5) the extent of the employer’s knowledge of its clients; (6) the duration of the customer’s association with the employer; and (7) the continuity of the customer relationships. 655 N.E.2d at 1037.</w:t>
      </w:r>
    </w:p>
    <w:p w14:paraId="6BD7DAE4"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En route to determining that CRC had no protectable interest in its clientele, the court explained:</w:t>
      </w:r>
    </w:p>
    <w:p w14:paraId="52F55E9A" w14:textId="77777777" w:rsidR="00655396" w:rsidRDefault="00655396" w:rsidP="008B512B">
      <w:pPr>
        <w:pStyle w:val="BodyText"/>
        <w:spacing w:line="240" w:lineRule="auto"/>
      </w:pPr>
    </w:p>
    <w:p w14:paraId="2A3B2ADD"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Application of the first objective factor, the length of time required to develop clientele, does not favor CRC. The record indicates that CRC must cultivate a potential client for a substantial period before the client will do business with CRC for the first time. The record also contains testimony by CRC’s president in which he states that the process of developing a client relationship occurs over a very long time. However, review of the entire record does not support such a conclusion. The extensive time for client development appears to be the direct result of minimal effort by CRC to obtain, develop, or cultivate any particular client. The record is devoid of any specific or tangible evidence supporting a conclusion that CRC engaged in sustained effort to develop clientele. In fact, the record indicates that no one is specifically employed by CRC to market, sell or cultivate new clients. CRC’s president testified that no one is employed by or associated with CRC who is directly responsible for marketing, sales, or even making cold calls on prospective customers and that a tremendous amount of CRC’s business is generated by word of mouth.</w:t>
      </w:r>
    </w:p>
    <w:p w14:paraId="3AE82FDC"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It should also be noted that the facts of the present case are </w:t>
      </w:r>
      <w:r>
        <w:rPr>
          <w:rFonts w:ascii="Baskerville" w:hAnsi="Baskerville" w:cs="Baskerville"/>
          <w:sz w:val="22"/>
          <w:szCs w:val="22"/>
        </w:rPr>
        <w:lastRenderedPageBreak/>
        <w:t xml:space="preserve">fundamentally different from those cases in which this factor was found to favor the existence of a near permanent relationship. See </w:t>
      </w:r>
      <w:r>
        <w:rPr>
          <w:rFonts w:ascii="Baskerville" w:hAnsi="Baskerville" w:cs="Baskerville"/>
          <w:i/>
          <w:iCs/>
          <w:sz w:val="22"/>
          <w:szCs w:val="22"/>
        </w:rPr>
        <w:t>Agrimerica</w:t>
      </w:r>
      <w:r>
        <w:rPr>
          <w:rFonts w:ascii="Baskerville" w:hAnsi="Baskerville" w:cs="Baskerville"/>
          <w:sz w:val="22"/>
          <w:szCs w:val="22"/>
        </w:rPr>
        <w:t xml:space="preserve">, 199 Ill. App. 3d at 435, 145 Ill. Dec. 587, 557 N.E.2d 357 (where the court upheld a covenant where it took six to twelve months to win over a prospective client and persuade him to purchase a product); </w:t>
      </w:r>
      <w:r>
        <w:rPr>
          <w:rFonts w:ascii="Baskerville" w:hAnsi="Baskerville" w:cs="Baskerville"/>
          <w:i/>
          <w:iCs/>
          <w:sz w:val="22"/>
          <w:szCs w:val="22"/>
        </w:rPr>
        <w:t>McRand</w:t>
      </w:r>
      <w:r>
        <w:rPr>
          <w:rFonts w:ascii="Baskerville" w:hAnsi="Baskerville" w:cs="Baskerville"/>
          <w:sz w:val="22"/>
          <w:szCs w:val="22"/>
        </w:rPr>
        <w:t>, 138 Ill. App. 3d 1045, 93 Ill. Dec. 471, 486 N.E.2d 1306 (where the president of a company that designed and coordinated management award programs for large corporations offered uncontradicted testimony that it took one to three years to develop a major account before any business from that client would be forthcoming[).]</w:t>
      </w:r>
    </w:p>
    <w:p w14:paraId="7880E103"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The second objective factor, the amount of money invested to acquire clients, supports CRC’s claim. The record reveals that CRC invested a substantial amount of money to acquire clients. The record is replete with testimony indicating that CRC has invested substantial monies in its sixteen studios. The record also indicates that CRC also replaced and upgraded the equipment in each of its studios as necessary and maintained an extensive tape library which contained all of the tapes from every CRC recording session over the past three years.</w:t>
      </w:r>
    </w:p>
    <w:p w14:paraId="034524FB"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[Kovach and his new employer] cite </w:t>
      </w:r>
      <w:r>
        <w:rPr>
          <w:rFonts w:ascii="Baskerville" w:hAnsi="Baskerville" w:cs="Baskerville"/>
          <w:i/>
          <w:iCs/>
          <w:sz w:val="22"/>
          <w:szCs w:val="22"/>
        </w:rPr>
        <w:t>LSBZ</w:t>
      </w:r>
      <w:r>
        <w:rPr>
          <w:rFonts w:ascii="Baskerville" w:hAnsi="Baskerville" w:cs="Baskerville"/>
          <w:sz w:val="22"/>
          <w:szCs w:val="22"/>
        </w:rPr>
        <w:t xml:space="preserve"> (1992), 237 Ill. App. 3d 415, 177 Ill. Dec. 866, 603 N.E.2d 1240, in support of their contention that CRC’s investment in building and equipment is dispositive since such expenditures constitute customary overhead incurred by any entity in the audio recording business. Such argument is unpersuasive given that such investment is a minimum prerequisite for acquiring clients and in some cases may be the [</w:t>
      </w:r>
      <w:r>
        <w:rPr>
          <w:rFonts w:ascii="Baskerville" w:hAnsi="Baskerville" w:cs="Baskerville"/>
          <w:i/>
          <w:iCs/>
          <w:sz w:val="22"/>
          <w:szCs w:val="22"/>
        </w:rPr>
        <w:t>sic</w:t>
      </w:r>
      <w:r>
        <w:rPr>
          <w:rFonts w:ascii="Baskerville" w:hAnsi="Baskerville" w:cs="Baskerville"/>
          <w:sz w:val="22"/>
          <w:szCs w:val="22"/>
        </w:rPr>
        <w:t>] outcome determinative in persuading a client to work with CRC.</w:t>
      </w:r>
    </w:p>
    <w:p w14:paraId="0EA87273"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The third factor, the degree of difficulty in acquiring clients, also favors CRC’s claim. [Kovach and his new employer] assert that the record is devoid of any evidence supporting a conclusion that CRC had difficulty in acquiring clients. [Kovach and his new employer] rely on testimony by CRC’s president in which he states that a tremendous amount of CRC’s business is generated by word of mouth. [Kovach and his new employer] argue that the statement supports a conclusion that CRC has no difficulty acquiring clients. This reasoning, however, is not necessarily dispositive where, as in the present case, the record reveals that CRC made a significant financial commitment and investment in providing extensive customer service over a long period of time in anticipation of developing business from its clientele. Here, CRC has demonstrated that there is a sufficient level of difficulty in acquiring clientele in this particular commercial industry.</w:t>
      </w:r>
    </w:p>
    <w:p w14:paraId="6F3B6145" w14:textId="18EAF06F"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lastRenderedPageBreak/>
        <w:tab/>
        <w:t xml:space="preserve">The fourth factor, the extent of personal customer contact by the employee, favors [Kovach and his new employer’s] claims. Here, the record indicates that Kovach enjoyed close personal contact with the CRC clients and possessed detailed knowledge of their respective needs. The facts of this case are fundamentally different from those cases in which this factor was found to favor the existence of a near permanent employer-customer relationship. See </w:t>
      </w:r>
      <w:r>
        <w:rPr>
          <w:rFonts w:ascii="Baskerville" w:hAnsi="Baskerville" w:cs="Baskerville"/>
          <w:i/>
          <w:iCs/>
          <w:sz w:val="22"/>
          <w:szCs w:val="22"/>
        </w:rPr>
        <w:t>McRand</w:t>
      </w:r>
      <w:r>
        <w:rPr>
          <w:rFonts w:ascii="Baskerville" w:hAnsi="Baskerville" w:cs="Baskerville"/>
          <w:sz w:val="22"/>
          <w:szCs w:val="22"/>
        </w:rPr>
        <w:t xml:space="preserve">, 138 Ill. App. 3d at 1063, 93 Ill. Dec. at 477–78, 486 N.E.2d at 1312–13; </w:t>
      </w:r>
      <w:r>
        <w:rPr>
          <w:rFonts w:ascii="Baskerville" w:hAnsi="Baskerville" w:cs="Baskerville"/>
          <w:i/>
          <w:iCs/>
          <w:sz w:val="22"/>
          <w:szCs w:val="22"/>
        </w:rPr>
        <w:t>Agrimerica</w:t>
      </w:r>
      <w:r>
        <w:rPr>
          <w:rFonts w:ascii="Baskerville" w:hAnsi="Baskerville" w:cs="Baskerville"/>
          <w:sz w:val="22"/>
          <w:szCs w:val="22"/>
        </w:rPr>
        <w:t xml:space="preserve">, 199 Ill. App. 3d at 445–46, 145 Ill. Dec. at 596, 557 N.E.2d at 366; </w:t>
      </w:r>
      <w:r>
        <w:rPr>
          <w:rFonts w:ascii="Baskerville" w:hAnsi="Baskerville" w:cs="Baskerville"/>
          <w:i/>
          <w:iCs/>
          <w:sz w:val="22"/>
          <w:szCs w:val="22"/>
        </w:rPr>
        <w:t>Tyler</w:t>
      </w:r>
      <w:r>
        <w:rPr>
          <w:rFonts w:ascii="Baskerville" w:hAnsi="Baskerville" w:cs="Baskerville"/>
          <w:sz w:val="22"/>
          <w:szCs w:val="22"/>
        </w:rPr>
        <w:t xml:space="preserve">, 214 Ill. App. 3d at 150, 158 Ill. Dec. at 53, 573 N.E.2d at 866. In these cases, customers came to the employer for a product or a service offered by the employer through its employee. In </w:t>
      </w:r>
      <w:r>
        <w:rPr>
          <w:rFonts w:ascii="Baskerville" w:hAnsi="Baskerville" w:cs="Baskerville"/>
          <w:i/>
          <w:iCs/>
          <w:sz w:val="22"/>
          <w:szCs w:val="22"/>
        </w:rPr>
        <w:t>McRand</w:t>
      </w:r>
      <w:r>
        <w:rPr>
          <w:rFonts w:ascii="Baskerville" w:hAnsi="Baskerville" w:cs="Baskerville"/>
          <w:sz w:val="22"/>
          <w:szCs w:val="22"/>
        </w:rPr>
        <w:t xml:space="preserve">, it was for business awards, in </w:t>
      </w:r>
      <w:r>
        <w:rPr>
          <w:rFonts w:ascii="Baskerville" w:hAnsi="Baskerville" w:cs="Baskerville"/>
          <w:i/>
          <w:iCs/>
          <w:sz w:val="22"/>
          <w:szCs w:val="22"/>
        </w:rPr>
        <w:t>Agrimerica</w:t>
      </w:r>
      <w:r>
        <w:rPr>
          <w:rFonts w:ascii="Baskerville" w:hAnsi="Baskerville" w:cs="Baskerville"/>
          <w:sz w:val="22"/>
          <w:szCs w:val="22"/>
        </w:rPr>
        <w:t xml:space="preserve">, customers bought animal feed specialty products, and in </w:t>
      </w:r>
      <w:r>
        <w:rPr>
          <w:rFonts w:ascii="Baskerville" w:hAnsi="Baskerville" w:cs="Baskerville"/>
          <w:i/>
          <w:iCs/>
          <w:sz w:val="22"/>
          <w:szCs w:val="22"/>
        </w:rPr>
        <w:t>Tyler</w:t>
      </w:r>
      <w:r>
        <w:rPr>
          <w:rFonts w:ascii="Baskerville" w:hAnsi="Baskerville" w:cs="Baskerville"/>
          <w:sz w:val="22"/>
          <w:szCs w:val="22"/>
        </w:rPr>
        <w:t xml:space="preserve">, clients wanted the employer’s lawn care products. The former </w:t>
      </w:r>
      <w:r w:rsidR="006A121F">
        <w:rPr>
          <w:rFonts w:ascii="Baskerville" w:hAnsi="Baskerville" w:cs="Baskerville"/>
          <w:sz w:val="22"/>
          <w:szCs w:val="22"/>
        </w:rPr>
        <w:t>employees who</w:t>
      </w:r>
      <w:r>
        <w:rPr>
          <w:rFonts w:ascii="Baskerville" w:hAnsi="Baskerville" w:cs="Baskerville"/>
          <w:sz w:val="22"/>
          <w:szCs w:val="22"/>
        </w:rPr>
        <w:t xml:space="preserve"> sought to be enjoined in those cases were little more than sellers of the former employer’s product and services. Here, CRC has not proved a similar situation. Specifically it has not shown that the clients who use CRC’s studios are its customers, rather than the customers of individual sound engineers who service them. The record contains numerous references to the fact that repeat clients specifically request sound engineers by name for subsequent engagements. The record indicates that Kovach is one of the sound engineers who has developed such a following.</w:t>
      </w:r>
    </w:p>
    <w:p w14:paraId="540F8D73"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The fifth factor, the extent of the employer’s knowledge if its clients, does not favor either party’s claim. The record indicates that CRC has taken great care to acquire and retain information related to its clients’ specific needs and requirements. However, the record also indicates that Kovach possessed special knowledge of such needs and requirements. It should be noted, however, that the present case is significantly different from cases in which the employee’s knowledge of customer needs were found to support the employer’s claim of a near permanent relationship with its customers. (</w:t>
      </w:r>
      <w:r>
        <w:rPr>
          <w:rFonts w:ascii="Baskerville" w:hAnsi="Baskerville" w:cs="Baskerville"/>
          <w:i/>
          <w:iCs/>
          <w:sz w:val="22"/>
          <w:szCs w:val="22"/>
        </w:rPr>
        <w:t>Arpac Corporation v. Charles R. Murray</w:t>
      </w:r>
      <w:r>
        <w:rPr>
          <w:rFonts w:ascii="Baskerville" w:hAnsi="Baskerville" w:cs="Baskerville"/>
          <w:sz w:val="22"/>
          <w:szCs w:val="22"/>
        </w:rPr>
        <w:t xml:space="preserve"> (1992), 226 Ill. App. 3d 65, 168 Ill. Dec. 240, 589 N.E.2d 640; </w:t>
      </w:r>
      <w:r>
        <w:rPr>
          <w:rFonts w:ascii="Baskerville" w:hAnsi="Baskerville" w:cs="Baskerville"/>
          <w:i/>
          <w:iCs/>
          <w:sz w:val="22"/>
          <w:szCs w:val="22"/>
        </w:rPr>
        <w:t>Millard Maintenance Service Co. v. Bernero</w:t>
      </w:r>
      <w:r>
        <w:rPr>
          <w:rFonts w:ascii="Baskerville" w:hAnsi="Baskerville" w:cs="Baskerville"/>
          <w:sz w:val="22"/>
          <w:szCs w:val="22"/>
        </w:rPr>
        <w:t xml:space="preserve"> (1990), 207 Ill. App. 3d 736, 152 Ill. Dec. 692, 566 N.E.2d 379; </w:t>
      </w:r>
      <w:r>
        <w:rPr>
          <w:rFonts w:ascii="Baskerville" w:hAnsi="Baskerville" w:cs="Baskerville"/>
          <w:i/>
          <w:iCs/>
          <w:sz w:val="22"/>
          <w:szCs w:val="22"/>
        </w:rPr>
        <w:t>McRand</w:t>
      </w:r>
      <w:r>
        <w:rPr>
          <w:rFonts w:ascii="Baskerville" w:hAnsi="Baskerville" w:cs="Baskerville"/>
          <w:sz w:val="22"/>
          <w:szCs w:val="22"/>
        </w:rPr>
        <w:t xml:space="preserve">, 138 Ill. App. 3d 1045, 93 Ill. Dec. 471, 486 N.E.2d 1306.) CRC’s relationships with its engineers, and thus with its customers[,] is more similar to the facts presented in </w:t>
      </w:r>
      <w:r>
        <w:rPr>
          <w:rFonts w:ascii="Baskerville" w:hAnsi="Baskerville" w:cs="Baskerville"/>
          <w:i/>
          <w:iCs/>
          <w:sz w:val="22"/>
          <w:szCs w:val="22"/>
        </w:rPr>
        <w:t>LSBZ</w:t>
      </w:r>
      <w:r>
        <w:rPr>
          <w:rFonts w:ascii="Baskerville" w:hAnsi="Baskerville" w:cs="Baskerville"/>
          <w:sz w:val="22"/>
          <w:szCs w:val="22"/>
        </w:rPr>
        <w:t>, 237 Ill. App. 3d 415, 177 Ill. Dec. 866, 603 N.E.2d 1240, where the court found a hair salon’s relationship with its hairdressers, and its customers, to be significantly different than [</w:t>
      </w:r>
      <w:r>
        <w:rPr>
          <w:rFonts w:ascii="Baskerville" w:hAnsi="Baskerville" w:cs="Baskerville"/>
          <w:i/>
          <w:iCs/>
          <w:sz w:val="22"/>
          <w:szCs w:val="22"/>
        </w:rPr>
        <w:t>sic</w:t>
      </w:r>
      <w:r>
        <w:rPr>
          <w:rFonts w:ascii="Baskerville" w:hAnsi="Baskerville" w:cs="Baskerville"/>
          <w:sz w:val="22"/>
          <w:szCs w:val="22"/>
        </w:rPr>
        <w:t xml:space="preserve">] the typical employer-employee relationship which </w:t>
      </w:r>
      <w:r>
        <w:rPr>
          <w:rFonts w:ascii="Baskerville" w:hAnsi="Baskerville" w:cs="Baskerville"/>
          <w:sz w:val="22"/>
          <w:szCs w:val="22"/>
        </w:rPr>
        <w:lastRenderedPageBreak/>
        <w:t>deals with an employer’s product rather than an employee’s services.</w:t>
      </w:r>
    </w:p>
    <w:p w14:paraId="73B25881"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Finally, CRC has not met its burden with regard to the sixth and seventh factors, duration of the customer’s association with the employer and the continuity of the employer[-]customer relationship. The problem lies with CRC’s failure to establish that CRC, rather than its engineers, have a proprietary interest in the business of the clients who utilize the studios and engineering talent employed by CRC. CRC’s president, Mr. Kubicka, testified that he was unaware of any clients who had been CRC clients for less than three years. However, the record lacks any evidence establishing the duration of the relationship between CRC and any of its 600 clients, other than [less than 10 specifically named clients]. The record is also devoid of any information regarding the quantity of work performed by CRC for each individual client.</w:t>
      </w:r>
    </w:p>
    <w:p w14:paraId="1BFA4400"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Although the record indicates that CRC has low customer turnover, CRC also fails to distinguish between customers who give a majority of their business to CRC versus a competitor. Nor does CRC offer evidence of a significant amount of business received from any of its customers.</w:t>
      </w:r>
    </w:p>
    <w:p w14:paraId="6B0F86A5"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Finally, we must address whether Kovach could have had contact with the customers absent his association with CRC. The record indicates that CRC failed to make a showing that Kovach’s only means of access to CRC’s customers was through his employment by CRC. CRC concedes that the names, addresses and telephone numbers of its customers are readily obtainable by anyone wishing to contact them. The record reveals that CRC’s current clients are listed in various telephone and industry directories. Even assuming that Kovach would not have had contact with his customers, but for his employment by CRC, CRC has failed to raise a fair question as to its claim of a near-permanent relationship with its customers.</w:t>
      </w:r>
    </w:p>
    <w:p w14:paraId="4DAD4F31" w14:textId="77777777" w:rsidR="00655396" w:rsidRDefault="00655396" w:rsidP="008B512B">
      <w:pPr>
        <w:pStyle w:val="BodyText"/>
        <w:spacing w:line="240" w:lineRule="auto"/>
      </w:pPr>
    </w:p>
    <w:p w14:paraId="0CC3F055"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655 N.E.2d at 1037–39.</w:t>
      </w:r>
    </w:p>
    <w:p w14:paraId="53E7A513"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78B4AC94"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i/>
          <w:iCs/>
        </w:rPr>
        <w:t>Baxter Int’l v. Morris, 976 F.2d 1189, 7 IER Cases 1377 (8th Cir. 1992)</w:t>
      </w:r>
    </w:p>
    <w:p w14:paraId="464DB26F"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r>
    </w:p>
    <w:p w14:paraId="2DC33227"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Microscan, a California-based division of Baxter Diagnostics, Inc., competes with Vitek, Inc.—its only other competitor in the field of researching, developing, manufacturing, and selling diagnostic equipment for use in microbiological laboratories. Baxter sought injunctive relief to prevent Dr. Roger Morris—a former employee of </w:t>
      </w:r>
      <w:r>
        <w:rPr>
          <w:rFonts w:ascii="Baskerville" w:hAnsi="Baskerville" w:cs="Baskerville"/>
        </w:rPr>
        <w:lastRenderedPageBreak/>
        <w:t>Baxter’s Microscan subsidiary—from disclosing trade secrets to his new employer, Vitek, Inc., and to enforce a noncompete provision in Morris’ employment contract with Baxter prohibiting his working for Vitek for 1 year following the date he left Microscan. The district court enjoined disclosure of trade secrets under the common law of trade secret misappropriation, but declined to enforce the covenant on the ground that it was void under California law. The Court of Appeals for the Eighth Circuit rejected Baxter’s contentions that the district court erred in refusing to enjoin Morris from employment with Vitek in order to protect Baxter’s trade secrets, in limiting the injunction prohibiting Morris from disclosing trade secrets to 1 year, and in declining to enforce the covenant not to compete in Morris’ employment agreement with Baxter. The Eighth Circuit explained that, although the district court erroneously applied the law of California (rather than that of Illinois), it properly refused to enforce the noncompete covenant since Baxter is adequately protected by an injunction barring Morris from using or disclosing confidential information to Vitek.</w:t>
      </w:r>
    </w:p>
    <w:p w14:paraId="3467D63D" w14:textId="77777777" w:rsidR="00655396" w:rsidRDefault="00655396" w:rsidP="008B512B">
      <w:pPr>
        <w:pStyle w:val="BodyText"/>
        <w:spacing w:line="240" w:lineRule="auto"/>
      </w:pPr>
    </w:p>
    <w:p w14:paraId="0E92B45C"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i/>
          <w:iCs/>
        </w:rPr>
        <w:t>Tomei v. Tomei, 235 Ill. App. 3d 166, 176 Ill. Dec. 716, 602 N.E.2d 23 (1st Dist. 1992)</w:t>
      </w:r>
    </w:p>
    <w:p w14:paraId="2D1DEADD"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r>
    </w:p>
    <w:p w14:paraId="6FC7F806"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In this action, the Court of Appeals for the First District enforced a liquidated damages clause in the 3-year nonsolicitation covenant of a former controlling principal of an insurance company. The clause provided that if the principal violated any term of the nonsolicitation covenant he would be obligated to pay the company as liquidated damages the sum of two times the previous year’s commissions paid to the company for the customer or account to which the breach related.</w:t>
      </w:r>
    </w:p>
    <w:p w14:paraId="6582F2EA"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The court noted:</w:t>
      </w:r>
    </w:p>
    <w:p w14:paraId="6BADFB35"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r>
    </w:p>
    <w:p w14:paraId="0C8B184B"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For a liquidated damages provision to be held enforceable, two conditions must exist: (1) the damages resulting from a breach must be difficult to calculate; and (2) the amount of fixed damages must be a reasonable forecast of the damage likely to occur.</w:t>
      </w:r>
    </w:p>
    <w:p w14:paraId="4F2FA86C" w14:textId="77777777" w:rsidR="00655396" w:rsidRDefault="00655396" w:rsidP="008B512B">
      <w:pPr>
        <w:pStyle w:val="BodyText"/>
        <w:spacing w:line="240" w:lineRule="auto"/>
      </w:pPr>
    </w:p>
    <w:p w14:paraId="725D1365"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xml:space="preserve">, 602 N.E.2d at 27 (citing, inter alia, </w:t>
      </w:r>
      <w:r>
        <w:rPr>
          <w:rFonts w:ascii="Baskerville" w:hAnsi="Baskerville" w:cs="Baskerville"/>
          <w:i/>
          <w:iCs/>
        </w:rPr>
        <w:t>Callahan v. L.G. Balfour,</w:t>
      </w:r>
      <w:r>
        <w:rPr>
          <w:rFonts w:ascii="Baskerville" w:hAnsi="Baskerville" w:cs="Baskerville"/>
        </w:rPr>
        <w:t xml:space="preserve"> 179 Ill. App. 3d 372, 377, 128 Ill. Dec. 383, 386, 534 N.E.2d 565, 568 </w:t>
      </w:r>
      <w:r>
        <w:rPr>
          <w:rFonts w:ascii="Baskerville" w:hAnsi="Baskerville" w:cs="Baskerville"/>
        </w:rPr>
        <w:lastRenderedPageBreak/>
        <w:t>(1989)).</w:t>
      </w:r>
    </w:p>
    <w:p w14:paraId="77BDF390"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The court pointed out:</w:t>
      </w:r>
    </w:p>
    <w:p w14:paraId="4D35CE7A" w14:textId="77777777" w:rsidR="00655396" w:rsidRDefault="00655396" w:rsidP="008B512B">
      <w:pPr>
        <w:pStyle w:val="BodyText"/>
        <w:spacing w:line="240" w:lineRule="auto"/>
      </w:pPr>
    </w:p>
    <w:p w14:paraId="243EFF34"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 xml:space="preserve">In </w:t>
      </w:r>
      <w:r>
        <w:rPr>
          <w:rFonts w:ascii="Baskerville" w:hAnsi="Baskerville" w:cs="Baskerville"/>
          <w:i/>
          <w:iCs/>
          <w:sz w:val="22"/>
          <w:szCs w:val="22"/>
        </w:rPr>
        <w:t>Callahan,</w:t>
      </w:r>
      <w:r>
        <w:rPr>
          <w:rFonts w:ascii="Baskerville" w:hAnsi="Baskerville" w:cs="Baskerville"/>
          <w:sz w:val="22"/>
          <w:szCs w:val="22"/>
        </w:rPr>
        <w:t xml:space="preserve"> plaintiff was a regional salesman for defendant company. Upon termination, plaintiff began working for one of defendant’s competitors. Plaintiff’s employment contract contained a covenant not to compete, which, upon breach, allowed defendant to withhold salary and commissions due plaintiff as liquidated damages. The court held this provision unenforceable as a penalty, since there was no relationship between the salary owed to plaintiff and the actual damages caused by his breach.</w:t>
      </w:r>
    </w:p>
    <w:p w14:paraId="1FD14269"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In the case at hand, damages resulting from an attempted solicitation are clearly difficult to calculate, since an attempted solicitation[ ] may or may not result in future damage to [the party for whose benefit the covenant was given]. The method of calculation in the damage provision is directly tied to the previous year’s commission earned by [the party for whose benefit the covenant was given] from the customer whom [the former principal] solicited or attempted to solicit.</w:t>
      </w:r>
    </w:p>
    <w:p w14:paraId="39ED8BCA" w14:textId="77777777" w:rsidR="00655396" w:rsidRDefault="00655396" w:rsidP="008B512B">
      <w:pPr>
        <w:pStyle w:val="BodyTextIndent"/>
        <w:spacing w:line="240" w:lineRule="auto"/>
      </w:pPr>
    </w:p>
    <w:p w14:paraId="69188F75"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p>
    <w:p w14:paraId="6E447BDB"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The method of calculation thus appeared to be “a fair and reasonable scheme for fixing damages.” </w:t>
      </w:r>
      <w:r>
        <w:rPr>
          <w:rFonts w:ascii="Baskerville" w:hAnsi="Baskerville" w:cs="Baskerville"/>
          <w:i/>
          <w:iCs/>
        </w:rPr>
        <w:t>Id.</w:t>
      </w:r>
      <w:r>
        <w:rPr>
          <w:rFonts w:ascii="Baskerville" w:hAnsi="Baskerville" w:cs="Baskerville"/>
        </w:rPr>
        <w:t xml:space="preserve"> The court acknowledged that, in some cases, an attempted solicitation “will never mature” and no actual damage to the party for whose benefit the covenant was given will be incurred. </w:t>
      </w:r>
      <w:r>
        <w:rPr>
          <w:rFonts w:ascii="Baskerville" w:hAnsi="Baskerville" w:cs="Baskerville"/>
          <w:i/>
          <w:iCs/>
        </w:rPr>
        <w:t>Id.</w:t>
      </w:r>
      <w:r>
        <w:rPr>
          <w:rFonts w:ascii="Baskerville" w:hAnsi="Baskerville" w:cs="Baskerville"/>
        </w:rPr>
        <w:t xml:space="preserve"> “However, where an attempt is successful, the permanent loss of a customer could result in forfeited commissions, far beyond two years.” </w:t>
      </w:r>
      <w:r>
        <w:rPr>
          <w:rFonts w:ascii="Baskerville" w:hAnsi="Baskerville" w:cs="Baskerville"/>
          <w:i/>
          <w:iCs/>
        </w:rPr>
        <w:t>Id.</w:t>
      </w:r>
    </w:p>
    <w:p w14:paraId="5450602B"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i/>
          <w:iCs/>
        </w:rPr>
      </w:pPr>
      <w:r>
        <w:rPr>
          <w:rFonts w:ascii="Baskerville" w:hAnsi="Baskerville" w:cs="Baskerville"/>
        </w:rPr>
        <w:tab/>
        <w:t xml:space="preserve">The court affirmed that an award under the liquidated damages clause was properly predicated on violations of the nonsolicitation covenant that occurred when the principal approached a known customer of the corporation with a solicitation for “future business” by asking him to get in touch when the temporal term of the covenant expired. </w:t>
      </w:r>
      <w:r>
        <w:rPr>
          <w:rFonts w:ascii="Baskerville" w:hAnsi="Baskerville" w:cs="Baskerville"/>
          <w:i/>
          <w:iCs/>
        </w:rPr>
        <w:t>Id.</w:t>
      </w:r>
      <w:r>
        <w:rPr>
          <w:rFonts w:ascii="Baskerville" w:hAnsi="Baskerville" w:cs="Baskerville"/>
        </w:rPr>
        <w:t xml:space="preserve"> at 26. The plain language of the covenant prohibited any actual or attempted solicitation of accounts in any manner and did not exempt the solicitation of future business, the court ruled. </w:t>
      </w:r>
      <w:r>
        <w:rPr>
          <w:rFonts w:ascii="Baskerville" w:hAnsi="Baskerville" w:cs="Baskerville"/>
          <w:i/>
          <w:iCs/>
        </w:rPr>
        <w:t>Id.</w:t>
      </w:r>
      <w:r>
        <w:rPr>
          <w:rFonts w:ascii="Baskerville" w:hAnsi="Baskerville" w:cs="Baskerville"/>
        </w:rPr>
        <w:t xml:space="preserve"> In addition, the court affirmed that a direct mail campaign specifically targeting trucking companies known to have insurance policies soon to expire constituted prohibited “solicitation” within the meaning of the covenant. </w:t>
      </w:r>
      <w:r>
        <w:rPr>
          <w:rFonts w:ascii="Baskerville" w:hAnsi="Baskerville" w:cs="Baskerville"/>
          <w:i/>
          <w:iCs/>
        </w:rPr>
        <w:t>Id.</w:t>
      </w:r>
    </w:p>
    <w:p w14:paraId="2A8622C5" w14:textId="77777777" w:rsidR="00655396" w:rsidRDefault="00655396" w:rsidP="008B512B">
      <w:pPr>
        <w:pStyle w:val="BodyTextIndent"/>
        <w:spacing w:line="240" w:lineRule="auto"/>
      </w:pPr>
    </w:p>
    <w:p w14:paraId="76F0AE8A"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i/>
          <w:iCs/>
        </w:rPr>
        <w:t>Vascular &amp; Gen. Surgical Assocs. v. Loiterman, 234 Ill. App. 3d 1, 175 Ill. Dec. 232, 599 N.E.2d 1246 (1st Dist. 1992)</w:t>
      </w:r>
    </w:p>
    <w:p w14:paraId="0A64CF35" w14:textId="77777777" w:rsidR="00655396" w:rsidRDefault="00655396" w:rsidP="008B512B">
      <w:pPr>
        <w:pStyle w:val="NoParagraphStyle"/>
        <w:tabs>
          <w:tab w:val="left" w:pos="480"/>
          <w:tab w:val="left" w:pos="960"/>
          <w:tab w:val="left" w:pos="1440"/>
        </w:tabs>
        <w:spacing w:line="240" w:lineRule="auto"/>
        <w:jc w:val="both"/>
      </w:pPr>
      <w:r>
        <w:rPr>
          <w:rFonts w:ascii="Baskerville" w:hAnsi="Baskerville" w:cs="Baskerville"/>
        </w:rPr>
        <w:tab/>
      </w:r>
    </w:p>
    <w:p w14:paraId="586DED75" w14:textId="034EFDDA"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In this action, the First District Court of Appeals upheld a trial court’s confirmation of an arbitrator’s award enforcing by injunction a 2-year, 5-mile radius covenant not to compete contained in a vascular surgeon’s employment agreement. The court held that enforcement of the covenant does not require a review of reasonableness under federal antitrust law. </w:t>
      </w:r>
      <w:r>
        <w:rPr>
          <w:rFonts w:ascii="Baskerville" w:hAnsi="Baskerville" w:cs="Baskerville"/>
          <w:i/>
          <w:iCs/>
        </w:rPr>
        <w:t>Id.,</w:t>
      </w:r>
      <w:r>
        <w:rPr>
          <w:rFonts w:ascii="Baskerville" w:hAnsi="Baskerville" w:cs="Baskerville"/>
        </w:rPr>
        <w:t xml:space="preserve"> 599 N.E.2d at 1251. Rejecting the surgeon’s assertion that enforcement of the covenant would violate a public policy for lack of a proprietary interest of the former employer, the court quoted </w:t>
      </w:r>
      <w:r>
        <w:rPr>
          <w:rFonts w:ascii="Baskerville" w:hAnsi="Baskerville" w:cs="Baskerville"/>
          <w:i/>
          <w:iCs/>
        </w:rPr>
        <w:t>Retina Servs. v. Garoon,</w:t>
      </w:r>
      <w:r>
        <w:rPr>
          <w:rFonts w:ascii="Baskerville" w:hAnsi="Baskerville" w:cs="Baskerville"/>
        </w:rPr>
        <w:t xml:space="preserve"> 182 Ill. App. 3d 851, 856, 131 Ill. Dec. 276, 278, 538 N.E.2d 651, 653 (1st Dist. 1989), which decision noted that Illinois courts have “</w:t>
      </w:r>
      <w:r>
        <w:t> </w:t>
      </w:r>
      <w:r>
        <w:rPr>
          <w:rFonts w:ascii="Baskerville" w:hAnsi="Baskerville" w:cs="Baskerville"/>
        </w:rPr>
        <w:t>‘repeatedly upheld covenants not to compete in medical practice cases without making a specific inquiry into whether the plaintiff has demonstrated a protectable business interest.’</w:t>
      </w:r>
      <w:r>
        <w:t> </w:t>
      </w:r>
      <w:r>
        <w:rPr>
          <w:rFonts w:ascii="Baskerville" w:hAnsi="Baskerville" w:cs="Baskerville"/>
        </w:rPr>
        <w:t xml:space="preserve">” 599 N.E.2d at 1252. Moreover, the court found that, “because the covenant </w:t>
      </w:r>
      <w:r w:rsidR="00944F63">
        <w:rPr>
          <w:rFonts w:ascii="Baskerville" w:hAnsi="Baskerville" w:cs="Baskerville"/>
        </w:rPr>
        <w:t>…</w:t>
      </w:r>
      <w:r>
        <w:rPr>
          <w:rFonts w:ascii="Baskerville" w:hAnsi="Baskerville" w:cs="Baskerville"/>
        </w:rPr>
        <w:t xml:space="preserve"> does not unreasonably restrict the territory of defendant’s practice, nor does the restriction have an unreasonable duration, there is nothing in the record to show that the covenant contravenes public policy” with respect to the health of consumers of health care in the proscribed area. </w:t>
      </w:r>
      <w:r>
        <w:rPr>
          <w:rFonts w:ascii="Baskerville" w:hAnsi="Baskerville" w:cs="Baskerville"/>
          <w:i/>
          <w:iCs/>
        </w:rPr>
        <w:t>Id.</w:t>
      </w:r>
      <w:r>
        <w:rPr>
          <w:rFonts w:ascii="Baskerville" w:hAnsi="Baskerville" w:cs="Baskerville"/>
        </w:rPr>
        <w:t xml:space="preserve"> The court also rejected the surgeon’s contention that the trial court erred in finding that he had violated the injunction by performing nine vascular surgical procedures within the proscriptive time and area. The surgeon argued that the performance of nine procedures did not constitute the “practice” of vascular surgery, within the meaning of the injunction. However, according to the court: “The performance of a few isolated procedures can constitute practice in violation of an injunction against medical practice.” </w:t>
      </w:r>
      <w:r>
        <w:rPr>
          <w:rFonts w:ascii="Baskerville" w:hAnsi="Baskerville" w:cs="Baskerville"/>
          <w:i/>
          <w:iCs/>
        </w:rPr>
        <w:t>Id.</w:t>
      </w:r>
      <w:r>
        <w:rPr>
          <w:rFonts w:ascii="Baskerville" w:hAnsi="Baskerville" w:cs="Baskerville"/>
        </w:rPr>
        <w:t xml:space="preserve"> at 1253 (citing </w:t>
      </w:r>
      <w:r>
        <w:rPr>
          <w:rFonts w:ascii="Baskerville" w:hAnsi="Baskerville" w:cs="Baskerville"/>
          <w:i/>
          <w:iCs/>
        </w:rPr>
        <w:t>People v. Spounias,</w:t>
      </w:r>
      <w:r>
        <w:rPr>
          <w:rFonts w:ascii="Baskerville" w:hAnsi="Baskerville" w:cs="Baskerville"/>
        </w:rPr>
        <w:t xml:space="preserve"> 20 Ill. App. 2d 184, 155 N.E.2d 326 (1959)).</w:t>
      </w:r>
    </w:p>
    <w:p w14:paraId="0C3B8D1B" w14:textId="77777777" w:rsidR="00655396" w:rsidRDefault="00655396" w:rsidP="008B512B">
      <w:pPr>
        <w:pStyle w:val="BodyText"/>
        <w:spacing w:line="240" w:lineRule="auto"/>
      </w:pPr>
    </w:p>
    <w:p w14:paraId="63A0F1FD"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i/>
          <w:iCs/>
        </w:rPr>
        <w:t>Rapp Ins. Agency v. Baldree, 231 Ill. App. 3d 1038, 173 Ill. Dec. 962, 597 N.E.2d 936 (5th Dist. 1992) (Welch, J., dissenting)</w:t>
      </w:r>
    </w:p>
    <w:p w14:paraId="3070650E"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r>
    </w:p>
    <w:p w14:paraId="62E1A45F" w14:textId="70AD5D86"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In the majority opinion in this case, the Court of Appeals for the Fifth District affirmed the trial court’s denial of a preliminary </w:t>
      </w:r>
      <w:r>
        <w:rPr>
          <w:rFonts w:ascii="Baskerville" w:hAnsi="Baskerville" w:cs="Baskerville"/>
        </w:rPr>
        <w:lastRenderedPageBreak/>
        <w:t xml:space="preserve">injunction to enforce a covenant purporting to bar an insurance agent from doing any business with the former employer’s policyholders for 3 years. Without reaching the issue of the reasonableness of the temporal term of the restriction, the court determined that the restriction was unenforceable for lack of a protectable employer interest in its customers. The court explained that, given “the nature of most insurance policies [as] somewhat transient” since “most are easily cancellable within relatively short periods and depend on constant periodic renewals,” the insurance agency had no near-permanent relationship with its policyholders. </w:t>
      </w:r>
      <w:r>
        <w:rPr>
          <w:rFonts w:ascii="Baskerville" w:hAnsi="Baskerville" w:cs="Baskerville"/>
          <w:i/>
          <w:iCs/>
        </w:rPr>
        <w:t>Id.</w:t>
      </w:r>
      <w:r>
        <w:rPr>
          <w:rFonts w:ascii="Baskerville" w:hAnsi="Baskerville" w:cs="Baskerville"/>
        </w:rPr>
        <w:t xml:space="preserve">, 597 N.E.2d at 939 (Welch, J., dissenting) (citing </w:t>
      </w:r>
      <w:r>
        <w:rPr>
          <w:rFonts w:ascii="Baskerville" w:hAnsi="Baskerville" w:cs="Baskerville"/>
          <w:i/>
          <w:iCs/>
        </w:rPr>
        <w:t>Southern Ill. Medical Business Assocs. v. Camillo,</w:t>
      </w:r>
      <w:r>
        <w:rPr>
          <w:rFonts w:ascii="Baskerville" w:hAnsi="Baskerville" w:cs="Baskerville"/>
        </w:rPr>
        <w:t xml:space="preserve"> 190 Ill. App. 3d 664, 674, 138 Ill. Dec. 4, 11, 546 N.E.2d 1059, 1066 (5th Dist. 1989). The court added that “[t]he mere potential to become a long-standing customer is not sufficient” to establish a near-permanent relationship between the employer and its customers. 597 N.E.2d at 939. In addition, the court pointed out that the employer failed to show that, but for his employment, the agent would not have had contact with the employer’s customers. It reasoned that because “most of the customers </w:t>
      </w:r>
      <w:r w:rsidR="00944F63">
        <w:rPr>
          <w:rFonts w:ascii="Baskerville" w:hAnsi="Baskerville" w:cs="Baskerville"/>
        </w:rPr>
        <w:t>…</w:t>
      </w:r>
      <w:r>
        <w:rPr>
          <w:rFonts w:ascii="Baskerville" w:hAnsi="Baskerville" w:cs="Baskerville"/>
        </w:rPr>
        <w:t xml:space="preserve"> were brought in [to the employer’s clientele] via ‘cold calls,’ </w:t>
      </w:r>
      <w:r w:rsidR="00944F63">
        <w:rPr>
          <w:rFonts w:ascii="Baskerville" w:hAnsi="Baskerville" w:cs="Baskerville"/>
        </w:rPr>
        <w:t>…</w:t>
      </w:r>
      <w:r>
        <w:rPr>
          <w:rFonts w:ascii="Baskerville" w:hAnsi="Baskerville" w:cs="Baskerville"/>
        </w:rPr>
        <w:t xml:space="preserve"> most of these customers could be found in the phone book and randomly contacted by any insurance agent.” </w:t>
      </w:r>
      <w:r>
        <w:rPr>
          <w:rFonts w:ascii="Baskerville" w:hAnsi="Baskerville" w:cs="Baskerville"/>
          <w:i/>
          <w:iCs/>
        </w:rPr>
        <w:t>Id.</w:t>
      </w:r>
      <w:r>
        <w:rPr>
          <w:rFonts w:ascii="Baskerville" w:hAnsi="Baskerville" w:cs="Baskerville"/>
        </w:rPr>
        <w:t xml:space="preserve"> </w:t>
      </w:r>
      <w:r>
        <w:rPr>
          <w:rFonts w:ascii="Baskerville" w:hAnsi="Baskerville" w:cs="Baskerville"/>
          <w:i/>
          <w:iCs/>
        </w:rPr>
        <w:t>But see</w:t>
      </w:r>
      <w:r>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940–41 (Welch, J., dissenting). The court also determined that information in the policyholder’s files was not a trade secret protectable by the covenant. </w:t>
      </w:r>
      <w:r>
        <w:rPr>
          <w:rFonts w:ascii="Baskerville" w:hAnsi="Baskerville" w:cs="Baskerville"/>
          <w:i/>
          <w:iCs/>
        </w:rPr>
        <w:t>Id.</w:t>
      </w:r>
      <w:r>
        <w:rPr>
          <w:rFonts w:ascii="Baskerville" w:hAnsi="Baskerville" w:cs="Baskerville"/>
        </w:rPr>
        <w:t xml:space="preserve"> at 939. </w:t>
      </w:r>
      <w:r>
        <w:rPr>
          <w:rFonts w:ascii="Baskerville" w:hAnsi="Baskerville" w:cs="Baskerville"/>
          <w:i/>
          <w:iCs/>
        </w:rPr>
        <w:t>But see</w:t>
      </w:r>
      <w:r>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941 (Welsh, J., dissenting).</w:t>
      </w:r>
    </w:p>
    <w:p w14:paraId="056BCBFF" w14:textId="77777777" w:rsidR="00655396" w:rsidRDefault="00655396" w:rsidP="008B512B">
      <w:pPr>
        <w:pStyle w:val="BodyText"/>
        <w:spacing w:line="240" w:lineRule="auto"/>
      </w:pPr>
    </w:p>
    <w:p w14:paraId="137DB64E"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i/>
          <w:iCs/>
        </w:rPr>
        <w:t>Office Elecs. v. Adell, 228 Ill. App. 3d 814, 170 Ill. Dec. 843, 593 N.E.2d 732 (1st Dist. 1992)</w:t>
      </w:r>
    </w:p>
    <w:p w14:paraId="58C77872"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r>
    </w:p>
    <w:p w14:paraId="77648A66"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In this action, the Court of Appeals for the First District affirmed denial of the employer’s motion for a preliminary injunction to enforce a 1-year nonsolicitation covenant against a former salesman of a corporation engaged in the manufacture and sale of printed business forms. The court reasoned that the former employer’s allegations of irreparable injury and lack of an adequate legal remedy at law were “merely conclusory” terms and “failed to set forth facts with the detail necessary to support the issuance of a preliminary injunction.” </w:t>
      </w:r>
      <w:r>
        <w:rPr>
          <w:rFonts w:ascii="Baskerville" w:hAnsi="Baskerville" w:cs="Baskerville"/>
          <w:i/>
          <w:iCs/>
        </w:rPr>
        <w:t>Id.</w:t>
      </w:r>
      <w:r>
        <w:rPr>
          <w:rFonts w:ascii="Baskerville" w:hAnsi="Baskerville" w:cs="Baskerville"/>
        </w:rPr>
        <w:t xml:space="preserve">, 593 N.E.2d at 736. Such allegations, to succeed, must include “specific facts” with “certainty and precision.” </w:t>
      </w:r>
      <w:r>
        <w:rPr>
          <w:rFonts w:ascii="Baskerville" w:hAnsi="Baskerville" w:cs="Baskerville"/>
          <w:i/>
          <w:iCs/>
        </w:rPr>
        <w:t>Id.</w:t>
      </w:r>
      <w:r>
        <w:rPr>
          <w:rFonts w:ascii="Baskerville" w:hAnsi="Baskerville" w:cs="Baskerville"/>
        </w:rPr>
        <w:t xml:space="preserve"> at 735.</w:t>
      </w:r>
    </w:p>
    <w:p w14:paraId="671E54DA" w14:textId="77777777" w:rsidR="00655396" w:rsidRDefault="00655396" w:rsidP="008B512B">
      <w:pPr>
        <w:pStyle w:val="BodyText"/>
        <w:spacing w:line="240" w:lineRule="auto"/>
      </w:pPr>
    </w:p>
    <w:p w14:paraId="11AA1B52"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i/>
          <w:iCs/>
        </w:rPr>
      </w:pPr>
      <w:r>
        <w:rPr>
          <w:rFonts w:ascii="Baskerville" w:hAnsi="Baskerville" w:cs="Baskerville"/>
          <w:i/>
          <w:iCs/>
        </w:rPr>
        <w:t>Capsonic Grp. v. Swick, 181 Ill. App. 3d 988, 537 N.E.2d 1378 (2d Dist. 1989)</w:t>
      </w:r>
    </w:p>
    <w:p w14:paraId="45E6D063" w14:textId="77777777" w:rsidR="00655396" w:rsidRDefault="00655396" w:rsidP="008B512B">
      <w:pPr>
        <w:pStyle w:val="BodyTextIndent"/>
        <w:spacing w:line="240" w:lineRule="auto"/>
      </w:pPr>
    </w:p>
    <w:p w14:paraId="42D53743"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In this case, the employer sought to enforce a restrictive covenant and claimed that it had a protectable business interest in certain trade secrets or confidential information. The trial court denied the plaintiff/employer’s motion for a preliminary injunction, and the employer appealed.</w:t>
      </w:r>
    </w:p>
    <w:p w14:paraId="08B5E241"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The employer was in the business of designing and manufacturing composite plastic/metal parts using a process known as insert molding. Insert molding is a relatively new technology where metal inserts are molded directly into plastic bodies to create one solid piece. The employer emphasized the development of customized automated systems for the manufacture of such insert-molded parts. It uses standard components so that it can concentrate its design efforts on the overall automated process. The defendant/former employee was first employed as an automation engineer. He had not worked previously with insert molding or in the design of automation systems to manufacture insert-molded products. Before beginning his employment, the defendant was required to sign an employment agreement that set forth a restrictive covenant that expressly prevented the defendant from working for a direct competitor or revealing any information regarding the plaintiff’s business. </w:t>
      </w:r>
      <w:r>
        <w:rPr>
          <w:rFonts w:ascii="Baskerville" w:hAnsi="Baskerville" w:cs="Baskerville"/>
          <w:i/>
          <w:iCs/>
        </w:rPr>
        <w:t>Id.</w:t>
      </w:r>
      <w:r>
        <w:rPr>
          <w:rFonts w:ascii="Baskerville" w:hAnsi="Baskerville" w:cs="Baskerville"/>
        </w:rPr>
        <w:t xml:space="preserve"> at 990–91, 537 N.E.2d at 1380–81.</w:t>
      </w:r>
    </w:p>
    <w:p w14:paraId="44B59415"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The </w:t>
      </w:r>
      <w:r>
        <w:rPr>
          <w:rFonts w:ascii="Baskerville" w:hAnsi="Baskerville" w:cs="Baskerville"/>
          <w:i/>
          <w:iCs/>
        </w:rPr>
        <w:t>Capsonic</w:t>
      </w:r>
      <w:r>
        <w:rPr>
          <w:rFonts w:ascii="Baskerville" w:hAnsi="Baskerville" w:cs="Baskerville"/>
        </w:rPr>
        <w:t xml:space="preserve"> court concluded that the plaintiff had no protectable business interest. </w:t>
      </w:r>
      <w:r>
        <w:rPr>
          <w:rFonts w:ascii="Baskerville" w:hAnsi="Baskerville" w:cs="Baskerville"/>
          <w:i/>
          <w:iCs/>
        </w:rPr>
        <w:t>Id.</w:t>
      </w:r>
      <w:r>
        <w:rPr>
          <w:rFonts w:ascii="Baskerville" w:hAnsi="Baskerville" w:cs="Baskerville"/>
        </w:rPr>
        <w:t xml:space="preserve"> at 993, 537 N.E.2d at 1382–83. It found that there was no complaint that the former employee had taken a particular design or automated process with him and used it to the employer’s detriment. It further found that there was in fact no specific tangible product of the plaintiff, and that there is no identifiable process that the plaintiff claimed secret or confidential. Rather, the employer claimed its overall expertise in the designing of automated systems is a trade secret, which the former employee learned to use while employed by the plaintiff, and developed a skill that but for his employment with the plaintiff, the former employee would not possess. The </w:t>
      </w:r>
      <w:r>
        <w:rPr>
          <w:rFonts w:ascii="Baskerville" w:hAnsi="Baskerville" w:cs="Baskerville"/>
          <w:i/>
          <w:iCs/>
        </w:rPr>
        <w:t>Capsonic</w:t>
      </w:r>
      <w:r>
        <w:rPr>
          <w:rFonts w:ascii="Baskerville" w:hAnsi="Baskerville" w:cs="Baskerville"/>
        </w:rPr>
        <w:t xml:space="preserve"> court concluded:</w:t>
      </w:r>
    </w:p>
    <w:p w14:paraId="04FEB383" w14:textId="77777777" w:rsidR="00655396" w:rsidRDefault="00655396" w:rsidP="008B512B">
      <w:pPr>
        <w:pStyle w:val="BodyTextIndent"/>
        <w:spacing w:line="240" w:lineRule="auto"/>
      </w:pPr>
    </w:p>
    <w:p w14:paraId="3A395FD0"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 xml:space="preserve">This is exactly the generalized knowledge and expertise our Supreme </w:t>
      </w:r>
      <w:r>
        <w:rPr>
          <w:rFonts w:ascii="Baskerville" w:hAnsi="Baskerville" w:cs="Baskerville"/>
          <w:sz w:val="22"/>
          <w:szCs w:val="22"/>
        </w:rPr>
        <w:lastRenderedPageBreak/>
        <w:t>Court recognized in [</w:t>
      </w:r>
      <w:r>
        <w:rPr>
          <w:rFonts w:ascii="Baskerville" w:hAnsi="Baskerville" w:cs="Baskerville"/>
          <w:i/>
          <w:iCs/>
          <w:sz w:val="22"/>
          <w:szCs w:val="22"/>
        </w:rPr>
        <w:t>ILG Indus. v. Scott</w:t>
      </w:r>
      <w:r>
        <w:rPr>
          <w:rFonts w:ascii="Baskerville" w:hAnsi="Baskerville" w:cs="Baskerville"/>
          <w:sz w:val="22"/>
          <w:szCs w:val="22"/>
        </w:rPr>
        <w:t>, 49 Ill. 2d 88, 273 N.E.2d 393 (1971)], and we acknowledged in [</w:t>
      </w:r>
      <w:r>
        <w:rPr>
          <w:rFonts w:ascii="Baskerville" w:hAnsi="Baskerville" w:cs="Baskerville"/>
          <w:i/>
          <w:iCs/>
          <w:sz w:val="22"/>
          <w:szCs w:val="22"/>
        </w:rPr>
        <w:t>Smith Oil Corp. v. Viking Chem. Co.</w:t>
      </w:r>
      <w:r>
        <w:rPr>
          <w:rFonts w:ascii="Baskerville" w:hAnsi="Baskerville" w:cs="Baskerville"/>
          <w:sz w:val="22"/>
          <w:szCs w:val="22"/>
        </w:rPr>
        <w:t>, 127 Ill. App. 3d 423, 468 N.E.2d 797 (2d Dist. 1984)], as not subject to restriction. The manifest weight of the evidence presented at the hearing supports the trial court’s conclusion that [the employer’s] theory of automated processes is not a trade secret.</w:t>
      </w:r>
    </w:p>
    <w:p w14:paraId="461D8362" w14:textId="77777777" w:rsidR="00655396" w:rsidRDefault="00655396" w:rsidP="008B512B">
      <w:pPr>
        <w:pStyle w:val="BodyTextIndent"/>
        <w:spacing w:line="240" w:lineRule="auto"/>
      </w:pPr>
    </w:p>
    <w:p w14:paraId="754611C0"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xml:space="preserve"> at 994, 537 N.E.2d at 1383.</w:t>
      </w:r>
    </w:p>
    <w:p w14:paraId="1C23FA13"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The </w:t>
      </w:r>
      <w:r>
        <w:rPr>
          <w:rFonts w:ascii="Baskerville" w:hAnsi="Baskerville" w:cs="Baskerville"/>
          <w:i/>
          <w:iCs/>
        </w:rPr>
        <w:t>Capsonic</w:t>
      </w:r>
      <w:r>
        <w:rPr>
          <w:rFonts w:ascii="Baskerville" w:hAnsi="Baskerville" w:cs="Baskerville"/>
        </w:rPr>
        <w:t xml:space="preserve"> court went on to state:</w:t>
      </w:r>
    </w:p>
    <w:p w14:paraId="2B3D602E" w14:textId="77777777" w:rsidR="00655396" w:rsidRDefault="00655396" w:rsidP="008B512B">
      <w:pPr>
        <w:pStyle w:val="BodyTextIndent"/>
        <w:spacing w:line="240" w:lineRule="auto"/>
      </w:pPr>
    </w:p>
    <w:p w14:paraId="6C9F7DCE"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 xml:space="preserve">[The employer’s] concern appears to be that now another company in the industry may be more adept at automated production and cause competition in the future. This is an attempt to restrict competition </w:t>
      </w:r>
      <w:r>
        <w:rPr>
          <w:rFonts w:ascii="Baskerville" w:hAnsi="Baskerville" w:cs="Baskerville"/>
          <w:i/>
          <w:iCs/>
          <w:sz w:val="22"/>
          <w:szCs w:val="22"/>
        </w:rPr>
        <w:t>per se</w:t>
      </w:r>
      <w:r>
        <w:rPr>
          <w:rFonts w:ascii="Baskerville" w:hAnsi="Baskerville" w:cs="Baskerville"/>
          <w:sz w:val="22"/>
          <w:szCs w:val="22"/>
        </w:rPr>
        <w:t xml:space="preserve"> and will not be encouraged by the courts. The manifest weight of the evidence supports the trial court’s conclusion that [the employer’s] theory of automated processes is not confidential information.</w:t>
      </w:r>
    </w:p>
    <w:p w14:paraId="3DAA3169" w14:textId="77777777" w:rsidR="00655396" w:rsidRDefault="00655396" w:rsidP="008B512B">
      <w:pPr>
        <w:pStyle w:val="BodyTextIndent"/>
        <w:spacing w:line="240" w:lineRule="auto"/>
      </w:pPr>
    </w:p>
    <w:p w14:paraId="45366070"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xml:space="preserve"> at 995, 537 N.E.2d at 1384.</w:t>
      </w:r>
    </w:p>
    <w:p w14:paraId="521E739D" w14:textId="77777777" w:rsidR="00655396" w:rsidRDefault="00655396" w:rsidP="008B512B">
      <w:pPr>
        <w:pStyle w:val="BodyText"/>
        <w:spacing w:line="240" w:lineRule="auto"/>
      </w:pPr>
    </w:p>
    <w:p w14:paraId="75464073"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i/>
          <w:iCs/>
        </w:rPr>
        <w:t>PCx Corp. v. Ross, 168 Ill. App. 3d 1047, 119 Ill. Dec. 474, 522 N.E.2d 1333 (1st Dist. 1988)</w:t>
      </w:r>
    </w:p>
    <w:p w14:paraId="232363A1" w14:textId="77777777" w:rsidR="00655396" w:rsidRDefault="00655396" w:rsidP="008B512B">
      <w:pPr>
        <w:pStyle w:val="BodyText"/>
        <w:spacing w:line="240" w:lineRule="auto"/>
      </w:pPr>
    </w:p>
    <w:p w14:paraId="1FB1E80A"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This case involves a computer hardware company that sued a former employee and the employee’s current employer for breach of a noncompetition agreement that purported to restrict the employee’s activities in the computer hardware field for 2 years </w:t>
      </w:r>
      <w:r>
        <w:rPr>
          <w:rFonts w:ascii="Baskerville" w:hAnsi="Baskerville" w:cs="Baskerville"/>
        </w:rPr>
        <w:br/>
        <w:t>following termination of employment, but contained no geographic limitation. The trial court refused to grant the employer an injunction to enforce the agreement, and the employer appealed.</w:t>
      </w:r>
    </w:p>
    <w:p w14:paraId="071F853A"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The </w:t>
      </w:r>
      <w:r>
        <w:rPr>
          <w:rFonts w:ascii="Baskerville" w:hAnsi="Baskerville" w:cs="Baskerville"/>
          <w:i/>
          <w:iCs/>
        </w:rPr>
        <w:t>Ross</w:t>
      </w:r>
      <w:r>
        <w:rPr>
          <w:rFonts w:ascii="Baskerville" w:hAnsi="Baskerville" w:cs="Baskerville"/>
        </w:rPr>
        <w:t xml:space="preserve"> court reversed the trial court, and held that the employer was entitled to a preliminary injunction against the former employee soliciting the employer’s customers in violation of the covenant not to compete. The </w:t>
      </w:r>
      <w:r>
        <w:rPr>
          <w:rFonts w:ascii="Baskerville" w:hAnsi="Baskerville" w:cs="Baskerville"/>
          <w:i/>
          <w:iCs/>
        </w:rPr>
        <w:t>Ross</w:t>
      </w:r>
      <w:r>
        <w:rPr>
          <w:rFonts w:ascii="Baskerville" w:hAnsi="Baskerville" w:cs="Baskerville"/>
        </w:rPr>
        <w:t xml:space="preserve"> court noted that the employer had a proprietary interest in near-permanent customers, with whom the former employee could not have had contact but for her </w:t>
      </w:r>
      <w:r>
        <w:rPr>
          <w:rFonts w:ascii="Baskerville" w:hAnsi="Baskerville" w:cs="Baskerville"/>
        </w:rPr>
        <w:br/>
        <w:t xml:space="preserve">employment with the plaintiff. The court concluded that the employer had presented sufficient evidence of the factors to raise a fair question as to the existence of a legitimate right in need of protection. </w:t>
      </w:r>
      <w:r>
        <w:rPr>
          <w:rFonts w:ascii="Baskerville" w:hAnsi="Baskerville" w:cs="Baskerville"/>
          <w:i/>
          <w:iCs/>
        </w:rPr>
        <w:t>Id.</w:t>
      </w:r>
      <w:r>
        <w:rPr>
          <w:rFonts w:ascii="Baskerville" w:hAnsi="Baskerville" w:cs="Baskerville"/>
        </w:rPr>
        <w:t xml:space="preserve"> at 1057–58, 522 N.E.2d at 1339–40. The evidence </w:t>
      </w:r>
      <w:r>
        <w:rPr>
          <w:rFonts w:ascii="Baskerville" w:hAnsi="Baskerville" w:cs="Baskerville"/>
        </w:rPr>
        <w:lastRenderedPageBreak/>
        <w:t xml:space="preserve">included testimony that the computer hardware industry is highly competitive, in that company survival depends on maintaining business relationships with its clients, which the employer has worked to acquire and cultivate throughout the years of its existence. The </w:t>
      </w:r>
      <w:r>
        <w:rPr>
          <w:rFonts w:ascii="Baskerville" w:hAnsi="Baskerville" w:cs="Baskerville"/>
          <w:i/>
          <w:iCs/>
        </w:rPr>
        <w:t>Ross</w:t>
      </w:r>
      <w:r>
        <w:rPr>
          <w:rFonts w:ascii="Baskerville" w:hAnsi="Baskerville" w:cs="Baskerville"/>
        </w:rPr>
        <w:t xml:space="preserve"> court further found the evidence showed that it was necessary for the employer to have sales consultants who possessed specialized knowledge of the types, use, and compatibility of lines and products offered by the employer as well as the product needs, past purchase records, and future plans of the customers. Its salespersons were provided with training in weekly evening sessions by suppliers of the equipment and by other in-house personnel. About 10–15 salespersons were responsible for maintaining personal contact with customers, primarily by telephone, with occasional personal visits. A list was kept of customers who regularly did business with the employer, which list was periodically updated. The employer made it a condition of employment that new salespersons sign a restrictive covenant that prohibited solicitation of customers whose names, purchase, and credit histories were maintained on the list, and that upon termination of employment, voluntary or otherwise, the employee was required to attend an “exit interview.” The </w:t>
      </w:r>
      <w:r>
        <w:rPr>
          <w:rFonts w:ascii="Baskerville" w:hAnsi="Baskerville" w:cs="Baskerville"/>
          <w:i/>
          <w:iCs/>
        </w:rPr>
        <w:t>Ross</w:t>
      </w:r>
      <w:r>
        <w:rPr>
          <w:rFonts w:ascii="Baskerville" w:hAnsi="Baskerville" w:cs="Baskerville"/>
        </w:rPr>
        <w:t xml:space="preserve"> court further noted that the absence of a geographic limitation in the restrictive covenant did not render it excessively broad, holding that the</w:t>
      </w:r>
    </w:p>
    <w:p w14:paraId="5F46C162" w14:textId="77777777" w:rsidR="00655396" w:rsidRDefault="00655396" w:rsidP="008B512B">
      <w:pPr>
        <w:pStyle w:val="BodyTextIndent"/>
        <w:spacing w:line="240" w:lineRule="auto"/>
      </w:pPr>
    </w:p>
    <w:p w14:paraId="3875B919" w14:textId="61948BF7"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sz w:val="22"/>
          <w:szCs w:val="22"/>
        </w:rPr>
        <w:t xml:space="preserve">case law supports [the employer’s] assertion that a territorial limitation is not required in activity covenants designed not to prevent competition but to protect the employer’s relationships with its </w:t>
      </w:r>
      <w:r>
        <w:rPr>
          <w:rFonts w:ascii="Baskerville" w:hAnsi="Baskerville" w:cs="Baskerville"/>
          <w:sz w:val="22"/>
          <w:szCs w:val="22"/>
        </w:rPr>
        <w:br/>
        <w:t>customers</w:t>
      </w:r>
      <w:r w:rsidR="00944F63">
        <w:rPr>
          <w:rFonts w:ascii="Baskerville" w:hAnsi="Baskerville" w:cs="Baskerville"/>
          <w:sz w:val="22"/>
          <w:szCs w:val="22"/>
        </w:rPr>
        <w:t>…</w:t>
      </w:r>
      <w:r>
        <w:rPr>
          <w:sz w:val="22"/>
          <w:szCs w:val="22"/>
        </w:rPr>
        <w:t> </w:t>
      </w:r>
      <w:r>
        <w:rPr>
          <w:rFonts w:ascii="Baskerville" w:hAnsi="Baskerville" w:cs="Baskerville"/>
          <w:sz w:val="22"/>
          <w:szCs w:val="22"/>
        </w:rPr>
        <w:t>.</w:t>
      </w:r>
    </w:p>
    <w:p w14:paraId="174ACE86" w14:textId="77777777" w:rsidR="00655396" w:rsidRDefault="00655396" w:rsidP="008B512B">
      <w:pPr>
        <w:pStyle w:val="BodyTextIndent"/>
        <w:spacing w:line="240" w:lineRule="auto"/>
      </w:pPr>
    </w:p>
    <w:p w14:paraId="2BE1A760"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p>
    <w:p w14:paraId="0ADEC64D"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Based on these findings, the </w:t>
      </w:r>
      <w:r>
        <w:rPr>
          <w:rFonts w:ascii="Baskerville" w:hAnsi="Baskerville" w:cs="Baskerville"/>
          <w:i/>
          <w:iCs/>
        </w:rPr>
        <w:t>Ross</w:t>
      </w:r>
      <w:r>
        <w:rPr>
          <w:rFonts w:ascii="Baskerville" w:hAnsi="Baskerville" w:cs="Baskerville"/>
        </w:rPr>
        <w:t xml:space="preserve"> court concluded that the employer had established a violation of the restrictive covenant that resulted in irreparable injury, and that the employer was reasonably likely to prevail on the merits. The order of the trial court was reversed, and the case remanded. </w:t>
      </w:r>
      <w:r>
        <w:rPr>
          <w:rFonts w:ascii="Baskerville" w:hAnsi="Baskerville" w:cs="Baskerville"/>
          <w:i/>
          <w:iCs/>
        </w:rPr>
        <w:t>Id.</w:t>
      </w:r>
      <w:r>
        <w:rPr>
          <w:rFonts w:ascii="Baskerville" w:hAnsi="Baskerville" w:cs="Baskerville"/>
        </w:rPr>
        <w:t>, 522 N.E.2d at 1341.</w:t>
      </w:r>
    </w:p>
    <w:p w14:paraId="1F6A22D5" w14:textId="77777777" w:rsidR="00655396" w:rsidRDefault="00655396" w:rsidP="008B512B">
      <w:pPr>
        <w:pStyle w:val="BodyTextIndent"/>
        <w:spacing w:line="240" w:lineRule="auto"/>
      </w:pPr>
    </w:p>
    <w:p w14:paraId="45C71B52"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i/>
          <w:iCs/>
        </w:rPr>
        <w:t>Corroon &amp; Black of Ill. v. Magner, 145 Ill. App. 3d 151, 98 Ill. Dec. 663, 494 N.E.2d 785 (1st Dist. 1986)</w:t>
      </w:r>
    </w:p>
    <w:p w14:paraId="026FFFBF"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1DB2E588"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lastRenderedPageBreak/>
        <w:tab/>
        <w:t>This case involved an insurance broker’s attempt to enjoin a former employee and competing insurance broker from soliciting and obtaining the business of several clients whose accounts the former employee serviced while employed by the first broker. The employee had signed a 2-year covenant not to compete, which lacked any geographic limitation. The trial court entered summary judgment in favor of the former employee and competing broker and the first broker appealed.</w:t>
      </w:r>
    </w:p>
    <w:p w14:paraId="731C4D26"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On appeal, the Illinois Appellate Court reversed and remanded. The trial court had ruled that the restrictive covenant was unenforceable because (1) the agreement lacked consideration in that the former employee did not sign it until after he began his employment, (2) the first broker did not have a protectable proprietary interest in its customers, and (3) the scope of the restrictive covenant was unreasonably broad. The </w:t>
      </w:r>
      <w:r>
        <w:rPr>
          <w:rFonts w:ascii="Baskerville" w:hAnsi="Baskerville" w:cs="Baskerville"/>
          <w:i/>
          <w:iCs/>
        </w:rPr>
        <w:t>Magner</w:t>
      </w:r>
      <w:r>
        <w:rPr>
          <w:rFonts w:ascii="Baskerville" w:hAnsi="Baskerville" w:cs="Baskerville"/>
        </w:rPr>
        <w:t xml:space="preserve"> court disagreed, holding that continued employment for a substantial period is sufficient consideration to support an employment agreement, as a matter of law. </w:t>
      </w:r>
      <w:r>
        <w:rPr>
          <w:rFonts w:ascii="Baskerville" w:hAnsi="Baskerville" w:cs="Baskerville"/>
          <w:i/>
          <w:iCs/>
        </w:rPr>
        <w:t xml:space="preserve">Id. </w:t>
      </w:r>
      <w:r>
        <w:rPr>
          <w:rFonts w:ascii="Baskerville" w:hAnsi="Baskerville" w:cs="Baskerville"/>
        </w:rPr>
        <w:t>at 163, 494 N.E.2d at 791–92.</w:t>
      </w:r>
    </w:p>
    <w:p w14:paraId="1FC8AB3C"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With respect to the other two issues concerning the restrictive covenant, the appellate court held that genuine issues of material fact existed that precluded summary judgment.</w:t>
      </w:r>
    </w:p>
    <w:p w14:paraId="705DDD28" w14:textId="77777777" w:rsidR="00655396" w:rsidRDefault="00655396" w:rsidP="008B512B">
      <w:pPr>
        <w:pStyle w:val="BodyTextIndent"/>
        <w:spacing w:line="240" w:lineRule="auto"/>
      </w:pPr>
    </w:p>
    <w:p w14:paraId="5BFA48DB" w14:textId="6AFAEA29"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While it is true that ordinarily an employer has no proprietary interest in its customers, this court has repeatedly held that there are two general situations in which the law would find such an interest to exist for purposes of enforcing a covenant not to compete: (1) where the former employee acquired confidential information through his employment and subsequently attempted to use it for his own benefit, and (2) where, by nature of the business, the customer relationship is near-permanent and, but for his association with plaintiff, defendant would not have had contact with the customers in question</w:t>
      </w:r>
      <w:r w:rsidR="00944F63">
        <w:rPr>
          <w:rFonts w:ascii="Baskerville" w:hAnsi="Baskerville" w:cs="Baskerville"/>
          <w:sz w:val="22"/>
          <w:szCs w:val="22"/>
        </w:rPr>
        <w:t>…</w:t>
      </w:r>
      <w:r>
        <w:rPr>
          <w:sz w:val="22"/>
          <w:szCs w:val="22"/>
        </w:rPr>
        <w:t> </w:t>
      </w:r>
      <w:r>
        <w:rPr>
          <w:rFonts w:ascii="Baskerville" w:hAnsi="Baskerville" w:cs="Baskerville"/>
          <w:sz w:val="22"/>
          <w:szCs w:val="22"/>
        </w:rPr>
        <w:t>. Plaintiff contends that its relationship with its customers is near-permanent.</w:t>
      </w:r>
    </w:p>
    <w:p w14:paraId="2BC9E72E"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Our courts have used many objective factors in determining whether a near-permanent relationship exists between an employer and its customers. They are: (1) the number of years the employers are required to develop the clientele, (2) the amount of money the employer invested in developing the clientele, (3) the degree of difficulty in developing this clientele, (4) the amount of personal client contact by the employee, (5) the extent of the employer’s knowledge of its clientele, (6) the length of time the customers have been </w:t>
      </w:r>
      <w:r>
        <w:rPr>
          <w:rFonts w:ascii="Baskerville" w:hAnsi="Baskerville" w:cs="Baskerville"/>
          <w:sz w:val="22"/>
          <w:szCs w:val="22"/>
        </w:rPr>
        <w:lastRenderedPageBreak/>
        <w:t>associated with the employer, and (7) the continuity of the relationship between the employer and its customers. [Citations omitted.]</w:t>
      </w:r>
    </w:p>
    <w:p w14:paraId="7BB69F95" w14:textId="77777777" w:rsidR="00655396" w:rsidRDefault="00655396" w:rsidP="008B512B">
      <w:pPr>
        <w:pStyle w:val="BodyTextIndent"/>
        <w:spacing w:line="240" w:lineRule="auto"/>
      </w:pPr>
    </w:p>
    <w:p w14:paraId="28150919"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xml:space="preserve"> at 163–64, 494 N.E.2d at 792.</w:t>
      </w:r>
    </w:p>
    <w:p w14:paraId="4A0AC233"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The court concluded that there was a genuine issue of material fact as to whether plaintiff had a protectable proprietary interest in its customers. The court was most concerned about conflicting deposition testimony concerning the continuity of the relationship between the plaintiff and its customers, the investment in developing its clientele, the extent of the employees’ personal customer contact, and the extent of its knowledge of its customers.</w:t>
      </w:r>
    </w:p>
    <w:p w14:paraId="19C8E842"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Finally, the appellate court disagreed with the trial court concerning its ruling that the scope of the restrictive covenant was unreasonably broad.</w:t>
      </w:r>
    </w:p>
    <w:p w14:paraId="4B82FBA0" w14:textId="77777777" w:rsidR="00655396" w:rsidRDefault="00655396" w:rsidP="008B512B">
      <w:pPr>
        <w:pStyle w:val="BodyTextIndent"/>
        <w:spacing w:line="240" w:lineRule="auto"/>
      </w:pPr>
    </w:p>
    <w:p w14:paraId="7AFC062F" w14:textId="4A28EB60"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We have held repeatedly that the absence of a geographic limitation in a restrictive covenant limited to the nonsolicitation of customers was not unreasonable where the employer did business throughout the country, and the covenant was to protect the employer from losing customer contacts through a former employee’s knowledge and familiarity with the customer’s requirement</w:t>
      </w:r>
      <w:r w:rsidR="00944F63">
        <w:rPr>
          <w:rFonts w:ascii="Baskerville" w:hAnsi="Baskerville" w:cs="Baskerville"/>
          <w:sz w:val="22"/>
          <w:szCs w:val="22"/>
        </w:rPr>
        <w:t>…</w:t>
      </w:r>
      <w:r>
        <w:rPr>
          <w:sz w:val="22"/>
          <w:szCs w:val="22"/>
        </w:rPr>
        <w:t> </w:t>
      </w:r>
      <w:r>
        <w:rPr>
          <w:rFonts w:ascii="Baskerville" w:hAnsi="Baskerville" w:cs="Baskerville"/>
          <w:sz w:val="22"/>
          <w:szCs w:val="22"/>
        </w:rPr>
        <w:t>. Although these restrictive covenants contained no geographic limitation, they restrained the employees only from contacting former clients. Activity restraints are subject to a less stringent test of reasonableness than that which applies to geographical restraints</w:t>
      </w:r>
      <w:r w:rsidR="00944F63">
        <w:rPr>
          <w:rFonts w:ascii="Baskerville" w:hAnsi="Baskerville" w:cs="Baskerville"/>
          <w:sz w:val="22"/>
          <w:szCs w:val="22"/>
        </w:rPr>
        <w:t>…</w:t>
      </w:r>
      <w:r>
        <w:rPr>
          <w:sz w:val="22"/>
          <w:szCs w:val="22"/>
        </w:rPr>
        <w:t> </w:t>
      </w:r>
      <w:r>
        <w:rPr>
          <w:rFonts w:ascii="Baskerville" w:hAnsi="Baskerville" w:cs="Baskerville"/>
          <w:sz w:val="22"/>
          <w:szCs w:val="22"/>
        </w:rPr>
        <w:t>. [Citations omitted.]</w:t>
      </w:r>
    </w:p>
    <w:p w14:paraId="318629D8" w14:textId="77777777" w:rsidR="00655396" w:rsidRDefault="00655396" w:rsidP="008B512B">
      <w:pPr>
        <w:pStyle w:val="BodyTextIndent"/>
        <w:spacing w:line="240" w:lineRule="auto"/>
      </w:pPr>
    </w:p>
    <w:p w14:paraId="0300052F"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xml:space="preserve"> at 166, 494 N.E.2d at 793.</w:t>
      </w:r>
    </w:p>
    <w:p w14:paraId="32D39B04"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The restrictive covenant in </w:t>
      </w:r>
      <w:r>
        <w:rPr>
          <w:rFonts w:ascii="Baskerville" w:hAnsi="Baskerville" w:cs="Baskerville"/>
          <w:i/>
          <w:iCs/>
        </w:rPr>
        <w:t>Magner</w:t>
      </w:r>
      <w:r>
        <w:rPr>
          <w:rFonts w:ascii="Baskerville" w:hAnsi="Baskerville" w:cs="Baskerville"/>
        </w:rPr>
        <w:t xml:space="preserve"> prohibited a former employee from soliciting “any client of any [of the employer’s] office in which [he] had worked.” </w:t>
      </w:r>
      <w:r>
        <w:rPr>
          <w:rFonts w:ascii="Baskerville" w:hAnsi="Baskerville" w:cs="Baskerville"/>
          <w:i/>
          <w:iCs/>
        </w:rPr>
        <w:t>Id.</w:t>
      </w:r>
      <w:r>
        <w:rPr>
          <w:rFonts w:ascii="Baskerville" w:hAnsi="Baskerville" w:cs="Baskerville"/>
        </w:rPr>
        <w:t xml:space="preserve"> While the court was not concerned with the lack of geographic limitation in this “activity restraint” contract, it addressed the former employee’s contention that the activity restraint is unreasonably broad because it prohibited solicitation of all of the plaintiff’s customers and not merely those with whom the former employee had contact. The court observed that a</w:t>
      </w:r>
    </w:p>
    <w:p w14:paraId="7AEEB21B" w14:textId="77777777" w:rsidR="00655396" w:rsidRDefault="00655396" w:rsidP="008B512B">
      <w:pPr>
        <w:pStyle w:val="BodyText"/>
        <w:spacing w:line="240" w:lineRule="auto"/>
        <w:rPr>
          <w:sz w:val="20"/>
          <w:szCs w:val="20"/>
        </w:rPr>
      </w:pPr>
    </w:p>
    <w:p w14:paraId="3233BBDB" w14:textId="0AD15C14"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 xml:space="preserve">court may modify a motion for a preliminary injunction in some circumstances. The court is not required to follow the terms of the covenant exactly in issuing an injunction, especially where, as here, the covenant states that the terms are severable. The trial court may </w:t>
      </w:r>
      <w:r>
        <w:rPr>
          <w:rFonts w:ascii="Baskerville" w:hAnsi="Baskerville" w:cs="Baskerville"/>
          <w:sz w:val="22"/>
          <w:szCs w:val="22"/>
        </w:rPr>
        <w:lastRenderedPageBreak/>
        <w:t>properly enjoin only activities involving the employer’s customers with whom the former employees had been involved during their employment</w:t>
      </w:r>
      <w:r w:rsidR="00944F63">
        <w:rPr>
          <w:rFonts w:ascii="Baskerville" w:hAnsi="Baskerville" w:cs="Baskerville"/>
          <w:sz w:val="22"/>
          <w:szCs w:val="22"/>
        </w:rPr>
        <w:t>…</w:t>
      </w:r>
      <w:r>
        <w:rPr>
          <w:sz w:val="22"/>
          <w:szCs w:val="22"/>
        </w:rPr>
        <w:t> </w:t>
      </w:r>
      <w:r>
        <w:rPr>
          <w:rFonts w:ascii="Baskerville" w:hAnsi="Baskerville" w:cs="Baskerville"/>
          <w:sz w:val="22"/>
          <w:szCs w:val="22"/>
        </w:rPr>
        <w:t>.</w:t>
      </w:r>
    </w:p>
    <w:p w14:paraId="05BA98C1" w14:textId="77777777" w:rsidR="00655396" w:rsidRDefault="00655396" w:rsidP="008B512B">
      <w:pPr>
        <w:pStyle w:val="BodyText"/>
        <w:spacing w:line="240" w:lineRule="auto"/>
        <w:rPr>
          <w:sz w:val="20"/>
          <w:szCs w:val="20"/>
        </w:rPr>
      </w:pPr>
    </w:p>
    <w:p w14:paraId="6282CF92"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xml:space="preserve">, 494 N.E.2d at 793. The court noted that the employer was seeking “limited enforcement of the restrictive covenant, only as to plaintiff’s clients with whom (the former employee) had contact during his employment.” </w:t>
      </w:r>
      <w:r>
        <w:rPr>
          <w:rFonts w:ascii="Baskerville" w:hAnsi="Baskerville" w:cs="Baskerville"/>
          <w:i/>
          <w:iCs/>
        </w:rPr>
        <w:t>Id.</w:t>
      </w:r>
    </w:p>
    <w:p w14:paraId="4F61FB5D"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The court directed that, on remand, the trial court determine whether the former employee had contact with a large percentage of the plaintiff’s customers which may require prohibition from soliciting or furnishing services to any of those clients. If the court found such a prohibition was unnecessary, it was to modify the language of the activity restriction to fashion an appropriately reduced remedy.</w:t>
      </w:r>
    </w:p>
    <w:p w14:paraId="7CF50B21"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sz w:val="20"/>
          <w:szCs w:val="20"/>
        </w:rPr>
      </w:pPr>
    </w:p>
    <w:p w14:paraId="5FB8E3DA"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sz w:val="20"/>
          <w:szCs w:val="20"/>
        </w:rPr>
      </w:pPr>
    </w:p>
    <w:p w14:paraId="530A0D91" w14:textId="77777777" w:rsidR="00655396" w:rsidRPr="00655396" w:rsidRDefault="00655396" w:rsidP="008B512B">
      <w:pPr>
        <w:pStyle w:val="AdditionalTopics"/>
        <w:spacing w:after="0" w:line="240" w:lineRule="auto"/>
      </w:pPr>
      <w:r w:rsidRPr="00655396">
        <w:rPr>
          <w:sz w:val="24"/>
          <w:szCs w:val="24"/>
        </w:rPr>
        <w:t>Additional Topics</w:t>
      </w:r>
    </w:p>
    <w:p w14:paraId="43B758AE" w14:textId="77777777" w:rsidR="00655396" w:rsidRDefault="00655396" w:rsidP="008B512B">
      <w:pPr>
        <w:pStyle w:val="BodyText"/>
        <w:spacing w:line="240" w:lineRule="auto"/>
      </w:pPr>
    </w:p>
    <w:p w14:paraId="6BD1DF5A" w14:textId="77777777" w:rsidR="00655396" w:rsidRDefault="00655396" w:rsidP="008B512B">
      <w:pPr>
        <w:pStyle w:val="AdditionalTopicsSectionHeadings"/>
        <w:spacing w:line="240" w:lineRule="auto"/>
      </w:pPr>
      <w:r>
        <w:t>Adhesion, Contracts of</w:t>
      </w:r>
    </w:p>
    <w:p w14:paraId="6D727F39" w14:textId="77777777" w:rsidR="00655396" w:rsidRDefault="00655396" w:rsidP="008B512B">
      <w:pPr>
        <w:pStyle w:val="BodyText"/>
        <w:spacing w:line="240" w:lineRule="auto"/>
      </w:pPr>
    </w:p>
    <w:p w14:paraId="5C878D8A" w14:textId="4C996887" w:rsidR="00655396" w:rsidRDefault="00655396" w:rsidP="008B512B">
      <w:pPr>
        <w:pStyle w:val="BodyText"/>
        <w:spacing w:line="240" w:lineRule="auto"/>
      </w:pPr>
      <w:r>
        <w:tab/>
        <w:t>Where an employee has successfully renegotiated portions of successive employment contracts containing a covenant not to compete, the employment contract cannot be considered one of adhesion or otherwise unconscionable merely because of the employer’s refusal to eliminate the covenant.</w:t>
      </w:r>
      <w:r w:rsidR="00FB1D09">
        <w:t xml:space="preserve"> </w:t>
      </w:r>
      <w:r>
        <w:rPr>
          <w:i/>
          <w:iCs/>
        </w:rPr>
        <w:t>Midwest Tel., Inc. v. Oloffson</w:t>
      </w:r>
      <w:r>
        <w:t>, 298 Ill. App. 3d 548, 558, 232 Ill. Dec. 783, 789, 699 N.E.2d 230, 236 (3d Dist. 1998).</w:t>
      </w:r>
    </w:p>
    <w:p w14:paraId="574DCD42" w14:textId="77777777" w:rsidR="00655396" w:rsidRDefault="00655396" w:rsidP="008B512B">
      <w:pPr>
        <w:pStyle w:val="BodyText"/>
        <w:spacing w:line="240" w:lineRule="auto"/>
      </w:pPr>
    </w:p>
    <w:p w14:paraId="5EC84CEB" w14:textId="77777777" w:rsidR="00655396" w:rsidRDefault="00655396" w:rsidP="008B512B">
      <w:pPr>
        <w:pStyle w:val="AdditionalTopicsSectionHeadings"/>
        <w:spacing w:line="240" w:lineRule="auto"/>
      </w:pPr>
      <w:r>
        <w:t>Age Discrimination</w:t>
      </w:r>
    </w:p>
    <w:p w14:paraId="453BBB72" w14:textId="77777777" w:rsidR="00655396" w:rsidRDefault="00655396" w:rsidP="008B512B">
      <w:pPr>
        <w:pStyle w:val="BodyText"/>
        <w:spacing w:line="240" w:lineRule="auto"/>
      </w:pPr>
    </w:p>
    <w:p w14:paraId="1F92E9B8" w14:textId="5DAAA70E" w:rsidR="00655396" w:rsidRDefault="00655396" w:rsidP="008B512B">
      <w:pPr>
        <w:pStyle w:val="BodyText"/>
        <w:spacing w:line="240" w:lineRule="auto"/>
      </w:pPr>
      <w:r>
        <w:tab/>
        <w:t>An employee fails to allege that her termination for refusing to sign a covenant not to compete could have been in retaliation for her reports to the employer’s board of directors concerning, among other things, age and gender discrimination, where</w:t>
      </w:r>
      <w:r w:rsidR="00D47546">
        <w:t xml:space="preserve">: </w:t>
      </w:r>
      <w:r>
        <w:t xml:space="preserve">(1) the covenant came into existence and was circulated to some employees before the plaintiff employee made her reports to the employer’s board; and (2) the plaintiff employee failed to allege that she was being treated differently vis-a-vis other employees with respect to her refusal to sign </w:t>
      </w:r>
      <w:r>
        <w:lastRenderedPageBreak/>
        <w:t>the covenant.</w:t>
      </w:r>
      <w:r w:rsidR="00FB1D09">
        <w:t xml:space="preserve"> </w:t>
      </w:r>
      <w:r>
        <w:rPr>
          <w:i/>
          <w:iCs/>
        </w:rPr>
        <w:t>O’Regan v. Arbitration Forums, Inc.</w:t>
      </w:r>
      <w:r>
        <w:t xml:space="preserve">, 121 F.3d 1060, 1064–65, 80 FEP Cases 1738, 13 IER Cases 448 (7th Cir. 1997), </w:t>
      </w:r>
      <w:r>
        <w:rPr>
          <w:i/>
          <w:iCs/>
        </w:rPr>
        <w:t>aff’d</w:t>
      </w:r>
      <w:r>
        <w:t>, 246 F.3d 975 (7th Cir. 2001).</w:t>
      </w:r>
    </w:p>
    <w:p w14:paraId="621D017F" w14:textId="77777777" w:rsidR="00655396" w:rsidRDefault="00655396" w:rsidP="008B512B">
      <w:pPr>
        <w:pStyle w:val="BodyText"/>
        <w:spacing w:line="240" w:lineRule="auto"/>
        <w:rPr>
          <w:sz w:val="22"/>
          <w:szCs w:val="22"/>
        </w:rPr>
      </w:pPr>
    </w:p>
    <w:p w14:paraId="0DCF542F" w14:textId="77777777" w:rsidR="00655396" w:rsidRDefault="00655396" w:rsidP="008B512B">
      <w:pPr>
        <w:pStyle w:val="AdditionalTopicsSectionHeadings"/>
        <w:spacing w:line="240" w:lineRule="auto"/>
      </w:pPr>
      <w:r>
        <w:t>Agreed Orders</w:t>
      </w:r>
    </w:p>
    <w:p w14:paraId="65DD49E4" w14:textId="77777777" w:rsidR="00655396" w:rsidRDefault="00655396" w:rsidP="008B512B">
      <w:pPr>
        <w:pStyle w:val="BodyText"/>
        <w:spacing w:line="240" w:lineRule="auto"/>
      </w:pPr>
    </w:p>
    <w:p w14:paraId="7568A038" w14:textId="4A760BE3" w:rsidR="00655396" w:rsidRDefault="00655396" w:rsidP="008B512B">
      <w:pPr>
        <w:pStyle w:val="BodyText"/>
        <w:spacing w:line="240" w:lineRule="auto"/>
      </w:pPr>
      <w:r>
        <w:tab/>
        <w:t>Because an agreed order is considered a contract between the parties to the litigation as a part of which it is entered, the construction of such an order is governed by principles of contract law.</w:t>
      </w:r>
      <w:r w:rsidR="00FB1D09">
        <w:t xml:space="preserve"> </w:t>
      </w:r>
      <w:r>
        <w:rPr>
          <w:i/>
          <w:iCs/>
        </w:rPr>
        <w:t>Bloomington Urological Assocs., SC v. Scaglia</w:t>
      </w:r>
      <w:r>
        <w:t>, 292 Ill. App. 3d 793, 798, 226 Ill. Dec. 759, 763, 686 N.E.2d 389, 393 (4th Dist. 1997).</w:t>
      </w:r>
    </w:p>
    <w:p w14:paraId="49D76FDE" w14:textId="43A136D5" w:rsidR="00655396" w:rsidRDefault="00655396" w:rsidP="008B512B">
      <w:pPr>
        <w:pStyle w:val="BodyText"/>
        <w:spacing w:line="240" w:lineRule="auto"/>
      </w:pPr>
      <w:r>
        <w:tab/>
        <w:t>The primary consideration in interpreting an agreed order is “to effectuate the parties’ intent.”</w:t>
      </w:r>
      <w:r w:rsidR="00FB1D09">
        <w:t xml:space="preserve"> </w:t>
      </w:r>
      <w:r>
        <w:rPr>
          <w:i/>
          <w:iCs/>
        </w:rPr>
        <w:t>Id.</w:t>
      </w:r>
      <w:r>
        <w:t>, 226 Ill. Dec. at 763, 686 N.E.2d at 393.</w:t>
      </w:r>
    </w:p>
    <w:p w14:paraId="68EB644C" w14:textId="095B5DC2" w:rsidR="00655396" w:rsidRDefault="00655396" w:rsidP="008B512B">
      <w:pPr>
        <w:pStyle w:val="BodyText"/>
        <w:spacing w:line="240" w:lineRule="auto"/>
      </w:pPr>
      <w:r>
        <w:tab/>
        <w:t>Such an order “must be interpreted in its entirety, considering all facts and circumstances surrounding its execution, as well as pleadings and motions from which it emanates.”</w:t>
      </w:r>
      <w:r w:rsidR="00FB1D09">
        <w:t xml:space="preserve"> </w:t>
      </w:r>
      <w:r>
        <w:rPr>
          <w:i/>
          <w:iCs/>
        </w:rPr>
        <w:t>Id.</w:t>
      </w:r>
      <w:r>
        <w:t>, 226 Ill. Dec. at 763, 686 N.E.2d at 393.</w:t>
      </w:r>
    </w:p>
    <w:p w14:paraId="2973B0D8" w14:textId="5DCCE39E" w:rsidR="00655396" w:rsidRDefault="00655396" w:rsidP="008B512B">
      <w:pPr>
        <w:pStyle w:val="BodyText"/>
        <w:spacing w:line="240" w:lineRule="auto"/>
      </w:pPr>
      <w:r>
        <w:tab/>
        <w:t>Where an agreed order emanates from a restrictive covenant, “the court must strictly construe it and resolve any doubts or ambiguities in favor of natural rights and against restriction.”</w:t>
      </w:r>
      <w:r w:rsidR="00FB1D09">
        <w:t xml:space="preserve"> </w:t>
      </w:r>
      <w:r>
        <w:rPr>
          <w:i/>
          <w:iCs/>
        </w:rPr>
        <w:t>Id.</w:t>
      </w:r>
      <w:r>
        <w:t xml:space="preserve">, 226 Ill. Dec. at 763, 686 N.E.2d at 393 (citing </w:t>
      </w:r>
      <w:r>
        <w:rPr>
          <w:i/>
          <w:iCs/>
        </w:rPr>
        <w:t>Lempa v. Finkel</w:t>
      </w:r>
      <w:r>
        <w:t>, 278 Ill. App. 3d 417, 427–28, 215 Ill. Dec. 408, 416, 663 N.E.2d 158, 166 (1996)).</w:t>
      </w:r>
    </w:p>
    <w:p w14:paraId="56542443" w14:textId="3E2D471E" w:rsidR="00655396" w:rsidRDefault="00655396" w:rsidP="008B512B">
      <w:pPr>
        <w:pStyle w:val="BodyText"/>
        <w:spacing w:line="240" w:lineRule="auto"/>
      </w:pPr>
      <w:r>
        <w:tab/>
        <w:t>As with any contract, the question whether an agreed order emanating from a restrictive covenant is ambiguous is a question of law.</w:t>
      </w:r>
      <w:r w:rsidR="00FB1D09">
        <w:t xml:space="preserve"> </w:t>
      </w:r>
      <w:r>
        <w:rPr>
          <w:i/>
          <w:iCs/>
        </w:rPr>
        <w:t>Id.</w:t>
      </w:r>
      <w:r>
        <w:t xml:space="preserve">, 226 Ill. Dec. at 763, 686 N.E.2d at 393 (quoting </w:t>
      </w:r>
      <w:r>
        <w:rPr>
          <w:i/>
          <w:iCs/>
        </w:rPr>
        <w:t>Fick v. Weedon</w:t>
      </w:r>
      <w:r>
        <w:t>, 24 Ill. App. 3d 413, 416, 184 Ill. Dec. 335, 337, 613 N.E.2d 362, 364 (1993)).</w:t>
      </w:r>
      <w:r w:rsidR="00FB1D09">
        <w:t xml:space="preserve"> </w:t>
      </w:r>
      <w:r>
        <w:t>Accordingly, an agreed order is interpreted de novo.</w:t>
      </w:r>
      <w:r w:rsidR="00FB1D09">
        <w:t xml:space="preserve"> </w:t>
      </w:r>
      <w:r>
        <w:rPr>
          <w:i/>
          <w:iCs/>
        </w:rPr>
        <w:t>Id.</w:t>
      </w:r>
      <w:r>
        <w:t>, 226 Ill. Dec. at 763, 686 N.E.2d at 393.</w:t>
      </w:r>
    </w:p>
    <w:p w14:paraId="74FFF75A" w14:textId="77777777" w:rsidR="00655396" w:rsidRDefault="00655396" w:rsidP="008B512B">
      <w:pPr>
        <w:pStyle w:val="BodyText"/>
        <w:spacing w:line="240" w:lineRule="auto"/>
      </w:pPr>
      <w:r>
        <w:tab/>
        <w:t xml:space="preserve">According to the majority in </w:t>
      </w:r>
      <w:r>
        <w:rPr>
          <w:i/>
          <w:iCs/>
        </w:rPr>
        <w:t>Bloomington Urological</w:t>
      </w:r>
      <w:r>
        <w:t>,</w:t>
      </w:r>
    </w:p>
    <w:p w14:paraId="1AC12FCF" w14:textId="77777777" w:rsidR="00655396" w:rsidRDefault="00655396" w:rsidP="008B512B">
      <w:pPr>
        <w:pStyle w:val="BodyText"/>
        <w:spacing w:line="240" w:lineRule="auto"/>
      </w:pPr>
    </w:p>
    <w:p w14:paraId="0053D246" w14:textId="5F5E3DA9"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section 5/2(d) of the employment agreement provided that upon termination of his employment [with Bloomington Urological, former employee Bennett Scaglia, M.D.,] would not “engage in the [b]usiness” from any office located within a 50-mile radius of any Bloomington Urological office for a 12-month period.</w:t>
      </w:r>
      <w:r w:rsidR="00FB1D09">
        <w:rPr>
          <w:rFonts w:ascii="Baskerville" w:hAnsi="Baskerville" w:cs="Baskerville"/>
          <w:sz w:val="22"/>
          <w:szCs w:val="22"/>
        </w:rPr>
        <w:t xml:space="preserve"> </w:t>
      </w:r>
      <w:r>
        <w:rPr>
          <w:rFonts w:ascii="Baskerville" w:hAnsi="Baskerville" w:cs="Baskerville"/>
          <w:sz w:val="22"/>
          <w:szCs w:val="22"/>
        </w:rPr>
        <w:t>Section I.A. of the employment agreement defined “the [b]usiness” as “the provision of medical services.”</w:t>
      </w:r>
      <w:r w:rsidR="00FB1D09">
        <w:rPr>
          <w:rFonts w:ascii="Baskerville" w:hAnsi="Baskerville" w:cs="Baskerville"/>
          <w:sz w:val="22"/>
          <w:szCs w:val="22"/>
        </w:rPr>
        <w:t xml:space="preserve"> </w:t>
      </w:r>
      <w:r>
        <w:rPr>
          <w:rFonts w:ascii="Baskerville" w:hAnsi="Baskerville" w:cs="Baskerville"/>
          <w:sz w:val="22"/>
          <w:szCs w:val="22"/>
        </w:rPr>
        <w:t>Thus, the employment agreement—</w:t>
      </w:r>
      <w:r>
        <w:rPr>
          <w:rFonts w:ascii="Baskerville" w:hAnsi="Baskerville" w:cs="Baskerville"/>
          <w:i/>
          <w:iCs/>
          <w:sz w:val="22"/>
          <w:szCs w:val="22"/>
        </w:rPr>
        <w:t xml:space="preserve">from which </w:t>
      </w:r>
      <w:r>
        <w:rPr>
          <w:rFonts w:ascii="Baskerville" w:hAnsi="Baskerville" w:cs="Baskerville"/>
          <w:i/>
          <w:iCs/>
          <w:sz w:val="22"/>
          <w:szCs w:val="22"/>
        </w:rPr>
        <w:lastRenderedPageBreak/>
        <w:t>the agreed order flowed</w:t>
      </w:r>
      <w:r>
        <w:rPr>
          <w:rFonts w:ascii="Baskerville" w:hAnsi="Baskerville" w:cs="Baskerville"/>
          <w:sz w:val="22"/>
          <w:szCs w:val="22"/>
        </w:rPr>
        <w:t>—provided that Scaglia would not engage in the provision of medical services.</w:t>
      </w:r>
      <w:r w:rsidR="00FB1D09">
        <w:rPr>
          <w:rFonts w:ascii="Baskerville" w:hAnsi="Baskerville" w:cs="Baskerville"/>
          <w:sz w:val="22"/>
          <w:szCs w:val="22"/>
        </w:rPr>
        <w:t xml:space="preserve"> </w:t>
      </w:r>
      <w:r>
        <w:rPr>
          <w:rFonts w:ascii="Baskerville" w:hAnsi="Baskerville" w:cs="Baskerville"/>
          <w:sz w:val="22"/>
          <w:szCs w:val="22"/>
        </w:rPr>
        <w:t>Count II of Bloomington Urological’s complaint (breach of contract) alleged that Scaglia was “engaged in the business within a 50-mile radius” of a Bloomington Urological office.</w:t>
      </w:r>
      <w:r w:rsidR="00FB1D09">
        <w:rPr>
          <w:rFonts w:ascii="Baskerville" w:hAnsi="Baskerville" w:cs="Baskerville"/>
          <w:sz w:val="22"/>
          <w:szCs w:val="22"/>
        </w:rPr>
        <w:t xml:space="preserve"> </w:t>
      </w:r>
      <w:r>
        <w:rPr>
          <w:rFonts w:ascii="Baskerville" w:hAnsi="Baskerville" w:cs="Baskerville"/>
          <w:sz w:val="22"/>
          <w:szCs w:val="22"/>
        </w:rPr>
        <w:t>At the hearing on Bloomington Urological’s motion for a TRO, Scaglia’s attorney referred to Scaglia’s being “enjoined from practicing medicine.”</w:t>
      </w:r>
      <w:r w:rsidR="00FB1D09">
        <w:rPr>
          <w:rFonts w:ascii="Baskerville" w:hAnsi="Baskerville" w:cs="Baskerville"/>
          <w:sz w:val="22"/>
          <w:szCs w:val="22"/>
        </w:rPr>
        <w:t xml:space="preserve"> </w:t>
      </w:r>
      <w:r>
        <w:rPr>
          <w:rFonts w:ascii="Baskerville" w:hAnsi="Baskerville" w:cs="Baskerville"/>
          <w:sz w:val="22"/>
          <w:szCs w:val="22"/>
        </w:rPr>
        <w:t>In addition, at the October 1996 hearing, Bloomington Urological discussed what “the parties thought it meant not to be in the business of providing urological medicine” and suggested that it involved “treating” patients.</w:t>
      </w:r>
      <w:r w:rsidR="00FB1D09">
        <w:rPr>
          <w:rFonts w:ascii="Baskerville" w:hAnsi="Baskerville" w:cs="Baskerville"/>
          <w:sz w:val="22"/>
          <w:szCs w:val="22"/>
        </w:rPr>
        <w:t xml:space="preserve"> </w:t>
      </w:r>
      <w:r>
        <w:rPr>
          <w:rFonts w:ascii="Baskerville" w:hAnsi="Baskerville" w:cs="Baskerville"/>
          <w:sz w:val="22"/>
          <w:szCs w:val="22"/>
        </w:rPr>
        <w:t>Further, the language of paragraph 1 of the agreed order is clearly capable of being understood in more than one sense.</w:t>
      </w:r>
    </w:p>
    <w:p w14:paraId="2AB67224"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r>
      <w:r>
        <w:rPr>
          <w:rFonts w:ascii="Baskerville" w:hAnsi="Baskerville" w:cs="Baskerville"/>
          <w:i/>
          <w:iCs/>
          <w:sz w:val="22"/>
          <w:szCs w:val="22"/>
        </w:rPr>
        <w:t>Thus, strictly construing the agreed order, resolving any ambiguities against restriction, and considering the circumstances surrounding its execution—as well as the employment agreement and complaint from which it emanated—we conclude that paragraph 1 of the agreed order prohibited Scaglia from being involved in the practice of medicine</w:t>
      </w:r>
      <w:r>
        <w:rPr>
          <w:rFonts w:ascii="Baskerville" w:hAnsi="Baskerville" w:cs="Baskerville"/>
          <w:sz w:val="22"/>
          <w:szCs w:val="22"/>
        </w:rPr>
        <w:t>.</w:t>
      </w:r>
    </w:p>
    <w:p w14:paraId="34459716"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r>
      <w:r>
        <w:rPr>
          <w:rFonts w:ascii="Baskerville" w:hAnsi="Baskerville" w:cs="Baskerville"/>
          <w:i/>
          <w:iCs/>
          <w:sz w:val="22"/>
          <w:szCs w:val="22"/>
        </w:rPr>
        <w:t>We agree with Scaglia that the practice of medicine does not include administrative or managerial aspects of medical practice, such as billing, scheduling, and updating patients’ charts</w:t>
      </w:r>
      <w:r>
        <w:rPr>
          <w:rFonts w:ascii="Baskerville" w:hAnsi="Baskerville" w:cs="Baskerville"/>
          <w:sz w:val="22"/>
          <w:szCs w:val="22"/>
        </w:rPr>
        <w:t>.</w:t>
      </w:r>
    </w:p>
    <w:p w14:paraId="6CC1FE35" w14:textId="77777777" w:rsidR="00655396" w:rsidRDefault="00655396" w:rsidP="008B512B">
      <w:pPr>
        <w:pStyle w:val="BodyText"/>
        <w:spacing w:line="240" w:lineRule="auto"/>
      </w:pPr>
    </w:p>
    <w:p w14:paraId="69422193" w14:textId="1DD65D5D" w:rsidR="00655396" w:rsidRDefault="00655396" w:rsidP="008B512B">
      <w:pPr>
        <w:pStyle w:val="BodyText"/>
        <w:spacing w:line="240" w:lineRule="auto"/>
      </w:pPr>
      <w:r>
        <w:rPr>
          <w:i/>
          <w:iCs/>
        </w:rPr>
        <w:t>Id.</w:t>
      </w:r>
      <w:r>
        <w:t xml:space="preserve"> at 798–99, 226 Ill. Dec. at 763, 686 N.E.2d at 393 (emphasis added).</w:t>
      </w:r>
      <w:r w:rsidR="00FB1D09">
        <w:t xml:space="preserve"> </w:t>
      </w:r>
      <w:r>
        <w:t>The majority continued:</w:t>
      </w:r>
    </w:p>
    <w:p w14:paraId="290EFB04" w14:textId="77777777" w:rsidR="00655396" w:rsidRDefault="00655396" w:rsidP="008B512B">
      <w:pPr>
        <w:pStyle w:val="BodyText"/>
        <w:spacing w:line="240" w:lineRule="auto"/>
      </w:pPr>
    </w:p>
    <w:p w14:paraId="3EC09089" w14:textId="7B165633" w:rsidR="00655396" w:rsidRDefault="00655396" w:rsidP="008B512B">
      <w:pPr>
        <w:pStyle w:val="NoParagraphStyle"/>
        <w:tabs>
          <w:tab w:val="left" w:pos="960"/>
          <w:tab w:val="left" w:pos="1440"/>
        </w:tabs>
        <w:spacing w:line="240" w:lineRule="auto"/>
        <w:ind w:left="480"/>
        <w:jc w:val="both"/>
        <w:rPr>
          <w:rFonts w:ascii="Baskerville" w:hAnsi="Baskerville" w:cs="Baskerville"/>
          <w:spacing w:val="-1"/>
          <w:sz w:val="22"/>
          <w:szCs w:val="22"/>
        </w:rPr>
      </w:pPr>
      <w:r>
        <w:rPr>
          <w:rFonts w:ascii="Baskerville" w:hAnsi="Baskerville" w:cs="Baskerville"/>
          <w:spacing w:val="-1"/>
          <w:sz w:val="22"/>
          <w:szCs w:val="22"/>
        </w:rPr>
        <w:tab/>
        <w:t>[A]lthough we do not decide precisely what “</w:t>
      </w:r>
      <w:r>
        <w:rPr>
          <w:rFonts w:ascii="Baskerville" w:hAnsi="Baskerville" w:cs="Baskerville"/>
          <w:i/>
          <w:iCs/>
          <w:spacing w:val="-1"/>
          <w:sz w:val="22"/>
          <w:szCs w:val="22"/>
        </w:rPr>
        <w:t>the practice of medicine</w:t>
      </w:r>
      <w:r>
        <w:rPr>
          <w:rFonts w:ascii="Baskerville" w:hAnsi="Baskerville" w:cs="Baskerville"/>
          <w:spacing w:val="-1"/>
          <w:sz w:val="22"/>
          <w:szCs w:val="22"/>
        </w:rPr>
        <w:t xml:space="preserve">” means in the context of a restrictive covenant, we conclude that, in [the context of the instant agreed order], it </w:t>
      </w:r>
      <w:r>
        <w:rPr>
          <w:rFonts w:ascii="Baskerville" w:hAnsi="Baskerville" w:cs="Baskerville"/>
          <w:i/>
          <w:iCs/>
          <w:spacing w:val="-1"/>
          <w:sz w:val="22"/>
          <w:szCs w:val="22"/>
        </w:rPr>
        <w:t>cannot include telephone inquiries from existing patients to a physician (or his employees acting as conduits of information) or responses to those patients—either in the form of recommending treatment or prescribing medication</w:t>
      </w:r>
      <w:r>
        <w:rPr>
          <w:rFonts w:ascii="Baskerville" w:hAnsi="Baskerville" w:cs="Baskerville"/>
          <w:spacing w:val="-1"/>
          <w:sz w:val="22"/>
          <w:szCs w:val="22"/>
        </w:rPr>
        <w:t>.</w:t>
      </w:r>
      <w:r w:rsidR="00FB1D09">
        <w:rPr>
          <w:rFonts w:ascii="Baskerville" w:hAnsi="Baskerville" w:cs="Baskerville"/>
          <w:spacing w:val="-1"/>
          <w:sz w:val="22"/>
          <w:szCs w:val="22"/>
        </w:rPr>
        <w:t xml:space="preserve"> </w:t>
      </w:r>
      <w:r>
        <w:rPr>
          <w:rFonts w:ascii="Baskerville" w:hAnsi="Baskerville" w:cs="Baskerville"/>
          <w:spacing w:val="-1"/>
          <w:sz w:val="22"/>
          <w:szCs w:val="22"/>
        </w:rPr>
        <w:t>In the age of modern technology—where telephones and beepers travel with an individual and telephone calls can be automatically forwarded to another line—it simply makes no sense to place significance upon where a physician happens to make calls.</w:t>
      </w:r>
    </w:p>
    <w:p w14:paraId="7C75A791" w14:textId="77777777" w:rsidR="00655396" w:rsidRDefault="00655396" w:rsidP="008B512B">
      <w:pPr>
        <w:pStyle w:val="BodyText"/>
        <w:spacing w:line="240" w:lineRule="auto"/>
        <w:rPr>
          <w:sz w:val="20"/>
          <w:szCs w:val="20"/>
        </w:rPr>
      </w:pPr>
    </w:p>
    <w:p w14:paraId="48AA50AC" w14:textId="77777777" w:rsidR="00655396" w:rsidRDefault="00655396" w:rsidP="008B512B">
      <w:pPr>
        <w:pStyle w:val="BodyText"/>
        <w:spacing w:line="240" w:lineRule="auto"/>
      </w:pPr>
      <w:r>
        <w:rPr>
          <w:i/>
          <w:iCs/>
        </w:rPr>
        <w:t>Id.</w:t>
      </w:r>
      <w:r>
        <w:t xml:space="preserve"> at 799, 226 Ill. Dec. at 764, 686 N.E.2d at 394 (emphasis added).</w:t>
      </w:r>
    </w:p>
    <w:p w14:paraId="48E5BF02" w14:textId="49D1759D" w:rsidR="00655396" w:rsidRDefault="00655396" w:rsidP="008B512B">
      <w:pPr>
        <w:pStyle w:val="BodyText"/>
        <w:spacing w:line="240" w:lineRule="auto"/>
      </w:pPr>
      <w:r>
        <w:tab/>
        <w:t>This interpretation is consistent with the “legal and ethical obligation [imposed on Illinois physicians] to attend to their patients’ needs.”</w:t>
      </w:r>
      <w:r w:rsidR="00FB1D09">
        <w:t xml:space="preserve"> </w:t>
      </w:r>
      <w:r>
        <w:rPr>
          <w:i/>
          <w:iCs/>
        </w:rPr>
        <w:t>Id.</w:t>
      </w:r>
      <w:r>
        <w:t xml:space="preserve"> at 799–800, 226 Ill. Dec. at 764, 686 N.E.2d at 394.</w:t>
      </w:r>
      <w:r w:rsidR="00FB1D09">
        <w:t xml:space="preserve"> </w:t>
      </w:r>
      <w:r>
        <w:t xml:space="preserve">The </w:t>
      </w:r>
      <w:r>
        <w:rPr>
          <w:i/>
          <w:iCs/>
        </w:rPr>
        <w:t>Bloomington Urological</w:t>
      </w:r>
      <w:r>
        <w:t xml:space="preserve"> majority explained:</w:t>
      </w:r>
    </w:p>
    <w:p w14:paraId="30DD987A" w14:textId="77777777" w:rsidR="00655396" w:rsidRDefault="00655396" w:rsidP="008B512B">
      <w:pPr>
        <w:pStyle w:val="BodyText"/>
        <w:spacing w:line="240" w:lineRule="auto"/>
        <w:rPr>
          <w:sz w:val="20"/>
          <w:szCs w:val="20"/>
        </w:rPr>
      </w:pPr>
    </w:p>
    <w:p w14:paraId="402F579D" w14:textId="7968469F"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Physicians licensed in Illinois are specifically prohibited from abandoning their patients.</w:t>
      </w:r>
      <w:r w:rsidR="00FB1D09">
        <w:rPr>
          <w:rFonts w:ascii="Baskerville" w:hAnsi="Baskerville" w:cs="Baskerville"/>
          <w:sz w:val="22"/>
          <w:szCs w:val="22"/>
        </w:rPr>
        <w:t xml:space="preserve"> </w:t>
      </w:r>
      <w:r>
        <w:rPr>
          <w:rFonts w:ascii="Baskerville" w:hAnsi="Baskerville" w:cs="Baskerville"/>
          <w:sz w:val="22"/>
          <w:szCs w:val="22"/>
        </w:rPr>
        <w:t>See 225 ILCS 60/22(A)(16) (West 1994).</w:t>
      </w:r>
      <w:r w:rsidR="00FB1D09">
        <w:rPr>
          <w:rFonts w:ascii="Baskerville" w:hAnsi="Baskerville" w:cs="Baskerville"/>
          <w:sz w:val="22"/>
          <w:szCs w:val="22"/>
        </w:rPr>
        <w:t xml:space="preserve"> </w:t>
      </w:r>
      <w:r>
        <w:rPr>
          <w:rFonts w:ascii="Baskerville" w:hAnsi="Baskerville" w:cs="Baskerville"/>
          <w:sz w:val="22"/>
          <w:szCs w:val="22"/>
        </w:rPr>
        <w:t>Further, the American Medical Association’s Council on Ethical and Judicial Affairs mandates that “once having undertaken a case, the physician should not neglect the patient.”</w:t>
      </w:r>
      <w:r w:rsidR="00FB1D09">
        <w:rPr>
          <w:rFonts w:ascii="Baskerville" w:hAnsi="Baskerville" w:cs="Baskerville"/>
          <w:sz w:val="22"/>
          <w:szCs w:val="22"/>
        </w:rPr>
        <w:t xml:space="preserve"> </w:t>
      </w:r>
      <w:r>
        <w:rPr>
          <w:rFonts w:ascii="Baskerville" w:hAnsi="Baskerville" w:cs="Baskerville"/>
          <w:sz w:val="22"/>
          <w:szCs w:val="22"/>
        </w:rPr>
        <w:t>American Medical Association Code of Medical Ethics: Current Opinions with Annotations, 8.11 (1996).</w:t>
      </w:r>
      <w:r w:rsidR="00FB1D09">
        <w:rPr>
          <w:rFonts w:ascii="Baskerville" w:hAnsi="Baskerville" w:cs="Baskerville"/>
          <w:sz w:val="22"/>
          <w:szCs w:val="22"/>
        </w:rPr>
        <w:t xml:space="preserve"> </w:t>
      </w:r>
      <w:r>
        <w:rPr>
          <w:rFonts w:ascii="Baskerville" w:hAnsi="Baskerville" w:cs="Baskerville"/>
          <w:i/>
          <w:iCs/>
          <w:sz w:val="22"/>
          <w:szCs w:val="22"/>
        </w:rPr>
        <w:t>To conclude that telephone inquiries from existing patients to their physician constitute the practice of medicine in the context of a restrictive covenant would effectively force a physician to neglect or abandon his patients whenever they telephone or page him with medical-related questions, concerns, or emergencies at a time when he happens to be in the restricted geographical area</w:t>
      </w:r>
      <w:r>
        <w:rPr>
          <w:rFonts w:ascii="Baskerville" w:hAnsi="Baskerville" w:cs="Baskerville"/>
          <w:sz w:val="22"/>
          <w:szCs w:val="22"/>
        </w:rPr>
        <w:t>.</w:t>
      </w:r>
    </w:p>
    <w:p w14:paraId="7340ECF6" w14:textId="77777777" w:rsidR="00655396" w:rsidRDefault="00655396" w:rsidP="008B512B">
      <w:pPr>
        <w:pStyle w:val="BodyText"/>
        <w:spacing w:line="240" w:lineRule="auto"/>
      </w:pPr>
    </w:p>
    <w:p w14:paraId="1CCF8BC9" w14:textId="77777777" w:rsidR="00655396" w:rsidRDefault="00655396" w:rsidP="008B512B">
      <w:pPr>
        <w:pStyle w:val="BodyText"/>
        <w:spacing w:line="240" w:lineRule="auto"/>
      </w:pPr>
      <w:r>
        <w:rPr>
          <w:i/>
          <w:iCs/>
        </w:rPr>
        <w:t>Id.</w:t>
      </w:r>
      <w:r>
        <w:t xml:space="preserve"> at 800, 226 Ill. Dec. at 764, 686 N.E.2d at 394 (emphasis added).</w:t>
      </w:r>
    </w:p>
    <w:p w14:paraId="61325F95" w14:textId="77777777" w:rsidR="00655396" w:rsidRDefault="00655396" w:rsidP="008B512B">
      <w:pPr>
        <w:pStyle w:val="BodyText"/>
        <w:spacing w:line="240" w:lineRule="auto"/>
      </w:pPr>
      <w:r>
        <w:tab/>
        <w:t xml:space="preserve">Having so interpreted the parties’ agreed order, the </w:t>
      </w:r>
      <w:r>
        <w:rPr>
          <w:i/>
          <w:iCs/>
        </w:rPr>
        <w:t>Bloomington Urological</w:t>
      </w:r>
      <w:r>
        <w:t xml:space="preserve"> majority concluded that</w:t>
      </w:r>
    </w:p>
    <w:p w14:paraId="6489AE7E" w14:textId="77777777" w:rsidR="00655396" w:rsidRDefault="00655396" w:rsidP="008B512B">
      <w:pPr>
        <w:pStyle w:val="BodyText"/>
        <w:spacing w:line="240" w:lineRule="auto"/>
      </w:pPr>
    </w:p>
    <w:p w14:paraId="10F81009" w14:textId="39FED57D"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Scaglia did not violate the agreed order.</w:t>
      </w:r>
      <w:r w:rsidR="00FB1D09">
        <w:rPr>
          <w:rFonts w:ascii="Baskerville" w:hAnsi="Baskerville" w:cs="Baskerville"/>
          <w:sz w:val="22"/>
          <w:szCs w:val="22"/>
        </w:rPr>
        <w:t xml:space="preserve"> </w:t>
      </w:r>
      <w:r>
        <w:rPr>
          <w:rFonts w:ascii="Baskerville" w:hAnsi="Baskerville" w:cs="Baskerville"/>
          <w:sz w:val="22"/>
          <w:szCs w:val="22"/>
        </w:rPr>
        <w:t xml:space="preserve">The order permitted him to examine, diagnose, and treat patients in his [Ottawa, Illinois] office, and </w:t>
      </w:r>
      <w:r>
        <w:rPr>
          <w:rFonts w:ascii="Baskerville" w:hAnsi="Baskerville" w:cs="Baskerville"/>
          <w:i/>
          <w:iCs/>
          <w:sz w:val="22"/>
          <w:szCs w:val="22"/>
        </w:rPr>
        <w:t>it is undisputed that he never personally examined a patient in his home office</w:t>
      </w:r>
      <w:r>
        <w:rPr>
          <w:rFonts w:ascii="Baskerville" w:hAnsi="Baskerville" w:cs="Baskerville"/>
          <w:sz w:val="22"/>
          <w:szCs w:val="22"/>
        </w:rPr>
        <w:t xml:space="preserve"> [</w:t>
      </w:r>
      <w:r>
        <w:rPr>
          <w:rFonts w:ascii="Baskerville" w:hAnsi="Baskerville" w:cs="Baskerville"/>
          <w:i/>
          <w:iCs/>
          <w:sz w:val="22"/>
          <w:szCs w:val="22"/>
        </w:rPr>
        <w:t>located within the agreed order’s proscriptive area—in Bloomington, Illinois</w:t>
      </w:r>
      <w:r>
        <w:rPr>
          <w:rFonts w:ascii="Baskerville" w:hAnsi="Baskerville" w:cs="Baskerville"/>
          <w:sz w:val="22"/>
          <w:szCs w:val="22"/>
        </w:rPr>
        <w:t>].</w:t>
      </w:r>
      <w:r w:rsidR="00FB1D09">
        <w:rPr>
          <w:rFonts w:ascii="Baskerville" w:hAnsi="Baskerville" w:cs="Baskerville"/>
          <w:sz w:val="22"/>
          <w:szCs w:val="22"/>
        </w:rPr>
        <w:t xml:space="preserve"> </w:t>
      </w:r>
      <w:r>
        <w:rPr>
          <w:rFonts w:ascii="Baskerville" w:hAnsi="Baskerville" w:cs="Baskerville"/>
          <w:i/>
          <w:iCs/>
          <w:sz w:val="22"/>
          <w:szCs w:val="22"/>
        </w:rPr>
        <w:t>Nor did the evidence show that he or his nurses ever solicited patients from his own office.</w:t>
      </w:r>
      <w:r w:rsidR="00FB1D09">
        <w:rPr>
          <w:rFonts w:ascii="Baskerville" w:hAnsi="Baskerville" w:cs="Baskerville"/>
          <w:i/>
          <w:iCs/>
          <w:sz w:val="22"/>
          <w:szCs w:val="22"/>
        </w:rPr>
        <w:t xml:space="preserve"> </w:t>
      </w:r>
      <w:r>
        <w:rPr>
          <w:rFonts w:ascii="Baskerville" w:hAnsi="Baskerville" w:cs="Baskerville"/>
          <w:i/>
          <w:iCs/>
          <w:sz w:val="22"/>
          <w:szCs w:val="22"/>
        </w:rPr>
        <w:t>Scaglia’s response—and his nurses’ responses—to telephone calls from patients he had already personally seen and treated in Ottawa is a necessary concomitant to his treatment of those patients</w:t>
      </w:r>
      <w:r>
        <w:rPr>
          <w:rFonts w:ascii="Baskerville" w:hAnsi="Baskerville" w:cs="Baskerville"/>
          <w:sz w:val="22"/>
          <w:szCs w:val="22"/>
        </w:rPr>
        <w:t>.</w:t>
      </w:r>
    </w:p>
    <w:p w14:paraId="178BF134" w14:textId="77777777" w:rsidR="00655396" w:rsidRDefault="00655396" w:rsidP="008B512B">
      <w:pPr>
        <w:pStyle w:val="BodyTextIndent"/>
        <w:spacing w:line="240" w:lineRule="auto"/>
      </w:pPr>
    </w:p>
    <w:p w14:paraId="6EB119C0" w14:textId="77777777" w:rsidR="00655396" w:rsidRDefault="00655396" w:rsidP="008B512B">
      <w:pPr>
        <w:pStyle w:val="BodyText"/>
        <w:spacing w:line="240" w:lineRule="auto"/>
      </w:pPr>
      <w:r>
        <w:rPr>
          <w:i/>
          <w:iCs/>
        </w:rPr>
        <w:t>Id.</w:t>
      </w:r>
      <w:r>
        <w:t>, 226 Ill. Dec. at 764, 686 N.E.2d at 394 (emphasis added).</w:t>
      </w:r>
    </w:p>
    <w:p w14:paraId="1B35CDFE" w14:textId="77777777" w:rsidR="00655396" w:rsidRDefault="00655396" w:rsidP="008B512B">
      <w:pPr>
        <w:pStyle w:val="BodyText"/>
        <w:spacing w:line="240" w:lineRule="auto"/>
      </w:pPr>
      <w:r>
        <w:tab/>
        <w:t xml:space="preserve">In </w:t>
      </w:r>
      <w:r>
        <w:rPr>
          <w:i/>
          <w:iCs/>
        </w:rPr>
        <w:t>dissent</w:t>
      </w:r>
      <w:r>
        <w:t xml:space="preserve"> from the majority’s conclusion that the agreed order was ambiguous as to the scope of acts prohibited, Justice McCullough observed:</w:t>
      </w:r>
    </w:p>
    <w:p w14:paraId="7A2C4AD5" w14:textId="77777777" w:rsidR="00655396" w:rsidRDefault="00655396" w:rsidP="008B512B">
      <w:pPr>
        <w:pStyle w:val="BodyTextIndent"/>
        <w:spacing w:line="240" w:lineRule="auto"/>
      </w:pPr>
    </w:p>
    <w:p w14:paraId="103FCB1D" w14:textId="33CBC360"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The parties here were free to draft any provisions they liked for purposes of resolving their dispute by means of the agreed order.</w:t>
      </w:r>
      <w:r w:rsidR="00FB1D09">
        <w:rPr>
          <w:rFonts w:ascii="Baskerville" w:hAnsi="Baskerville" w:cs="Baskerville"/>
          <w:sz w:val="22"/>
          <w:szCs w:val="22"/>
        </w:rPr>
        <w:t xml:space="preserve"> </w:t>
      </w:r>
      <w:r>
        <w:rPr>
          <w:rFonts w:ascii="Baskerville" w:hAnsi="Baskerville" w:cs="Baskerville"/>
          <w:i/>
          <w:iCs/>
          <w:sz w:val="22"/>
          <w:szCs w:val="22"/>
        </w:rPr>
        <w:t>Had they wished merely to prohibit Scaglia from the “practice of medicine,” a concept the majority itself declines to define, they might readily have done so.</w:t>
      </w:r>
      <w:r w:rsidR="00FB1D09">
        <w:rPr>
          <w:rFonts w:ascii="Baskerville" w:hAnsi="Baskerville" w:cs="Baskerville"/>
          <w:i/>
          <w:iCs/>
          <w:sz w:val="22"/>
          <w:szCs w:val="22"/>
        </w:rPr>
        <w:t xml:space="preserve"> </w:t>
      </w:r>
      <w:r>
        <w:rPr>
          <w:rFonts w:ascii="Baskerville" w:hAnsi="Baskerville" w:cs="Baskerville"/>
          <w:i/>
          <w:iCs/>
          <w:sz w:val="22"/>
          <w:szCs w:val="22"/>
        </w:rPr>
        <w:t>Instead, the agreed order prohibited Scaglia from being “involved in the business of providing urological medicine services,” a limitation necessarily broader than the “practice of medicine.”</w:t>
      </w:r>
    </w:p>
    <w:p w14:paraId="7A5FC337" w14:textId="77777777" w:rsidR="00655396" w:rsidRDefault="00655396" w:rsidP="008B512B">
      <w:pPr>
        <w:pStyle w:val="BodyText"/>
        <w:spacing w:line="240" w:lineRule="auto"/>
        <w:rPr>
          <w:sz w:val="16"/>
          <w:szCs w:val="16"/>
        </w:rPr>
      </w:pPr>
    </w:p>
    <w:p w14:paraId="46D11136" w14:textId="77777777" w:rsidR="00655396" w:rsidRDefault="00655396" w:rsidP="008B512B">
      <w:pPr>
        <w:pStyle w:val="NoParagraphStyle"/>
        <w:tabs>
          <w:tab w:val="left" w:pos="960"/>
          <w:tab w:val="left" w:pos="1440"/>
        </w:tabs>
        <w:spacing w:line="240" w:lineRule="auto"/>
        <w:ind w:left="480"/>
        <w:jc w:val="center"/>
        <w:rPr>
          <w:rFonts w:ascii="Baskerville" w:hAnsi="Baskerville" w:cs="Baskerville"/>
          <w:sz w:val="22"/>
          <w:szCs w:val="22"/>
        </w:rPr>
      </w:pPr>
      <w:r>
        <w:rPr>
          <w:rFonts w:ascii="Baskerville" w:hAnsi="Baskerville" w:cs="Baskerville"/>
          <w:sz w:val="22"/>
          <w:szCs w:val="22"/>
        </w:rPr>
        <w:t>* * * * *</w:t>
      </w:r>
    </w:p>
    <w:p w14:paraId="5D8E24C0" w14:textId="5E732ADC"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Provisions of the Medical Practice Act of 1987 relating to the unauthorized practice of medicine describe the practice of medicine as “the diagnosis or treatment of physical or mental ailments (225 ILCS 60/49(i) (West 1994)), and also include the conduct of a person who “attaches the title Doctor, Physician, Surgeon, [or] M.D. * * * to his or her name indicating that he or she is engaged in the treatment of human ailments or conditions as a business.”</w:t>
      </w:r>
      <w:r w:rsidR="00FB1D09">
        <w:rPr>
          <w:rFonts w:ascii="Baskerville" w:hAnsi="Baskerville" w:cs="Baskerville"/>
          <w:sz w:val="22"/>
          <w:szCs w:val="22"/>
        </w:rPr>
        <w:t xml:space="preserve"> </w:t>
      </w:r>
      <w:r>
        <w:rPr>
          <w:rFonts w:ascii="Baskerville" w:hAnsi="Baskerville" w:cs="Baskerville"/>
          <w:sz w:val="22"/>
          <w:szCs w:val="22"/>
        </w:rPr>
        <w:t>225 ILCS 60/49(v) (West 1994).</w:t>
      </w:r>
      <w:r w:rsidR="00FB1D09">
        <w:rPr>
          <w:rFonts w:ascii="Baskerville" w:hAnsi="Baskerville" w:cs="Baskerville"/>
          <w:sz w:val="22"/>
          <w:szCs w:val="22"/>
        </w:rPr>
        <w:t xml:space="preserve"> </w:t>
      </w:r>
      <w:r>
        <w:rPr>
          <w:rFonts w:ascii="Baskerville" w:hAnsi="Baskerville" w:cs="Baskerville"/>
          <w:i/>
          <w:iCs/>
          <w:sz w:val="22"/>
          <w:szCs w:val="22"/>
        </w:rPr>
        <w:t>The trial judge could reasonably find that defendant’s maintenance of a telephone listing in his professional capacity constituted providing urological medicine services</w:t>
      </w:r>
      <w:r>
        <w:rPr>
          <w:rFonts w:ascii="Baskerville" w:hAnsi="Baskerville" w:cs="Baskerville"/>
          <w:sz w:val="22"/>
          <w:szCs w:val="22"/>
        </w:rPr>
        <w:t xml:space="preserve"> and, therefore, the provision of medical services within the restricted area.</w:t>
      </w:r>
      <w:r w:rsidR="00FB1D09">
        <w:rPr>
          <w:rFonts w:ascii="Baskerville" w:hAnsi="Baskerville" w:cs="Baskerville"/>
          <w:sz w:val="22"/>
          <w:szCs w:val="22"/>
        </w:rPr>
        <w:t xml:space="preserve"> </w:t>
      </w:r>
      <w:r>
        <w:rPr>
          <w:rFonts w:ascii="Baskerville" w:hAnsi="Baskerville" w:cs="Baskerville"/>
          <w:sz w:val="22"/>
          <w:szCs w:val="22"/>
        </w:rPr>
        <w:t>Patients charts and files are necessarily integral to the diagnosis and treatment of patients, and [the defendant’s] maintenance of files in [his] Bloomington office could also reasonably be found to constitute the “business of providing urological medicine services.”</w:t>
      </w:r>
      <w:r w:rsidR="00FB1D09">
        <w:rPr>
          <w:rFonts w:ascii="Baskerville" w:hAnsi="Baskerville" w:cs="Baskerville"/>
          <w:sz w:val="22"/>
          <w:szCs w:val="22"/>
        </w:rPr>
        <w:t xml:space="preserve"> </w:t>
      </w:r>
      <w:r>
        <w:rPr>
          <w:rFonts w:ascii="Baskerville" w:hAnsi="Baskerville" w:cs="Baskerville"/>
          <w:sz w:val="22"/>
          <w:szCs w:val="22"/>
        </w:rPr>
        <w:t>Similarly, defendant employs two nurses in the Bloomington home office who operate under his direction and control and act as a conduit for defendant’s prescription of medication and other medical treatment.</w:t>
      </w:r>
      <w:r w:rsidR="00FB1D09">
        <w:rPr>
          <w:rFonts w:ascii="Baskerville" w:hAnsi="Baskerville" w:cs="Baskerville"/>
          <w:sz w:val="22"/>
          <w:szCs w:val="22"/>
        </w:rPr>
        <w:t xml:space="preserve"> </w:t>
      </w:r>
      <w:r>
        <w:rPr>
          <w:rFonts w:ascii="Baskerville" w:hAnsi="Baskerville" w:cs="Baskerville"/>
          <w:sz w:val="22"/>
          <w:szCs w:val="22"/>
        </w:rPr>
        <w:t>Defendant personally provided medical advice and prescribed treatment from the Bloomington home office in response to patient calls to that location</w:t>
      </w:r>
      <w:r w:rsidR="00944F63">
        <w:rPr>
          <w:rFonts w:ascii="Baskerville" w:hAnsi="Baskerville" w:cs="Baskerville"/>
          <w:sz w:val="22"/>
          <w:szCs w:val="22"/>
        </w:rPr>
        <w:t>…</w:t>
      </w:r>
      <w:r>
        <w:rPr>
          <w:sz w:val="22"/>
          <w:szCs w:val="22"/>
        </w:rPr>
        <w:t> </w:t>
      </w:r>
      <w:r>
        <w:rPr>
          <w:rFonts w:ascii="Baskerville" w:hAnsi="Baskerville" w:cs="Baskerville"/>
          <w:sz w:val="22"/>
          <w:szCs w:val="22"/>
        </w:rPr>
        <w:t>. [I]t is clear defendant violated the agreed order.</w:t>
      </w:r>
    </w:p>
    <w:p w14:paraId="3124B550" w14:textId="183DE14C"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The parties bargained for the restriction of “being involved in the business of providing urological medicine services.”</w:t>
      </w:r>
      <w:r w:rsidR="00FB1D09">
        <w:rPr>
          <w:rFonts w:ascii="Baskerville" w:hAnsi="Baskerville" w:cs="Baskerville"/>
          <w:sz w:val="22"/>
          <w:szCs w:val="22"/>
        </w:rPr>
        <w:t xml:space="preserve"> </w:t>
      </w:r>
      <w:r>
        <w:rPr>
          <w:rFonts w:ascii="Baskerville" w:hAnsi="Baskerville" w:cs="Baskerville"/>
          <w:sz w:val="22"/>
          <w:szCs w:val="22"/>
        </w:rPr>
        <w:t>That Scaglia would pay that agreement only cursory heed, by limiting his physical contact with patients to the Ottawa office, evidences his disdain for the broader reach of the agreement he voluntarily entered into.</w:t>
      </w:r>
      <w:r w:rsidR="00FB1D09">
        <w:rPr>
          <w:rFonts w:ascii="Baskerville" w:hAnsi="Baskerville" w:cs="Baskerville"/>
          <w:sz w:val="22"/>
          <w:szCs w:val="22"/>
        </w:rPr>
        <w:t xml:space="preserve"> </w:t>
      </w:r>
      <w:r>
        <w:rPr>
          <w:rFonts w:ascii="Baskerville" w:hAnsi="Baskerville" w:cs="Baskerville"/>
          <w:i/>
          <w:iCs/>
          <w:sz w:val="22"/>
          <w:szCs w:val="22"/>
        </w:rPr>
        <w:t>The majority’s constriction of the agreed order to the prohibition of face-to-face, physician-patient contact, is not supported by the language the parties chose in framing their consensus</w:t>
      </w:r>
      <w:r>
        <w:rPr>
          <w:rFonts w:ascii="Baskerville" w:hAnsi="Baskerville" w:cs="Baskerville"/>
          <w:sz w:val="22"/>
          <w:szCs w:val="22"/>
        </w:rPr>
        <w:t>.</w:t>
      </w:r>
    </w:p>
    <w:p w14:paraId="684C968D"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r>
      <w:r>
        <w:rPr>
          <w:rFonts w:ascii="Baskerville" w:hAnsi="Baskerville" w:cs="Baskerville"/>
          <w:i/>
          <w:iCs/>
          <w:sz w:val="22"/>
          <w:szCs w:val="22"/>
        </w:rPr>
        <w:t>Curiously, the majority does not contend a restriction on the practice of medicine, a course of conduct it agrees involves the diagnosis and treatment of physical ailment, is against public policy—but</w:t>
      </w:r>
      <w:r>
        <w:rPr>
          <w:rFonts w:ascii="Baskerville" w:hAnsi="Baskerville" w:cs="Baskerville"/>
          <w:sz w:val="22"/>
          <w:szCs w:val="22"/>
        </w:rPr>
        <w:t>[</w:t>
      </w:r>
      <w:r>
        <w:rPr>
          <w:rFonts w:ascii="Baskerville" w:hAnsi="Baskerville" w:cs="Baskerville"/>
          <w:i/>
          <w:iCs/>
          <w:sz w:val="22"/>
          <w:szCs w:val="22"/>
        </w:rPr>
        <w:t>, according to the majority,</w:t>
      </w:r>
      <w:r>
        <w:rPr>
          <w:rFonts w:ascii="Baskerville" w:hAnsi="Baskerville" w:cs="Baskerville"/>
          <w:sz w:val="22"/>
          <w:szCs w:val="22"/>
        </w:rPr>
        <w:t>]</w:t>
      </w:r>
      <w:r>
        <w:rPr>
          <w:rFonts w:ascii="Baskerville" w:hAnsi="Baskerville" w:cs="Baskerville"/>
          <w:i/>
          <w:iCs/>
          <w:sz w:val="22"/>
          <w:szCs w:val="22"/>
        </w:rPr>
        <w:t xml:space="preserve"> it becomes so when there is a restriction on doctor-patient telephone cont</w:t>
      </w:r>
      <w:r>
        <w:rPr>
          <w:rFonts w:ascii="Baskerville" w:hAnsi="Baskerville" w:cs="Baskerville"/>
          <w:sz w:val="22"/>
          <w:szCs w:val="22"/>
        </w:rPr>
        <w:t>[</w:t>
      </w:r>
      <w:r>
        <w:rPr>
          <w:rFonts w:ascii="Baskerville" w:hAnsi="Baskerville" w:cs="Baskerville"/>
          <w:i/>
          <w:iCs/>
          <w:sz w:val="22"/>
          <w:szCs w:val="22"/>
        </w:rPr>
        <w:t>act</w:t>
      </w:r>
      <w:r>
        <w:rPr>
          <w:rFonts w:ascii="Baskerville" w:hAnsi="Baskerville" w:cs="Baskerville"/>
          <w:sz w:val="22"/>
          <w:szCs w:val="22"/>
        </w:rPr>
        <w:t>]</w:t>
      </w:r>
      <w:r>
        <w:rPr>
          <w:rFonts w:ascii="Baskerville" w:hAnsi="Baskerville" w:cs="Baskerville"/>
          <w:i/>
          <w:iCs/>
          <w:sz w:val="22"/>
          <w:szCs w:val="22"/>
        </w:rPr>
        <w:t xml:space="preserve"> for that same purpose.</w:t>
      </w:r>
    </w:p>
    <w:p w14:paraId="5D388CEB" w14:textId="77777777" w:rsidR="00655396" w:rsidRDefault="00655396" w:rsidP="008B512B">
      <w:pPr>
        <w:pStyle w:val="BodyText"/>
        <w:spacing w:line="240" w:lineRule="auto"/>
      </w:pPr>
    </w:p>
    <w:p w14:paraId="5D82EA36" w14:textId="77777777" w:rsidR="00655396" w:rsidRDefault="00655396" w:rsidP="008B512B">
      <w:pPr>
        <w:pStyle w:val="BodyText"/>
        <w:spacing w:line="240" w:lineRule="auto"/>
      </w:pPr>
      <w:r>
        <w:rPr>
          <w:i/>
          <w:iCs/>
        </w:rPr>
        <w:t>Id.</w:t>
      </w:r>
      <w:r>
        <w:t xml:space="preserve"> at 801–02, 226 Ill. Dec. at 764–65, 686 N.E.2d at 394–95 (emphasis added).</w:t>
      </w:r>
    </w:p>
    <w:p w14:paraId="02600777" w14:textId="77777777" w:rsidR="00655396" w:rsidRDefault="00655396" w:rsidP="008B512B">
      <w:pPr>
        <w:pStyle w:val="BodyText"/>
        <w:spacing w:line="240" w:lineRule="auto"/>
      </w:pPr>
    </w:p>
    <w:p w14:paraId="390B1EA6" w14:textId="77777777" w:rsidR="00655396" w:rsidRDefault="00655396" w:rsidP="008B512B">
      <w:pPr>
        <w:pStyle w:val="AdditionalTopicsSectionHeadings"/>
        <w:spacing w:line="240" w:lineRule="auto"/>
      </w:pPr>
      <w:r>
        <w:lastRenderedPageBreak/>
        <w:t>Ambiguity</w:t>
      </w:r>
    </w:p>
    <w:p w14:paraId="7AA3858B" w14:textId="77777777" w:rsidR="00655396" w:rsidRDefault="00655396" w:rsidP="008B512B">
      <w:pPr>
        <w:pStyle w:val="BodyText"/>
        <w:spacing w:line="240" w:lineRule="auto"/>
      </w:pPr>
    </w:p>
    <w:p w14:paraId="6E472206" w14:textId="1E9C4E44" w:rsidR="00655396" w:rsidRDefault="00655396" w:rsidP="008B512B">
      <w:pPr>
        <w:pStyle w:val="BodyText"/>
        <w:spacing w:line="240" w:lineRule="auto"/>
      </w:pPr>
      <w:r>
        <w:tab/>
        <w:t>When construing a contract under the law of Illinois, “courts examine the contract as a whole according to its plain, ordinary, and prevalent meaning” (</w:t>
      </w:r>
      <w:r>
        <w:rPr>
          <w:i/>
          <w:iCs/>
        </w:rPr>
        <w:t>Restaurant.Com, Inc. v. Savad</w:t>
      </w:r>
      <w:r>
        <w:t>, 2008 U.S. Dist. LEXIS 77991, at *7 (N.D. Ill. Aug. 21, 2008)) and any ambiguities in contractual terms are to be resolved against the drafter.</w:t>
      </w:r>
      <w:r w:rsidR="00FB1D09">
        <w:t xml:space="preserve"> </w:t>
      </w:r>
      <w:r>
        <w:rPr>
          <w:i/>
          <w:iCs/>
        </w:rPr>
        <w:t xml:space="preserve">Id. </w:t>
      </w:r>
      <w:r>
        <w:t xml:space="preserve">at *8; </w:t>
      </w:r>
      <w:r>
        <w:rPr>
          <w:i/>
          <w:iCs/>
        </w:rPr>
        <w:t>Virendra S. Bisla, M.D., Ltd. v. Parvaiz</w:t>
      </w:r>
      <w:r>
        <w:t>, 379 Ill. App. 3d 567, 574, 318 Ill. Dec. 822, 884 N.E.2d 790, 796 (1st Dist. 2008).</w:t>
      </w:r>
    </w:p>
    <w:p w14:paraId="39F13C30" w14:textId="7D938E71" w:rsidR="00655396" w:rsidRDefault="00655396" w:rsidP="008B512B">
      <w:pPr>
        <w:pStyle w:val="BodyText"/>
        <w:spacing w:line="240" w:lineRule="auto"/>
      </w:pPr>
      <w:r>
        <w:tab/>
        <w:t>Only if the language used is “reasonably or fairly susceptible to having more than one meaning” can it be said to be ambiguous under Illinois law (</w:t>
      </w:r>
      <w:r>
        <w:rPr>
          <w:i/>
          <w:iCs/>
        </w:rPr>
        <w:t>Restaurant.Com,</w:t>
      </w:r>
      <w:r>
        <w:t xml:space="preserve"> 2008 U.S. Dist. LEXIS 77991, at *8), and “it is not ambiguous if a court can discover its meaning simply through knowledge of those facts which give it meaning as gleaned from the general language of the contract. A contract is not rendered ambiguous simply because the parties do not agree on the meaning of its terms.”</w:t>
      </w:r>
      <w:r w:rsidR="00FB1D09">
        <w:t xml:space="preserve"> </w:t>
      </w:r>
      <w:r>
        <w:rPr>
          <w:i/>
          <w:iCs/>
        </w:rPr>
        <w:t>Id.</w:t>
      </w:r>
      <w:r>
        <w:t xml:space="preserve"> (citation omitted; internal punctuation omitted; finding, </w:t>
      </w:r>
      <w:r>
        <w:rPr>
          <w:i/>
          <w:iCs/>
        </w:rPr>
        <w:t>id.</w:t>
      </w:r>
      <w:r>
        <w:t xml:space="preserve"> at *9, that postemployment anti-employee-raiding covenant was not ambiguous and that it prohibited not only the hiring away of the employer’s employee, but also that it prohibited the former employee from acting in “any other manner [to] persuade” any employee of the employer “to alter, modify or terminate their relationship with the [employer] or any of its affiliates.”).</w:t>
      </w:r>
    </w:p>
    <w:p w14:paraId="769EC896" w14:textId="3F8D4C53" w:rsidR="00655396" w:rsidRDefault="00655396" w:rsidP="008B512B">
      <w:pPr>
        <w:pStyle w:val="BodyText"/>
        <w:spacing w:line="240" w:lineRule="auto"/>
      </w:pPr>
      <w:r>
        <w:tab/>
        <w:t xml:space="preserve">A restrictive covenant is “ambiguous and unintelligible,” and thus unenforceable, where there is “no definite agreement on [its] essential terms.” </w:t>
      </w:r>
      <w:r>
        <w:rPr>
          <w:i/>
          <w:iCs/>
        </w:rPr>
        <w:t>Unisource Worldwide, Inc. v. Carrara</w:t>
      </w:r>
      <w:r>
        <w:t>, 244 F. Supp. 2d 977, 982 (C.D. Ill. 2003) (covenant provided “(2) (Continued)</w:t>
      </w:r>
      <w:r w:rsidR="00FB1D09">
        <w:t xml:space="preserve"> </w:t>
      </w:r>
      <w:r>
        <w:t>do business with any of Employer’s product lines to any customers or accounts assigned to him/her by Employer during the one (1) year period prior to Employee’s termination.</w:t>
      </w:r>
      <w:r w:rsidR="00FB1D09">
        <w:t xml:space="preserve"> </w:t>
      </w:r>
      <w:r>
        <w:t>Moreover, Employee agrees to be bound by all the other provisions of this agreement other than subparagraph (1) above;” covenant was ambiguous and unintelligible, because “[t]here is no transitional language explaining of what this sentence fragment is a ‘continuation,’ nor is there any language explaining how this provision fits in with the preceding provision.</w:t>
      </w:r>
      <w:r w:rsidR="00FB1D09">
        <w:t xml:space="preserve"> </w:t>
      </w:r>
      <w:r>
        <w:t>On the contrary, the provision indicates that [the employee] does not agree to be bound by the previous provision.</w:t>
      </w:r>
      <w:r w:rsidR="00FB1D09">
        <w:t xml:space="preserve"> </w:t>
      </w:r>
      <w:r>
        <w:rPr>
          <w:i/>
          <w:iCs/>
        </w:rPr>
        <w:t xml:space="preserve">Given its literal meaning, this would mean that </w:t>
      </w:r>
      <w:r>
        <w:t>[</w:t>
      </w:r>
      <w:r>
        <w:rPr>
          <w:i/>
          <w:iCs/>
        </w:rPr>
        <w:t>the employee</w:t>
      </w:r>
      <w:r>
        <w:t>]</w:t>
      </w:r>
      <w:r>
        <w:rPr>
          <w:i/>
          <w:iCs/>
        </w:rPr>
        <w:t xml:space="preserve"> did not agree to be bound by the covenant not to compete</w:t>
      </w:r>
      <w:r>
        <w:t>.” (Emphasis added)).</w:t>
      </w:r>
    </w:p>
    <w:p w14:paraId="448229D0" w14:textId="696215CD"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lastRenderedPageBreak/>
        <w:tab/>
        <w:t xml:space="preserve">“[T]he fact that </w:t>
      </w:r>
      <w:r w:rsidR="00944F63">
        <w:rPr>
          <w:rFonts w:ascii="Baskerville" w:hAnsi="Baskerville" w:cs="Baskerville"/>
        </w:rPr>
        <w:t>…</w:t>
      </w:r>
      <w:r>
        <w:rPr>
          <w:rFonts w:ascii="Baskerville" w:hAnsi="Baskerville" w:cs="Baskerville"/>
        </w:rPr>
        <w:t xml:space="preserve"> parties offer different interpretations of [an] agreement does not make it ‘ambiguous’ as a matter of law.”</w:t>
      </w:r>
      <w:r w:rsidR="00FB1D09">
        <w:rPr>
          <w:rFonts w:ascii="Baskerville" w:hAnsi="Baskerville" w:cs="Baskerville"/>
        </w:rPr>
        <w:t xml:space="preserve"> </w:t>
      </w:r>
      <w:r>
        <w:rPr>
          <w:rFonts w:ascii="Baskerville" w:hAnsi="Baskerville" w:cs="Baskerville"/>
          <w:i/>
          <w:iCs/>
        </w:rPr>
        <w:t>Emergency Med. Care, Inc. v. Marion Mem’l Hosp.</w:t>
      </w:r>
      <w:r>
        <w:rPr>
          <w:rFonts w:ascii="Baskerville" w:hAnsi="Baskerville" w:cs="Baskerville"/>
        </w:rPr>
        <w:t xml:space="preserve">, 94 F.3d 1059, 1061 (7th Cir. 1996) (citing </w:t>
      </w:r>
      <w:r>
        <w:rPr>
          <w:rFonts w:ascii="Baskerville" w:hAnsi="Baskerville" w:cs="Baskerville"/>
          <w:i/>
          <w:iCs/>
        </w:rPr>
        <w:t>Matter of Envirodyne Indus., Inc.</w:t>
      </w:r>
      <w:r>
        <w:rPr>
          <w:rFonts w:ascii="Baskerville" w:hAnsi="Baskerville" w:cs="Baskerville"/>
        </w:rPr>
        <w:t>, 29 F.3d 301, 304 (7th Cir. 1994)).</w:t>
      </w:r>
      <w:r w:rsidR="00FB1D09">
        <w:rPr>
          <w:rFonts w:ascii="Baskerville" w:hAnsi="Baskerville" w:cs="Baskerville"/>
        </w:rPr>
        <w:t xml:space="preserve"> </w:t>
      </w:r>
      <w:r>
        <w:rPr>
          <w:rFonts w:ascii="Baskerville" w:hAnsi="Baskerville" w:cs="Baskerville"/>
        </w:rPr>
        <w:t xml:space="preserve">On review of a federal district court’s summary judgment ruling, the U.S. Court of Appeals for the Seventh Circuit reviews that ruling, “including [any] conclusion that [a] contractual provision in question is unambiguous, </w:t>
      </w:r>
      <w:r>
        <w:rPr>
          <w:rFonts w:ascii="Baskerville" w:hAnsi="Baskerville" w:cs="Baskerville"/>
          <w:i/>
          <w:iCs/>
        </w:rPr>
        <w:t>de novo</w:t>
      </w:r>
      <w:r>
        <w:rPr>
          <w:rFonts w:ascii="Baskerville" w:hAnsi="Baskerville" w:cs="Baskerville"/>
        </w:rPr>
        <w:t>, applying the usual standards.”</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(citing </w:t>
      </w:r>
      <w:r>
        <w:rPr>
          <w:rFonts w:ascii="Baskerville" w:hAnsi="Baskerville" w:cs="Baskerville"/>
          <w:smallCaps/>
        </w:rPr>
        <w:t>Fed.R.Civ.P.</w:t>
      </w:r>
      <w:r>
        <w:rPr>
          <w:rFonts w:ascii="Baskerville" w:hAnsi="Baskerville" w:cs="Baskerville"/>
        </w:rPr>
        <w:t xml:space="preserve"> 56; affirming, at 1062, district court’s finding that restriction was not ambiguous and also affirming entry of summary judgment for party against whom enforcement of restriction was sought).</w:t>
      </w:r>
    </w:p>
    <w:p w14:paraId="508AEC33"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7C943FFC" w14:textId="5C1D2E3F" w:rsidR="00655396" w:rsidRDefault="00655396" w:rsidP="008B512B">
      <w:pPr>
        <w:pStyle w:val="BodyText"/>
        <w:spacing w:line="240" w:lineRule="auto"/>
      </w:pPr>
      <w:r>
        <w:tab/>
      </w:r>
      <w:r>
        <w:rPr>
          <w:b/>
          <w:bCs/>
        </w:rPr>
        <w:t>•</w:t>
      </w:r>
      <w:r>
        <w:t xml:space="preserve"> </w:t>
      </w:r>
      <w:r>
        <w:rPr>
          <w:i/>
          <w:iCs/>
        </w:rPr>
        <w:t>Ambiguity of agreed orders</w:t>
      </w:r>
      <w:r>
        <w:t>.</w:t>
      </w:r>
      <w:r w:rsidR="00FB1D09">
        <w:t xml:space="preserve"> </w:t>
      </w:r>
      <w:r>
        <w:t>Where an agreed order emanates from a restrictive covenant, “the court must strictly construe it and resolve any doubts or ambiguities in favor of natural rights and against restriction.”</w:t>
      </w:r>
      <w:r w:rsidR="00FB1D09">
        <w:t xml:space="preserve"> </w:t>
      </w:r>
      <w:r>
        <w:rPr>
          <w:i/>
          <w:iCs/>
        </w:rPr>
        <w:t>Bloomington Urological Assocs., SC v. Scaglia</w:t>
      </w:r>
      <w:r>
        <w:t>, 292 Ill. App. 3d 793, 798, 226 Ill. Dec. 759, 763, 686 N.E.2d 389, 393 (4th Dist. 1997).</w:t>
      </w:r>
      <w:r>
        <w:rPr>
          <w:i/>
          <w:iCs/>
        </w:rPr>
        <w:t xml:space="preserve"> </w:t>
      </w:r>
      <w:r>
        <w:t>As with any contract, the question whether an agreed order emanating from a restrictive covenant is ambiguous is a question of law.</w:t>
      </w:r>
      <w:r w:rsidR="00FB1D09">
        <w:t xml:space="preserve"> </w:t>
      </w:r>
      <w:r>
        <w:rPr>
          <w:i/>
          <w:iCs/>
        </w:rPr>
        <w:t>Id.</w:t>
      </w:r>
      <w:r>
        <w:t>, 226 Ill. Dec. at 763, 686 N.E.2d at 393.</w:t>
      </w:r>
      <w:r w:rsidR="00FB1D09">
        <w:t xml:space="preserve"> </w:t>
      </w:r>
      <w:r>
        <w:t>Accordingly, an agreed order is interpreted de novo.</w:t>
      </w:r>
      <w:r w:rsidR="00FB1D09">
        <w:t xml:space="preserve"> </w:t>
      </w:r>
      <w:r>
        <w:rPr>
          <w:i/>
          <w:iCs/>
        </w:rPr>
        <w:t>Id.</w:t>
      </w:r>
      <w:r>
        <w:t>, 226 Ill. Dec. at 763, 686 N.E.2d at 393.</w:t>
      </w:r>
    </w:p>
    <w:p w14:paraId="5E67901F" w14:textId="77777777" w:rsidR="00655396" w:rsidRDefault="00655396" w:rsidP="008B512B">
      <w:pPr>
        <w:pStyle w:val="BodyText"/>
        <w:spacing w:line="240" w:lineRule="auto"/>
        <w:rPr>
          <w:b/>
          <w:bCs/>
          <w:sz w:val="22"/>
          <w:szCs w:val="22"/>
        </w:rPr>
      </w:pPr>
    </w:p>
    <w:p w14:paraId="4610CC8E" w14:textId="77777777" w:rsidR="00655396" w:rsidRDefault="00655396" w:rsidP="008B512B">
      <w:pPr>
        <w:pStyle w:val="AdditionalTopicsSectionHeadings"/>
        <w:spacing w:line="240" w:lineRule="auto"/>
      </w:pPr>
      <w:r>
        <w:t>Ancillarity</w:t>
      </w:r>
    </w:p>
    <w:p w14:paraId="0D842E85"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22F94A02" w14:textId="55DA9DD1"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There is a “clear </w:t>
      </w:r>
      <w:r w:rsidR="00944F63">
        <w:rPr>
          <w:rFonts w:ascii="Baskerville" w:hAnsi="Baskerville" w:cs="Baskerville"/>
        </w:rPr>
        <w:t>…</w:t>
      </w:r>
      <w:r>
        <w:rPr>
          <w:rFonts w:ascii="Baskerville" w:hAnsi="Baskerville" w:cs="Baskerville"/>
        </w:rPr>
        <w:t xml:space="preserve"> split between [the First and Fourth District Courts of Appeal] over what kind of employment relationship is a valid foundation for a covenant not to compete.”</w:t>
      </w:r>
      <w:r w:rsidR="00FB1D09">
        <w:rPr>
          <w:rFonts w:ascii="Baskerville" w:hAnsi="Baskerville" w:cs="Baskerville"/>
        </w:rPr>
        <w:t xml:space="preserve"> </w:t>
      </w:r>
      <w:r>
        <w:rPr>
          <w:rFonts w:ascii="Baskerville" w:hAnsi="Baskerville" w:cs="Baskerville"/>
          <w:i/>
          <w:iCs/>
        </w:rPr>
        <w:t>Applied Micro, Inc. v. SJI Fulfillment, Inc.</w:t>
      </w:r>
      <w:r>
        <w:rPr>
          <w:rFonts w:ascii="Baskerville" w:hAnsi="Baskerville" w:cs="Baskerville"/>
        </w:rPr>
        <w:t>, 941 F. Supp. 750, 754 (N.D. Ill. 1996).</w:t>
      </w:r>
      <w:r w:rsidR="00FB1D09">
        <w:rPr>
          <w:rFonts w:ascii="Baskerville" w:hAnsi="Baskerville" w:cs="Baskerville"/>
        </w:rPr>
        <w:t xml:space="preserve"> </w:t>
      </w:r>
      <w:r>
        <w:rPr>
          <w:rFonts w:ascii="Baskerville" w:hAnsi="Baskerville" w:cs="Baskerville"/>
        </w:rPr>
        <w:t>That is, there is a split among the district courts of appeal as to whether a covenant need be ancillary to an employment agreement, as opposed to an at-will employment relationship.</w:t>
      </w:r>
      <w:r w:rsidR="00FB1D09">
        <w:rPr>
          <w:rFonts w:ascii="Baskerville" w:hAnsi="Baskerville" w:cs="Baskerville"/>
        </w:rPr>
        <w:t xml:space="preserve"> </w:t>
      </w:r>
      <w:r>
        <w:rPr>
          <w:rFonts w:ascii="Baskerville" w:hAnsi="Baskerville" w:cs="Baskerville"/>
        </w:rPr>
        <w:t xml:space="preserve">The </w:t>
      </w:r>
      <w:r>
        <w:rPr>
          <w:rFonts w:ascii="Baskerville" w:hAnsi="Baskerville" w:cs="Baskerville"/>
          <w:i/>
          <w:iCs/>
        </w:rPr>
        <w:t>Applied Micro</w:t>
      </w:r>
      <w:r>
        <w:rPr>
          <w:rFonts w:ascii="Baskerville" w:hAnsi="Baskerville" w:cs="Baskerville"/>
        </w:rPr>
        <w:t xml:space="preserve"> court explained:</w:t>
      </w:r>
    </w:p>
    <w:p w14:paraId="5098F037" w14:textId="77777777" w:rsidR="00655396" w:rsidRDefault="00655396" w:rsidP="008B512B">
      <w:pPr>
        <w:pStyle w:val="BodyTextIndent"/>
        <w:spacing w:line="240" w:lineRule="auto"/>
      </w:pPr>
    </w:p>
    <w:p w14:paraId="16443E62" w14:textId="1CA4EF51"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In </w:t>
      </w:r>
      <w:r>
        <w:rPr>
          <w:rFonts w:ascii="Baskerville" w:hAnsi="Baskerville" w:cs="Baskerville"/>
          <w:i/>
          <w:iCs/>
          <w:sz w:val="22"/>
          <w:szCs w:val="22"/>
        </w:rPr>
        <w:t>Creative Entertainment</w:t>
      </w:r>
      <w:r>
        <w:rPr>
          <w:rFonts w:ascii="Baskerville" w:hAnsi="Baskerville" w:cs="Baskerville"/>
          <w:sz w:val="22"/>
          <w:szCs w:val="22"/>
        </w:rPr>
        <w:t>[</w:t>
      </w:r>
      <w:r>
        <w:rPr>
          <w:rFonts w:ascii="Baskerville" w:hAnsi="Baskerville" w:cs="Baskerville"/>
          <w:i/>
          <w:iCs/>
          <w:sz w:val="22"/>
          <w:szCs w:val="22"/>
        </w:rPr>
        <w:t>, Inc. v. Lorenz</w:t>
      </w:r>
      <w:r>
        <w:rPr>
          <w:rFonts w:ascii="Baskerville" w:hAnsi="Baskerville" w:cs="Baskerville"/>
          <w:sz w:val="22"/>
          <w:szCs w:val="22"/>
        </w:rPr>
        <w:t xml:space="preserve">, 265 Ill. App. 3d 343, 202 Ill. Dec. 571, 638 N.E.2d 217 (1st Dist. 1994)], the First District struck down a noncompete on ancillarity grounds, and dismissed the count on which it was based, because no written contract specified the </w:t>
      </w:r>
      <w:r>
        <w:rPr>
          <w:rFonts w:ascii="Baskerville" w:hAnsi="Baskerville" w:cs="Baskerville"/>
          <w:sz w:val="22"/>
          <w:szCs w:val="22"/>
        </w:rPr>
        <w:lastRenderedPageBreak/>
        <w:t>defendant’s terms and conditions of employment.</w:t>
      </w:r>
      <w:r w:rsidR="00FB1D09">
        <w:rPr>
          <w:rFonts w:ascii="Baskerville" w:hAnsi="Baskerville" w:cs="Baskerville"/>
          <w:sz w:val="22"/>
          <w:szCs w:val="22"/>
        </w:rPr>
        <w:t xml:space="preserve"> </w:t>
      </w:r>
      <w:r>
        <w:rPr>
          <w:rFonts w:ascii="Baskerville" w:hAnsi="Baskerville" w:cs="Baskerville"/>
          <w:sz w:val="22"/>
          <w:szCs w:val="22"/>
        </w:rPr>
        <w:t>Defendant Lorenz had been employed at will, and the only written agreement he executed was a noncompete signed eight months after he began working.</w:t>
      </w:r>
      <w:r w:rsidR="00FB1D09">
        <w:rPr>
          <w:rFonts w:ascii="Baskerville" w:hAnsi="Baskerville" w:cs="Baskerville"/>
          <w:sz w:val="22"/>
          <w:szCs w:val="22"/>
        </w:rPr>
        <w:t xml:space="preserve"> </w:t>
      </w:r>
      <w:r>
        <w:rPr>
          <w:rFonts w:ascii="Baskerville" w:hAnsi="Baskerville" w:cs="Baskerville"/>
          <w:sz w:val="22"/>
          <w:szCs w:val="22"/>
        </w:rPr>
        <w:t>When Lorenz left to form his own business, and began contacting his former employer’s customers in violation of the agreement’s provisions, the employer sued to enforce the covenant.</w:t>
      </w:r>
      <w:r w:rsidR="00FB1D09">
        <w:rPr>
          <w:rFonts w:ascii="Baskerville" w:hAnsi="Baskerville" w:cs="Baskerville"/>
          <w:sz w:val="22"/>
          <w:szCs w:val="22"/>
        </w:rPr>
        <w:t xml:space="preserve"> </w:t>
      </w:r>
      <w:r>
        <w:rPr>
          <w:rFonts w:ascii="Baskerville" w:hAnsi="Baskerville" w:cs="Baskerville"/>
          <w:sz w:val="22"/>
          <w:szCs w:val="22"/>
        </w:rPr>
        <w:t>Finding the noncompete unenforceable as a matter of law, the court stated that to be ancillary to a valid employment contract, the covenant had to be “subordinate to the contract’s main purpose.”</w:t>
      </w:r>
      <w:r w:rsidR="00FB1D09">
        <w:rPr>
          <w:rFonts w:ascii="Baskerville" w:hAnsi="Baskerville" w:cs="Baskerville"/>
          <w:sz w:val="22"/>
          <w:szCs w:val="22"/>
        </w:rPr>
        <w:t xml:space="preserve"> </w:t>
      </w:r>
      <w:r w:rsidRPr="000A454A">
        <w:rPr>
          <w:rFonts w:ascii="Baskerville" w:hAnsi="Baskerville" w:cs="Baskerville"/>
          <w:sz w:val="22"/>
          <w:szCs w:val="22"/>
          <w:lang w:val="nb-NO"/>
        </w:rPr>
        <w:t>265 Ill. App. 3d at 346, 202 Ill. Dec. at 573, 638 N.E.2d at 219.</w:t>
      </w:r>
      <w:r w:rsidR="00FB1D09">
        <w:rPr>
          <w:rFonts w:ascii="Baskerville" w:hAnsi="Baskerville" w:cs="Baskerville"/>
          <w:sz w:val="22"/>
          <w:szCs w:val="22"/>
          <w:lang w:val="nb-NO"/>
        </w:rPr>
        <w:t xml:space="preserve"> </w:t>
      </w:r>
      <w:r>
        <w:rPr>
          <w:rFonts w:ascii="Baskerville" w:hAnsi="Baskerville" w:cs="Baskerville"/>
          <w:sz w:val="22"/>
          <w:szCs w:val="22"/>
        </w:rPr>
        <w:t>An at-will arrangement, subject to change at the whim of the employer, was not itself a valid employment contract.</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at 348, 202 Ill. Dec. at 575, 638 N.E.2d at 221.</w:t>
      </w:r>
      <w:r w:rsidR="00FB1D09">
        <w:rPr>
          <w:rFonts w:ascii="Baskerville" w:hAnsi="Baskerville" w:cs="Baskerville"/>
          <w:sz w:val="22"/>
          <w:szCs w:val="22"/>
        </w:rPr>
        <w:t xml:space="preserve"> </w:t>
      </w:r>
      <w:r>
        <w:rPr>
          <w:rFonts w:ascii="Baskerville" w:hAnsi="Baskerville" w:cs="Baskerville"/>
          <w:sz w:val="22"/>
          <w:szCs w:val="22"/>
        </w:rPr>
        <w:t>And no separate written provisions covered the grounds for termination, or promised a definite term of employment in exchange for not competing against the company.</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at 348, 202 Ill. Dec. at 574, 638 N.E.2d at 220.</w:t>
      </w:r>
      <w:r w:rsidR="00FB1D09">
        <w:rPr>
          <w:rFonts w:ascii="Baskerville" w:hAnsi="Baskerville" w:cs="Baskerville"/>
          <w:sz w:val="22"/>
          <w:szCs w:val="22"/>
        </w:rPr>
        <w:t xml:space="preserve"> </w:t>
      </w:r>
      <w:r>
        <w:rPr>
          <w:rFonts w:ascii="Baskerville" w:hAnsi="Baskerville" w:cs="Baskerville"/>
          <w:sz w:val="22"/>
          <w:szCs w:val="22"/>
        </w:rPr>
        <w:t>From this, the court concluded, “Clearly, the covenant was not ancillary to an employment contract”; rather, it was a “naked agreement” to restrain trade.</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at 348–49, 202 Ill. Dec. at 575, 638 N.E.2d at 221.</w:t>
      </w:r>
    </w:p>
    <w:p w14:paraId="5319E541" w14:textId="02DEFAFE"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sz w:val="22"/>
          <w:szCs w:val="22"/>
        </w:rPr>
        <w:tab/>
        <w:t xml:space="preserve">In contrast, [the Fourth District in] </w:t>
      </w:r>
      <w:r>
        <w:rPr>
          <w:rFonts w:ascii="Baskerville" w:hAnsi="Baskerville" w:cs="Baskerville"/>
          <w:i/>
          <w:iCs/>
          <w:sz w:val="22"/>
          <w:szCs w:val="22"/>
        </w:rPr>
        <w:t>Abel v. Fox</w:t>
      </w:r>
      <w:r>
        <w:rPr>
          <w:rFonts w:ascii="Baskerville" w:hAnsi="Baskerville" w:cs="Baskerville"/>
          <w:sz w:val="22"/>
          <w:szCs w:val="22"/>
        </w:rPr>
        <w:t>[, 274 Ill. App. 3d 811, 211 Ill. Dec. 129, 654 N.E.2d 591 (4th Dist. 1995),] held that an oral at-will arrangement is a valid contract or “relationship” that satisfies the ancillarity requirement.</w:t>
      </w:r>
      <w:r w:rsidR="00FB1D09">
        <w:rPr>
          <w:rFonts w:ascii="Baskerville" w:hAnsi="Baskerville" w:cs="Baskerville"/>
          <w:sz w:val="22"/>
          <w:szCs w:val="22"/>
        </w:rPr>
        <w:t xml:space="preserve"> </w:t>
      </w:r>
      <w:r w:rsidRPr="000A454A">
        <w:rPr>
          <w:rFonts w:ascii="Baskerville" w:hAnsi="Baskerville" w:cs="Baskerville"/>
          <w:sz w:val="22"/>
          <w:szCs w:val="22"/>
          <w:lang w:val="nb-NO"/>
        </w:rPr>
        <w:t>274 Ill. App. 3d at 820, 21 Ill. Dec. at 135, 654 N.E.2d at 597.</w:t>
      </w:r>
      <w:r w:rsidR="00FB1D09">
        <w:rPr>
          <w:rFonts w:ascii="Baskerville" w:hAnsi="Baskerville" w:cs="Baskerville"/>
          <w:sz w:val="22"/>
          <w:szCs w:val="22"/>
          <w:lang w:val="nb-NO"/>
        </w:rPr>
        <w:t xml:space="preserve"> </w:t>
      </w:r>
      <w:r>
        <w:rPr>
          <w:rFonts w:ascii="Baskerville" w:hAnsi="Baskerville" w:cs="Baskerville"/>
          <w:sz w:val="22"/>
          <w:szCs w:val="22"/>
        </w:rPr>
        <w:t>Like Lorenz, defendant Fox was employed at will, and signed a covenant not to compete “sometime during her employment.”</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at 812, 211 Ill. Dec. at 130, 654 N.E.2d at 592.</w:t>
      </w:r>
      <w:r w:rsidR="00FB1D09">
        <w:rPr>
          <w:rFonts w:ascii="Baskerville" w:hAnsi="Baskerville" w:cs="Baskerville"/>
          <w:sz w:val="22"/>
          <w:szCs w:val="22"/>
        </w:rPr>
        <w:t xml:space="preserve"> </w:t>
      </w:r>
      <w:r>
        <w:rPr>
          <w:rFonts w:ascii="Baskerville" w:hAnsi="Baskerville" w:cs="Baskerville"/>
          <w:sz w:val="22"/>
          <w:szCs w:val="22"/>
        </w:rPr>
        <w:t>After she left that job, Fox began soliciting her former employer’s customers to patronize her newly formed business, even though the noncompete forbade her from doing so.</w:t>
      </w:r>
      <w:r w:rsidR="00FB1D09">
        <w:rPr>
          <w:rFonts w:ascii="Baskerville" w:hAnsi="Baskerville" w:cs="Baskerville"/>
          <w:sz w:val="22"/>
          <w:szCs w:val="22"/>
        </w:rPr>
        <w:t xml:space="preserve"> </w:t>
      </w:r>
      <w:r>
        <w:rPr>
          <w:rFonts w:ascii="Baskerville" w:hAnsi="Baskerville" w:cs="Baskerville"/>
          <w:sz w:val="22"/>
          <w:szCs w:val="22"/>
        </w:rPr>
        <w:t>Reversing the trial court’s dismissal of the employer’s breach of contract claim, the appellate court relied on persuasive authority and older state supreme court precedent to support its holding that courts may enforce noncompetition agreements in at-will relationships.</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at 816–21, 211 Ill. Dec. at 133–36, 654 N.E.2d at 595­–98.</w:t>
      </w:r>
      <w:r w:rsidR="00FB1D09">
        <w:rPr>
          <w:rFonts w:ascii="Baskerville" w:hAnsi="Baskerville" w:cs="Baskerville"/>
          <w:sz w:val="22"/>
          <w:szCs w:val="22"/>
        </w:rPr>
        <w:t xml:space="preserve"> </w:t>
      </w:r>
      <w:r>
        <w:rPr>
          <w:rFonts w:ascii="Baskerville" w:hAnsi="Baskerville" w:cs="Baskerville"/>
          <w:sz w:val="22"/>
          <w:szCs w:val="22"/>
        </w:rPr>
        <w:t xml:space="preserve">The court roundly criticized </w:t>
      </w:r>
      <w:r>
        <w:rPr>
          <w:rFonts w:ascii="Baskerville" w:hAnsi="Baskerville" w:cs="Baskerville"/>
          <w:i/>
          <w:iCs/>
          <w:sz w:val="22"/>
          <w:szCs w:val="22"/>
        </w:rPr>
        <w:t>Creative Entertainment</w:t>
      </w:r>
      <w:r>
        <w:rPr>
          <w:rFonts w:ascii="Baskerville" w:hAnsi="Baskerville" w:cs="Baskerville"/>
          <w:sz w:val="22"/>
          <w:szCs w:val="22"/>
        </w:rPr>
        <w:t xml:space="preserve"> as contrary to this authority and without basis in law or public policy.</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at 818, 820, 211 Ill. Dec. at 134–35, 654 N.E.2d at 596–97.</w:t>
      </w:r>
      <w:r w:rsidR="00FB1D09">
        <w:rPr>
          <w:rFonts w:ascii="Baskerville" w:hAnsi="Baskerville" w:cs="Baskerville"/>
          <w:sz w:val="22"/>
          <w:szCs w:val="22"/>
        </w:rPr>
        <w:t xml:space="preserve"> </w:t>
      </w:r>
      <w:r>
        <w:rPr>
          <w:rFonts w:ascii="Baskerville" w:hAnsi="Baskerville" w:cs="Baskerville"/>
          <w:sz w:val="22"/>
          <w:szCs w:val="22"/>
        </w:rPr>
        <w:t>Whether written or oral, an at-will arrangement “is nonetheless an agreement and relationship with numerous consequences, imposing rights and obligations on both parties.”</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at 820, 211 Ill. Dec. at 135, 654 N.E.2d at 597.</w:t>
      </w:r>
      <w:r w:rsidR="00FB1D09">
        <w:rPr>
          <w:rFonts w:ascii="Baskerville" w:hAnsi="Baskerville" w:cs="Baskerville"/>
          <w:sz w:val="22"/>
          <w:szCs w:val="22"/>
        </w:rPr>
        <w:t xml:space="preserve"> </w:t>
      </w:r>
      <w:r>
        <w:rPr>
          <w:rFonts w:ascii="Baskerville" w:hAnsi="Baskerville" w:cs="Baskerville"/>
          <w:sz w:val="22"/>
          <w:szCs w:val="22"/>
        </w:rPr>
        <w:t>Even when supplemented by a noncompete, the primary purpose remains, as in term employment, establishing an employee-employer relationship.</w:t>
      </w:r>
      <w:r w:rsidR="00FB1D09">
        <w:rPr>
          <w:rFonts w:ascii="Baskerville" w:hAnsi="Baskerville" w:cs="Baskerville"/>
          <w:sz w:val="22"/>
          <w:szCs w:val="22"/>
        </w:rPr>
        <w:t xml:space="preserve"> </w:t>
      </w:r>
      <w:r>
        <w:rPr>
          <w:rFonts w:ascii="Baskerville" w:hAnsi="Baskerville" w:cs="Baskerville"/>
          <w:i/>
          <w:iCs/>
          <w:sz w:val="22"/>
          <w:szCs w:val="22"/>
        </w:rPr>
        <w:lastRenderedPageBreak/>
        <w:t>Id.</w:t>
      </w:r>
    </w:p>
    <w:p w14:paraId="237CDC89" w14:textId="77777777" w:rsidR="00655396" w:rsidRDefault="00655396" w:rsidP="008B512B">
      <w:pPr>
        <w:pStyle w:val="NoParagraphStyle"/>
        <w:tabs>
          <w:tab w:val="left" w:pos="480"/>
          <w:tab w:val="left" w:pos="960"/>
          <w:tab w:val="left" w:pos="1440"/>
        </w:tabs>
        <w:spacing w:line="240" w:lineRule="auto"/>
        <w:ind w:left="480"/>
        <w:jc w:val="both"/>
        <w:rPr>
          <w:rFonts w:ascii="Baskerville" w:hAnsi="Baskerville" w:cs="Baskerville"/>
        </w:rPr>
      </w:pPr>
    </w:p>
    <w:p w14:paraId="08253928"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941 F. Supp. at 754.</w:t>
      </w:r>
    </w:p>
    <w:p w14:paraId="170E6EA7" w14:textId="20926BA5"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Because “[t]he Illinois Supreme Court has never addressed” the issue of whether a covenant must be ancillary to an employment </w:t>
      </w:r>
      <w:r>
        <w:rPr>
          <w:rFonts w:ascii="Baskerville" w:hAnsi="Baskerville" w:cs="Baskerville"/>
          <w:i/>
          <w:iCs/>
        </w:rPr>
        <w:t>agreement</w:t>
      </w:r>
      <w:r>
        <w:rPr>
          <w:rFonts w:ascii="Baskerville" w:hAnsi="Baskerville" w:cs="Baskerville"/>
        </w:rPr>
        <w:t xml:space="preserve"> as opposed to merely an at-will employment </w:t>
      </w:r>
      <w:r>
        <w:rPr>
          <w:rFonts w:ascii="Baskerville" w:hAnsi="Baskerville" w:cs="Baskerville"/>
          <w:i/>
          <w:iCs/>
        </w:rPr>
        <w:t>relationship</w:t>
      </w:r>
      <w:r>
        <w:rPr>
          <w:rFonts w:ascii="Baskerville" w:hAnsi="Baskerville" w:cs="Baskerville"/>
        </w:rPr>
        <w:t xml:space="preserve"> (</w:t>
      </w:r>
      <w:r>
        <w:rPr>
          <w:rFonts w:ascii="Baskerville" w:hAnsi="Baskerville" w:cs="Baskerville"/>
          <w:i/>
          <w:iCs/>
        </w:rPr>
        <w:t>id.</w:t>
      </w:r>
      <w:r>
        <w:rPr>
          <w:rFonts w:ascii="Baskerville" w:hAnsi="Baskerville" w:cs="Baskerville"/>
        </w:rPr>
        <w:t xml:space="preserve">), the </w:t>
      </w:r>
      <w:r>
        <w:rPr>
          <w:rFonts w:ascii="Baskerville" w:hAnsi="Baskerville" w:cs="Baskerville"/>
          <w:i/>
          <w:iCs/>
        </w:rPr>
        <w:t>Applied Micro</w:t>
      </w:r>
      <w:r>
        <w:rPr>
          <w:rFonts w:ascii="Baskerville" w:hAnsi="Baskerville" w:cs="Baskerville"/>
        </w:rPr>
        <w:t xml:space="preserve"> court was compelled to choose between </w:t>
      </w:r>
      <w:r>
        <w:rPr>
          <w:rFonts w:ascii="Baskerville" w:hAnsi="Baskerville" w:cs="Baskerville"/>
          <w:i/>
          <w:iCs/>
        </w:rPr>
        <w:t>Creative Entertainment</w:t>
      </w:r>
      <w:r>
        <w:rPr>
          <w:rFonts w:ascii="Baskerville" w:hAnsi="Baskerville" w:cs="Baskerville"/>
        </w:rPr>
        <w:t xml:space="preserve"> (agreement required) and </w:t>
      </w:r>
      <w:r>
        <w:rPr>
          <w:rFonts w:ascii="Baskerville" w:hAnsi="Baskerville" w:cs="Baskerville"/>
          <w:i/>
          <w:iCs/>
        </w:rPr>
        <w:t>Abel</w:t>
      </w:r>
      <w:r>
        <w:rPr>
          <w:rFonts w:ascii="Baskerville" w:hAnsi="Baskerville" w:cs="Baskerville"/>
        </w:rPr>
        <w:t xml:space="preserve"> (at-will relationship suffices).</w:t>
      </w:r>
      <w:r w:rsidR="00FB1D09">
        <w:rPr>
          <w:rFonts w:ascii="Baskerville" w:hAnsi="Baskerville" w:cs="Baskerville"/>
        </w:rPr>
        <w:t xml:space="preserve"> </w:t>
      </w:r>
      <w:r>
        <w:rPr>
          <w:rFonts w:ascii="Baskerville" w:hAnsi="Baskerville" w:cs="Baskerville"/>
          <w:i/>
          <w:iCs/>
        </w:rPr>
        <w:t>Id.</w:t>
      </w:r>
      <w:r w:rsidR="00FB1D09">
        <w:rPr>
          <w:rFonts w:ascii="Baskerville" w:hAnsi="Baskerville" w:cs="Baskerville"/>
        </w:rPr>
        <w:t xml:space="preserve"> </w:t>
      </w:r>
      <w:r>
        <w:rPr>
          <w:rFonts w:ascii="Baskerville" w:hAnsi="Baskerville" w:cs="Baskerville"/>
        </w:rPr>
        <w:t xml:space="preserve">The </w:t>
      </w:r>
      <w:r>
        <w:rPr>
          <w:rFonts w:ascii="Baskerville" w:hAnsi="Baskerville" w:cs="Baskerville"/>
          <w:i/>
          <w:iCs/>
        </w:rPr>
        <w:t>Applied Micro</w:t>
      </w:r>
      <w:r>
        <w:rPr>
          <w:rFonts w:ascii="Baskerville" w:hAnsi="Baskerville" w:cs="Baskerville"/>
        </w:rPr>
        <w:t xml:space="preserve"> court predicted that the Illinois Supreme Court would follow </w:t>
      </w:r>
      <w:r>
        <w:rPr>
          <w:rFonts w:ascii="Baskerville" w:hAnsi="Baskerville" w:cs="Baskerville"/>
          <w:i/>
          <w:iCs/>
        </w:rPr>
        <w:t>Abel</w:t>
      </w:r>
      <w:r>
        <w:rPr>
          <w:rFonts w:ascii="Baskerville" w:hAnsi="Baskerville" w:cs="Baskerville"/>
        </w:rPr>
        <w:t xml:space="preserve"> and its holding that an at-will relationship can serve as the basis for a covenant not to compete (</w:t>
      </w:r>
      <w:r>
        <w:rPr>
          <w:rFonts w:ascii="Baskerville" w:hAnsi="Baskerville" w:cs="Baskerville"/>
          <w:i/>
          <w:iCs/>
        </w:rPr>
        <w:t>id.</w:t>
      </w:r>
      <w:r>
        <w:rPr>
          <w:rFonts w:ascii="Baskerville" w:hAnsi="Baskerville" w:cs="Baskerville"/>
        </w:rPr>
        <w:t xml:space="preserve"> at 756).</w:t>
      </w:r>
      <w:r w:rsidR="00FB1D09">
        <w:rPr>
          <w:rFonts w:ascii="Baskerville" w:hAnsi="Baskerville" w:cs="Baskerville"/>
        </w:rPr>
        <w:t xml:space="preserve"> </w:t>
      </w:r>
      <w:r>
        <w:rPr>
          <w:rFonts w:ascii="Baskerville" w:hAnsi="Baskerville" w:cs="Baskerville"/>
        </w:rPr>
        <w:t xml:space="preserve">On ruling, the court insisted that covenants need only be ancillary to “employment </w:t>
      </w:r>
      <w:r>
        <w:rPr>
          <w:rFonts w:ascii="Baskerville" w:hAnsi="Baskerville" w:cs="Baskerville"/>
          <w:i/>
          <w:iCs/>
        </w:rPr>
        <w:t>relationships</w:t>
      </w:r>
      <w:r>
        <w:rPr>
          <w:rFonts w:ascii="Baskerville" w:hAnsi="Baskerville" w:cs="Baskerville"/>
        </w:rPr>
        <w:t>, no matter how configured,” in order to satisfy the ancillarity requirement.</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757 (emphasis added).</w:t>
      </w:r>
      <w:r w:rsidR="00FB1D09">
        <w:rPr>
          <w:rFonts w:ascii="Baskerville" w:hAnsi="Baskerville" w:cs="Baskerville"/>
        </w:rPr>
        <w:t xml:space="preserve"> </w:t>
      </w:r>
      <w:r>
        <w:rPr>
          <w:rFonts w:ascii="Baskerville" w:hAnsi="Baskerville" w:cs="Baskerville"/>
        </w:rPr>
        <w:t>The court explained:</w:t>
      </w:r>
    </w:p>
    <w:p w14:paraId="1FB7BC36" w14:textId="77777777" w:rsidR="00655396" w:rsidRDefault="00655396" w:rsidP="008B512B">
      <w:pPr>
        <w:pStyle w:val="BodyTextIndent"/>
        <w:spacing w:line="240" w:lineRule="auto"/>
      </w:pPr>
    </w:p>
    <w:p w14:paraId="66BC184A" w14:textId="043D3231"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Guidelines do exist to aid the Court in predicting how the state supreme court would rule in this case.</w:t>
      </w:r>
      <w:r w:rsidR="00FB1D09">
        <w:rPr>
          <w:rFonts w:ascii="Baskerville" w:hAnsi="Baskerville" w:cs="Baskerville"/>
          <w:sz w:val="22"/>
          <w:szCs w:val="22"/>
        </w:rPr>
        <w:t xml:space="preserve"> </w:t>
      </w:r>
      <w:r>
        <w:rPr>
          <w:rFonts w:ascii="Baskerville" w:hAnsi="Baskerville" w:cs="Baskerville"/>
          <w:sz w:val="22"/>
          <w:szCs w:val="22"/>
        </w:rPr>
        <w:t>We begin with supreme court precedent, and examine authorities on point, analogous cases, the policies and doctrinal trends that influenced those decisions, and the court’s “considered dicta,” in that order.</w:t>
      </w:r>
      <w:r w:rsidR="00FB1D09">
        <w:rPr>
          <w:rFonts w:ascii="Baskerville" w:hAnsi="Baskerville" w:cs="Baskerville"/>
          <w:sz w:val="22"/>
          <w:szCs w:val="22"/>
        </w:rPr>
        <w:t xml:space="preserve"> </w:t>
      </w:r>
      <w:r>
        <w:rPr>
          <w:rFonts w:ascii="Baskerville" w:hAnsi="Baskerville" w:cs="Baskerville"/>
          <w:i/>
          <w:iCs/>
          <w:sz w:val="22"/>
          <w:szCs w:val="22"/>
        </w:rPr>
        <w:t>Roberts</w:t>
      </w:r>
      <w:r>
        <w:rPr>
          <w:rFonts w:ascii="Baskerville" w:hAnsi="Baskerville" w:cs="Baskerville"/>
          <w:sz w:val="22"/>
          <w:szCs w:val="22"/>
        </w:rPr>
        <w:t xml:space="preserve"> [</w:t>
      </w:r>
      <w:r>
        <w:rPr>
          <w:rFonts w:ascii="Baskerville" w:hAnsi="Baskerville" w:cs="Baskerville"/>
          <w:i/>
          <w:iCs/>
          <w:sz w:val="22"/>
          <w:szCs w:val="22"/>
        </w:rPr>
        <w:t>v. Western-Southern Life Ins. Co.</w:t>
      </w:r>
      <w:r>
        <w:rPr>
          <w:rFonts w:ascii="Baskerville" w:hAnsi="Baskerville" w:cs="Baskerville"/>
          <w:sz w:val="22"/>
          <w:szCs w:val="22"/>
        </w:rPr>
        <w:t xml:space="preserve">, 568 F. Supp. 536, 544 (N.D. Ill. 1983)] (quoting </w:t>
      </w:r>
      <w:r>
        <w:rPr>
          <w:rFonts w:ascii="Baskerville" w:hAnsi="Baskerville" w:cs="Baskerville"/>
          <w:i/>
          <w:iCs/>
          <w:sz w:val="22"/>
          <w:szCs w:val="22"/>
        </w:rPr>
        <w:t>McKenna v. Ortho Pharmaceutical Corp.</w:t>
      </w:r>
      <w:r>
        <w:rPr>
          <w:rFonts w:ascii="Baskerville" w:hAnsi="Baskerville" w:cs="Baskerville"/>
          <w:sz w:val="22"/>
          <w:szCs w:val="22"/>
        </w:rPr>
        <w:t>, 622 F.2d 657, 662 (2d Cir. 1980)).</w:t>
      </w:r>
      <w:r w:rsidR="00FB1D09">
        <w:rPr>
          <w:rFonts w:ascii="Baskerville" w:hAnsi="Baskerville" w:cs="Baskerville"/>
          <w:sz w:val="22"/>
          <w:szCs w:val="22"/>
        </w:rPr>
        <w:t xml:space="preserve"> </w:t>
      </w:r>
      <w:r>
        <w:rPr>
          <w:rFonts w:ascii="Baskerville" w:hAnsi="Baskerville" w:cs="Baskerville"/>
          <w:sz w:val="22"/>
          <w:szCs w:val="22"/>
        </w:rPr>
        <w:t>“Of somewhat less importance” are decisions of lower state courts and other federal courts, which “should be accorded proper regard, of course, but not conclusive effect.”</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(internal quotations omitted).</w:t>
      </w:r>
      <w:r w:rsidR="00FB1D09">
        <w:rPr>
          <w:rFonts w:ascii="Baskerville" w:hAnsi="Baskerville" w:cs="Baskerville"/>
          <w:sz w:val="22"/>
          <w:szCs w:val="22"/>
        </w:rPr>
        <w:t xml:space="preserve"> </w:t>
      </w:r>
      <w:r>
        <w:rPr>
          <w:rFonts w:ascii="Baskerville" w:hAnsi="Baskerville" w:cs="Baskerville"/>
          <w:sz w:val="22"/>
          <w:szCs w:val="22"/>
        </w:rPr>
        <w:t>Research has revealed no supreme court decisions on point, but a number of cases evincing policy and doctrine that would inform the court’s decision if faced with the issue before us.</w:t>
      </w:r>
      <w:r w:rsidR="00FB1D09">
        <w:rPr>
          <w:rFonts w:ascii="Baskerville" w:hAnsi="Baskerville" w:cs="Baskerville"/>
          <w:sz w:val="22"/>
          <w:szCs w:val="22"/>
        </w:rPr>
        <w:t xml:space="preserve"> </w:t>
      </w:r>
      <w:r>
        <w:rPr>
          <w:rFonts w:ascii="Baskerville" w:hAnsi="Baskerville" w:cs="Baskerville"/>
          <w:sz w:val="22"/>
          <w:szCs w:val="22"/>
        </w:rPr>
        <w:t xml:space="preserve">Moreover, the [Fourth District’s] opinion in </w:t>
      </w:r>
      <w:r>
        <w:rPr>
          <w:rFonts w:ascii="Baskerville" w:hAnsi="Baskerville" w:cs="Baskerville"/>
          <w:i/>
          <w:iCs/>
          <w:sz w:val="22"/>
          <w:szCs w:val="22"/>
        </w:rPr>
        <w:t>Abel</w:t>
      </w:r>
      <w:r>
        <w:rPr>
          <w:rFonts w:ascii="Baskerville" w:hAnsi="Baskerville" w:cs="Baskerville"/>
          <w:sz w:val="22"/>
          <w:szCs w:val="22"/>
        </w:rPr>
        <w:t xml:space="preserve"> provides a compelling analysis grounded in this precedent and in persuasive authority.</w:t>
      </w:r>
    </w:p>
    <w:p w14:paraId="58FCC352" w14:textId="1499036F"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As discussed in </w:t>
      </w:r>
      <w:r>
        <w:rPr>
          <w:rFonts w:ascii="Baskerville" w:hAnsi="Baskerville" w:cs="Baskerville"/>
          <w:i/>
          <w:iCs/>
          <w:sz w:val="22"/>
          <w:szCs w:val="22"/>
        </w:rPr>
        <w:t>Abel</w:t>
      </w:r>
      <w:r>
        <w:rPr>
          <w:rFonts w:ascii="Baskerville" w:hAnsi="Baskerville" w:cs="Baskerville"/>
          <w:sz w:val="22"/>
          <w:szCs w:val="22"/>
        </w:rPr>
        <w:t>, the Illinois Supreme Court has expressed its approval of restrictive covenants that protect the fruits of one party’s efforts from unjust use by the other party.</w:t>
      </w:r>
      <w:r w:rsidR="00FB1D09">
        <w:rPr>
          <w:rFonts w:ascii="Baskerville" w:hAnsi="Baskerville" w:cs="Baskerville"/>
          <w:sz w:val="22"/>
          <w:szCs w:val="22"/>
        </w:rPr>
        <w:t xml:space="preserve"> </w:t>
      </w:r>
      <w:r w:rsidR="00944F63">
        <w:rPr>
          <w:rFonts w:ascii="Baskerville" w:hAnsi="Baskerville" w:cs="Baskerville"/>
          <w:sz w:val="22"/>
          <w:szCs w:val="22"/>
        </w:rPr>
        <w:t xml:space="preserve"> …</w:t>
      </w:r>
      <w:r>
        <w:rPr>
          <w:sz w:val="22"/>
          <w:szCs w:val="22"/>
        </w:rPr>
        <w:t> </w:t>
      </w:r>
      <w:r>
        <w:rPr>
          <w:rFonts w:ascii="Baskerville" w:hAnsi="Baskerville" w:cs="Baskerville"/>
          <w:sz w:val="22"/>
          <w:szCs w:val="22"/>
        </w:rPr>
        <w:t xml:space="preserve">. [B]road language [in </w:t>
      </w:r>
      <w:r>
        <w:rPr>
          <w:rFonts w:ascii="Baskerville" w:hAnsi="Baskerville" w:cs="Baskerville"/>
          <w:i/>
          <w:iCs/>
          <w:sz w:val="22"/>
          <w:szCs w:val="22"/>
        </w:rPr>
        <w:t>Union Trust &amp; Sav. Bank v. Kinloch Long-Distance Tel. Co.</w:t>
      </w:r>
      <w:r>
        <w:rPr>
          <w:rFonts w:ascii="Baskerville" w:hAnsi="Baskerville" w:cs="Baskerville"/>
          <w:sz w:val="22"/>
          <w:szCs w:val="22"/>
        </w:rPr>
        <w:t xml:space="preserve">, 258 Ill. 202, 207, 101 N.E.2d 535, 537 (1913),] indicates that the supreme court will uphold restrictive covenants to protect an employer’s investments, </w:t>
      </w:r>
      <w:r>
        <w:rPr>
          <w:rFonts w:ascii="Baskerville" w:hAnsi="Baskerville" w:cs="Baskerville"/>
          <w:i/>
          <w:iCs/>
          <w:sz w:val="22"/>
          <w:szCs w:val="22"/>
        </w:rPr>
        <w:t>without regard to the nature of the employer-employee relationship</w:t>
      </w:r>
      <w:r>
        <w:rPr>
          <w:rFonts w:ascii="Baskerville" w:hAnsi="Baskerville" w:cs="Baskerville"/>
          <w:sz w:val="22"/>
          <w:szCs w:val="22"/>
        </w:rPr>
        <w:t>.</w:t>
      </w:r>
    </w:p>
    <w:p w14:paraId="73DE04F7"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p>
    <w:p w14:paraId="27717251" w14:textId="77777777" w:rsidR="00655396" w:rsidRDefault="00655396" w:rsidP="008B512B">
      <w:pPr>
        <w:pStyle w:val="NoParagraphStyle"/>
        <w:tabs>
          <w:tab w:val="left" w:pos="960"/>
          <w:tab w:val="left" w:pos="1440"/>
        </w:tabs>
        <w:spacing w:line="240" w:lineRule="auto"/>
        <w:ind w:left="480"/>
        <w:jc w:val="center"/>
        <w:rPr>
          <w:rFonts w:ascii="Baskerville" w:hAnsi="Baskerville" w:cs="Baskerville"/>
          <w:sz w:val="22"/>
          <w:szCs w:val="22"/>
        </w:rPr>
      </w:pPr>
      <w:r>
        <w:rPr>
          <w:rFonts w:ascii="Baskerville" w:hAnsi="Baskerville" w:cs="Baskerville"/>
          <w:sz w:val="22"/>
          <w:szCs w:val="22"/>
        </w:rPr>
        <w:lastRenderedPageBreak/>
        <w:t>* * * *</w:t>
      </w:r>
    </w:p>
    <w:p w14:paraId="463B4732" w14:textId="477FADD3"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Not only does supreme court precedent support </w:t>
      </w:r>
      <w:r>
        <w:rPr>
          <w:rFonts w:ascii="Baskerville" w:hAnsi="Baskerville" w:cs="Baskerville"/>
          <w:i/>
          <w:iCs/>
          <w:sz w:val="22"/>
          <w:szCs w:val="22"/>
        </w:rPr>
        <w:t>Abel’s</w:t>
      </w:r>
      <w:r>
        <w:rPr>
          <w:rFonts w:ascii="Baskerville" w:hAnsi="Baskerville" w:cs="Baskerville"/>
          <w:sz w:val="22"/>
          <w:szCs w:val="22"/>
        </w:rPr>
        <w:t xml:space="preserve"> conclusion that </w:t>
      </w:r>
      <w:r>
        <w:rPr>
          <w:rFonts w:ascii="Baskerville" w:hAnsi="Baskerville" w:cs="Baskerville"/>
          <w:i/>
          <w:iCs/>
          <w:sz w:val="22"/>
          <w:szCs w:val="22"/>
        </w:rPr>
        <w:t>employment relationships, no matter how configured, may be supplemented by noncompetes</w:t>
      </w:r>
      <w:r>
        <w:rPr>
          <w:rFonts w:ascii="Baskerville" w:hAnsi="Baskerville" w:cs="Baskerville"/>
          <w:sz w:val="22"/>
          <w:szCs w:val="22"/>
        </w:rPr>
        <w:t>, but persuasive authority solidifies it.</w:t>
      </w:r>
      <w:r w:rsidR="00FB1D09">
        <w:rPr>
          <w:rFonts w:ascii="Baskerville" w:hAnsi="Baskerville" w:cs="Baskerville"/>
          <w:sz w:val="22"/>
          <w:szCs w:val="22"/>
        </w:rPr>
        <w:t xml:space="preserve"> </w:t>
      </w:r>
      <w:r>
        <w:rPr>
          <w:rFonts w:ascii="Baskerville" w:hAnsi="Baskerville" w:cs="Baskerville"/>
          <w:sz w:val="22"/>
          <w:szCs w:val="22"/>
        </w:rPr>
        <w:t xml:space="preserve">As </w:t>
      </w:r>
      <w:r>
        <w:rPr>
          <w:rFonts w:ascii="Baskerville" w:hAnsi="Baskerville" w:cs="Baskerville"/>
          <w:i/>
          <w:iCs/>
          <w:sz w:val="22"/>
          <w:szCs w:val="22"/>
        </w:rPr>
        <w:t>Abel</w:t>
      </w:r>
      <w:r>
        <w:rPr>
          <w:rFonts w:ascii="Baskerville" w:hAnsi="Baskerville" w:cs="Baskerville"/>
          <w:sz w:val="22"/>
          <w:szCs w:val="22"/>
        </w:rPr>
        <w:t xml:space="preserve"> points out, section 187 of the Restatement (Second) of Contracts directly supports allowing noncompetes despite the absence of a written contract: “A promise to refrain from competition that imposes a restraint that is not ancillary to an otherwise valid transaction </w:t>
      </w:r>
      <w:r>
        <w:rPr>
          <w:rFonts w:ascii="Baskerville" w:hAnsi="Baskerville" w:cs="Baskerville"/>
          <w:i/>
          <w:iCs/>
          <w:sz w:val="22"/>
          <w:szCs w:val="22"/>
        </w:rPr>
        <w:t>or relationship</w:t>
      </w:r>
      <w:r>
        <w:rPr>
          <w:rFonts w:ascii="Baskerville" w:hAnsi="Baskerville" w:cs="Baskerville"/>
          <w:sz w:val="22"/>
          <w:szCs w:val="22"/>
        </w:rPr>
        <w:t xml:space="preserve"> is unreasonably in restraint of trade.”</w:t>
      </w:r>
      <w:r w:rsidR="00FB1D09">
        <w:rPr>
          <w:rFonts w:ascii="Baskerville" w:hAnsi="Baskerville" w:cs="Baskerville"/>
          <w:sz w:val="22"/>
          <w:szCs w:val="22"/>
        </w:rPr>
        <w:t xml:space="preserve"> </w:t>
      </w:r>
      <w:r>
        <w:rPr>
          <w:rFonts w:ascii="Baskerville" w:hAnsi="Baskerville" w:cs="Baskerville"/>
          <w:smallCaps/>
          <w:sz w:val="22"/>
          <w:szCs w:val="22"/>
        </w:rPr>
        <w:t>Restatement (Second) of Contracts</w:t>
      </w:r>
      <w:r>
        <w:rPr>
          <w:rFonts w:ascii="Baskerville" w:hAnsi="Baskerville" w:cs="Baskerville"/>
          <w:sz w:val="22"/>
          <w:szCs w:val="22"/>
        </w:rPr>
        <w:t xml:space="preserve"> §187, at 38 (1979) (emphasis added).</w:t>
      </w:r>
      <w:r w:rsidR="00FB1D09">
        <w:rPr>
          <w:rFonts w:ascii="Baskerville" w:hAnsi="Baskerville" w:cs="Baskerville"/>
          <w:sz w:val="22"/>
          <w:szCs w:val="22"/>
        </w:rPr>
        <w:t xml:space="preserve"> </w:t>
      </w:r>
      <w:r>
        <w:rPr>
          <w:rFonts w:ascii="Baskerville" w:hAnsi="Baskerville" w:cs="Baskerville"/>
          <w:sz w:val="22"/>
          <w:szCs w:val="22"/>
        </w:rPr>
        <w:t>Comment b to section 187 explains that the promisee’s interest may arise out of “a relationship between himself as employer or principal and the promisor as employee or agent,” and says nothing about the need for an employment contract setting forth specific terms of employment.</w:t>
      </w:r>
      <w:r w:rsidR="00FB1D09">
        <w:rPr>
          <w:rFonts w:ascii="Baskerville" w:hAnsi="Baskerville" w:cs="Baskerville"/>
          <w:sz w:val="22"/>
          <w:szCs w:val="22"/>
        </w:rPr>
        <w:t xml:space="preserve"> </w:t>
      </w:r>
      <w:r>
        <w:rPr>
          <w:rFonts w:ascii="Baskerville" w:hAnsi="Baskerville" w:cs="Baskerville"/>
          <w:sz w:val="22"/>
          <w:szCs w:val="22"/>
        </w:rPr>
        <w:t>Finally, comment g to section 188 is right on point: “A restraint may be ancillary to a relationship although, as in the case of an employment at will, no contract of employment is involved.”</w:t>
      </w:r>
      <w:r w:rsidR="00FB1D09">
        <w:rPr>
          <w:rFonts w:ascii="Baskerville" w:hAnsi="Baskerville" w:cs="Baskerville"/>
          <w:sz w:val="22"/>
          <w:szCs w:val="22"/>
        </w:rPr>
        <w:t xml:space="preserve"> </w:t>
      </w:r>
      <w:r>
        <w:rPr>
          <w:rFonts w:ascii="Baskerville" w:hAnsi="Baskerville" w:cs="Baskerville"/>
          <w:smallCaps/>
          <w:sz w:val="22"/>
          <w:szCs w:val="22"/>
        </w:rPr>
        <w:t>Restatement (Second) of Contracts</w:t>
      </w:r>
      <w:r>
        <w:rPr>
          <w:rFonts w:ascii="Baskerville" w:hAnsi="Baskerville" w:cs="Baskerville"/>
          <w:sz w:val="22"/>
          <w:szCs w:val="22"/>
        </w:rPr>
        <w:t xml:space="preserve"> §188 comment g, at 45 (1979).</w:t>
      </w:r>
    </w:p>
    <w:p w14:paraId="6B2724B9" w14:textId="0C8992D7" w:rsidR="00655396" w:rsidRPr="008E53BE" w:rsidRDefault="00655396" w:rsidP="008B512B">
      <w:pPr>
        <w:pStyle w:val="NoParagraphStyle"/>
        <w:tabs>
          <w:tab w:val="left" w:pos="960"/>
          <w:tab w:val="left" w:pos="1440"/>
        </w:tabs>
        <w:spacing w:line="240" w:lineRule="auto"/>
        <w:ind w:left="480"/>
        <w:jc w:val="both"/>
        <w:rPr>
          <w:rFonts w:ascii="Baskerville" w:hAnsi="Baskerville" w:cs="Baskerville"/>
          <w:sz w:val="22"/>
          <w:szCs w:val="22"/>
          <w:lang w:val="nb-NO"/>
        </w:rPr>
      </w:pPr>
      <w:r>
        <w:rPr>
          <w:rFonts w:ascii="Baskerville" w:hAnsi="Baskerville" w:cs="Baskerville"/>
          <w:sz w:val="22"/>
          <w:szCs w:val="22"/>
        </w:rPr>
        <w:tab/>
        <w:t xml:space="preserve">These authorities, compiled in the </w:t>
      </w:r>
      <w:r>
        <w:rPr>
          <w:rFonts w:ascii="Baskerville" w:hAnsi="Baskerville" w:cs="Baskerville"/>
          <w:i/>
          <w:iCs/>
          <w:sz w:val="22"/>
          <w:szCs w:val="22"/>
        </w:rPr>
        <w:t>Abel</w:t>
      </w:r>
      <w:r>
        <w:rPr>
          <w:rFonts w:ascii="Baskerville" w:hAnsi="Baskerville" w:cs="Baskerville"/>
          <w:sz w:val="22"/>
          <w:szCs w:val="22"/>
        </w:rPr>
        <w:t xml:space="preserve"> decision, recognize that pitting employment by contract against employment at will makes a distinction without a difference.</w:t>
      </w:r>
      <w:r w:rsidR="00FB1D09">
        <w:rPr>
          <w:rFonts w:ascii="Baskerville" w:hAnsi="Baskerville" w:cs="Baskerville"/>
          <w:sz w:val="22"/>
          <w:szCs w:val="22"/>
        </w:rPr>
        <w:t xml:space="preserve"> </w:t>
      </w:r>
      <w:r>
        <w:rPr>
          <w:rFonts w:ascii="Baskerville" w:hAnsi="Baskerville" w:cs="Baskerville"/>
          <w:sz w:val="22"/>
          <w:szCs w:val="22"/>
        </w:rPr>
        <w:t>The Seventh Circuit has said as much, noting that “[e]mployment at will is of course a valid contractual relationship.”</w:t>
      </w:r>
      <w:r w:rsidR="00CD7A12">
        <w:rPr>
          <w:rFonts w:ascii="Baskerville" w:hAnsi="Baskerville" w:cs="Baskerville"/>
          <w:sz w:val="22"/>
          <w:szCs w:val="22"/>
        </w:rPr>
        <w:t xml:space="preserve"> </w:t>
      </w:r>
      <w:r>
        <w:rPr>
          <w:rFonts w:ascii="Baskerville" w:hAnsi="Baskerville" w:cs="Baskerville"/>
          <w:i/>
          <w:iCs/>
          <w:sz w:val="22"/>
          <w:szCs w:val="22"/>
        </w:rPr>
        <w:t>Curtis</w:t>
      </w:r>
      <w:r>
        <w:rPr>
          <w:rFonts w:ascii="Baskerville" w:hAnsi="Baskerville" w:cs="Baskerville"/>
          <w:sz w:val="22"/>
          <w:szCs w:val="22"/>
        </w:rPr>
        <w:t xml:space="preserve"> [</w:t>
      </w:r>
      <w:r>
        <w:rPr>
          <w:rFonts w:ascii="Baskerville" w:hAnsi="Baskerville" w:cs="Baskerville"/>
          <w:i/>
          <w:iCs/>
          <w:sz w:val="22"/>
          <w:szCs w:val="22"/>
        </w:rPr>
        <w:t>1000, Inc. v. Suess</w:t>
      </w:r>
      <w:r>
        <w:rPr>
          <w:rFonts w:ascii="Baskerville" w:hAnsi="Baskerville" w:cs="Baskerville"/>
          <w:sz w:val="22"/>
          <w:szCs w:val="22"/>
        </w:rPr>
        <w:t>, 24 F.3d 941, 943 (7th Cir. 1994)].</w:t>
      </w:r>
      <w:r w:rsidR="00FB1D09">
        <w:rPr>
          <w:rFonts w:ascii="Baskerville" w:hAnsi="Baskerville" w:cs="Baskerville"/>
          <w:sz w:val="22"/>
          <w:szCs w:val="22"/>
        </w:rPr>
        <w:t xml:space="preserve"> </w:t>
      </w:r>
      <w:r>
        <w:rPr>
          <w:rFonts w:ascii="Baskerville" w:hAnsi="Baskerville" w:cs="Baskerville"/>
          <w:i/>
          <w:iCs/>
          <w:sz w:val="22"/>
          <w:szCs w:val="22"/>
        </w:rPr>
        <w:t>What matters in the ancillarity analysis is that</w:t>
      </w:r>
      <w:r>
        <w:rPr>
          <w:rFonts w:ascii="Baskerville" w:hAnsi="Baskerville" w:cs="Baskerville"/>
          <w:sz w:val="22"/>
          <w:szCs w:val="22"/>
        </w:rPr>
        <w:t xml:space="preserve"> [</w:t>
      </w:r>
      <w:r>
        <w:rPr>
          <w:rFonts w:ascii="Baskerville" w:hAnsi="Baskerville" w:cs="Baskerville"/>
          <w:i/>
          <w:iCs/>
          <w:sz w:val="22"/>
          <w:szCs w:val="22"/>
        </w:rPr>
        <w:t>the</w:t>
      </w:r>
      <w:r>
        <w:rPr>
          <w:rFonts w:ascii="Baskerville" w:hAnsi="Baskerville" w:cs="Baskerville"/>
          <w:sz w:val="22"/>
          <w:szCs w:val="22"/>
        </w:rPr>
        <w:t xml:space="preserve">] </w:t>
      </w:r>
      <w:r>
        <w:rPr>
          <w:rFonts w:ascii="Baskerville" w:hAnsi="Baskerville" w:cs="Baskerville"/>
          <w:i/>
          <w:iCs/>
          <w:sz w:val="22"/>
          <w:szCs w:val="22"/>
        </w:rPr>
        <w:t>noncompete be subordinate to the employer-employee relationship, which is no less valid or meaningful simply because it is at-will.</w:t>
      </w:r>
      <w:r w:rsidR="00FB1D09">
        <w:rPr>
          <w:rFonts w:ascii="Baskerville" w:hAnsi="Baskerville" w:cs="Baskerville"/>
          <w:sz w:val="22"/>
          <w:szCs w:val="22"/>
        </w:rPr>
        <w:t xml:space="preserve"> </w:t>
      </w:r>
      <w:r>
        <w:rPr>
          <w:rFonts w:ascii="Baskerville" w:hAnsi="Baskerville" w:cs="Baskerville"/>
          <w:sz w:val="22"/>
          <w:szCs w:val="22"/>
        </w:rPr>
        <w:t xml:space="preserve">As the </w:t>
      </w:r>
      <w:r>
        <w:rPr>
          <w:rFonts w:ascii="Baskerville" w:hAnsi="Baskerville" w:cs="Baskerville"/>
          <w:i/>
          <w:iCs/>
          <w:sz w:val="22"/>
          <w:szCs w:val="22"/>
        </w:rPr>
        <w:t>Abel</w:t>
      </w:r>
      <w:r>
        <w:rPr>
          <w:rFonts w:ascii="Baskerville" w:hAnsi="Baskerville" w:cs="Baskerville"/>
          <w:sz w:val="22"/>
          <w:szCs w:val="22"/>
        </w:rPr>
        <w:t xml:space="preserve"> court correctly observes, at-will employment is a “relationship with numerous legal consequences, imposing rights and obligations on both parties.”</w:t>
      </w:r>
      <w:r w:rsidR="00FB1D09">
        <w:rPr>
          <w:rFonts w:ascii="Baskerville" w:hAnsi="Baskerville" w:cs="Baskerville"/>
          <w:sz w:val="22"/>
          <w:szCs w:val="22"/>
        </w:rPr>
        <w:t xml:space="preserve"> </w:t>
      </w:r>
      <w:r w:rsidRPr="008E53BE">
        <w:rPr>
          <w:rFonts w:ascii="Baskerville" w:hAnsi="Baskerville" w:cs="Baskerville"/>
          <w:sz w:val="22"/>
          <w:szCs w:val="22"/>
          <w:lang w:val="nb-NO"/>
        </w:rPr>
        <w:t>274 Ill. App. 3d at 820, 221 Ill. Dec. at 135, 654 N.E.2d at 597.</w:t>
      </w:r>
    </w:p>
    <w:p w14:paraId="57B8CC0F" w14:textId="77777777" w:rsidR="00655396" w:rsidRPr="008E53BE" w:rsidRDefault="00655396" w:rsidP="008B512B">
      <w:pPr>
        <w:pStyle w:val="NoParagraphStyle"/>
        <w:tabs>
          <w:tab w:val="left" w:pos="960"/>
          <w:tab w:val="left" w:pos="1440"/>
        </w:tabs>
        <w:spacing w:line="240" w:lineRule="auto"/>
        <w:ind w:left="480"/>
        <w:jc w:val="both"/>
        <w:rPr>
          <w:rFonts w:ascii="Baskerville" w:hAnsi="Baskerville" w:cs="Baskerville"/>
          <w:sz w:val="22"/>
          <w:szCs w:val="22"/>
          <w:lang w:val="nb-NO"/>
        </w:rPr>
      </w:pPr>
    </w:p>
    <w:p w14:paraId="67794938" w14:textId="77777777" w:rsidR="00655396" w:rsidRDefault="00655396" w:rsidP="008B512B">
      <w:pPr>
        <w:pStyle w:val="NoParagraphStyle"/>
        <w:tabs>
          <w:tab w:val="left" w:pos="960"/>
          <w:tab w:val="left" w:pos="1440"/>
        </w:tabs>
        <w:spacing w:line="240" w:lineRule="auto"/>
        <w:ind w:left="480"/>
        <w:jc w:val="center"/>
        <w:rPr>
          <w:rFonts w:ascii="Baskerville" w:hAnsi="Baskerville" w:cs="Baskerville"/>
          <w:sz w:val="22"/>
          <w:szCs w:val="22"/>
        </w:rPr>
      </w:pPr>
      <w:r>
        <w:rPr>
          <w:rFonts w:ascii="Baskerville" w:hAnsi="Baskerville" w:cs="Baskerville"/>
          <w:sz w:val="22"/>
          <w:szCs w:val="22"/>
        </w:rPr>
        <w:t>* * * *</w:t>
      </w:r>
    </w:p>
    <w:p w14:paraId="32FAC728" w14:textId="2D91B422"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[The former employee in the instant case] argues that if we decline to follow </w:t>
      </w:r>
      <w:r>
        <w:rPr>
          <w:rFonts w:ascii="Baskerville" w:hAnsi="Baskerville" w:cs="Baskerville"/>
          <w:i/>
          <w:iCs/>
          <w:sz w:val="22"/>
          <w:szCs w:val="22"/>
        </w:rPr>
        <w:t>Creative Entertainment</w:t>
      </w:r>
      <w:r>
        <w:rPr>
          <w:rFonts w:ascii="Baskerville" w:hAnsi="Baskerville" w:cs="Baskerville"/>
          <w:sz w:val="22"/>
          <w:szCs w:val="22"/>
        </w:rPr>
        <w:t xml:space="preserve"> and uphold her noncompete, we will be ignoring the “underlying evil” that the case attempts to cure.</w:t>
      </w:r>
      <w:r w:rsidR="00FB1D09">
        <w:rPr>
          <w:rFonts w:ascii="Baskerville" w:hAnsi="Baskerville" w:cs="Baskerville"/>
          <w:sz w:val="22"/>
          <w:szCs w:val="22"/>
        </w:rPr>
        <w:t xml:space="preserve"> </w:t>
      </w:r>
      <w:r>
        <w:rPr>
          <w:rFonts w:ascii="Baskerville" w:hAnsi="Baskerville" w:cs="Baskerville"/>
          <w:sz w:val="22"/>
          <w:szCs w:val="22"/>
        </w:rPr>
        <w:t>Def. Reply at 7.</w:t>
      </w:r>
      <w:r w:rsidR="00FB1D09">
        <w:rPr>
          <w:rFonts w:ascii="Baskerville" w:hAnsi="Baskerville" w:cs="Baskerville"/>
          <w:sz w:val="22"/>
          <w:szCs w:val="22"/>
        </w:rPr>
        <w:t xml:space="preserve"> </w:t>
      </w:r>
      <w:r>
        <w:rPr>
          <w:rFonts w:ascii="Baskerville" w:hAnsi="Baskerville" w:cs="Baskerville"/>
          <w:sz w:val="22"/>
          <w:szCs w:val="22"/>
        </w:rPr>
        <w:t>Specifically, such a decision would purportedly enable employers to ask an existing at-will employee to sign a restrictive covenant, fire the at-will employee right afterward, and still enforce the restrictive covenant.</w:t>
      </w:r>
      <w:r w:rsidR="00FB1D09">
        <w:rPr>
          <w:rFonts w:ascii="Baskerville" w:hAnsi="Baskerville" w:cs="Baskerville"/>
          <w:sz w:val="22"/>
          <w:szCs w:val="22"/>
        </w:rPr>
        <w:t xml:space="preserve"> </w:t>
      </w:r>
      <w:r>
        <w:rPr>
          <w:rFonts w:ascii="Baskerville" w:hAnsi="Baskerville" w:cs="Baskerville"/>
          <w:i/>
          <w:iCs/>
          <w:sz w:val="22"/>
          <w:szCs w:val="22"/>
        </w:rPr>
        <w:t>Id.</w:t>
      </w:r>
      <w:r w:rsidR="00FB1D09">
        <w:rPr>
          <w:rFonts w:ascii="Baskerville" w:hAnsi="Baskerville" w:cs="Baskerville"/>
          <w:sz w:val="22"/>
          <w:szCs w:val="22"/>
        </w:rPr>
        <w:t xml:space="preserve"> </w:t>
      </w:r>
      <w:r>
        <w:rPr>
          <w:rFonts w:ascii="Baskerville" w:hAnsi="Baskerville" w:cs="Baskerville"/>
          <w:sz w:val="22"/>
          <w:szCs w:val="22"/>
        </w:rPr>
        <w:t>This argument is without merit.</w:t>
      </w:r>
      <w:r w:rsidR="00FB1D09">
        <w:rPr>
          <w:rFonts w:ascii="Baskerville" w:hAnsi="Baskerville" w:cs="Baskerville"/>
          <w:sz w:val="22"/>
          <w:szCs w:val="22"/>
        </w:rPr>
        <w:t xml:space="preserve"> </w:t>
      </w:r>
      <w:r>
        <w:rPr>
          <w:rFonts w:ascii="Baskerville" w:hAnsi="Baskerville" w:cs="Baskerville"/>
          <w:sz w:val="22"/>
          <w:szCs w:val="22"/>
        </w:rPr>
        <w:t xml:space="preserve">It ignores the long line of cases, which our decision does not disturb, requiring continued employment for a substantial period after </w:t>
      </w:r>
      <w:r>
        <w:rPr>
          <w:rFonts w:ascii="Baskerville" w:hAnsi="Baskerville" w:cs="Baskerville"/>
          <w:sz w:val="22"/>
          <w:szCs w:val="22"/>
        </w:rPr>
        <w:lastRenderedPageBreak/>
        <w:t>the employee signs the noncompete.</w:t>
      </w:r>
      <w:r w:rsidR="00FB1D09">
        <w:rPr>
          <w:rFonts w:ascii="Baskerville" w:hAnsi="Baskerville" w:cs="Baskerville"/>
          <w:sz w:val="22"/>
          <w:szCs w:val="22"/>
        </w:rPr>
        <w:t xml:space="preserve"> </w:t>
      </w:r>
      <w:r>
        <w:rPr>
          <w:rFonts w:ascii="Baskerville" w:hAnsi="Baskerville" w:cs="Baskerville"/>
          <w:sz w:val="22"/>
          <w:szCs w:val="22"/>
        </w:rPr>
        <w:t>An employer in the situation posited by [the former employee in the instant case] would clearly be unable to enforce the restrictive covenant for lack of consideration.</w:t>
      </w:r>
    </w:p>
    <w:p w14:paraId="59B70CE4" w14:textId="0B61F0A5"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Our decision that the supreme court would favor the reasoning and result in </w:t>
      </w:r>
      <w:r>
        <w:rPr>
          <w:rFonts w:ascii="Baskerville" w:hAnsi="Baskerville" w:cs="Baskerville"/>
          <w:i/>
          <w:iCs/>
          <w:sz w:val="22"/>
          <w:szCs w:val="22"/>
        </w:rPr>
        <w:t>Abel</w:t>
      </w:r>
      <w:r>
        <w:rPr>
          <w:rFonts w:ascii="Baskerville" w:hAnsi="Baskerville" w:cs="Baskerville"/>
          <w:sz w:val="22"/>
          <w:szCs w:val="22"/>
        </w:rPr>
        <w:t xml:space="preserve"> over </w:t>
      </w:r>
      <w:r>
        <w:rPr>
          <w:rFonts w:ascii="Baskerville" w:hAnsi="Baskerville" w:cs="Baskerville"/>
          <w:i/>
          <w:iCs/>
          <w:sz w:val="22"/>
          <w:szCs w:val="22"/>
        </w:rPr>
        <w:t>Creative Entertainment</w:t>
      </w:r>
      <w:r>
        <w:rPr>
          <w:rFonts w:ascii="Baskerville" w:hAnsi="Baskerville" w:cs="Baskerville"/>
          <w:sz w:val="22"/>
          <w:szCs w:val="22"/>
        </w:rPr>
        <w:t xml:space="preserve"> is strengthened by the fact that </w:t>
      </w:r>
      <w:r>
        <w:rPr>
          <w:rFonts w:ascii="Baskerville" w:hAnsi="Baskerville" w:cs="Baskerville"/>
          <w:i/>
          <w:iCs/>
          <w:sz w:val="22"/>
          <w:szCs w:val="22"/>
        </w:rPr>
        <w:t>Creative Entertainment</w:t>
      </w:r>
      <w:r>
        <w:rPr>
          <w:rFonts w:ascii="Baskerville" w:hAnsi="Baskerville" w:cs="Baskerville"/>
          <w:sz w:val="22"/>
          <w:szCs w:val="22"/>
        </w:rPr>
        <w:t xml:space="preserve"> cites no supreme court cases or persuasive authority for its conclusion, and is even inconsistent with one of its own earlier decisions.</w:t>
      </w:r>
      <w:r w:rsidR="00FB1D09">
        <w:rPr>
          <w:rFonts w:ascii="Baskerville" w:hAnsi="Baskerville" w:cs="Baskerville"/>
          <w:sz w:val="22"/>
          <w:szCs w:val="22"/>
        </w:rPr>
        <w:t xml:space="preserve"> </w:t>
      </w:r>
      <w:r>
        <w:rPr>
          <w:rFonts w:ascii="Baskerville" w:hAnsi="Baskerville" w:cs="Baskerville"/>
          <w:sz w:val="22"/>
          <w:szCs w:val="22"/>
        </w:rPr>
        <w:t xml:space="preserve">In </w:t>
      </w:r>
      <w:r>
        <w:rPr>
          <w:rFonts w:ascii="Baskerville" w:hAnsi="Baskerville" w:cs="Baskerville"/>
          <w:i/>
          <w:iCs/>
          <w:sz w:val="22"/>
          <w:szCs w:val="22"/>
        </w:rPr>
        <w:t>Agrimerica, Inc. v. Mathes</w:t>
      </w:r>
      <w:r>
        <w:rPr>
          <w:rFonts w:ascii="Baskerville" w:hAnsi="Baskerville" w:cs="Baskerville"/>
          <w:sz w:val="22"/>
          <w:szCs w:val="22"/>
        </w:rPr>
        <w:t>[, 199 Ill. App. 3d 435, 145 Ill. Dec. 587, 557 N.E.2d 357 (1st Dist. 1990)], the First District rebuffed challenges to a noncompete’s consideration and ancillarity despite the fact that the challenger was an at-will employee.</w:t>
      </w:r>
      <w:r w:rsidR="00FB1D09">
        <w:rPr>
          <w:rFonts w:ascii="Baskerville" w:hAnsi="Baskerville" w:cs="Baskerville"/>
          <w:sz w:val="22"/>
          <w:szCs w:val="22"/>
        </w:rPr>
        <w:t xml:space="preserve"> </w:t>
      </w:r>
      <w:r w:rsidRPr="008E53BE">
        <w:rPr>
          <w:rFonts w:ascii="Baskerville" w:hAnsi="Baskerville" w:cs="Baskerville"/>
          <w:sz w:val="22"/>
          <w:szCs w:val="22"/>
          <w:lang w:val="nb-NO"/>
        </w:rPr>
        <w:t>199 Ill. App. 3d at 439, 442, 145 Ill. Dec. at 590, 592, 557 N.E.2d at 360, 362, 366.</w:t>
      </w:r>
      <w:r w:rsidR="00FB1D09">
        <w:rPr>
          <w:rFonts w:ascii="Baskerville" w:hAnsi="Baskerville" w:cs="Baskerville"/>
          <w:sz w:val="22"/>
          <w:szCs w:val="22"/>
          <w:lang w:val="nb-NO"/>
        </w:rPr>
        <w:t xml:space="preserve"> </w:t>
      </w:r>
      <w:r>
        <w:rPr>
          <w:rFonts w:ascii="Baskerville" w:hAnsi="Baskerville" w:cs="Baskerville"/>
          <w:sz w:val="22"/>
          <w:szCs w:val="22"/>
        </w:rPr>
        <w:t xml:space="preserve">The court made no issue of the fact, as it did in </w:t>
      </w:r>
      <w:r>
        <w:rPr>
          <w:rFonts w:ascii="Baskerville" w:hAnsi="Baskerville" w:cs="Baskerville"/>
          <w:i/>
          <w:iCs/>
          <w:sz w:val="22"/>
          <w:szCs w:val="22"/>
        </w:rPr>
        <w:t>Creative Entertainment</w:t>
      </w:r>
      <w:r>
        <w:rPr>
          <w:rFonts w:ascii="Baskerville" w:hAnsi="Baskerville" w:cs="Baskerville"/>
          <w:sz w:val="22"/>
          <w:szCs w:val="22"/>
        </w:rPr>
        <w:t>, that the relationship was at-will, did not promise a specific period of employment, and was not embodied in a contract setting forth other employment terms and conditions.</w:t>
      </w:r>
    </w:p>
    <w:p w14:paraId="5E766BFB" w14:textId="3CF1CD42" w:rsidR="00655396" w:rsidRPr="008E53BE" w:rsidRDefault="00655396" w:rsidP="008B512B">
      <w:pPr>
        <w:pStyle w:val="NoParagraphStyle"/>
        <w:tabs>
          <w:tab w:val="left" w:pos="960"/>
          <w:tab w:val="left" w:pos="1440"/>
        </w:tabs>
        <w:spacing w:line="240" w:lineRule="auto"/>
        <w:ind w:left="480"/>
        <w:jc w:val="both"/>
        <w:rPr>
          <w:rFonts w:ascii="Baskerville" w:hAnsi="Baskerville" w:cs="Baskerville"/>
          <w:sz w:val="22"/>
          <w:szCs w:val="22"/>
          <w:lang w:val="nb-NO"/>
        </w:rPr>
      </w:pPr>
      <w:r>
        <w:rPr>
          <w:rFonts w:ascii="Baskerville" w:hAnsi="Baskerville" w:cs="Baskerville"/>
          <w:sz w:val="22"/>
          <w:szCs w:val="22"/>
        </w:rPr>
        <w:tab/>
        <w:t xml:space="preserve">In sum, </w:t>
      </w:r>
      <w:r>
        <w:rPr>
          <w:rFonts w:ascii="Baskerville" w:hAnsi="Baskerville" w:cs="Baskerville"/>
          <w:i/>
          <w:iCs/>
          <w:sz w:val="22"/>
          <w:szCs w:val="22"/>
        </w:rPr>
        <w:t>Creative Entertainment</w:t>
      </w:r>
      <w:r>
        <w:rPr>
          <w:rFonts w:ascii="Baskerville" w:hAnsi="Baskerville" w:cs="Baskerville"/>
          <w:sz w:val="22"/>
          <w:szCs w:val="22"/>
        </w:rPr>
        <w:t xml:space="preserve"> is out of step with precedent, persuasive authority, and policy.</w:t>
      </w:r>
      <w:r w:rsidR="00FB1D09">
        <w:rPr>
          <w:rFonts w:ascii="Baskerville" w:hAnsi="Baskerville" w:cs="Baskerville"/>
          <w:sz w:val="22"/>
          <w:szCs w:val="22"/>
        </w:rPr>
        <w:t xml:space="preserve"> </w:t>
      </w:r>
      <w:r>
        <w:rPr>
          <w:rFonts w:ascii="Baskerville" w:hAnsi="Baskerville" w:cs="Baskerville"/>
          <w:sz w:val="22"/>
          <w:szCs w:val="22"/>
        </w:rPr>
        <w:t xml:space="preserve">Because we have determined that the supreme court would in all likelihood share our view, we decline to accept </w:t>
      </w:r>
      <w:r>
        <w:rPr>
          <w:rFonts w:ascii="Baskerville" w:hAnsi="Baskerville" w:cs="Baskerville"/>
          <w:i/>
          <w:iCs/>
          <w:sz w:val="22"/>
          <w:szCs w:val="22"/>
        </w:rPr>
        <w:t>Creative Entertainment’s</w:t>
      </w:r>
      <w:r>
        <w:rPr>
          <w:rFonts w:ascii="Baskerville" w:hAnsi="Baskerville" w:cs="Baskerville"/>
          <w:sz w:val="22"/>
          <w:szCs w:val="22"/>
        </w:rPr>
        <w:t xml:space="preserve"> invitation to adopt a legal perspective that would strike down all noncompetes in at-will employment relationships.</w:t>
      </w:r>
      <w:r w:rsidR="00FB1D09">
        <w:rPr>
          <w:rFonts w:ascii="Baskerville" w:hAnsi="Baskerville" w:cs="Baskerville"/>
          <w:sz w:val="22"/>
          <w:szCs w:val="22"/>
        </w:rPr>
        <w:t xml:space="preserve"> </w:t>
      </w:r>
      <w:r>
        <w:rPr>
          <w:rFonts w:ascii="Baskerville" w:hAnsi="Baskerville" w:cs="Baskerville"/>
          <w:sz w:val="22"/>
          <w:szCs w:val="22"/>
        </w:rPr>
        <w:t>Rather, the enforceability of covenants not to compete in at-will arrangements is “based on the same rules which apply to any other post-employment noncompetition covenant made during an employment relationship.”</w:t>
      </w:r>
      <w:r w:rsidR="00FB1D09">
        <w:rPr>
          <w:rFonts w:ascii="Baskerville" w:hAnsi="Baskerville" w:cs="Baskerville"/>
          <w:sz w:val="22"/>
          <w:szCs w:val="22"/>
        </w:rPr>
        <w:t xml:space="preserve"> </w:t>
      </w:r>
      <w:r w:rsidRPr="008E53BE">
        <w:rPr>
          <w:rFonts w:ascii="Baskerville" w:hAnsi="Baskerville" w:cs="Baskerville"/>
          <w:i/>
          <w:iCs/>
          <w:sz w:val="22"/>
          <w:szCs w:val="22"/>
          <w:lang w:val="nb-NO"/>
        </w:rPr>
        <w:t>Abel</w:t>
      </w:r>
      <w:r w:rsidRPr="008E53BE">
        <w:rPr>
          <w:rFonts w:ascii="Baskerville" w:hAnsi="Baskerville" w:cs="Baskerville"/>
          <w:sz w:val="22"/>
          <w:szCs w:val="22"/>
          <w:lang w:val="nb-NO"/>
        </w:rPr>
        <w:t>, 274 Ill. App. 3d at 820, 211 Ill. Dec. at 135, 654 N.E.2d at 597.</w:t>
      </w:r>
    </w:p>
    <w:p w14:paraId="00195E45" w14:textId="77777777" w:rsidR="00655396" w:rsidRPr="008E53BE" w:rsidRDefault="00655396" w:rsidP="008B512B">
      <w:pPr>
        <w:pStyle w:val="BodyTextIndent"/>
        <w:spacing w:line="240" w:lineRule="auto"/>
        <w:rPr>
          <w:lang w:val="nb-NO"/>
        </w:rPr>
      </w:pPr>
    </w:p>
    <w:p w14:paraId="684227A0"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941 F. Supp. at 756–58 (emphasis added).</w:t>
      </w:r>
    </w:p>
    <w:p w14:paraId="4CF7058F" w14:textId="12DCB475"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In a case decided earlier in 1996 and not mentioned by the </w:t>
      </w:r>
      <w:r>
        <w:rPr>
          <w:rFonts w:ascii="Baskerville" w:hAnsi="Baskerville" w:cs="Baskerville"/>
          <w:i/>
          <w:iCs/>
        </w:rPr>
        <w:t>Applied Micro</w:t>
      </w:r>
      <w:r>
        <w:rPr>
          <w:rFonts w:ascii="Baskerville" w:hAnsi="Baskerville" w:cs="Baskerville"/>
        </w:rPr>
        <w:t xml:space="preserve"> court, the U.S. District Court for the Northern District of Illinois had observed that “to be enforceable, a restrictive covenant must be ancillary to either a sales agreement or an employment </w:t>
      </w:r>
      <w:r>
        <w:rPr>
          <w:rFonts w:ascii="Baskerville" w:hAnsi="Baskerville" w:cs="Baskerville"/>
          <w:i/>
          <w:iCs/>
        </w:rPr>
        <w:t>agreement</w:t>
      </w:r>
      <w:r>
        <w:rPr>
          <w:rFonts w:ascii="Baskerville" w:hAnsi="Baskerville" w:cs="Baskerville"/>
        </w:rPr>
        <w:t>.”</w:t>
      </w:r>
      <w:r w:rsidR="00FB1D09">
        <w:rPr>
          <w:rFonts w:ascii="Baskerville" w:hAnsi="Baskerville" w:cs="Baskerville"/>
        </w:rPr>
        <w:t xml:space="preserve"> </w:t>
      </w:r>
      <w:r>
        <w:rPr>
          <w:rFonts w:ascii="Baskerville" w:hAnsi="Baskerville" w:cs="Baskerville"/>
          <w:i/>
          <w:iCs/>
        </w:rPr>
        <w:t>Loewen Grp. Int’l, Inc. v. Haberichter</w:t>
      </w:r>
      <w:r>
        <w:rPr>
          <w:rFonts w:ascii="Baskerville" w:hAnsi="Baskerville" w:cs="Baskerville"/>
        </w:rPr>
        <w:t xml:space="preserve">, 912 F. Supp. 388, 392 (N.D. Ill. 1996) (emphasis added; agreement versus relationship question not addressed; covenant was part of agreement; citing </w:t>
      </w:r>
      <w:r>
        <w:rPr>
          <w:rFonts w:ascii="Baskerville" w:hAnsi="Baskerville" w:cs="Baskerville"/>
          <w:i/>
          <w:iCs/>
        </w:rPr>
        <w:t>Business Records Corp. v. Lueth</w:t>
      </w:r>
      <w:r>
        <w:rPr>
          <w:rFonts w:ascii="Baskerville" w:hAnsi="Baskerville" w:cs="Baskerville"/>
        </w:rPr>
        <w:t xml:space="preserve">, 981 F.2d 957, 959 (7th Cir. 1992); </w:t>
      </w:r>
      <w:r>
        <w:rPr>
          <w:rFonts w:ascii="Baskerville" w:hAnsi="Baskerville" w:cs="Baskerville"/>
          <w:i/>
          <w:iCs/>
        </w:rPr>
        <w:t>Hamer Holding Grp., Inc. v. Elmore</w:t>
      </w:r>
      <w:r>
        <w:rPr>
          <w:rFonts w:ascii="Baskerville" w:hAnsi="Baskerville" w:cs="Baskerville"/>
        </w:rPr>
        <w:t xml:space="preserve"> (</w:t>
      </w:r>
      <w:r>
        <w:rPr>
          <w:rFonts w:ascii="Baskerville" w:hAnsi="Baskerville" w:cs="Baskerville"/>
          <w:i/>
          <w:iCs/>
        </w:rPr>
        <w:t>Hamer I</w:t>
      </w:r>
      <w:r>
        <w:rPr>
          <w:rFonts w:ascii="Baskerville" w:hAnsi="Baskerville" w:cs="Baskerville"/>
        </w:rPr>
        <w:t>), 202 Ill. App. 3d 994, 148 Ill. Dec. 310, 318, 560 N.E.2d 907, 915 (1990)).</w:t>
      </w:r>
      <w:r w:rsidR="00FB1D09">
        <w:rPr>
          <w:rFonts w:ascii="Baskerville" w:hAnsi="Baskerville" w:cs="Baskerville"/>
        </w:rPr>
        <w:t xml:space="preserve"> </w:t>
      </w:r>
      <w:r>
        <w:rPr>
          <w:rFonts w:ascii="Baskerville" w:hAnsi="Baskerville" w:cs="Baskerville"/>
        </w:rPr>
        <w:t xml:space="preserve">[Note that, in </w:t>
      </w:r>
      <w:r>
        <w:rPr>
          <w:rFonts w:ascii="Baskerville" w:hAnsi="Baskerville" w:cs="Baskerville"/>
          <w:i/>
          <w:iCs/>
        </w:rPr>
        <w:t>Loewen</w:t>
      </w:r>
      <w:r>
        <w:rPr>
          <w:rFonts w:ascii="Baskerville" w:hAnsi="Baskerville" w:cs="Baskerville"/>
        </w:rPr>
        <w:t xml:space="preserve">, the U.S. District Court for the Northern District of Illinois had previously granted summary judgment to the former employee based on its conclusion that the employer’s suit was </w:t>
      </w:r>
      <w:r>
        <w:rPr>
          <w:rFonts w:ascii="Baskerville" w:hAnsi="Baskerville" w:cs="Baskerville"/>
        </w:rPr>
        <w:lastRenderedPageBreak/>
        <w:t>preempted by the Labor Management Relations Act.</w:t>
      </w:r>
      <w:r w:rsidR="00FB1D09">
        <w:rPr>
          <w:rFonts w:ascii="Baskerville" w:hAnsi="Baskerville" w:cs="Baskerville"/>
        </w:rPr>
        <w:t xml:space="preserve"> </w:t>
      </w:r>
      <w:r>
        <w:rPr>
          <w:rFonts w:ascii="Baskerville" w:hAnsi="Baskerville" w:cs="Baskerville"/>
        </w:rPr>
        <w:t>863 F. Supp. 629.</w:t>
      </w:r>
      <w:r w:rsidR="00FB1D09">
        <w:rPr>
          <w:rFonts w:ascii="Baskerville" w:hAnsi="Baskerville" w:cs="Baskerville"/>
        </w:rPr>
        <w:t xml:space="preserve"> </w:t>
      </w:r>
      <w:r>
        <w:rPr>
          <w:rFonts w:ascii="Baskerville" w:hAnsi="Baskerville" w:cs="Baskerville"/>
        </w:rPr>
        <w:t>However, the U.S. Court of Appeals for the Seventh Circuit reversed and ordered Loewen’s claims reinstated.</w:t>
      </w:r>
      <w:r w:rsidR="00FB1D09">
        <w:rPr>
          <w:rFonts w:ascii="Baskerville" w:hAnsi="Baskerville" w:cs="Baskerville"/>
        </w:rPr>
        <w:t xml:space="preserve"> </w:t>
      </w:r>
      <w:r>
        <w:rPr>
          <w:rFonts w:ascii="Baskerville" w:hAnsi="Baskerville" w:cs="Baskerville"/>
        </w:rPr>
        <w:t>65 F.3d 1417 (7th Cir. 1995).]</w:t>
      </w:r>
    </w:p>
    <w:p w14:paraId="3B9D1DA9" w14:textId="426B8259" w:rsidR="00655396" w:rsidRDefault="00655396" w:rsidP="008B512B">
      <w:pPr>
        <w:pStyle w:val="BodyText"/>
        <w:spacing w:line="240" w:lineRule="auto"/>
      </w:pPr>
      <w:r>
        <w:tab/>
        <w:t xml:space="preserve">The Second District Court of Appeals in a 1997 opinion adopted the Fourth District position that a covenant need not be ancillary to an employment </w:t>
      </w:r>
      <w:r>
        <w:rPr>
          <w:i/>
          <w:iCs/>
        </w:rPr>
        <w:t>agreement</w:t>
      </w:r>
      <w:r>
        <w:t xml:space="preserve">—and need only be ancillary to an at-will employment </w:t>
      </w:r>
      <w:r>
        <w:rPr>
          <w:i/>
          <w:iCs/>
        </w:rPr>
        <w:t>relationship</w:t>
      </w:r>
      <w:r>
        <w:t>—in order to satisfy the ancillarity requirement.</w:t>
      </w:r>
      <w:r w:rsidR="00FB1D09">
        <w:t xml:space="preserve"> </w:t>
      </w:r>
      <w:r>
        <w:rPr>
          <w:i/>
          <w:iCs/>
        </w:rPr>
        <w:t>Lawrence &amp; Allen, Inc. v. Cambridge Human Res. Grp., Inc.</w:t>
      </w:r>
      <w:r>
        <w:t xml:space="preserve">, 226 Ill. Dec. 331, 337, 685 N.E.2d 434, 440 (Ct. App. 2d Dist. 1997) (“We decline to follow the holding in </w:t>
      </w:r>
      <w:r>
        <w:rPr>
          <w:i/>
          <w:iCs/>
        </w:rPr>
        <w:t>Creative Entertainment</w:t>
      </w:r>
      <w:r>
        <w:t xml:space="preserve"> because it is inconsistent with Illinois precedent and persuasive authority.</w:t>
      </w:r>
      <w:r w:rsidR="00FB1D09">
        <w:t xml:space="preserve"> </w:t>
      </w:r>
      <w:r>
        <w:t xml:space="preserve">Instead, we follow the well-reasoned decision in </w:t>
      </w:r>
      <w:r>
        <w:rPr>
          <w:i/>
          <w:iCs/>
        </w:rPr>
        <w:t>Abel v. Fox</w:t>
      </w:r>
      <w:r>
        <w:t>, 274 Ill. App. 3d 811, 211 Ill. Dec. 129, 654 N.E.2d 591 ([4th Dist.] 1995).”).</w:t>
      </w:r>
      <w:r w:rsidR="00FB1D09">
        <w:t xml:space="preserve"> </w:t>
      </w:r>
      <w:r>
        <w:rPr>
          <w:i/>
          <w:iCs/>
        </w:rPr>
        <w:t>See also</w:t>
      </w:r>
      <w:r>
        <w:t xml:space="preserve"> Canafax, </w:t>
      </w:r>
      <w:r>
        <w:rPr>
          <w:i/>
          <w:iCs/>
        </w:rPr>
        <w:t>Are Covenants Not to Compete Enforceable Against At-Will Employees in Illinois?</w:t>
      </w:r>
      <w:r>
        <w:t xml:space="preserve">, 85 </w:t>
      </w:r>
      <w:r>
        <w:rPr>
          <w:smallCaps/>
        </w:rPr>
        <w:t>Ill. B.J.</w:t>
      </w:r>
      <w:r>
        <w:t xml:space="preserve"> 370 (Aug. 1997).</w:t>
      </w:r>
    </w:p>
    <w:p w14:paraId="1587A6A7" w14:textId="5C393336" w:rsidR="00655396" w:rsidRDefault="00655396" w:rsidP="008B512B">
      <w:pPr>
        <w:pStyle w:val="BodyText"/>
        <w:spacing w:line="240" w:lineRule="auto"/>
      </w:pPr>
      <w:r>
        <w:tab/>
        <w:t xml:space="preserve">In 1998, the Sixth Division of the First District registered its agreement with the Second and Fourth Districts and declined to follow </w:t>
      </w:r>
      <w:r>
        <w:rPr>
          <w:i/>
          <w:iCs/>
        </w:rPr>
        <w:t>Creative Entertainment</w:t>
      </w:r>
      <w:r>
        <w:t>.</w:t>
      </w:r>
      <w:r w:rsidR="00FB1D09">
        <w:t xml:space="preserve"> </w:t>
      </w:r>
      <w:r>
        <w:rPr>
          <w:i/>
          <w:iCs/>
        </w:rPr>
        <w:t>Woodfield Grp., Inc. v. DeLisle</w:t>
      </w:r>
      <w:r>
        <w:t>, 295 Ill. App. 3d 935, 941, 230 Ill. Dec. 335, 339, 693 N.E.2d 464, 468, 13 IER Cases 1646 (1st Dist. 1998) (“A restrictive covenant agreement may meet the requirements for ancillarity if it is ancillary to an employment relationship even though the employment may lack a written agreement and remain at will.”).</w:t>
      </w:r>
    </w:p>
    <w:p w14:paraId="1011085F" w14:textId="77777777" w:rsidR="00655396" w:rsidRDefault="00655396" w:rsidP="008B512B">
      <w:pPr>
        <w:pStyle w:val="BodyText"/>
        <w:spacing w:line="240" w:lineRule="auto"/>
      </w:pPr>
    </w:p>
    <w:p w14:paraId="787AE4B9" w14:textId="77777777" w:rsidR="00655396" w:rsidRDefault="00655396" w:rsidP="008B512B">
      <w:pPr>
        <w:pStyle w:val="BodyText"/>
        <w:spacing w:line="240" w:lineRule="auto"/>
      </w:pPr>
      <w:r>
        <w:tab/>
        <w:t xml:space="preserve">• </w:t>
      </w:r>
      <w:r>
        <w:rPr>
          <w:i/>
          <w:iCs/>
        </w:rPr>
        <w:t>Gift context</w:t>
      </w:r>
      <w:r>
        <w:t xml:space="preserve">. A “gift relationship is a valid relationship or transaction” to which a noncompetition covenant can be ancillary </w:t>
      </w:r>
      <w:r>
        <w:br/>
        <w:t>under Illinois law.</w:t>
      </w:r>
      <w:r>
        <w:rPr>
          <w:i/>
          <w:iCs/>
        </w:rPr>
        <w:t xml:space="preserve"> Liautaud v. Liautaud</w:t>
      </w:r>
      <w:r>
        <w:t>, 221 F.3d 981, 986 (7th Cir. 2000).</w:t>
      </w:r>
    </w:p>
    <w:p w14:paraId="1DA58099" w14:textId="77777777" w:rsidR="00655396" w:rsidRDefault="00655396" w:rsidP="008B512B">
      <w:pPr>
        <w:pStyle w:val="BodyText"/>
        <w:spacing w:line="240" w:lineRule="auto"/>
      </w:pPr>
    </w:p>
    <w:p w14:paraId="71433CEE" w14:textId="77777777" w:rsidR="00655396" w:rsidRDefault="00655396" w:rsidP="008B512B">
      <w:pPr>
        <w:pStyle w:val="AdditionalTopicsSectionHeadings"/>
        <w:spacing w:line="240" w:lineRule="auto"/>
      </w:pPr>
      <w:r>
        <w:t>Anti-Advertising Covenants</w:t>
      </w:r>
    </w:p>
    <w:p w14:paraId="3B855E03"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06747422" w14:textId="6D81F50E"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In </w:t>
      </w:r>
      <w:r>
        <w:rPr>
          <w:rFonts w:ascii="Baskerville" w:hAnsi="Baskerville" w:cs="Baskerville"/>
          <w:i/>
          <w:iCs/>
        </w:rPr>
        <w:t>Diepholz v. Rutledge</w:t>
      </w:r>
      <w:r>
        <w:rPr>
          <w:rFonts w:ascii="Baskerville" w:hAnsi="Baskerville" w:cs="Baskerville"/>
        </w:rPr>
        <w:t xml:space="preserve">, 276 Ill. App. 3d 1013, 213 Ill. Dec. 643, 659 N.E.2d 989 (4th Dist. 1995), a sale of business covenant case, the court construed a covenant barring the seller of an automobile dealership for four years from “engaging in the automobile sales or service business as an individual or as an owner in Coles County, Illinois” not to restrict the seller’s right to engage in </w:t>
      </w:r>
      <w:r>
        <w:rPr>
          <w:rFonts w:ascii="Baskerville" w:hAnsi="Baskerville" w:cs="Baskerville"/>
        </w:rPr>
        <w:lastRenderedPageBreak/>
        <w:t>untargeted newspaper and radio advertising in that county.</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659 N.E.2d at 990, 992.</w:t>
      </w:r>
      <w:r w:rsidR="00FB1D09">
        <w:rPr>
          <w:rFonts w:ascii="Baskerville" w:hAnsi="Baskerville" w:cs="Baskerville"/>
        </w:rPr>
        <w:t xml:space="preserve"> </w:t>
      </w:r>
      <w:r>
        <w:rPr>
          <w:rFonts w:ascii="Baskerville" w:hAnsi="Baskerville" w:cs="Baskerville"/>
        </w:rPr>
        <w:t>The court explained:</w:t>
      </w:r>
    </w:p>
    <w:p w14:paraId="3C97E410" w14:textId="77777777" w:rsidR="00655396" w:rsidRDefault="00655396" w:rsidP="008B512B">
      <w:pPr>
        <w:pStyle w:val="BodyTextIndent"/>
        <w:spacing w:line="240" w:lineRule="auto"/>
      </w:pPr>
    </w:p>
    <w:p w14:paraId="2A151DFE" w14:textId="3463D7DB"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The covenant forbids [the seller] from engaging in the automobile business in Coles County.</w:t>
      </w:r>
      <w:r w:rsidR="00FB1D09">
        <w:rPr>
          <w:rFonts w:ascii="Baskerville" w:hAnsi="Baskerville" w:cs="Baskerville"/>
          <w:sz w:val="22"/>
          <w:szCs w:val="22"/>
        </w:rPr>
        <w:t xml:space="preserve"> </w:t>
      </w:r>
      <w:r>
        <w:rPr>
          <w:rFonts w:ascii="Baskerville" w:hAnsi="Baskerville" w:cs="Baskerville"/>
          <w:sz w:val="22"/>
          <w:szCs w:val="22"/>
        </w:rPr>
        <w:t>Advertising is undeniably part of the automobile sales business.</w:t>
      </w:r>
      <w:r w:rsidR="00FB1D09">
        <w:rPr>
          <w:rFonts w:ascii="Baskerville" w:hAnsi="Baskerville" w:cs="Baskerville"/>
          <w:sz w:val="22"/>
          <w:szCs w:val="22"/>
        </w:rPr>
        <w:t xml:space="preserve"> </w:t>
      </w:r>
      <w:r>
        <w:rPr>
          <w:rFonts w:ascii="Baskerville" w:hAnsi="Baskerville" w:cs="Baskerville"/>
          <w:sz w:val="22"/>
          <w:szCs w:val="22"/>
        </w:rPr>
        <w:t>However, an automobile dealer is not “engaged in” business in every location his [newspaper and radio] advertisements reach.</w:t>
      </w:r>
      <w:r w:rsidR="00FB1D09">
        <w:rPr>
          <w:rFonts w:ascii="Baskerville" w:hAnsi="Baskerville" w:cs="Baskerville"/>
          <w:sz w:val="22"/>
          <w:szCs w:val="22"/>
        </w:rPr>
        <w:t xml:space="preserve"> </w:t>
      </w:r>
      <w:r>
        <w:rPr>
          <w:rFonts w:ascii="Baskerville" w:hAnsi="Baskerville" w:cs="Baskerville"/>
          <w:sz w:val="22"/>
          <w:szCs w:val="22"/>
        </w:rPr>
        <w:t>Advertising in Coles County is not “engaging in the automobile sales or service business as an individual or as an owner in Coles County.”</w:t>
      </w:r>
      <w:r w:rsidR="00FB1D09">
        <w:rPr>
          <w:rFonts w:ascii="Baskerville" w:hAnsi="Baskerville" w:cs="Baskerville"/>
          <w:sz w:val="22"/>
          <w:szCs w:val="22"/>
        </w:rPr>
        <w:t xml:space="preserve"> </w:t>
      </w:r>
      <w:r>
        <w:rPr>
          <w:rFonts w:ascii="Baskerville" w:hAnsi="Baskerville" w:cs="Baskerville"/>
          <w:sz w:val="22"/>
          <w:szCs w:val="22"/>
        </w:rPr>
        <w:t>Modern media advertisements normally cover a substantial area.</w:t>
      </w:r>
      <w:r w:rsidR="00FB1D09">
        <w:rPr>
          <w:rFonts w:ascii="Baskerville" w:hAnsi="Baskerville" w:cs="Baskerville"/>
          <w:sz w:val="22"/>
          <w:szCs w:val="22"/>
        </w:rPr>
        <w:t xml:space="preserve"> </w:t>
      </w:r>
      <w:r>
        <w:rPr>
          <w:rFonts w:ascii="Baskerville" w:hAnsi="Baskerville" w:cs="Baskerville"/>
          <w:sz w:val="22"/>
          <w:szCs w:val="22"/>
        </w:rPr>
        <w:t>It would have been nearly impossible for [the seller] to operate a dealership in [adjacent] Moultrie County without advertising in Coles and other adjacent counties.</w:t>
      </w:r>
      <w:r w:rsidR="00FB1D09">
        <w:rPr>
          <w:rFonts w:ascii="Baskerville" w:hAnsi="Baskerville" w:cs="Baskerville"/>
          <w:sz w:val="22"/>
          <w:szCs w:val="22"/>
        </w:rPr>
        <w:t xml:space="preserve"> </w:t>
      </w:r>
      <w:r>
        <w:rPr>
          <w:rFonts w:ascii="Baskerville" w:hAnsi="Baskerville" w:cs="Baskerville"/>
          <w:sz w:val="22"/>
          <w:szCs w:val="22"/>
        </w:rPr>
        <w:t>Had the parties intended to prevent defendant from engaging in every adjacent county, the covenant should have so stated.</w:t>
      </w:r>
    </w:p>
    <w:p w14:paraId="072C6D7F" w14:textId="3840BBCD"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sz w:val="22"/>
          <w:szCs w:val="22"/>
        </w:rPr>
        <w:tab/>
        <w:t xml:space="preserve">In </w:t>
      </w:r>
      <w:r>
        <w:rPr>
          <w:rFonts w:ascii="Baskerville" w:hAnsi="Baskerville" w:cs="Baskerville"/>
          <w:i/>
          <w:iCs/>
          <w:sz w:val="22"/>
          <w:szCs w:val="22"/>
        </w:rPr>
        <w:t>Jackson v. Hammer</w:t>
      </w:r>
      <w:r>
        <w:rPr>
          <w:rFonts w:ascii="Baskerville" w:hAnsi="Baskerville" w:cs="Baskerville"/>
          <w:sz w:val="22"/>
          <w:szCs w:val="22"/>
        </w:rPr>
        <w:t xml:space="preserve"> (1995), 274 Ill. App. 3d 59, 64, 210 Ill. Dec. 614, 618, 653 N.E.2d 809, 813, this court stated that the sellers of a hobby store apparently violated the terms of a noncompete clause by mailing advertising flyers to their former customers within the noncompete area.</w:t>
      </w:r>
      <w:r w:rsidR="00FB1D09">
        <w:rPr>
          <w:rFonts w:ascii="Baskerville" w:hAnsi="Baskerville" w:cs="Baskerville"/>
          <w:sz w:val="22"/>
          <w:szCs w:val="22"/>
        </w:rPr>
        <w:t xml:space="preserve"> </w:t>
      </w:r>
      <w:r>
        <w:rPr>
          <w:rFonts w:ascii="Baskerville" w:hAnsi="Baskerville" w:cs="Baskerville"/>
          <w:sz w:val="22"/>
          <w:szCs w:val="22"/>
        </w:rPr>
        <w:t>The present case is distinguishable.</w:t>
      </w:r>
      <w:r w:rsidR="00FB1D09">
        <w:rPr>
          <w:rFonts w:ascii="Baskerville" w:hAnsi="Baskerville" w:cs="Baskerville"/>
          <w:sz w:val="22"/>
          <w:szCs w:val="22"/>
        </w:rPr>
        <w:t xml:space="preserve"> </w:t>
      </w:r>
      <w:r>
        <w:rPr>
          <w:rFonts w:ascii="Baskerville" w:hAnsi="Baskerville" w:cs="Baskerville"/>
          <w:sz w:val="22"/>
          <w:szCs w:val="22"/>
        </w:rPr>
        <w:t xml:space="preserve">In </w:t>
      </w:r>
      <w:r>
        <w:rPr>
          <w:rFonts w:ascii="Baskerville" w:hAnsi="Baskerville" w:cs="Baskerville"/>
          <w:i/>
          <w:iCs/>
          <w:sz w:val="22"/>
          <w:szCs w:val="22"/>
        </w:rPr>
        <w:t>Jackson</w:t>
      </w:r>
      <w:r>
        <w:rPr>
          <w:rFonts w:ascii="Baskerville" w:hAnsi="Baskerville" w:cs="Baskerville"/>
          <w:sz w:val="22"/>
          <w:szCs w:val="22"/>
        </w:rPr>
        <w:t>, the sellers targeted specific customers with special interests within the noncompete area.</w:t>
      </w:r>
      <w:r w:rsidR="00FB1D09">
        <w:rPr>
          <w:rFonts w:ascii="Baskerville" w:hAnsi="Baskerville" w:cs="Baskerville"/>
          <w:sz w:val="22"/>
          <w:szCs w:val="22"/>
        </w:rPr>
        <w:t xml:space="preserve"> </w:t>
      </w:r>
      <w:r>
        <w:rPr>
          <w:rFonts w:ascii="Baskerville" w:hAnsi="Baskerville" w:cs="Baskerville"/>
          <w:sz w:val="22"/>
          <w:szCs w:val="22"/>
        </w:rPr>
        <w:t xml:space="preserve">Although [the seller in the instant case] hoped to reach Coles County residents with his [newspaper and radio] advertisements, he did not engage in the same sort of </w:t>
      </w:r>
      <w:r>
        <w:rPr>
          <w:rFonts w:ascii="Baskerville" w:hAnsi="Baskerville" w:cs="Baskerville"/>
          <w:i/>
          <w:iCs/>
          <w:sz w:val="22"/>
          <w:szCs w:val="22"/>
        </w:rPr>
        <w:t>targeted marketing</w:t>
      </w:r>
      <w:r>
        <w:rPr>
          <w:rFonts w:ascii="Baskerville" w:hAnsi="Baskerville" w:cs="Baskerville"/>
          <w:sz w:val="22"/>
          <w:szCs w:val="22"/>
        </w:rPr>
        <w:t xml:space="preserve"> as the sellers in </w:t>
      </w:r>
      <w:r>
        <w:rPr>
          <w:rFonts w:ascii="Baskerville" w:hAnsi="Baskerville" w:cs="Baskerville"/>
          <w:i/>
          <w:iCs/>
          <w:sz w:val="22"/>
          <w:szCs w:val="22"/>
        </w:rPr>
        <w:t>Jackson</w:t>
      </w:r>
      <w:r>
        <w:rPr>
          <w:rFonts w:ascii="Baskerville" w:hAnsi="Baskerville" w:cs="Baskerville"/>
          <w:sz w:val="22"/>
          <w:szCs w:val="22"/>
        </w:rPr>
        <w:t>.</w:t>
      </w:r>
    </w:p>
    <w:p w14:paraId="4E715AE8" w14:textId="77777777" w:rsidR="00655396" w:rsidRDefault="00655396" w:rsidP="008B512B">
      <w:pPr>
        <w:pStyle w:val="BodyTextIndent"/>
        <w:spacing w:line="240" w:lineRule="auto"/>
      </w:pPr>
    </w:p>
    <w:p w14:paraId="6DB951D7"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xml:space="preserve"> at 992 (emphasis added).</w:t>
      </w:r>
    </w:p>
    <w:p w14:paraId="7985A3F5" w14:textId="77777777" w:rsidR="00655396" w:rsidRDefault="00655396" w:rsidP="008B512B">
      <w:pPr>
        <w:pStyle w:val="BodyTextIndent"/>
        <w:spacing w:line="240" w:lineRule="auto"/>
      </w:pPr>
    </w:p>
    <w:p w14:paraId="16EFDBC7" w14:textId="77777777" w:rsidR="00655396" w:rsidRDefault="00655396" w:rsidP="008B512B">
      <w:pPr>
        <w:pStyle w:val="AdditionalTopicsSectionHeadings"/>
        <w:spacing w:line="240" w:lineRule="auto"/>
      </w:pPr>
      <w:r>
        <w:t>Anti-Employee-Raiding Clauses</w:t>
      </w:r>
    </w:p>
    <w:p w14:paraId="0ACF18D2" w14:textId="77777777" w:rsidR="00655396" w:rsidRDefault="00655396" w:rsidP="008B512B">
      <w:pPr>
        <w:pStyle w:val="BodyTextIndent"/>
        <w:spacing w:line="240" w:lineRule="auto"/>
      </w:pPr>
    </w:p>
    <w:p w14:paraId="45F7D441" w14:textId="69B76DAC"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An employer’s protectable “interest in maintaining a stable workforce” justifies an anti-employee-raiding clause (i.e., a clause prohibiting a former employee from “inducing” former co-workers to also leave the employer) where “reasonably calculated” to protect that interest. </w:t>
      </w:r>
      <w:r>
        <w:rPr>
          <w:rFonts w:ascii="Baskerville" w:hAnsi="Baskerville" w:cs="Baskerville"/>
          <w:i/>
          <w:iCs/>
        </w:rPr>
        <w:t>Arpac Corp. v. Murray</w:t>
      </w:r>
      <w:r>
        <w:rPr>
          <w:rFonts w:ascii="Baskerville" w:hAnsi="Baskerville" w:cs="Baskerville"/>
        </w:rPr>
        <w:t xml:space="preserve">, 226 Ill. App. 3d 65, 76, 168 Ill. Dec. 240, 250, 589 N.E.2d 640, 650 (1st Dist. 1992) (affirming enforceability of 2-year prohibitions against inducing other employees to quit; noting that trial court had found fact that two other employees also quit at time former employee left to be “more than a coincidence” and that there was a “‘flurry of activity”’ between the </w:t>
      </w:r>
      <w:r>
        <w:rPr>
          <w:rFonts w:ascii="Baskerville" w:hAnsi="Baskerville" w:cs="Baskerville"/>
        </w:rPr>
        <w:lastRenderedPageBreak/>
        <w:t xml:space="preserve">former employee’s phone and those of the other two individuals during the two months subsequent to the former employee’s resignation; citing </w:t>
      </w:r>
      <w:r>
        <w:rPr>
          <w:rFonts w:ascii="Baskerville" w:hAnsi="Baskerville" w:cs="Baskerville"/>
          <w:i/>
          <w:iCs/>
        </w:rPr>
        <w:t>Torrence v. Hewitt Assocs.</w:t>
      </w:r>
      <w:r>
        <w:rPr>
          <w:rFonts w:ascii="Baskerville" w:hAnsi="Baskerville" w:cs="Baskerville"/>
        </w:rPr>
        <w:t xml:space="preserve">, 143 Ill. App. 3d 520, 97 Ill. Dec. 592, 493 N.E.2d 74 (1986); </w:t>
      </w:r>
      <w:r>
        <w:rPr>
          <w:rFonts w:ascii="Baskerville" w:hAnsi="Baskerville" w:cs="Baskerville"/>
          <w:i/>
          <w:iCs/>
        </w:rPr>
        <w:t>Frank B. Hall &amp; Co. v. Payseur</w:t>
      </w:r>
      <w:r>
        <w:rPr>
          <w:rFonts w:ascii="Baskerville" w:hAnsi="Baskerville" w:cs="Baskerville"/>
        </w:rPr>
        <w:t>, 78 Ill. App. 3d 230, 33 Ill. Dec. 522, 396 N.E.2d 1246 1979)).</w:t>
      </w:r>
      <w:r w:rsidR="00FB1D09">
        <w:rPr>
          <w:rFonts w:ascii="Baskerville" w:hAnsi="Baskerville" w:cs="Baskerville"/>
        </w:rPr>
        <w:t xml:space="preserve"> </w:t>
      </w:r>
      <w:r>
        <w:rPr>
          <w:rFonts w:ascii="Baskerville" w:hAnsi="Baskerville" w:cs="Baskerville"/>
          <w:i/>
          <w:iCs/>
        </w:rPr>
        <w:t>See also Instant Tech., LLC v. DeFazio</w:t>
      </w:r>
      <w:r>
        <w:rPr>
          <w:rFonts w:ascii="Baskerville" w:hAnsi="Baskerville" w:cs="Baskerville"/>
        </w:rPr>
        <w:t>, No. 1:12-cv-00491, 2014 BL 126166 (N.D. Ill. May 2, 2014) (holding that staffing company’s nonrecruitment agreements, purporting to bar employer’s former employees from persuading remaining employees to leave firm, were unenforceable; reasoning that employer’s contention that nonrecruitment agreements were necessary to maintain workforce stability was inconsistent with employer’s high turnover rate, employer offered no other justification for agreements with no restrictions as to time or place, and employees returned all of employer’s documents and data immediately after filing of lawsuit and before competitor began operations).</w:t>
      </w:r>
    </w:p>
    <w:p w14:paraId="4F96A2A5" w14:textId="789D5A6D" w:rsidR="00655396" w:rsidRDefault="00655396" w:rsidP="008B512B">
      <w:pPr>
        <w:pStyle w:val="BodyText"/>
        <w:spacing w:line="240" w:lineRule="auto"/>
      </w:pPr>
      <w:r>
        <w:tab/>
        <w:t xml:space="preserve">A 1-year anti-employee-raiding covenant, unbounded by any geographic limitation, that was executed by a former vice president and officer of a state prescription plan contractor was found reasonable and enforceable under Illinois law in </w:t>
      </w:r>
      <w:r>
        <w:rPr>
          <w:i/>
          <w:iCs/>
        </w:rPr>
        <w:t>First Health Group Corp. v. National Prescription Administrators, Inc.</w:t>
      </w:r>
      <w:r>
        <w:t>, 155 F. Supp. 2d 194, 231 (M.D. Pa. 2001) (applying Illinois law to covenant issues; “the one year limit on the restriction is sufficiently narrow to render the provision reasonable.</w:t>
      </w:r>
      <w:r w:rsidR="00FB1D09">
        <w:t xml:space="preserve"> </w:t>
      </w:r>
      <w:r>
        <w:t>The lack of geographic limitation for this provision is of no concern, as it applies only to the solicitation of employees of [the former employer], and is therefore reasonably limited.”).</w:t>
      </w:r>
    </w:p>
    <w:p w14:paraId="60EA7665" w14:textId="66AAE879"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In </w:t>
      </w:r>
      <w:r>
        <w:rPr>
          <w:rFonts w:ascii="Baskerville" w:hAnsi="Baskerville" w:cs="Baskerville"/>
          <w:i/>
          <w:iCs/>
        </w:rPr>
        <w:t>Emergency Medical Care, Inc. v. Marion Memorial Hospital</w:t>
      </w:r>
      <w:r>
        <w:rPr>
          <w:rFonts w:ascii="Baskerville" w:hAnsi="Baskerville" w:cs="Baskerville"/>
        </w:rPr>
        <w:t xml:space="preserve">, 94 F.3d 1059 (7th Cir. 1996), the Seventh Circuit was called upon to construe under Illinois law an anti-raiding/liquidated damages clause (Paragraph J) in an emergency room physician-staffing contract between Marion Memorial Hospital (Hospital) and Emergency Medical Care, Inc. (EMC), a medical organization that once </w:t>
      </w:r>
      <w:r>
        <w:rPr>
          <w:rFonts w:ascii="Baskerville" w:hAnsi="Baskerville" w:cs="Baskerville"/>
        </w:rPr>
        <w:br/>
        <w:t>supplied the hospital with physicians to staff its emergency room.</w:t>
      </w:r>
      <w:r w:rsidR="00FB1D09">
        <w:rPr>
          <w:rFonts w:ascii="Baskerville" w:hAnsi="Baskerville" w:cs="Baskerville"/>
        </w:rPr>
        <w:t xml:space="preserve"> </w:t>
      </w:r>
      <w:r>
        <w:rPr>
          <w:rFonts w:ascii="Baskerville" w:hAnsi="Baskerville" w:cs="Baskerville"/>
        </w:rPr>
        <w:t>Paragraph J provided that the hospital would not “</w:t>
      </w:r>
      <w:r>
        <w:rPr>
          <w:rFonts w:ascii="Baskerville" w:hAnsi="Baskerville" w:cs="Baskerville"/>
          <w:i/>
          <w:iCs/>
        </w:rPr>
        <w:t>directly or indirectly enter into any agreement</w:t>
      </w:r>
      <w:r>
        <w:rPr>
          <w:rFonts w:ascii="Baskerville" w:hAnsi="Baskerville" w:cs="Baskerville"/>
        </w:rPr>
        <w:t xml:space="preserve"> covering the same or similar services as are provided herein </w:t>
      </w:r>
      <w:r>
        <w:rPr>
          <w:rFonts w:ascii="Baskerville" w:hAnsi="Baskerville" w:cs="Baskerville"/>
          <w:i/>
          <w:iCs/>
        </w:rPr>
        <w:t>with</w:t>
      </w:r>
      <w:r>
        <w:rPr>
          <w:rFonts w:ascii="Baskerville" w:hAnsi="Baskerville" w:cs="Baskerville"/>
        </w:rPr>
        <w:t xml:space="preserve"> any physician introduced to it by EMC or with whom it came into a business or professional relationship as a result of this Agreement</w:t>
      </w:r>
      <w:r w:rsidR="00944F63">
        <w:rPr>
          <w:rFonts w:ascii="Baskerville" w:hAnsi="Baskerville" w:cs="Baskerville"/>
        </w:rPr>
        <w:t>…</w:t>
      </w:r>
      <w:r>
        <w:t> </w:t>
      </w:r>
      <w:r>
        <w:rPr>
          <w:rFonts w:ascii="Baskerville" w:hAnsi="Baskerville" w:cs="Baskerville"/>
        </w:rPr>
        <w:t>.”</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1060 (emphasis </w:t>
      </w:r>
      <w:r>
        <w:rPr>
          <w:rFonts w:ascii="Baskerville" w:hAnsi="Baskerville" w:cs="Baskerville"/>
        </w:rPr>
        <w:lastRenderedPageBreak/>
        <w:t>added).</w:t>
      </w:r>
      <w:r w:rsidR="00FB1D09">
        <w:rPr>
          <w:rFonts w:ascii="Baskerville" w:hAnsi="Baskerville" w:cs="Baskerville"/>
        </w:rPr>
        <w:t xml:space="preserve"> </w:t>
      </w:r>
      <w:r>
        <w:rPr>
          <w:rFonts w:ascii="Baskerville" w:hAnsi="Baskerville" w:cs="Baskerville"/>
        </w:rPr>
        <w:t>The hospital’s contract with EMC was properly terminated, and it subsequently entered into a contract with a third party, Healthline Management, Inc. (HMI), to supply it with physicians to staff the hospital’s emergency room.</w:t>
      </w:r>
      <w:r w:rsidR="00FB1D09">
        <w:rPr>
          <w:rFonts w:ascii="Baskerville" w:hAnsi="Baskerville" w:cs="Baskerville"/>
        </w:rPr>
        <w:t xml:space="preserve"> </w:t>
      </w:r>
      <w:r>
        <w:rPr>
          <w:rFonts w:ascii="Baskerville" w:hAnsi="Baskerville" w:cs="Baskerville"/>
        </w:rPr>
        <w:t>When HMI scheduled a number of physicians who had previously been affiliated with EMC to staff the hospital’s emergency room, EMC filed suit charging that the hospital had breached Paragraph J.</w:t>
      </w:r>
    </w:p>
    <w:p w14:paraId="1DCCF475" w14:textId="0E147CB8"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On the parties’ cross-motions for summary judgment, the U.S. District Court for the Southern District of Illinois entered summary judgment in favor of the hospital on finding that the hospital had not itself hired the physicians about whom EMC complained.</w:t>
      </w:r>
      <w:r w:rsidR="00FB1D09">
        <w:rPr>
          <w:rFonts w:ascii="Baskerville" w:hAnsi="Baskerville" w:cs="Baskerville"/>
        </w:rPr>
        <w:t xml:space="preserve"> </w:t>
      </w:r>
      <w:r>
        <w:rPr>
          <w:rFonts w:ascii="Baskerville" w:hAnsi="Baskerville" w:cs="Baskerville"/>
          <w:i/>
          <w:iCs/>
        </w:rPr>
        <w:t>Id.</w:t>
      </w:r>
    </w:p>
    <w:p w14:paraId="5ACAF854" w14:textId="7C43C560"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On appeal, the Seventh Circuit affirmed, insisting that the clause phrase “directly or indirectly” would not be construed to mean “use or utilize.”</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1061.</w:t>
      </w:r>
      <w:r w:rsidR="00FB1D09">
        <w:rPr>
          <w:rFonts w:ascii="Baskerville" w:hAnsi="Baskerville" w:cs="Baskerville"/>
        </w:rPr>
        <w:t xml:space="preserve"> </w:t>
      </w:r>
      <w:r>
        <w:rPr>
          <w:rFonts w:ascii="Baskerville" w:hAnsi="Baskerville" w:cs="Baskerville"/>
        </w:rPr>
        <w:t>The Seventh Circuit also determined that the hospital’s agreement to credential physicians associated with HMI was not a “direct agreement” with the physicians at issue such as to violate the agreement with EMC.</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1061 n.1.</w:t>
      </w:r>
      <w:r w:rsidR="00CD7A12">
        <w:rPr>
          <w:rFonts w:ascii="Baskerville" w:hAnsi="Baskerville" w:cs="Baskerville"/>
        </w:rPr>
        <w:t xml:space="preserve"> </w:t>
      </w:r>
      <w:r>
        <w:rPr>
          <w:rFonts w:ascii="Baskerville" w:hAnsi="Baskerville" w:cs="Baskerville"/>
        </w:rPr>
        <w:t>The court explained:</w:t>
      </w:r>
    </w:p>
    <w:p w14:paraId="37A5A7D3"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69242669" w14:textId="380A63C1"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[B]ecause Illinois courts favor fair competition and disfavor restraints of trade, we must strictly construe noncompetition agreements against the party seeking restriction.</w:t>
      </w:r>
      <w:r w:rsidR="00FB1D09">
        <w:rPr>
          <w:rFonts w:ascii="Baskerville" w:hAnsi="Baskerville" w:cs="Baskerville"/>
          <w:sz w:val="22"/>
          <w:szCs w:val="22"/>
        </w:rPr>
        <w:t xml:space="preserve"> </w:t>
      </w:r>
      <w:r>
        <w:rPr>
          <w:rFonts w:ascii="Baskerville" w:hAnsi="Baskerville" w:cs="Baskerville"/>
          <w:i/>
          <w:iCs/>
          <w:sz w:val="22"/>
          <w:szCs w:val="22"/>
        </w:rPr>
        <w:t>Diepholz v. Rutledge</w:t>
      </w:r>
      <w:r>
        <w:rPr>
          <w:rFonts w:ascii="Baskerville" w:hAnsi="Baskerville" w:cs="Baskerville"/>
          <w:sz w:val="22"/>
          <w:szCs w:val="22"/>
        </w:rPr>
        <w:t>, 276 Ill. App. 3d 1013, 213, Ill. Dec. 643, 645, 659 N.E.2d 989, 991 (1995).</w:t>
      </w:r>
    </w:p>
    <w:p w14:paraId="2AE28567"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p>
    <w:p w14:paraId="4F24928A" w14:textId="77777777" w:rsidR="00655396" w:rsidRDefault="00655396" w:rsidP="008B512B">
      <w:pPr>
        <w:pStyle w:val="NoParagraphStyle"/>
        <w:tabs>
          <w:tab w:val="left" w:pos="960"/>
          <w:tab w:val="left" w:pos="1440"/>
        </w:tabs>
        <w:spacing w:line="240" w:lineRule="auto"/>
        <w:ind w:left="480"/>
        <w:jc w:val="center"/>
        <w:rPr>
          <w:rFonts w:ascii="Baskerville" w:hAnsi="Baskerville" w:cs="Baskerville"/>
          <w:sz w:val="22"/>
          <w:szCs w:val="22"/>
        </w:rPr>
      </w:pPr>
      <w:r>
        <w:rPr>
          <w:rFonts w:ascii="Baskerville" w:hAnsi="Baskerville" w:cs="Baskerville"/>
          <w:sz w:val="22"/>
          <w:szCs w:val="22"/>
        </w:rPr>
        <w:t>* * * *</w:t>
      </w:r>
    </w:p>
    <w:p w14:paraId="491694F8" w14:textId="48FB07C8"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This case comes down to the meaning of the phrase “directly or indirectly enter into any agreement </w:t>
      </w:r>
      <w:r w:rsidR="00944F63">
        <w:rPr>
          <w:rFonts w:ascii="Baskerville" w:hAnsi="Baskerville" w:cs="Baskerville"/>
          <w:sz w:val="22"/>
          <w:szCs w:val="22"/>
        </w:rPr>
        <w:t>…</w:t>
      </w:r>
      <w:r>
        <w:rPr>
          <w:rFonts w:ascii="Baskerville" w:hAnsi="Baskerville" w:cs="Baskerville"/>
          <w:sz w:val="22"/>
          <w:szCs w:val="22"/>
        </w:rPr>
        <w:t xml:space="preserve"> with [a former EMC-affiliated] physician.</w:t>
      </w:r>
      <w:r w:rsidR="00FB1D09">
        <w:rPr>
          <w:rFonts w:ascii="Baskerville" w:hAnsi="Baskerville" w:cs="Baskerville"/>
          <w:sz w:val="22"/>
          <w:szCs w:val="22"/>
        </w:rPr>
        <w:t xml:space="preserve"> </w:t>
      </w:r>
      <w:r>
        <w:rPr>
          <w:rFonts w:ascii="Baskerville" w:hAnsi="Baskerville" w:cs="Baskerville"/>
          <w:sz w:val="22"/>
          <w:szCs w:val="22"/>
        </w:rPr>
        <w:t>Because these terms are not defined in the agreement, we look to their common and ordinary meaning.</w:t>
      </w:r>
      <w:r w:rsidR="00FB1D09">
        <w:rPr>
          <w:rFonts w:ascii="Baskerville" w:hAnsi="Baskerville" w:cs="Baskerville"/>
          <w:sz w:val="22"/>
          <w:szCs w:val="22"/>
        </w:rPr>
        <w:t xml:space="preserve"> </w:t>
      </w:r>
      <w:r>
        <w:rPr>
          <w:rFonts w:ascii="Baskerville" w:hAnsi="Baskerville" w:cs="Baskerville"/>
          <w:i/>
          <w:iCs/>
          <w:sz w:val="22"/>
          <w:szCs w:val="22"/>
        </w:rPr>
        <w:t>Church</w:t>
      </w:r>
      <w:r>
        <w:rPr>
          <w:rFonts w:ascii="Baskerville" w:hAnsi="Baskerville" w:cs="Baskerville"/>
          <w:sz w:val="22"/>
          <w:szCs w:val="22"/>
        </w:rPr>
        <w:t xml:space="preserve"> [</w:t>
      </w:r>
      <w:r>
        <w:rPr>
          <w:rFonts w:ascii="Baskerville" w:hAnsi="Baskerville" w:cs="Baskerville"/>
          <w:i/>
          <w:iCs/>
          <w:sz w:val="22"/>
          <w:szCs w:val="22"/>
        </w:rPr>
        <w:t>v. General Motors Corp.</w:t>
      </w:r>
      <w:r>
        <w:rPr>
          <w:rFonts w:ascii="Baskerville" w:hAnsi="Baskerville" w:cs="Baskerville"/>
          <w:sz w:val="22"/>
          <w:szCs w:val="22"/>
        </w:rPr>
        <w:t>, 74 F.3d 795, 799 (7th Cir. 1996)].</w:t>
      </w:r>
      <w:r w:rsidR="00FB1D09">
        <w:rPr>
          <w:rFonts w:ascii="Baskerville" w:hAnsi="Baskerville" w:cs="Baskerville"/>
          <w:sz w:val="22"/>
          <w:szCs w:val="22"/>
        </w:rPr>
        <w:t xml:space="preserve"> </w:t>
      </w:r>
      <w:r>
        <w:rPr>
          <w:rFonts w:ascii="Baskerville" w:hAnsi="Baskerville" w:cs="Baskerville"/>
          <w:sz w:val="22"/>
          <w:szCs w:val="22"/>
        </w:rPr>
        <w:t>Both parties agree with this principle, but disagree with its application.</w:t>
      </w:r>
      <w:r w:rsidR="00FB1D09">
        <w:rPr>
          <w:rFonts w:ascii="Baskerville" w:hAnsi="Baskerville" w:cs="Baskerville"/>
          <w:sz w:val="22"/>
          <w:szCs w:val="22"/>
        </w:rPr>
        <w:t xml:space="preserve"> </w:t>
      </w:r>
      <w:r>
        <w:rPr>
          <w:rFonts w:ascii="Baskerville" w:hAnsi="Baskerville" w:cs="Baskerville"/>
          <w:sz w:val="22"/>
          <w:szCs w:val="22"/>
        </w:rPr>
        <w:t>The Hospital asserts that it did not breach the agreement because it did not enter into any agreement “with” the physicians in question.</w:t>
      </w:r>
      <w:r w:rsidR="00FB1D09">
        <w:rPr>
          <w:rFonts w:ascii="Baskerville" w:hAnsi="Baskerville" w:cs="Baskerville"/>
          <w:sz w:val="22"/>
          <w:szCs w:val="22"/>
        </w:rPr>
        <w:t xml:space="preserve"> </w:t>
      </w:r>
      <w:r>
        <w:rPr>
          <w:rFonts w:ascii="Baskerville" w:hAnsi="Baskerville" w:cs="Baskerville"/>
          <w:sz w:val="22"/>
          <w:szCs w:val="22"/>
        </w:rPr>
        <w:t>In its complaint and before the district court, EMC argued that the language in question prohibited the Hospital from “using or utilizing” these physicians.</w:t>
      </w:r>
      <w:r w:rsidR="00FB1D09">
        <w:rPr>
          <w:rFonts w:ascii="Baskerville" w:hAnsi="Baskerville" w:cs="Baskerville"/>
          <w:sz w:val="22"/>
          <w:szCs w:val="22"/>
        </w:rPr>
        <w:t xml:space="preserve"> </w:t>
      </w:r>
      <w:r>
        <w:rPr>
          <w:rFonts w:ascii="Baskerville" w:hAnsi="Baskerville" w:cs="Baskerville"/>
          <w:sz w:val="22"/>
          <w:szCs w:val="22"/>
        </w:rPr>
        <w:t>In this court, EMC continues to argue that “directly or indirectly” means “use or utilize.”</w:t>
      </w:r>
    </w:p>
    <w:p w14:paraId="025DC9F6" w14:textId="3FD7DB8A"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After considering both parties’ arguments, we come down on the side of the Hospital.</w:t>
      </w:r>
      <w:r w:rsidR="00FB1D09">
        <w:rPr>
          <w:rFonts w:ascii="Baskerville" w:hAnsi="Baskerville" w:cs="Baskerville"/>
          <w:sz w:val="22"/>
          <w:szCs w:val="22"/>
        </w:rPr>
        <w:t xml:space="preserve"> </w:t>
      </w:r>
      <w:r>
        <w:rPr>
          <w:rFonts w:ascii="Baskerville" w:hAnsi="Baskerville" w:cs="Baskerville"/>
          <w:sz w:val="22"/>
          <w:szCs w:val="22"/>
        </w:rPr>
        <w:t xml:space="preserve">Given our mandate to look to the precise language of Paragraph J, we simply do not see how the Hospital’s </w:t>
      </w:r>
      <w:r>
        <w:rPr>
          <w:rFonts w:ascii="Baskerville" w:hAnsi="Baskerville" w:cs="Baskerville"/>
          <w:sz w:val="22"/>
          <w:szCs w:val="22"/>
        </w:rPr>
        <w:lastRenderedPageBreak/>
        <w:t>arrangement with HMI constitutes an agreement between the Hospital and the physicians.</w:t>
      </w:r>
      <w:r w:rsidR="00FB1D09">
        <w:rPr>
          <w:rFonts w:ascii="Baskerville" w:hAnsi="Baskerville" w:cs="Baskerville"/>
          <w:sz w:val="22"/>
          <w:szCs w:val="22"/>
        </w:rPr>
        <w:t xml:space="preserve"> </w:t>
      </w:r>
      <w:r>
        <w:rPr>
          <w:rFonts w:ascii="Baskerville" w:hAnsi="Baskerville" w:cs="Baskerville"/>
          <w:sz w:val="22"/>
          <w:szCs w:val="22"/>
        </w:rPr>
        <w:t>EMC concedes that it is not a “direct” agreement, but insists that it falls squarely within the “indirect” clause of Paragraph J.</w:t>
      </w:r>
      <w:r w:rsidR="00FB1D09">
        <w:rPr>
          <w:rFonts w:ascii="Baskerville" w:hAnsi="Baskerville" w:cs="Baskerville"/>
          <w:sz w:val="22"/>
          <w:szCs w:val="22"/>
        </w:rPr>
        <w:t xml:space="preserve"> </w:t>
      </w:r>
      <w:r>
        <w:rPr>
          <w:rFonts w:ascii="Baskerville" w:hAnsi="Baskerville" w:cs="Baskerville"/>
          <w:sz w:val="22"/>
          <w:szCs w:val="22"/>
        </w:rPr>
        <w:t xml:space="preserve">We have a hard time divining what might constitute an indirect agreement </w:t>
      </w:r>
      <w:r>
        <w:rPr>
          <w:rFonts w:ascii="Baskerville" w:hAnsi="Baskerville" w:cs="Baskerville"/>
          <w:i/>
          <w:iCs/>
          <w:sz w:val="22"/>
          <w:szCs w:val="22"/>
        </w:rPr>
        <w:t>with</w:t>
      </w:r>
      <w:r>
        <w:rPr>
          <w:rFonts w:ascii="Baskerville" w:hAnsi="Baskerville" w:cs="Baskerville"/>
          <w:sz w:val="22"/>
          <w:szCs w:val="22"/>
        </w:rPr>
        <w:t xml:space="preserve"> the physicians.</w:t>
      </w:r>
      <w:r w:rsidR="00FB1D09">
        <w:rPr>
          <w:rFonts w:ascii="Baskerville" w:hAnsi="Baskerville" w:cs="Baskerville"/>
          <w:sz w:val="22"/>
          <w:szCs w:val="22"/>
        </w:rPr>
        <w:t xml:space="preserve"> </w:t>
      </w:r>
      <w:r>
        <w:rPr>
          <w:rFonts w:ascii="Baskerville" w:hAnsi="Baskerville" w:cs="Baskerville"/>
          <w:sz w:val="22"/>
          <w:szCs w:val="22"/>
        </w:rPr>
        <w:t>Of course, this is not to say that the “indirectly” language is meaningless.</w:t>
      </w:r>
      <w:r w:rsidR="00FB1D09">
        <w:rPr>
          <w:rFonts w:ascii="Baskerville" w:hAnsi="Baskerville" w:cs="Baskerville"/>
          <w:sz w:val="22"/>
          <w:szCs w:val="22"/>
        </w:rPr>
        <w:t xml:space="preserve"> </w:t>
      </w:r>
      <w:r>
        <w:rPr>
          <w:rFonts w:ascii="Baskerville" w:hAnsi="Baskerville" w:cs="Baskerville"/>
          <w:sz w:val="22"/>
          <w:szCs w:val="22"/>
        </w:rPr>
        <w:t>While we are unsure what it might encompass, we are sure that it does not cover the HMI agreement.</w:t>
      </w:r>
      <w:r w:rsidR="00FB1D09">
        <w:rPr>
          <w:rFonts w:ascii="Baskerville" w:hAnsi="Baskerville" w:cs="Baskerville"/>
          <w:sz w:val="22"/>
          <w:szCs w:val="22"/>
        </w:rPr>
        <w:t xml:space="preserve"> </w:t>
      </w:r>
      <w:r>
        <w:rPr>
          <w:rFonts w:ascii="Baskerville" w:hAnsi="Baskerville" w:cs="Baskerville"/>
          <w:sz w:val="22"/>
          <w:szCs w:val="22"/>
        </w:rPr>
        <w:t>EMC has not provided any examples, relying instead on its argument that the provision really means “use and utilize.”</w:t>
      </w:r>
    </w:p>
    <w:p w14:paraId="63198A01" w14:textId="45ABE0D5"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EMC quotes a dictionary definition of “indirect” in an effort to demonstrate that the Hospital’s agreement with HMI constitutes am “indirect” agreement with the physicians.</w:t>
      </w:r>
      <w:r w:rsidR="00FB1D09">
        <w:rPr>
          <w:rFonts w:ascii="Baskerville" w:hAnsi="Baskerville" w:cs="Baskerville"/>
          <w:sz w:val="22"/>
          <w:szCs w:val="22"/>
        </w:rPr>
        <w:t xml:space="preserve"> </w:t>
      </w:r>
      <w:r>
        <w:rPr>
          <w:rFonts w:ascii="Baskerville" w:hAnsi="Baskerville" w:cs="Baskerville"/>
          <w:sz w:val="22"/>
          <w:szCs w:val="22"/>
        </w:rPr>
        <w:t xml:space="preserve">It then extrapolates from the definitions, which include “not straightforward and open,” to argue that “the parties intended to prevent the Hospital from utilizing the EMC[-]provided physicians by </w:t>
      </w:r>
      <w:r>
        <w:rPr>
          <w:rFonts w:ascii="Baskerville" w:hAnsi="Baskerville" w:cs="Baskerville"/>
          <w:i/>
          <w:iCs/>
          <w:sz w:val="22"/>
          <w:szCs w:val="22"/>
        </w:rPr>
        <w:t>any</w:t>
      </w:r>
      <w:r>
        <w:rPr>
          <w:rFonts w:ascii="Baskerville" w:hAnsi="Baskerville" w:cs="Baskerville"/>
          <w:sz w:val="22"/>
          <w:szCs w:val="22"/>
        </w:rPr>
        <w:t xml:space="preserve"> means within the agreement period.”</w:t>
      </w:r>
      <w:r w:rsidR="00FB1D09">
        <w:rPr>
          <w:rFonts w:ascii="Baskerville" w:hAnsi="Baskerville" w:cs="Baskerville"/>
          <w:sz w:val="22"/>
          <w:szCs w:val="22"/>
        </w:rPr>
        <w:t xml:space="preserve"> </w:t>
      </w:r>
      <w:r>
        <w:rPr>
          <w:rFonts w:ascii="Baskerville" w:hAnsi="Baskerville" w:cs="Baskerville"/>
          <w:sz w:val="22"/>
          <w:szCs w:val="22"/>
        </w:rPr>
        <w:t>This interpretation fails a common sense rule of contract interpretation because, had the parties intended to prevent the [H]ospital from “using or utilizing” any of the doctors formerly on EMC’s roster, the contract should have said so.</w:t>
      </w:r>
      <w:r w:rsidR="00FB1D09">
        <w:rPr>
          <w:rFonts w:ascii="Baskerville" w:hAnsi="Baskerville" w:cs="Baskerville"/>
          <w:sz w:val="22"/>
          <w:szCs w:val="22"/>
        </w:rPr>
        <w:t xml:space="preserve"> </w:t>
      </w:r>
      <w:r>
        <w:rPr>
          <w:rFonts w:ascii="Baskerville" w:hAnsi="Baskerville" w:cs="Baskerville"/>
          <w:i/>
          <w:iCs/>
          <w:sz w:val="22"/>
          <w:szCs w:val="22"/>
        </w:rPr>
        <w:t>See Diepholz</w:t>
      </w:r>
      <w:r>
        <w:rPr>
          <w:rFonts w:ascii="Baskerville" w:hAnsi="Baskerville" w:cs="Baskerville"/>
          <w:sz w:val="22"/>
          <w:szCs w:val="22"/>
        </w:rPr>
        <w:t>, 213 Ill. Dec. at 645, 659 N.E.2d at 991.</w:t>
      </w:r>
    </w:p>
    <w:p w14:paraId="65D02593" w14:textId="1CF5B76C"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To summarize: we conclude that Paragraph J is unambiguous and that the Hospital did not breach the provision by utilizing HMI doctors who previously had affiliated</w:t>
      </w:r>
      <w:r w:rsidR="000871DD">
        <w:rPr>
          <w:rFonts w:ascii="Baskerville" w:hAnsi="Baskerville" w:cs="Baskerville"/>
          <w:sz w:val="22"/>
          <w:szCs w:val="22"/>
        </w:rPr>
        <w:t xml:space="preserve"> </w:t>
      </w:r>
      <w:r>
        <w:rPr>
          <w:rFonts w:ascii="Baskerville" w:hAnsi="Baskerville" w:cs="Baskerville"/>
          <w:sz w:val="22"/>
          <w:szCs w:val="22"/>
        </w:rPr>
        <w:t>with EMC.</w:t>
      </w:r>
      <w:r w:rsidR="00FB1D09">
        <w:rPr>
          <w:rFonts w:ascii="Baskerville" w:hAnsi="Baskerville" w:cs="Baskerville"/>
          <w:sz w:val="22"/>
          <w:szCs w:val="22"/>
        </w:rPr>
        <w:t xml:space="preserve"> </w:t>
      </w:r>
      <w:r>
        <w:rPr>
          <w:rFonts w:ascii="Baskerville" w:hAnsi="Baskerville" w:cs="Baskerville"/>
          <w:sz w:val="22"/>
          <w:szCs w:val="22"/>
        </w:rPr>
        <w:t>The hospital’s agreement was “with” HMI and not the physicians.</w:t>
      </w:r>
      <w:r w:rsidR="00FB1D09">
        <w:rPr>
          <w:rFonts w:ascii="Baskerville" w:hAnsi="Baskerville" w:cs="Baskerville"/>
          <w:sz w:val="22"/>
          <w:szCs w:val="22"/>
        </w:rPr>
        <w:t xml:space="preserve"> </w:t>
      </w:r>
      <w:r>
        <w:rPr>
          <w:rFonts w:ascii="Baskerville" w:hAnsi="Baskerville" w:cs="Baskerville"/>
          <w:sz w:val="22"/>
          <w:szCs w:val="22"/>
        </w:rPr>
        <w:t>End of subject.</w:t>
      </w:r>
    </w:p>
    <w:p w14:paraId="7D3E67BE" w14:textId="77777777" w:rsidR="00655396" w:rsidRDefault="00655396" w:rsidP="008B512B">
      <w:pPr>
        <w:pStyle w:val="NoParagraphStyle"/>
        <w:tabs>
          <w:tab w:val="left" w:pos="480"/>
          <w:tab w:val="left" w:pos="960"/>
          <w:tab w:val="left" w:pos="1440"/>
        </w:tabs>
        <w:spacing w:line="240" w:lineRule="auto"/>
        <w:ind w:left="480"/>
        <w:jc w:val="both"/>
        <w:rPr>
          <w:rFonts w:ascii="Baskerville" w:hAnsi="Baskerville" w:cs="Baskerville"/>
          <w:i/>
          <w:iCs/>
        </w:rPr>
      </w:pPr>
    </w:p>
    <w:p w14:paraId="5E1EE114"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xml:space="preserve"> at 1061–62 (court’s emphasis; footnote omitted).</w:t>
      </w:r>
    </w:p>
    <w:p w14:paraId="61AD9C3F" w14:textId="003D7B7F"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The Seventh Circuit also rejected EMC’s argument that the Hospital’s agreement to credential the HMI doctors constituted a direct agreement violative of Paragraph J.</w:t>
      </w:r>
      <w:r w:rsidR="00FB1D09">
        <w:rPr>
          <w:rFonts w:ascii="Baskerville" w:hAnsi="Baskerville" w:cs="Baskerville"/>
        </w:rPr>
        <w:t xml:space="preserve"> </w:t>
      </w:r>
      <w:r>
        <w:rPr>
          <w:rFonts w:ascii="Baskerville" w:hAnsi="Baskerville" w:cs="Baskerville"/>
        </w:rPr>
        <w:t>The court reasoned that credentialing “involves merely the Hospital’s acknowledgment of a physician’s qualifications.”</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1061 n.1.</w:t>
      </w:r>
    </w:p>
    <w:p w14:paraId="5C5010E0" w14:textId="77777777" w:rsidR="00655396" w:rsidRDefault="00655396" w:rsidP="008B512B">
      <w:pPr>
        <w:pStyle w:val="BodyTextIndent"/>
        <w:spacing w:line="240" w:lineRule="auto"/>
      </w:pPr>
    </w:p>
    <w:p w14:paraId="06A4421C" w14:textId="183EE1BE" w:rsidR="00655396" w:rsidRDefault="00655396" w:rsidP="008B512B">
      <w:pPr>
        <w:pStyle w:val="BodyText"/>
        <w:spacing w:line="240" w:lineRule="auto"/>
      </w:pPr>
      <w:r>
        <w:tab/>
        <w:t xml:space="preserve">• </w:t>
      </w:r>
      <w:r>
        <w:rPr>
          <w:i/>
          <w:iCs/>
        </w:rPr>
        <w:t>Characterization as a covenant or not</w:t>
      </w:r>
      <w:r>
        <w:t>.</w:t>
      </w:r>
      <w:r w:rsidR="00FB1D09">
        <w:t xml:space="preserve"> </w:t>
      </w:r>
      <w:r>
        <w:t xml:space="preserve">The court in </w:t>
      </w:r>
      <w:r>
        <w:rPr>
          <w:i/>
          <w:iCs/>
        </w:rPr>
        <w:t>H&amp;M Commercial Driver Leasing, Inc. v. Fox Valley Containers, Inc</w:t>
      </w:r>
      <w:r>
        <w:t>., 209 Ill. 2d 52, 805 N.E.2d 1177 (2004), addressed the question whether a contractual provision prohibiting one party from hiring any truck drivers and other personnel furnished to it by another party for a period of 1 year from the termination of the agreement constitutes a covenant not to compete under Illinois law.</w:t>
      </w:r>
      <w:r w:rsidR="00FB1D09">
        <w:t xml:space="preserve"> </w:t>
      </w:r>
      <w:r>
        <w:t>The majority found the provision at issue simply restricted a customer’s ability to hire away employees of its supplier of drivers</w:t>
      </w:r>
      <w:r w:rsidR="00D47546">
        <w:t xml:space="preserve">; </w:t>
      </w:r>
      <w:r>
        <w:t xml:space="preserve">according to the court, it was </w:t>
      </w:r>
      <w:r>
        <w:lastRenderedPageBreak/>
        <w:t>simply a contract provision to be analyzed in terms of whether it acted as a restraint of trade.</w:t>
      </w:r>
      <w:r w:rsidR="00FB1D09">
        <w:t xml:space="preserve"> </w:t>
      </w:r>
      <w:r>
        <w:rPr>
          <w:i/>
          <w:iCs/>
        </w:rPr>
        <w:t>Id</w:t>
      </w:r>
      <w:r>
        <w:t>., 209 Ill. 2d at 63–64.</w:t>
      </w:r>
      <w:r w:rsidR="00CD7A12">
        <w:t xml:space="preserve"> </w:t>
      </w:r>
      <w:r>
        <w:t>The court found the restriction was reasonable and enforceable because it protected H&amp;M’s sole business asset, its drivers, from being hired away by its customers.</w:t>
      </w:r>
      <w:r w:rsidR="00FB1D09">
        <w:t xml:space="preserve"> </w:t>
      </w:r>
      <w:r>
        <w:t>“If customers could hire H&amp;M’s drivers on a permanent basis, then they would no longer need H&amp;M’s services.”</w:t>
      </w:r>
      <w:r w:rsidR="00FB1D09">
        <w:t xml:space="preserve"> </w:t>
      </w:r>
      <w:r>
        <w:rPr>
          <w:i/>
          <w:iCs/>
        </w:rPr>
        <w:t>Id</w:t>
      </w:r>
      <w:r>
        <w:t>. at 64.</w:t>
      </w:r>
      <w:r w:rsidR="00FB1D09">
        <w:t xml:space="preserve"> </w:t>
      </w:r>
      <w:r>
        <w:t>The dissent, however, likened the provision to a restrictive covenant, which would require the time limit and geographic scope of the restriction to be reasonable, that trade secrets or confidential information be involved, and that the restriction be reasonably necessary for the protection of a legitimate business interest.</w:t>
      </w:r>
      <w:r w:rsidR="00FB1D09">
        <w:t xml:space="preserve"> </w:t>
      </w:r>
      <w:r>
        <w:rPr>
          <w:i/>
          <w:iCs/>
        </w:rPr>
        <w:t>Id</w:t>
      </w:r>
      <w:r>
        <w:t>. at 69 (Rarick, J., dissenting).</w:t>
      </w:r>
      <w:r w:rsidR="00FB1D09">
        <w:t xml:space="preserve"> </w:t>
      </w:r>
      <w:r>
        <w:t>The dissent found the drivers to lack the requisite unique characteristics to differentiate them from the general pool of drivers, to lack specialized skill or training from the employer, and not to be in possession of trade secrets, customer lists, or other confidential business information belonging to H&amp;M.</w:t>
      </w:r>
      <w:r w:rsidR="00FB1D09">
        <w:t xml:space="preserve"> </w:t>
      </w:r>
      <w:r>
        <w:rPr>
          <w:i/>
          <w:iCs/>
        </w:rPr>
        <w:t>Id</w:t>
      </w:r>
      <w:r>
        <w:t>. at 70.</w:t>
      </w:r>
    </w:p>
    <w:p w14:paraId="6688F2C1" w14:textId="77777777" w:rsidR="00655396" w:rsidRDefault="00655396" w:rsidP="008B512B">
      <w:pPr>
        <w:pStyle w:val="BodyText"/>
        <w:spacing w:line="240" w:lineRule="auto"/>
      </w:pPr>
    </w:p>
    <w:p w14:paraId="2ED5B400" w14:textId="0EA1EC79" w:rsidR="00655396" w:rsidRDefault="00655396" w:rsidP="008B512B">
      <w:pPr>
        <w:pStyle w:val="BodyText"/>
        <w:spacing w:line="240" w:lineRule="auto"/>
      </w:pPr>
      <w:r>
        <w:tab/>
        <w:t xml:space="preserve">• </w:t>
      </w:r>
      <w:r>
        <w:rPr>
          <w:i/>
          <w:iCs/>
        </w:rPr>
        <w:t>Construction (contractual).</w:t>
      </w:r>
      <w:r w:rsidR="00FB1D09">
        <w:t xml:space="preserve"> </w:t>
      </w:r>
      <w:r>
        <w:t xml:space="preserve">In </w:t>
      </w:r>
      <w:r>
        <w:rPr>
          <w:i/>
          <w:iCs/>
        </w:rPr>
        <w:t>Restaurant.Com, Inc. v. Savad</w:t>
      </w:r>
      <w:r>
        <w:t>, 2008 U.S. Dist. LEXIS 77991 (N.D. Ill. Aug. 21, 2008), the court determined that a postemployment anti-employee-raiding covenant unambiguously prohibited not only the hiring away of the employer’s employee, but also acting in “any other manner [to] persuade” any employee of the employer “to alter, modify or terminate their relationship with the [employer] or any of its affiliates.”</w:t>
      </w:r>
      <w:r w:rsidR="00FB1D09">
        <w:t xml:space="preserve"> </w:t>
      </w:r>
      <w:r>
        <w:rPr>
          <w:i/>
          <w:iCs/>
        </w:rPr>
        <w:t>Id</w:t>
      </w:r>
      <w:r>
        <w:t>. at *9.</w:t>
      </w:r>
    </w:p>
    <w:p w14:paraId="57672E54" w14:textId="77777777" w:rsidR="00655396" w:rsidRDefault="00655396" w:rsidP="008B512B">
      <w:pPr>
        <w:pStyle w:val="BodyText"/>
        <w:spacing w:line="240" w:lineRule="auto"/>
      </w:pPr>
    </w:p>
    <w:p w14:paraId="2C692D8D" w14:textId="59552D9B" w:rsidR="00655396" w:rsidRDefault="00655396" w:rsidP="008B512B">
      <w:pPr>
        <w:pStyle w:val="BodyText"/>
        <w:spacing w:line="240" w:lineRule="auto"/>
      </w:pPr>
      <w:r>
        <w:tab/>
        <w:t xml:space="preserve">• </w:t>
      </w:r>
      <w:r>
        <w:rPr>
          <w:i/>
          <w:iCs/>
        </w:rPr>
        <w:t>Temporary injunctive relief</w:t>
      </w:r>
      <w:r>
        <w:t>.</w:t>
      </w:r>
      <w:r w:rsidR="00FB1D09">
        <w:t xml:space="preserve"> </w:t>
      </w:r>
      <w:r>
        <w:t xml:space="preserve">Only for purposes of ruling on a motion for a temporary restraining order in favor of a former employer engaged in providing consumer, product, and market research services, the court in </w:t>
      </w:r>
      <w:r>
        <w:rPr>
          <w:i/>
          <w:iCs/>
        </w:rPr>
        <w:t>Mintel International Group, Ltd. v. Neergheen</w:t>
      </w:r>
      <w:r>
        <w:t xml:space="preserve">, 2008 U.S. Dist. LEXIS 54119 (N.D. Ill. July 16, 2008), determined that a former employer had </w:t>
      </w:r>
      <w:r>
        <w:rPr>
          <w:i/>
          <w:iCs/>
        </w:rPr>
        <w:t>some</w:t>
      </w:r>
      <w:r>
        <w:t xml:space="preserve"> likelihood of successfully demonstrating the reasonableness under Illinois law of a 1-year worldwide postemployment noncompetition covenant and/or a 1-year anti-employee-raiding covenant executed by an employee engaged in marketing the employer’s services.</w:t>
      </w:r>
      <w:r w:rsidR="00FB1D09">
        <w:t xml:space="preserve"> </w:t>
      </w:r>
      <w:r>
        <w:rPr>
          <w:i/>
          <w:iCs/>
        </w:rPr>
        <w:t>Id.</w:t>
      </w:r>
      <w:r>
        <w:t xml:space="preserve"> at *13.</w:t>
      </w:r>
    </w:p>
    <w:p w14:paraId="5A053650" w14:textId="77777777" w:rsidR="00655396" w:rsidRDefault="00655396" w:rsidP="008B512B">
      <w:pPr>
        <w:pStyle w:val="BodyText"/>
        <w:spacing w:line="240" w:lineRule="auto"/>
      </w:pPr>
    </w:p>
    <w:p w14:paraId="15018ED4" w14:textId="77777777" w:rsidR="00655396" w:rsidRDefault="00655396" w:rsidP="008B512B">
      <w:pPr>
        <w:pStyle w:val="AdditionalTopicsSectionHeadings"/>
        <w:spacing w:line="240" w:lineRule="auto"/>
      </w:pPr>
      <w:r>
        <w:t>Antitrust Law</w:t>
      </w:r>
    </w:p>
    <w:p w14:paraId="77D126D7" w14:textId="77777777" w:rsidR="00655396" w:rsidRDefault="00655396" w:rsidP="008B512B">
      <w:pPr>
        <w:pStyle w:val="BodyTextIndent"/>
        <w:spacing w:line="240" w:lineRule="auto"/>
      </w:pPr>
    </w:p>
    <w:p w14:paraId="0B8D29E6" w14:textId="0DBC70C4" w:rsidR="008E1A63" w:rsidRPr="006A121F" w:rsidRDefault="00655396" w:rsidP="008E1A63">
      <w:pPr>
        <w:shd w:val="clear" w:color="auto" w:fill="FFFFFF"/>
        <w:rPr>
          <w:rFonts w:ascii="Baskerville" w:hAnsi="Baskerville"/>
          <w:color w:val="000000" w:themeColor="text1"/>
        </w:rPr>
      </w:pPr>
      <w:r>
        <w:lastRenderedPageBreak/>
        <w:tab/>
      </w:r>
      <w:r w:rsidRPr="008E1A63">
        <w:rPr>
          <w:rFonts w:ascii="Baskerville" w:hAnsi="Baskerville"/>
          <w:color w:val="000000" w:themeColor="text1"/>
        </w:rPr>
        <w:t>“The legality of a non-competition agreement under Section 1 of the Sherman Act is properly governed by the ‘rule of reason’ analysis”</w:t>
      </w:r>
      <w:r w:rsidR="00FB1D09" w:rsidRPr="008E1A63">
        <w:rPr>
          <w:rFonts w:ascii="Baskerville" w:hAnsi="Baskerville"/>
          <w:color w:val="000000" w:themeColor="text1"/>
        </w:rPr>
        <w:t xml:space="preserve"> </w:t>
      </w:r>
      <w:r w:rsidRPr="008E1A63">
        <w:rPr>
          <w:rFonts w:ascii="Baskerville" w:hAnsi="Baskerville"/>
          <w:i/>
          <w:iCs/>
          <w:color w:val="000000" w:themeColor="text1"/>
        </w:rPr>
        <w:t>Terrific Promotions, Inc. v. Dollar Tree Stores, Inc.</w:t>
      </w:r>
      <w:r w:rsidRPr="008E1A63">
        <w:rPr>
          <w:rFonts w:ascii="Baskerville" w:hAnsi="Baskerville"/>
          <w:color w:val="000000" w:themeColor="text1"/>
        </w:rPr>
        <w:t xml:space="preserve">, 947 F. Supp. 1243, 1251 (N.D. Ill. 1996) (quoting </w:t>
      </w:r>
      <w:r w:rsidRPr="008E1A63">
        <w:rPr>
          <w:rFonts w:ascii="Baskerville" w:hAnsi="Baskerville"/>
          <w:i/>
          <w:iCs/>
          <w:color w:val="000000" w:themeColor="text1"/>
        </w:rPr>
        <w:t>Lektro-Vend Corp. v. Vendo Co.</w:t>
      </w:r>
      <w:r w:rsidRPr="008E1A63">
        <w:rPr>
          <w:rFonts w:ascii="Baskerville" w:hAnsi="Baskerville"/>
          <w:color w:val="000000" w:themeColor="text1"/>
        </w:rPr>
        <w:t>, 660 F.2d 255, 265 (7th Cir. 1981)</w:t>
      </w:r>
      <w:r w:rsidR="008E1A63" w:rsidRPr="008E1A63">
        <w:rPr>
          <w:rFonts w:ascii="Baskerville" w:hAnsi="Baskerville"/>
          <w:color w:val="000000" w:themeColor="text1"/>
        </w:rPr>
        <w:t xml:space="preserve"> (applying rules of reason to noncompetition covenant)). </w:t>
      </w:r>
      <w:r w:rsidR="008E1A63" w:rsidRPr="008E1A63">
        <w:rPr>
          <w:rFonts w:ascii="Baskerville" w:hAnsi="Baskerville"/>
          <w:i/>
          <w:iCs/>
          <w:color w:val="000000" w:themeColor="text1"/>
        </w:rPr>
        <w:t>See</w:t>
      </w:r>
      <w:r w:rsidR="008E1A63" w:rsidRPr="008E1A63">
        <w:rPr>
          <w:rFonts w:ascii="Baskerville" w:hAnsi="Baskerville"/>
          <w:color w:val="000000" w:themeColor="text1"/>
        </w:rPr>
        <w:t xml:space="preserve"> </w:t>
      </w:r>
      <w:r w:rsidR="008E1A63" w:rsidRPr="008E1A63">
        <w:rPr>
          <w:rFonts w:ascii="Baskerville" w:hAnsi="Baskerville" w:cs="Open Sans"/>
          <w:i/>
          <w:iCs/>
          <w:color w:val="000000" w:themeColor="text1"/>
        </w:rPr>
        <w:t>Conrad v. Jimmy John</w:t>
      </w:r>
      <w:r w:rsidR="008E1A63">
        <w:rPr>
          <w:rFonts w:ascii="Baskerville" w:hAnsi="Baskerville" w:cs="Open Sans"/>
          <w:i/>
          <w:iCs/>
          <w:color w:val="000000" w:themeColor="text1"/>
        </w:rPr>
        <w:t>’</w:t>
      </w:r>
      <w:r w:rsidR="008E1A63" w:rsidRPr="008E1A63">
        <w:rPr>
          <w:rFonts w:ascii="Baskerville" w:hAnsi="Baskerville" w:cs="Open Sans"/>
          <w:i/>
          <w:iCs/>
          <w:color w:val="000000" w:themeColor="text1"/>
        </w:rPr>
        <w:t>s Franchise, LLC</w:t>
      </w:r>
      <w:r w:rsidR="008E1A63" w:rsidRPr="008E1A63">
        <w:rPr>
          <w:rFonts w:ascii="Baskerville" w:hAnsi="Baskerville" w:cs="Open Sans"/>
          <w:color w:val="000000" w:themeColor="text1"/>
        </w:rPr>
        <w:t>, No. 18-CV-00133-NJR, 2021 BL 287720, at *16 (S.D. Ill. July 23, 2021) (quoting</w:t>
      </w:r>
      <w:r w:rsidR="008E1A63" w:rsidRPr="008E1A63">
        <w:rPr>
          <w:rStyle w:val="Emphasis"/>
          <w:rFonts w:ascii="Baskerville" w:hAnsi="Baskerville" w:cs="Open Sans"/>
          <w:color w:val="000000" w:themeColor="text1"/>
        </w:rPr>
        <w:t xml:space="preserve"> Lektro-Vend</w:t>
      </w:r>
      <w:r w:rsidR="008E1A63" w:rsidRPr="008E1A63">
        <w:rPr>
          <w:rFonts w:ascii="Baskerville" w:hAnsi="Baskerville" w:cs="Open Sans"/>
          <w:color w:val="000000" w:themeColor="text1"/>
        </w:rPr>
        <w:t>, 660 F.2d at 268 (</w:t>
      </w:r>
      <w:r w:rsidR="008E1A63">
        <w:rPr>
          <w:rFonts w:ascii="Baskerville" w:hAnsi="Baskerville" w:cs="Open Sans"/>
          <w:color w:val="000000" w:themeColor="text1"/>
        </w:rPr>
        <w:t>“</w:t>
      </w:r>
      <w:r w:rsidR="008E1A63" w:rsidRPr="008E1A63">
        <w:rPr>
          <w:rFonts w:ascii="Baskerville" w:hAnsi="Baskerville" w:cs="Open Sans"/>
          <w:color w:val="000000" w:themeColor="text1"/>
        </w:rPr>
        <w:t>It is by now well established that any rule of reason analysis requires a showing of anticompetitive market effect. </w:t>
      </w:r>
      <w:r w:rsidR="008E1A63" w:rsidRPr="008E1A63">
        <w:rPr>
          <w:rStyle w:val="legalprinciplestatement"/>
          <w:rFonts w:ascii="Baskerville" w:hAnsi="Baskerville" w:cs="Open Sans"/>
          <w:color w:val="000000" w:themeColor="text1"/>
        </w:rPr>
        <w:t>To hold otherwise would ignore the very purpose of the antitrust laws which were enacted for the protection of competition, not competitors.</w:t>
      </w:r>
      <w:r w:rsidR="008E1A63">
        <w:rPr>
          <w:rStyle w:val="legalprinciplestatement"/>
          <w:rFonts w:ascii="Baskerville" w:hAnsi="Baskerville" w:cs="Open Sans"/>
          <w:color w:val="000000" w:themeColor="text1"/>
        </w:rPr>
        <w:t>”</w:t>
      </w:r>
      <w:r w:rsidR="008E1A63" w:rsidRPr="008E1A63">
        <w:rPr>
          <w:rStyle w:val="legalprinciplestatement"/>
          <w:rFonts w:ascii="Baskerville" w:hAnsi="Baskerville" w:cs="Open Sans"/>
          <w:color w:val="000000" w:themeColor="text1"/>
        </w:rPr>
        <w:t>)).</w:t>
      </w:r>
    </w:p>
    <w:p w14:paraId="06126259" w14:textId="035B79CF" w:rsidR="00655396" w:rsidRDefault="00655396" w:rsidP="008B512B">
      <w:pPr>
        <w:pStyle w:val="BodyText"/>
        <w:spacing w:line="240" w:lineRule="auto"/>
      </w:pPr>
      <w:r>
        <w:tab/>
        <w:t>Under the rule of reason, “covenants are valid if they are ‘(1) ancillary to the main purpose of a lawful contract, and (2) necessary to protect the covenantee’s legitimate property interests, which require that the covenants be as limited as is reasonable to protect the covenantee’s interests.’</w:t>
      </w:r>
      <w:r>
        <w:rPr>
          <w:rFonts w:ascii="Times New Roman" w:hAnsi="Times New Roman" w:cs="Times New Roman"/>
        </w:rPr>
        <w:t> </w:t>
      </w:r>
      <w:r>
        <w:t>”</w:t>
      </w:r>
      <w:r w:rsidR="00FB1D09">
        <w:t xml:space="preserve"> </w:t>
      </w:r>
      <w:r w:rsidR="008E1A63">
        <w:rPr>
          <w:i/>
          <w:iCs/>
        </w:rPr>
        <w:t xml:space="preserve">Terrific Promotions, </w:t>
      </w:r>
      <w:r w:rsidR="008E1A63">
        <w:t xml:space="preserve">947 F. Supp. 1243, 1251 </w:t>
      </w:r>
      <w:r>
        <w:t xml:space="preserve">(quoting </w:t>
      </w:r>
      <w:r>
        <w:rPr>
          <w:i/>
          <w:iCs/>
        </w:rPr>
        <w:t>Lektro-Vend</w:t>
      </w:r>
      <w:r>
        <w:t>, 660 F.2d at 265).</w:t>
      </w:r>
      <w:r w:rsidR="00FB1D09">
        <w:t xml:space="preserve"> </w:t>
      </w:r>
      <w:r>
        <w:t>Moreover, to sustain a claim that a noncompetition covenant runs afoul of the Sherman Act, the plaintiff “must be able to show that the non-competition agreement produces an anticompetitive market effect.”</w:t>
      </w:r>
      <w:r w:rsidR="00FB1D09">
        <w:t xml:space="preserve"> </w:t>
      </w:r>
      <w:r>
        <w:rPr>
          <w:i/>
          <w:iCs/>
        </w:rPr>
        <w:t>Id.</w:t>
      </w:r>
      <w:r>
        <w:t xml:space="preserve"> (citing </w:t>
      </w:r>
      <w:r>
        <w:rPr>
          <w:i/>
          <w:iCs/>
        </w:rPr>
        <w:t>Lektro-Vend</w:t>
      </w:r>
      <w:r>
        <w:t>, 660 F.2d at 268–69).</w:t>
      </w:r>
    </w:p>
    <w:p w14:paraId="0A53A5D6" w14:textId="6A641D01" w:rsidR="00655396" w:rsidRDefault="00655396" w:rsidP="008B512B">
      <w:pPr>
        <w:pStyle w:val="BodyText"/>
        <w:spacing w:line="240" w:lineRule="auto"/>
      </w:pPr>
      <w:r>
        <w:tab/>
        <w:t>“Inasmuch as [a noncompetition covenant is] ancillary to [a] legitimate business transaction [such as the sale of a business], it clearly satisfies the first prong of the test.”</w:t>
      </w:r>
      <w:r w:rsidR="00FB1D09">
        <w:t xml:space="preserve"> </w:t>
      </w:r>
      <w:r>
        <w:rPr>
          <w:i/>
          <w:iCs/>
        </w:rPr>
        <w:t>Id.</w:t>
      </w:r>
    </w:p>
    <w:p w14:paraId="460DAA61" w14:textId="77D8FC1D" w:rsidR="00655396" w:rsidRDefault="00655396" w:rsidP="008B512B">
      <w:pPr>
        <w:pStyle w:val="BodyText"/>
        <w:spacing w:line="240" w:lineRule="auto"/>
      </w:pPr>
      <w:r>
        <w:tab/>
        <w:t xml:space="preserve">As to the second prong of the test, note that “fraudulent inducement [would not] not touch upon the substantive reasonableness of the restrictions contained in the contract </w:t>
      </w:r>
      <w:r>
        <w:rPr>
          <w:i/>
          <w:iCs/>
        </w:rPr>
        <w:t>for purposes of antitrust liability</w:t>
      </w:r>
      <w:r>
        <w:t>.”</w:t>
      </w:r>
      <w:r w:rsidR="00FB1D09">
        <w:t xml:space="preserve"> </w:t>
      </w:r>
      <w:r>
        <w:rPr>
          <w:i/>
          <w:iCs/>
        </w:rPr>
        <w:t>Id.</w:t>
      </w:r>
      <w:r>
        <w:t xml:space="preserve"> (emphasis added; concluding, at 1251–52, that “[i]nasmuch as plaintiffs have not alleged that the Non-Competition Agreement is unreasonable on its own terms, the court must now conclude that the contract does not violate Section 1 of the Sherman Act.”).</w:t>
      </w:r>
    </w:p>
    <w:p w14:paraId="154E2874" w14:textId="4EEDC6A7" w:rsidR="00655396" w:rsidRDefault="00655396" w:rsidP="008B512B">
      <w:pPr>
        <w:pStyle w:val="BodyText"/>
        <w:spacing w:line="240" w:lineRule="auto"/>
      </w:pPr>
      <w:r>
        <w:tab/>
        <w:t>Under federal antitrust law, there must be some attempted enforcement of an arguably overbroad portion of a covenant not to compete in order for there to be an antitrust violation arising from the covenant.</w:t>
      </w:r>
      <w:r w:rsidR="00FB1D09">
        <w:t xml:space="preserve"> </w:t>
      </w:r>
      <w:r>
        <w:rPr>
          <w:i/>
          <w:iCs/>
        </w:rPr>
        <w:t>O’Regan v. Arbitration Forums, Inc.</w:t>
      </w:r>
      <w:r>
        <w:t xml:space="preserve">, 121 F.3d 1060, 1066, 80 FEP Cases 1738, 13 IER Cases 448 (7th Cir. 1999) (finding employee could not maintain claim that former employer violated </w:t>
      </w:r>
      <w:r>
        <w:lastRenderedPageBreak/>
        <w:t xml:space="preserve">federal antitrust law by attempting to require her to sign covenant not to compete), </w:t>
      </w:r>
      <w:r>
        <w:rPr>
          <w:i/>
          <w:iCs/>
        </w:rPr>
        <w:t>aff’d</w:t>
      </w:r>
      <w:r>
        <w:t>, 246 F.3d 975 (7th Cir. 2001).</w:t>
      </w:r>
    </w:p>
    <w:p w14:paraId="72729C1D" w14:textId="534956AF" w:rsidR="00655396" w:rsidRDefault="00655396" w:rsidP="008B512B">
      <w:pPr>
        <w:pStyle w:val="BodyText"/>
        <w:spacing w:line="240" w:lineRule="auto"/>
        <w:rPr>
          <w:i/>
          <w:iCs/>
        </w:rPr>
      </w:pPr>
      <w:r>
        <w:tab/>
        <w:t xml:space="preserve">The Illinois Antitrust Act, 740 </w:t>
      </w:r>
      <w:r>
        <w:rPr>
          <w:smallCaps/>
        </w:rPr>
        <w:t>Ill. Comp. Stat. Ann</w:t>
      </w:r>
      <w:r>
        <w:t>. 10/4, for its part, does not cover labor performed by natural persons as employees.</w:t>
      </w:r>
      <w:r w:rsidR="00FB1D09">
        <w:t xml:space="preserve"> </w:t>
      </w:r>
      <w:r>
        <w:rPr>
          <w:i/>
          <w:iCs/>
        </w:rPr>
        <w:t>Id.</w:t>
      </w:r>
    </w:p>
    <w:p w14:paraId="31DC0AA8" w14:textId="77777777" w:rsidR="00655396" w:rsidRDefault="00655396" w:rsidP="008B512B">
      <w:pPr>
        <w:pStyle w:val="BodyText"/>
        <w:spacing w:line="240" w:lineRule="auto"/>
        <w:rPr>
          <w:i/>
          <w:iCs/>
        </w:rPr>
      </w:pPr>
    </w:p>
    <w:p w14:paraId="6191AE43" w14:textId="77777777" w:rsidR="00655396" w:rsidRDefault="00655396" w:rsidP="008B512B">
      <w:pPr>
        <w:pStyle w:val="AdditionalTopicsSectionHeadings"/>
        <w:spacing w:line="240" w:lineRule="auto"/>
      </w:pPr>
      <w:r>
        <w:t>Appeals</w:t>
      </w:r>
    </w:p>
    <w:p w14:paraId="2CD73B60" w14:textId="77777777" w:rsidR="00655396" w:rsidRDefault="00655396" w:rsidP="008B512B">
      <w:pPr>
        <w:pStyle w:val="BodyText"/>
        <w:spacing w:line="240" w:lineRule="auto"/>
      </w:pPr>
    </w:p>
    <w:p w14:paraId="580D8F17" w14:textId="69A29ED2" w:rsidR="00655396" w:rsidRDefault="00655396" w:rsidP="008B512B">
      <w:pPr>
        <w:pStyle w:val="BodyText"/>
        <w:spacing w:line="240" w:lineRule="auto"/>
      </w:pPr>
      <w:r>
        <w:tab/>
      </w:r>
      <w:r>
        <w:rPr>
          <w:b/>
          <w:bCs/>
        </w:rPr>
        <w:t>•</w:t>
      </w:r>
      <w:r>
        <w:t xml:space="preserve"> </w:t>
      </w:r>
      <w:r>
        <w:rPr>
          <w:i/>
          <w:iCs/>
        </w:rPr>
        <w:t>Appeals in state court</w:t>
      </w:r>
      <w:r>
        <w:t>.</w:t>
      </w:r>
      <w:r w:rsidR="00FB1D09">
        <w:t xml:space="preserve"> </w:t>
      </w:r>
      <w:r>
        <w:t>Illinois Supreme Court Rule 307(a)(1) permits interlocutory appeal from injunctive orders.</w:t>
      </w:r>
      <w:r w:rsidR="00FB1D09">
        <w:t xml:space="preserve"> </w:t>
      </w:r>
      <w:r>
        <w:t>166 Ill. 2d R. 307(a)(1).</w:t>
      </w:r>
    </w:p>
    <w:p w14:paraId="1B374E8F" w14:textId="701BB69D" w:rsidR="00655396" w:rsidRDefault="00655396" w:rsidP="008B512B">
      <w:pPr>
        <w:pStyle w:val="BodyText"/>
        <w:spacing w:line="240" w:lineRule="auto"/>
      </w:pPr>
      <w:r>
        <w:tab/>
        <w:t>“In determining whether a trial court’s order is appealable under Rule 307, [the appellate court] must look to the substance, not the form of the court’s order.”</w:t>
      </w:r>
      <w:r w:rsidR="00FB1D09">
        <w:t xml:space="preserve"> </w:t>
      </w:r>
      <w:r>
        <w:rPr>
          <w:i/>
          <w:iCs/>
        </w:rPr>
        <w:t>Bloomington Urological Assocs., SC v. Scaglia</w:t>
      </w:r>
      <w:r>
        <w:t>, 292 Ill. App. 3d 793, 796–97, 226 Ill. Dec. 759, 762, 686 N.E.2d 389, 392 (4th Dist. 1997) (court of appeals determined that it had jurisdiction to consider trial court’s finding that physician formerly employed by medical organization was in contempt of court for violating noncompetition clause in agreed order).</w:t>
      </w:r>
    </w:p>
    <w:p w14:paraId="33CD7853" w14:textId="275CD428" w:rsidR="00655396" w:rsidRDefault="00655396" w:rsidP="008B512B">
      <w:pPr>
        <w:pStyle w:val="BodyText"/>
        <w:spacing w:line="240" w:lineRule="auto"/>
      </w:pPr>
      <w:r>
        <w:tab/>
        <w:t>An order constitutes an appealable injunction “if it requires a person to do a particular thing, or to refrain from doing a particular thing, according to the exigency of the writ, the most common sort of which operate as a restraint upon the party in the exercise of his real or supposed rights.”</w:t>
      </w:r>
      <w:r w:rsidR="00FB1D09">
        <w:t xml:space="preserve"> </w:t>
      </w:r>
      <w:r>
        <w:rPr>
          <w:i/>
          <w:iCs/>
        </w:rPr>
        <w:t>Id.</w:t>
      </w:r>
      <w:r>
        <w:t>, 226 Ill. Dec. at 762, 686 N.E.2d at 392 (internal quotations omitted; noting that policy in Illinois is to broadly construe the meaning of term “injunction”).</w:t>
      </w:r>
    </w:p>
    <w:p w14:paraId="6C8DE0B7" w14:textId="53FAB8C7" w:rsidR="00655396" w:rsidRDefault="00655396" w:rsidP="008B512B">
      <w:pPr>
        <w:pStyle w:val="BodyText"/>
        <w:spacing w:line="240" w:lineRule="auto"/>
      </w:pPr>
      <w:r>
        <w:tab/>
        <w:t>The filing of a postjudgment motion seeking modification of a court order does not render an order nonappealable until such time as the motion is resolved; “no motion attacking an interlocutory order appealable under Rule 307 serves to extend the time for taking an appeal.”</w:t>
      </w:r>
      <w:r w:rsidR="00FB1D09">
        <w:t xml:space="preserve"> </w:t>
      </w:r>
      <w:r>
        <w:rPr>
          <w:i/>
          <w:iCs/>
        </w:rPr>
        <w:t>Id.</w:t>
      </w:r>
      <w:r>
        <w:t>, 226 Ill. Dec. at 762, 686 N.E.2d at 392.</w:t>
      </w:r>
    </w:p>
    <w:p w14:paraId="19F2C125" w14:textId="20B01F52" w:rsidR="00655396" w:rsidRDefault="00655396" w:rsidP="008B512B">
      <w:pPr>
        <w:pStyle w:val="BodyText"/>
        <w:spacing w:line="240" w:lineRule="auto"/>
      </w:pPr>
      <w:r>
        <w:tab/>
        <w:t>On appeals pursuant to Rule 307(a)(1), the only question properly before an Illinois court of appeals is whether a sufficient showing was made to the trial court to sustain its order granting or denying the relief sought.</w:t>
      </w:r>
      <w:r w:rsidR="00FB1D09">
        <w:t xml:space="preserve"> </w:t>
      </w:r>
      <w:r>
        <w:rPr>
          <w:i/>
          <w:iCs/>
        </w:rPr>
        <w:t>Prairie Eye Ctr., Ltd. v. Butler</w:t>
      </w:r>
      <w:r>
        <w:t>, 713 N.E.2d 610, 613 (Ill. Ct. App. 4th Dist. 1999)</w:t>
      </w:r>
      <w:r w:rsidR="00D47546">
        <w:t xml:space="preserve">; </w:t>
      </w:r>
      <w:r>
        <w:rPr>
          <w:i/>
          <w:iCs/>
        </w:rPr>
        <w:t>Center for Sight of Cent. Ill., S.C. v. Deranian</w:t>
      </w:r>
      <w:r>
        <w:t>, 712 N.E.2d 417, 420 (Ill. Ct. App. 4th Dist. 1999).</w:t>
      </w:r>
    </w:p>
    <w:p w14:paraId="10E87B3E" w14:textId="77777777" w:rsidR="00655396" w:rsidRDefault="00655396" w:rsidP="008B512B">
      <w:pPr>
        <w:pStyle w:val="BodyTextIndent"/>
        <w:spacing w:line="240" w:lineRule="auto"/>
      </w:pPr>
    </w:p>
    <w:p w14:paraId="41CCA1FC" w14:textId="285FA37E" w:rsidR="00655396" w:rsidRDefault="00655396" w:rsidP="008B512B">
      <w:pPr>
        <w:pStyle w:val="BodyText"/>
        <w:spacing w:line="240" w:lineRule="auto"/>
      </w:pPr>
      <w:r>
        <w:tab/>
      </w:r>
      <w:r>
        <w:rPr>
          <w:b/>
          <w:bCs/>
        </w:rPr>
        <w:t>•</w:t>
      </w:r>
      <w:r>
        <w:t xml:space="preserve"> </w:t>
      </w:r>
      <w:r>
        <w:rPr>
          <w:i/>
          <w:iCs/>
        </w:rPr>
        <w:t>Appeals in federal court</w:t>
      </w:r>
      <w:r>
        <w:t xml:space="preserve">. A former employer’s failure to assert </w:t>
      </w:r>
      <w:r>
        <w:lastRenderedPageBreak/>
        <w:t>in the court of first instance the reasonableness of the terms of a noncompetition covenant it seeks to enforce operates as a</w:t>
      </w:r>
      <w:r w:rsidR="00FB1D09">
        <w:t xml:space="preserve"> </w:t>
      </w:r>
      <w:r>
        <w:t>waiver of the right to present the argument on appeal, the U.S. Court of Appeals for the Seventh Circuit pointed out in a covenant case handed up by the U.S. District Court for the Northern District of Illinois.</w:t>
      </w:r>
      <w:r w:rsidR="00FB1D09">
        <w:t xml:space="preserve"> </w:t>
      </w:r>
      <w:r>
        <w:rPr>
          <w:i/>
          <w:iCs/>
        </w:rPr>
        <w:t>Cintas Corp. v. Perry</w:t>
      </w:r>
      <w:r>
        <w:t>, 517 F.3d 459, 466 (7th Cir. 2008).</w:t>
      </w:r>
    </w:p>
    <w:p w14:paraId="626F1DAE" w14:textId="05798078" w:rsidR="00655396" w:rsidRDefault="00655396" w:rsidP="008B512B">
      <w:pPr>
        <w:pStyle w:val="BodyText"/>
        <w:spacing w:line="240" w:lineRule="auto"/>
      </w:pPr>
      <w:r>
        <w:tab/>
        <w:t xml:space="preserve">A federal district court’s violation of Federal Rule of Civil Procedure 58 (requiring that “[e]very judgment shall be set forth on a separate document”) and Federal Rule of Civil Procedure 65(d) (requiring that “[e]very order granting an injunction </w:t>
      </w:r>
      <w:r w:rsidR="00944F63">
        <w:t>…</w:t>
      </w:r>
      <w:r>
        <w:t xml:space="preserve"> shall set forth the reasons for its issuance; shall be specific in terms; [and] shall describe in reasonable detail, and not by reference to the complaint or other document, the act or acts sought to be restrained”) in connection with its issuance of an injunction enforcing a noncompetition covenant does not necessarily deprive the court of appeals of appellate jurisdiction.</w:t>
      </w:r>
      <w:r w:rsidR="00FB1D09">
        <w:t xml:space="preserve"> </w:t>
      </w:r>
      <w:r>
        <w:rPr>
          <w:i/>
          <w:iCs/>
        </w:rPr>
        <w:t>Advent Elecs., Inc. v. Buckman</w:t>
      </w:r>
      <w:r>
        <w:t>, 112 F.3d 267, 272–73 (7th Cir. 1997).</w:t>
      </w:r>
    </w:p>
    <w:p w14:paraId="5BD293F2" w14:textId="62283C09" w:rsidR="00655396" w:rsidRDefault="00655396" w:rsidP="008B512B">
      <w:pPr>
        <w:pStyle w:val="BodyText"/>
        <w:spacing w:line="240" w:lineRule="auto"/>
      </w:pPr>
      <w:r>
        <w:tab/>
        <w:t xml:space="preserve">In </w:t>
      </w:r>
      <w:r>
        <w:rPr>
          <w:i/>
          <w:iCs/>
        </w:rPr>
        <w:t>Advent Electronics</w:t>
      </w:r>
      <w:r>
        <w:t>, the U.S. Court of Appeals for the Seventh Circuit was faced with a “somewhat unusual” request from a defendant to dismiss his own appeal from a preliminary injunction order for lack of jurisdiction.</w:t>
      </w:r>
      <w:r w:rsidR="00FB1D09">
        <w:t xml:space="preserve"> </w:t>
      </w:r>
      <w:r>
        <w:rPr>
          <w:i/>
          <w:iCs/>
        </w:rPr>
        <w:t>Id.</w:t>
      </w:r>
      <w:r>
        <w:t xml:space="preserve"> at 272.</w:t>
      </w:r>
      <w:r w:rsidR="00FB1D09">
        <w:t xml:space="preserve"> </w:t>
      </w:r>
      <w:r>
        <w:t>The movant-defendant based his request on the facts that the district court had: (1) failed to set forth a separate Rule 58 judgment; and (2) stated the terms of the injunction by reference to another document—the magistrate judge’s report and recommendation.</w:t>
      </w:r>
      <w:r w:rsidR="00FB1D09">
        <w:t xml:space="preserve"> </w:t>
      </w:r>
      <w:r>
        <w:rPr>
          <w:i/>
          <w:iCs/>
        </w:rPr>
        <w:t>Id.</w:t>
      </w:r>
    </w:p>
    <w:p w14:paraId="38828ECB" w14:textId="77777777" w:rsidR="00655396" w:rsidRDefault="00655396" w:rsidP="008B512B">
      <w:pPr>
        <w:pStyle w:val="BodyText"/>
        <w:spacing w:line="240" w:lineRule="auto"/>
      </w:pPr>
      <w:r>
        <w:tab/>
        <w:t>En route to determining that it did in fact have jurisdiction to rule on the defendant’s appeal, the Seventh Circuit explained:</w:t>
      </w:r>
    </w:p>
    <w:p w14:paraId="03ACE076" w14:textId="77777777" w:rsidR="00655396" w:rsidRDefault="00655396" w:rsidP="008B512B">
      <w:pPr>
        <w:pStyle w:val="BodyText"/>
        <w:spacing w:line="240" w:lineRule="auto"/>
      </w:pPr>
    </w:p>
    <w:p w14:paraId="1A2BB2C3" w14:textId="7885C289"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“A violation of Rule 58 is not necessarily jurisdictional.”</w:t>
      </w:r>
      <w:r w:rsidR="00FB1D09">
        <w:rPr>
          <w:rFonts w:ascii="Baskerville" w:hAnsi="Baskerville" w:cs="Baskerville"/>
          <w:sz w:val="22"/>
          <w:szCs w:val="22"/>
        </w:rPr>
        <w:t xml:space="preserve"> </w:t>
      </w:r>
      <w:r>
        <w:rPr>
          <w:rFonts w:ascii="Baskerville" w:hAnsi="Baskerville" w:cs="Baskerville"/>
          <w:i/>
          <w:iCs/>
          <w:sz w:val="22"/>
          <w:szCs w:val="22"/>
        </w:rPr>
        <w:t>Reich v. ABC/York-Estes Corp.</w:t>
      </w:r>
      <w:r>
        <w:rPr>
          <w:rFonts w:ascii="Baskerville" w:hAnsi="Baskerville" w:cs="Baskerville"/>
          <w:sz w:val="22"/>
          <w:szCs w:val="22"/>
        </w:rPr>
        <w:t>, 64 F.3d 316, 319 (7th Cir. 1995).</w:t>
      </w:r>
      <w:r w:rsidR="00FB1D09">
        <w:rPr>
          <w:rFonts w:ascii="Baskerville" w:hAnsi="Baskerville" w:cs="Baskerville"/>
          <w:sz w:val="22"/>
          <w:szCs w:val="22"/>
        </w:rPr>
        <w:t xml:space="preserve"> </w:t>
      </w:r>
      <w:r>
        <w:rPr>
          <w:rFonts w:ascii="Baskerville" w:hAnsi="Baskerville" w:cs="Baskerville"/>
          <w:sz w:val="22"/>
          <w:szCs w:val="22"/>
        </w:rPr>
        <w:t>Rule 58 is jurisdictional in the sense that it determines the point at which the time for an appeal begins to run, however it is not to be so rigidly enforced that the parties may not waive it.</w:t>
      </w:r>
      <w:r w:rsidR="00FB1D09">
        <w:rPr>
          <w:rFonts w:ascii="Baskerville" w:hAnsi="Baskerville" w:cs="Baskerville"/>
          <w:sz w:val="22"/>
          <w:szCs w:val="22"/>
        </w:rPr>
        <w:t xml:space="preserve"> </w:t>
      </w:r>
      <w:r>
        <w:rPr>
          <w:rFonts w:ascii="Baskerville" w:hAnsi="Baskerville" w:cs="Baskerville"/>
          <w:i/>
          <w:iCs/>
          <w:sz w:val="22"/>
          <w:szCs w:val="22"/>
        </w:rPr>
        <w:t>Bankers Trust Co. v. Mallis</w:t>
      </w:r>
      <w:r>
        <w:rPr>
          <w:rFonts w:ascii="Baskerville" w:hAnsi="Baskerville" w:cs="Baskerville"/>
          <w:sz w:val="22"/>
          <w:szCs w:val="22"/>
        </w:rPr>
        <w:t>, 435 U.S. 381, 384, 98 S. Ct. 1117, 1119–20, 55 L. Ed. 2d 357 (1978) (per curiam).</w:t>
      </w:r>
      <w:r w:rsidR="00FB1D09">
        <w:rPr>
          <w:rFonts w:ascii="Baskerville" w:hAnsi="Baskerville" w:cs="Baskerville"/>
          <w:sz w:val="22"/>
          <w:szCs w:val="22"/>
        </w:rPr>
        <w:t xml:space="preserve"> </w:t>
      </w:r>
      <w:r>
        <w:rPr>
          <w:rFonts w:ascii="Baskerville" w:hAnsi="Baskerville" w:cs="Baskerville"/>
          <w:sz w:val="22"/>
          <w:szCs w:val="22"/>
        </w:rPr>
        <w:t>“The entry of a Rule 58 judgment is not a prerequisite to finality; it is merely evidence that the district court is done with the case, making its decision final and therefore appealable under 28 U.S.C. §1291 (‘final decisions’).”</w:t>
      </w:r>
      <w:r w:rsidR="00FB1D09">
        <w:rPr>
          <w:rFonts w:ascii="Baskerville" w:hAnsi="Baskerville" w:cs="Baskerville"/>
          <w:sz w:val="22"/>
          <w:szCs w:val="22"/>
        </w:rPr>
        <w:t xml:space="preserve"> </w:t>
      </w:r>
      <w:r>
        <w:rPr>
          <w:rFonts w:ascii="Baskerville" w:hAnsi="Baskerville" w:cs="Baskerville"/>
          <w:i/>
          <w:iCs/>
          <w:sz w:val="22"/>
          <w:szCs w:val="22"/>
        </w:rPr>
        <w:t>Richmond v. Chater</w:t>
      </w:r>
      <w:r>
        <w:rPr>
          <w:rFonts w:ascii="Baskerville" w:hAnsi="Baskerville" w:cs="Baskerville"/>
          <w:sz w:val="22"/>
          <w:szCs w:val="22"/>
        </w:rPr>
        <w:t xml:space="preserve">, 94 F.3d 263, 266 (7th Cir. 1996) (citing </w:t>
      </w:r>
      <w:r>
        <w:rPr>
          <w:rFonts w:ascii="Baskerville" w:hAnsi="Baskerville" w:cs="Baskerville"/>
          <w:i/>
          <w:iCs/>
          <w:sz w:val="22"/>
          <w:szCs w:val="22"/>
        </w:rPr>
        <w:t>Bankers Trust Co. v. Mallis</w:t>
      </w:r>
      <w:r>
        <w:rPr>
          <w:rFonts w:ascii="Baskerville" w:hAnsi="Baskerville" w:cs="Baskerville"/>
          <w:sz w:val="22"/>
          <w:szCs w:val="22"/>
        </w:rPr>
        <w:t>, 435 U.S. 381, 98 S. Ct. 1117, 55 L. Ed. 2d 357 (1978)).</w:t>
      </w:r>
    </w:p>
    <w:p w14:paraId="1975968B" w14:textId="46C283B8"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lastRenderedPageBreak/>
        <w:tab/>
        <w:t xml:space="preserve">In </w:t>
      </w:r>
      <w:r>
        <w:rPr>
          <w:rFonts w:ascii="Baskerville" w:hAnsi="Baskerville" w:cs="Baskerville"/>
          <w:i/>
          <w:iCs/>
          <w:sz w:val="22"/>
          <w:szCs w:val="22"/>
        </w:rPr>
        <w:t>Reich</w:t>
      </w:r>
      <w:r>
        <w:rPr>
          <w:rFonts w:ascii="Baskerville" w:hAnsi="Baskerville" w:cs="Baskerville"/>
          <w:sz w:val="22"/>
          <w:szCs w:val="22"/>
        </w:rPr>
        <w:t xml:space="preserve"> we held that when there is a more than technical and obvious violation of Rule 58 there can be no valid injunction.</w:t>
      </w:r>
      <w:r w:rsidR="00FB1D09">
        <w:rPr>
          <w:rFonts w:ascii="Baskerville" w:hAnsi="Baskerville" w:cs="Baskerville"/>
          <w:sz w:val="22"/>
          <w:szCs w:val="22"/>
        </w:rPr>
        <w:t xml:space="preserve"> </w:t>
      </w:r>
      <w:r>
        <w:rPr>
          <w:rFonts w:ascii="Baskerville" w:hAnsi="Baskerville" w:cs="Baskerville"/>
          <w:i/>
          <w:iCs/>
          <w:sz w:val="22"/>
          <w:szCs w:val="22"/>
        </w:rPr>
        <w:t>Reich</w:t>
      </w:r>
      <w:r>
        <w:rPr>
          <w:rFonts w:ascii="Baskerville" w:hAnsi="Baskerville" w:cs="Baskerville"/>
          <w:sz w:val="22"/>
          <w:szCs w:val="22"/>
        </w:rPr>
        <w:t>, 64 F.3d at 319–20.</w:t>
      </w:r>
      <w:r w:rsidR="00FB1D09">
        <w:rPr>
          <w:rFonts w:ascii="Baskerville" w:hAnsi="Baskerville" w:cs="Baskerville"/>
          <w:sz w:val="22"/>
          <w:szCs w:val="22"/>
        </w:rPr>
        <w:t xml:space="preserve"> </w:t>
      </w:r>
      <w:r>
        <w:rPr>
          <w:rFonts w:ascii="Baskerville" w:hAnsi="Baskerville" w:cs="Baskerville"/>
          <w:sz w:val="22"/>
          <w:szCs w:val="22"/>
        </w:rPr>
        <w:t xml:space="preserve">However, two months prior to that decision, in </w:t>
      </w:r>
      <w:r>
        <w:rPr>
          <w:rFonts w:ascii="Baskerville" w:hAnsi="Baskerville" w:cs="Baskerville"/>
          <w:i/>
          <w:iCs/>
          <w:sz w:val="22"/>
          <w:szCs w:val="22"/>
        </w:rPr>
        <w:t>Metzl v. Leininger</w:t>
      </w:r>
      <w:r>
        <w:rPr>
          <w:rFonts w:ascii="Baskerville" w:hAnsi="Baskerville" w:cs="Baskerville"/>
          <w:sz w:val="22"/>
          <w:szCs w:val="22"/>
        </w:rPr>
        <w:t>, we decided that when it is plain as to what a declaratory judgment declares and it is clear that the district court is finished with the case, then even if Rule 58 has not been complied with, there is appellate jurisdiction.</w:t>
      </w:r>
      <w:r w:rsidR="00FB1D09">
        <w:rPr>
          <w:rFonts w:ascii="Baskerville" w:hAnsi="Baskerville" w:cs="Baskerville"/>
          <w:sz w:val="22"/>
          <w:szCs w:val="22"/>
        </w:rPr>
        <w:t xml:space="preserve"> </w:t>
      </w:r>
      <w:r>
        <w:rPr>
          <w:rFonts w:ascii="Baskerville" w:hAnsi="Baskerville" w:cs="Baskerville"/>
          <w:sz w:val="22"/>
          <w:szCs w:val="22"/>
        </w:rPr>
        <w:t>57 F.3d 618, 619–20 (7th Cir. 1995).</w:t>
      </w:r>
      <w:r w:rsidR="00FB1D09">
        <w:rPr>
          <w:rFonts w:ascii="Baskerville" w:hAnsi="Baskerville" w:cs="Baskerville"/>
          <w:sz w:val="22"/>
          <w:szCs w:val="22"/>
        </w:rPr>
        <w:t xml:space="preserve"> </w:t>
      </w:r>
      <w:r>
        <w:rPr>
          <w:rFonts w:ascii="Baskerville" w:hAnsi="Baskerville" w:cs="Baskerville"/>
          <w:sz w:val="22"/>
          <w:szCs w:val="22"/>
        </w:rPr>
        <w:t xml:space="preserve">In both </w:t>
      </w:r>
      <w:r>
        <w:rPr>
          <w:rFonts w:ascii="Baskerville" w:hAnsi="Baskerville" w:cs="Baskerville"/>
          <w:i/>
          <w:iCs/>
          <w:sz w:val="22"/>
          <w:szCs w:val="22"/>
        </w:rPr>
        <w:t>Metzl</w:t>
      </w:r>
      <w:r>
        <w:rPr>
          <w:rFonts w:ascii="Baskerville" w:hAnsi="Baskerville" w:cs="Baskerville"/>
          <w:sz w:val="22"/>
          <w:szCs w:val="22"/>
        </w:rPr>
        <w:t xml:space="preserve"> and </w:t>
      </w:r>
      <w:r>
        <w:rPr>
          <w:rFonts w:ascii="Baskerville" w:hAnsi="Baskerville" w:cs="Baskerville"/>
          <w:i/>
          <w:iCs/>
          <w:sz w:val="22"/>
          <w:szCs w:val="22"/>
        </w:rPr>
        <w:t>Reich</w:t>
      </w:r>
      <w:r>
        <w:rPr>
          <w:rFonts w:ascii="Baskerville" w:hAnsi="Baskerville" w:cs="Baskerville"/>
          <w:sz w:val="22"/>
          <w:szCs w:val="22"/>
        </w:rPr>
        <w:t xml:space="preserve"> there were violations of both Rules 58 and 65(d), but these two cases seem to compel different results.</w:t>
      </w:r>
      <w:r w:rsidR="00FB1D09">
        <w:rPr>
          <w:rFonts w:ascii="Baskerville" w:hAnsi="Baskerville" w:cs="Baskerville"/>
          <w:sz w:val="22"/>
          <w:szCs w:val="22"/>
        </w:rPr>
        <w:t xml:space="preserve"> </w:t>
      </w:r>
      <w:r>
        <w:rPr>
          <w:rFonts w:ascii="Baskerville" w:hAnsi="Baskerville" w:cs="Baskerville"/>
          <w:sz w:val="22"/>
          <w:szCs w:val="22"/>
        </w:rPr>
        <w:t xml:space="preserve">However, the instant case can be distinguished from </w:t>
      </w:r>
      <w:r>
        <w:rPr>
          <w:rFonts w:ascii="Baskerville" w:hAnsi="Baskerville" w:cs="Baskerville"/>
          <w:i/>
          <w:iCs/>
          <w:sz w:val="22"/>
          <w:szCs w:val="22"/>
        </w:rPr>
        <w:t>Reich</w:t>
      </w:r>
      <w:r>
        <w:rPr>
          <w:rFonts w:ascii="Baskerville" w:hAnsi="Baskerville" w:cs="Baskerville"/>
          <w:sz w:val="22"/>
          <w:szCs w:val="22"/>
        </w:rPr>
        <w:t>.</w:t>
      </w:r>
      <w:r w:rsidR="00FB1D09">
        <w:rPr>
          <w:rFonts w:ascii="Baskerville" w:hAnsi="Baskerville" w:cs="Baskerville"/>
          <w:sz w:val="22"/>
          <w:szCs w:val="22"/>
        </w:rPr>
        <w:t xml:space="preserve"> </w:t>
      </w:r>
      <w:r>
        <w:rPr>
          <w:rFonts w:ascii="Baskerville" w:hAnsi="Baskerville" w:cs="Baskerville"/>
          <w:sz w:val="22"/>
          <w:szCs w:val="22"/>
        </w:rPr>
        <w:t xml:space="preserve">In </w:t>
      </w:r>
      <w:r>
        <w:rPr>
          <w:rFonts w:ascii="Baskerville" w:hAnsi="Baskerville" w:cs="Baskerville"/>
          <w:i/>
          <w:iCs/>
          <w:sz w:val="22"/>
          <w:szCs w:val="22"/>
        </w:rPr>
        <w:t>Reich</w:t>
      </w:r>
      <w:r>
        <w:rPr>
          <w:rFonts w:ascii="Baskerville" w:hAnsi="Baskerville" w:cs="Baskerville"/>
          <w:sz w:val="22"/>
          <w:szCs w:val="22"/>
        </w:rPr>
        <w:t xml:space="preserve"> there was a serious violation of 65(d) because the injunction referred solely to the complaint, a practice that is clearly prohibited.</w:t>
      </w:r>
      <w:r w:rsidR="00FB1D09">
        <w:rPr>
          <w:rFonts w:ascii="Baskerville" w:hAnsi="Baskerville" w:cs="Baskerville"/>
          <w:sz w:val="22"/>
          <w:szCs w:val="22"/>
        </w:rPr>
        <w:t xml:space="preserve"> </w:t>
      </w:r>
      <w:r>
        <w:rPr>
          <w:rFonts w:ascii="Baskerville" w:hAnsi="Baskerville" w:cs="Baskerville"/>
          <w:i/>
          <w:iCs/>
          <w:sz w:val="22"/>
          <w:szCs w:val="22"/>
        </w:rPr>
        <w:t>Reich</w:t>
      </w:r>
      <w:r>
        <w:rPr>
          <w:rFonts w:ascii="Baskerville" w:hAnsi="Baskerville" w:cs="Baskerville"/>
          <w:sz w:val="22"/>
          <w:szCs w:val="22"/>
        </w:rPr>
        <w:t>, 64 F.3d at 320.</w:t>
      </w:r>
      <w:r w:rsidR="00FB1D09">
        <w:rPr>
          <w:rFonts w:ascii="Baskerville" w:hAnsi="Baskerville" w:cs="Baskerville"/>
          <w:sz w:val="22"/>
          <w:szCs w:val="22"/>
        </w:rPr>
        <w:t xml:space="preserve"> </w:t>
      </w:r>
      <w:r>
        <w:rPr>
          <w:rFonts w:ascii="Baskerville" w:hAnsi="Baskerville" w:cs="Baskerville"/>
          <w:sz w:val="22"/>
          <w:szCs w:val="22"/>
        </w:rPr>
        <w:t xml:space="preserve">Additionally, the party to be enjoined in </w:t>
      </w:r>
      <w:r>
        <w:rPr>
          <w:rFonts w:ascii="Baskerville" w:hAnsi="Baskerville" w:cs="Baskerville"/>
          <w:i/>
          <w:iCs/>
          <w:sz w:val="22"/>
          <w:szCs w:val="22"/>
        </w:rPr>
        <w:t>Reich</w:t>
      </w:r>
      <w:r>
        <w:rPr>
          <w:rFonts w:ascii="Baskerville" w:hAnsi="Baskerville" w:cs="Baskerville"/>
          <w:sz w:val="22"/>
          <w:szCs w:val="22"/>
        </w:rPr>
        <w:t xml:space="preserve"> was not only completely in the dark regarding what conduct might have been enjoined, it also had no idea whether an injunction had even been entered.</w:t>
      </w:r>
      <w:r w:rsidR="00FB1D09">
        <w:rPr>
          <w:rFonts w:ascii="Baskerville" w:hAnsi="Baskerville" w:cs="Baskerville"/>
          <w:sz w:val="22"/>
          <w:szCs w:val="22"/>
        </w:rPr>
        <w:t xml:space="preserve"> </w:t>
      </w:r>
      <w:r>
        <w:rPr>
          <w:rFonts w:ascii="Baskerville" w:hAnsi="Baskerville" w:cs="Baskerville"/>
          <w:i/>
          <w:iCs/>
          <w:sz w:val="22"/>
          <w:szCs w:val="22"/>
        </w:rPr>
        <w:t>Id.</w:t>
      </w:r>
      <w:r w:rsidR="00FB1D09">
        <w:rPr>
          <w:rFonts w:ascii="Baskerville" w:hAnsi="Baskerville" w:cs="Baskerville"/>
          <w:sz w:val="22"/>
          <w:szCs w:val="22"/>
        </w:rPr>
        <w:t xml:space="preserve"> </w:t>
      </w:r>
      <w:r>
        <w:rPr>
          <w:rFonts w:ascii="Baskerville" w:hAnsi="Baskerville" w:cs="Baskerville"/>
          <w:sz w:val="22"/>
          <w:szCs w:val="22"/>
        </w:rPr>
        <w:t>“The acid test of whether a purported injunction is appealable is whether it is in sufficient though not exact compliance with Rule 65(d) that a violation could be punished by contempt or some other sanction.”</w:t>
      </w:r>
      <w:r w:rsidR="00FB1D09">
        <w:rPr>
          <w:rFonts w:ascii="Baskerville" w:hAnsi="Baskerville" w:cs="Baskerville"/>
          <w:sz w:val="22"/>
          <w:szCs w:val="22"/>
        </w:rPr>
        <w:t xml:space="preserve"> </w:t>
      </w:r>
      <w:r>
        <w:rPr>
          <w:rFonts w:ascii="Baskerville" w:hAnsi="Baskerville" w:cs="Baskerville"/>
          <w:i/>
          <w:iCs/>
          <w:sz w:val="22"/>
          <w:szCs w:val="22"/>
        </w:rPr>
        <w:t>Original Great American Chocolate Chip Cookie Co., Inc. v. River Valley Cookies, Ltd.</w:t>
      </w:r>
      <w:r>
        <w:rPr>
          <w:rFonts w:ascii="Baskerville" w:hAnsi="Baskerville" w:cs="Baskerville"/>
          <w:sz w:val="22"/>
          <w:szCs w:val="22"/>
        </w:rPr>
        <w:t>, 970 F.2d 273, 276 (7th Cir. 1992).</w:t>
      </w:r>
    </w:p>
    <w:p w14:paraId="4F1D12B6" w14:textId="3FD8D899"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In this case, unlike in </w:t>
      </w:r>
      <w:r>
        <w:rPr>
          <w:rFonts w:ascii="Baskerville" w:hAnsi="Baskerville" w:cs="Baskerville"/>
          <w:i/>
          <w:iCs/>
          <w:sz w:val="22"/>
          <w:szCs w:val="22"/>
        </w:rPr>
        <w:t>Reich</w:t>
      </w:r>
      <w:r>
        <w:rPr>
          <w:rFonts w:ascii="Baskerville" w:hAnsi="Baskerville" w:cs="Baskerville"/>
          <w:sz w:val="22"/>
          <w:szCs w:val="22"/>
        </w:rPr>
        <w:t>, both parties were aware of the terms of the injunction which were specified in the magistrate judge’s Report and Recommendation of November 9, 1995, which the district court referred to and adopted.</w:t>
      </w:r>
      <w:r w:rsidR="00FB1D09">
        <w:rPr>
          <w:rFonts w:ascii="Baskerville" w:hAnsi="Baskerville" w:cs="Baskerville"/>
          <w:sz w:val="22"/>
          <w:szCs w:val="22"/>
        </w:rPr>
        <w:t xml:space="preserve"> </w:t>
      </w:r>
      <w:r>
        <w:rPr>
          <w:rFonts w:ascii="Baskerville" w:hAnsi="Baskerville" w:cs="Baskerville"/>
          <w:sz w:val="22"/>
          <w:szCs w:val="22"/>
        </w:rPr>
        <w:t>This awareness was evidenced by [defendant] Buckman filing objections to the magistrate judge’s report and recommendation which acknowledged the terms and argued over the precise wording of the proposed preliminary injunction. (R. 51; Appellants’ App. at 341.)</w:t>
      </w:r>
      <w:r w:rsidR="00FB1D09">
        <w:rPr>
          <w:rFonts w:ascii="Baskerville" w:hAnsi="Baskerville" w:cs="Baskerville"/>
          <w:sz w:val="22"/>
          <w:szCs w:val="22"/>
        </w:rPr>
        <w:t xml:space="preserve"> </w:t>
      </w:r>
      <w:r>
        <w:rPr>
          <w:rFonts w:ascii="Baskerville" w:hAnsi="Baskerville" w:cs="Baskerville"/>
          <w:sz w:val="22"/>
          <w:szCs w:val="22"/>
        </w:rPr>
        <w:t>Further, on appeal Buckman continues to illustrate his awareness by asserting that the injunction terms are too broad.</w:t>
      </w:r>
    </w:p>
    <w:p w14:paraId="29639D25" w14:textId="2D8EBF0A"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The facts in this case are analogous to those in </w:t>
      </w:r>
      <w:r>
        <w:rPr>
          <w:rFonts w:ascii="Baskerville" w:hAnsi="Baskerville" w:cs="Baskerville"/>
          <w:i/>
          <w:iCs/>
          <w:sz w:val="22"/>
          <w:szCs w:val="22"/>
        </w:rPr>
        <w:t>Chicago &amp; North Western Transp. Co. v. Railway Labor Executives’ Ass’n</w:t>
      </w:r>
      <w:r>
        <w:rPr>
          <w:rFonts w:ascii="Baskerville" w:hAnsi="Baskerville" w:cs="Baskerville"/>
          <w:sz w:val="22"/>
          <w:szCs w:val="22"/>
        </w:rPr>
        <w:t>, 908 F.2d 144 (7th Cir. 1990), where the district court granted a permanent injunction without specifying the terms as required by Rule 65(d).</w:t>
      </w:r>
      <w:r w:rsidR="00FB1D09">
        <w:rPr>
          <w:rFonts w:ascii="Baskerville" w:hAnsi="Baskerville" w:cs="Baskerville"/>
          <w:sz w:val="22"/>
          <w:szCs w:val="22"/>
        </w:rPr>
        <w:t xml:space="preserve"> </w:t>
      </w:r>
      <w:r>
        <w:rPr>
          <w:rFonts w:ascii="Baskerville" w:hAnsi="Baskerville" w:cs="Baskerville"/>
          <w:sz w:val="22"/>
          <w:szCs w:val="22"/>
        </w:rPr>
        <w:t>We found that the injunction was valid because the terms had previously been explicitly set forth in the preliminary injunction.</w:t>
      </w:r>
      <w:r w:rsidR="00FB1D09">
        <w:rPr>
          <w:rFonts w:ascii="Baskerville" w:hAnsi="Baskerville" w:cs="Baskerville"/>
          <w:sz w:val="22"/>
          <w:szCs w:val="22"/>
        </w:rPr>
        <w:t xml:space="preserve"> </w:t>
      </w:r>
      <w:r>
        <w:rPr>
          <w:rFonts w:ascii="Baskerville" w:hAnsi="Baskerville" w:cs="Baskerville"/>
          <w:sz w:val="22"/>
          <w:szCs w:val="22"/>
        </w:rPr>
        <w:t xml:space="preserve">In </w:t>
      </w:r>
      <w:r>
        <w:rPr>
          <w:rFonts w:ascii="Baskerville" w:hAnsi="Baskerville" w:cs="Baskerville"/>
          <w:i/>
          <w:iCs/>
          <w:sz w:val="22"/>
          <w:szCs w:val="22"/>
        </w:rPr>
        <w:t>Chicago &amp; North Western Transp.</w:t>
      </w:r>
      <w:r>
        <w:rPr>
          <w:rFonts w:ascii="Baskerville" w:hAnsi="Baskerville" w:cs="Baskerville"/>
          <w:sz w:val="22"/>
          <w:szCs w:val="22"/>
        </w:rPr>
        <w:t>, we held that the parties were obviously aware of the terms of the injunction and to find that there was no injunction would exalt form over substance.</w:t>
      </w:r>
      <w:r w:rsidR="00FB1D09">
        <w:rPr>
          <w:rFonts w:ascii="Baskerville" w:hAnsi="Baskerville" w:cs="Baskerville"/>
          <w:sz w:val="22"/>
          <w:szCs w:val="22"/>
        </w:rPr>
        <w:t xml:space="preserve"> </w:t>
      </w:r>
      <w:r>
        <w:rPr>
          <w:rFonts w:ascii="Baskerville" w:hAnsi="Baskerville" w:cs="Baskerville"/>
          <w:sz w:val="22"/>
          <w:szCs w:val="22"/>
        </w:rPr>
        <w:t>Therefore, in this case we determine that the violation of Rule 65(d) is of a technical, rather than substantial, nature and we accordingly have jurisdiction to hear this appeal.</w:t>
      </w:r>
    </w:p>
    <w:p w14:paraId="6D9063CA" w14:textId="77777777" w:rsidR="00655396" w:rsidRDefault="00655396" w:rsidP="008B512B">
      <w:pPr>
        <w:pStyle w:val="BodyTextIndent"/>
        <w:spacing w:line="240" w:lineRule="auto"/>
      </w:pPr>
    </w:p>
    <w:p w14:paraId="575123EF" w14:textId="77777777" w:rsidR="00655396" w:rsidRDefault="00655396" w:rsidP="008B512B">
      <w:pPr>
        <w:pStyle w:val="BodyText"/>
        <w:spacing w:line="240" w:lineRule="auto"/>
      </w:pPr>
      <w:r>
        <w:rPr>
          <w:i/>
          <w:iCs/>
        </w:rPr>
        <w:t>Id.</w:t>
      </w:r>
      <w:r>
        <w:t xml:space="preserve"> at 272–73.</w:t>
      </w:r>
    </w:p>
    <w:p w14:paraId="5EDC62DC" w14:textId="77777777" w:rsidR="00655396" w:rsidRDefault="00655396" w:rsidP="008B512B">
      <w:pPr>
        <w:pStyle w:val="BodyText"/>
        <w:spacing w:line="240" w:lineRule="auto"/>
      </w:pPr>
    </w:p>
    <w:p w14:paraId="47C9865C" w14:textId="77777777" w:rsidR="00655396" w:rsidRDefault="00655396" w:rsidP="008B512B">
      <w:pPr>
        <w:pStyle w:val="AdditionalTopicsSectionHeadings"/>
        <w:spacing w:line="240" w:lineRule="auto"/>
      </w:pPr>
      <w:r>
        <w:t>Application of Covenant</w:t>
      </w:r>
    </w:p>
    <w:p w14:paraId="19345B9B" w14:textId="77777777" w:rsidR="00655396" w:rsidRDefault="00655396" w:rsidP="008B512B">
      <w:pPr>
        <w:pStyle w:val="BodyTextIndent"/>
        <w:spacing w:line="240" w:lineRule="auto"/>
      </w:pPr>
    </w:p>
    <w:p w14:paraId="08AAF72B" w14:textId="7C88473B" w:rsidR="00655396" w:rsidRDefault="00655396" w:rsidP="008B512B">
      <w:pPr>
        <w:pStyle w:val="NoParagraphStyle"/>
        <w:tabs>
          <w:tab w:val="left" w:pos="480"/>
          <w:tab w:val="left" w:pos="960"/>
          <w:tab w:val="left" w:pos="1440"/>
        </w:tabs>
        <w:spacing w:line="240" w:lineRule="auto"/>
        <w:jc w:val="both"/>
        <w:rPr>
          <w:rFonts w:ascii="Baskerville" w:hAnsi="Baskerville" w:cs="Baskerville"/>
          <w:i/>
          <w:iCs/>
        </w:rPr>
      </w:pPr>
      <w:r>
        <w:rPr>
          <w:rFonts w:ascii="Baskerville" w:hAnsi="Baskerville" w:cs="Baskerville"/>
        </w:rPr>
        <w:tab/>
        <w:t xml:space="preserve">In </w:t>
      </w:r>
      <w:r>
        <w:rPr>
          <w:rFonts w:ascii="Baskerville" w:hAnsi="Baskerville" w:cs="Baskerville"/>
          <w:i/>
          <w:iCs/>
        </w:rPr>
        <w:t>Diepholz v. Rutledge</w:t>
      </w:r>
      <w:r>
        <w:rPr>
          <w:rFonts w:ascii="Baskerville" w:hAnsi="Baskerville" w:cs="Baskerville"/>
        </w:rPr>
        <w:t xml:space="preserve">, 276 Ill. App. 3d 1013, 213 Ill. Dec. 643, 659 N.E.2d 989 (4th Dist. 1995), a sale of business covenant case, the court construed a covenant barring the seller of an automobile dealership for four years from “engaging in the automobile sales or service business as an individual or as an owner in Coles County, Illinois” not to restrict the seller’s right to </w:t>
      </w:r>
      <w:r>
        <w:rPr>
          <w:rFonts w:ascii="Baskerville" w:hAnsi="Baskerville" w:cs="Baskerville"/>
          <w:i/>
          <w:iCs/>
        </w:rPr>
        <w:t xml:space="preserve">advertise </w:t>
      </w:r>
      <w:r>
        <w:rPr>
          <w:rFonts w:ascii="Baskerville" w:hAnsi="Baskerville" w:cs="Baskerville"/>
        </w:rPr>
        <w:t>through newspapers and radio stations in that county.</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1017, 659 N.E.2d at 990, 992.</w:t>
      </w:r>
      <w:r w:rsidR="00FB1D09">
        <w:rPr>
          <w:rFonts w:ascii="Baskerville" w:hAnsi="Baskerville" w:cs="Baskerville"/>
        </w:rPr>
        <w:t xml:space="preserve"> </w:t>
      </w:r>
      <w:r>
        <w:rPr>
          <w:rFonts w:ascii="Baskerville" w:hAnsi="Baskerville" w:cs="Baskerville"/>
        </w:rPr>
        <w:t>The court also held that, even if the covenant forbade “solicitation,” the buyer of the business had not established a breach.</w:t>
      </w:r>
      <w:r w:rsidR="00FB1D09">
        <w:rPr>
          <w:rFonts w:ascii="Baskerville" w:hAnsi="Baskerville" w:cs="Baskerville"/>
        </w:rPr>
        <w:t xml:space="preserve"> </w:t>
      </w:r>
      <w:r>
        <w:rPr>
          <w:rFonts w:ascii="Baskerville" w:hAnsi="Baskerville" w:cs="Baskerville"/>
          <w:i/>
          <w:iCs/>
        </w:rPr>
        <w:t>Id.</w:t>
      </w:r>
      <w:r w:rsidR="00FB1D09">
        <w:rPr>
          <w:rFonts w:ascii="Baskerville" w:hAnsi="Baskerville" w:cs="Baskerville"/>
          <w:i/>
          <w:iCs/>
        </w:rPr>
        <w:t xml:space="preserve"> </w:t>
      </w:r>
      <w:r>
        <w:rPr>
          <w:rFonts w:ascii="Baskerville" w:hAnsi="Baskerville" w:cs="Baskerville"/>
        </w:rPr>
        <w:t>The court explained: “Plaintiff was unable to produce a single Coles County resident who had been contacted by defendant.”</w:t>
      </w:r>
      <w:r w:rsidR="00FB1D09">
        <w:rPr>
          <w:rFonts w:ascii="Baskerville" w:hAnsi="Baskerville" w:cs="Baskerville"/>
        </w:rPr>
        <w:t xml:space="preserve"> </w:t>
      </w:r>
      <w:r>
        <w:rPr>
          <w:rFonts w:ascii="Baskerville" w:hAnsi="Baskerville" w:cs="Baskerville"/>
          <w:i/>
          <w:iCs/>
        </w:rPr>
        <w:t>Id.</w:t>
      </w:r>
    </w:p>
    <w:p w14:paraId="21D8E665" w14:textId="77777777" w:rsidR="00655396" w:rsidRDefault="00655396" w:rsidP="008B512B">
      <w:pPr>
        <w:pStyle w:val="BodyText"/>
        <w:spacing w:line="240" w:lineRule="auto"/>
      </w:pPr>
    </w:p>
    <w:p w14:paraId="190B65E5" w14:textId="77777777" w:rsidR="00655396" w:rsidRDefault="00655396" w:rsidP="008B512B">
      <w:pPr>
        <w:pStyle w:val="AdditionalTopicsSectionHeadings"/>
        <w:spacing w:line="240" w:lineRule="auto"/>
      </w:pPr>
      <w:r>
        <w:t>Arbitration</w:t>
      </w:r>
    </w:p>
    <w:p w14:paraId="6550B451" w14:textId="77777777" w:rsidR="00A05A11" w:rsidRPr="00A05A11" w:rsidRDefault="00A05A11" w:rsidP="00A05A11">
      <w:pPr>
        <w:pStyle w:val="BodyText"/>
        <w:spacing w:line="240" w:lineRule="auto"/>
      </w:pPr>
    </w:p>
    <w:p w14:paraId="6422751E" w14:textId="77777777" w:rsidR="00A05A11" w:rsidRPr="00A05A11" w:rsidRDefault="00A05A11" w:rsidP="00A05A11">
      <w:pPr>
        <w:pStyle w:val="BodyText"/>
        <w:spacing w:line="240" w:lineRule="auto"/>
      </w:pPr>
      <w:r>
        <w:tab/>
      </w:r>
      <w:r w:rsidRPr="00A05A11">
        <w:t xml:space="preserve">In </w:t>
      </w:r>
      <w:r w:rsidRPr="00A05A11">
        <w:rPr>
          <w:i/>
          <w:iCs/>
        </w:rPr>
        <w:t>Applications Software Technology LLC v. Kapadia</w:t>
      </w:r>
      <w:r w:rsidRPr="00A05A11">
        <w:t xml:space="preserve">, 2018 BL 227224 (N.D. Ill. June 26, 2018), the U.S. District Court for the Northern District of Illinois determined that a dispute between a software company and a former employee who set up a competing business must go to arbitration, even though some of the various contracts the employee had signed were silent as to arbitration. The court explained that an arbitration clause in the parties’ actual employment agreement was clear on this point, and any ambiguities arise from a contemporaneous purchase agreement and noncompete agreement, and the court gave effect to the terms of the employment agreement. </w:t>
      </w:r>
      <w:r w:rsidRPr="00A05A11">
        <w:rPr>
          <w:i/>
          <w:iCs/>
        </w:rPr>
        <w:t>Id</w:t>
      </w:r>
      <w:r w:rsidRPr="00A05A11">
        <w:t xml:space="preserve">. at *5. </w:t>
      </w:r>
    </w:p>
    <w:p w14:paraId="18F3FD1B" w14:textId="77777777" w:rsidR="00A05A11" w:rsidRPr="00A05A11" w:rsidRDefault="00A05A11" w:rsidP="00A05A11">
      <w:pPr>
        <w:pStyle w:val="BodyText"/>
      </w:pPr>
      <w:r>
        <w:tab/>
      </w:r>
      <w:r w:rsidRPr="00A05A11">
        <w:t xml:space="preserve">However, a court may refuse to require arbitration of a restrictive covenant when a dispute arises under that agreement, “notwithstanding a mandatory arbitration clause in a second agreement, even where the two agreements are closely intertwined.” </w:t>
      </w:r>
      <w:r w:rsidRPr="00A05A11">
        <w:rPr>
          <w:i/>
          <w:iCs/>
        </w:rPr>
        <w:t>Polybrite Int’l, Inc. v. Westinghouse Lighting Corp.</w:t>
      </w:r>
      <w:r w:rsidRPr="00A05A11">
        <w:t>, No. 06 C 3959, 2007 WL 707547, at *4 (N.D. Ill. Mar. 5, 2007).</w:t>
      </w:r>
    </w:p>
    <w:p w14:paraId="6341BC4A" w14:textId="77777777" w:rsidR="00A05A11" w:rsidRPr="00A05A11" w:rsidRDefault="00A05A11" w:rsidP="00A05A11">
      <w:pPr>
        <w:pStyle w:val="BodyText"/>
      </w:pPr>
      <w:r>
        <w:tab/>
      </w:r>
      <w:r w:rsidRPr="00A05A11">
        <w:t>As to the mandatory arbitration provision in Chicago Board of Trade Rule 600, see</w:t>
      </w:r>
      <w:r w:rsidRPr="00A05A11">
        <w:rPr>
          <w:i/>
          <w:iCs/>
        </w:rPr>
        <w:t xml:space="preserve"> Gilmore v. Carey</w:t>
      </w:r>
      <w:r w:rsidRPr="00A05A11">
        <w:t xml:space="preserve">, 351 Ill. Dec. 708, 954 N.E.2d </w:t>
      </w:r>
      <w:r w:rsidRPr="00A05A11">
        <w:lastRenderedPageBreak/>
        <w:t>791 (Ct. App. 1st Dist. 2011).</w:t>
      </w:r>
    </w:p>
    <w:p w14:paraId="6BE147A9" w14:textId="77777777" w:rsidR="00A05A11" w:rsidRPr="00A05A11" w:rsidRDefault="00A05A11" w:rsidP="00A05A11">
      <w:pPr>
        <w:pStyle w:val="BodyText"/>
      </w:pPr>
      <w:r>
        <w:tab/>
      </w:r>
      <w:r w:rsidRPr="00A05A11">
        <w:t xml:space="preserve">Res judicata and collateral estoppel attach to arbitration awards as a matter of contract, not as a matter of law. </w:t>
      </w:r>
      <w:r w:rsidRPr="00A05A11">
        <w:rPr>
          <w:i/>
          <w:iCs/>
        </w:rPr>
        <w:t>IDS Life Ins. Co. v. Royal Alliance Assocs., Inc.</w:t>
      </w:r>
      <w:r w:rsidRPr="00A05A11">
        <w:t>, 266 F.3d 645 (7th Cir. 2001).</w:t>
      </w:r>
    </w:p>
    <w:p w14:paraId="3C8703FF" w14:textId="77777777" w:rsidR="00A05A11" w:rsidRDefault="00A05A11" w:rsidP="00A05A11">
      <w:pPr>
        <w:pStyle w:val="BodyText"/>
      </w:pPr>
      <w:r>
        <w:rPr>
          <w:i/>
          <w:iCs/>
        </w:rPr>
        <w:tab/>
      </w:r>
      <w:r w:rsidRPr="00A05A11">
        <w:rPr>
          <w:i/>
          <w:iCs/>
        </w:rPr>
        <w:t>See generally</w:t>
      </w:r>
      <w:r w:rsidRPr="00A05A11">
        <w:t xml:space="preserve"> Cynthia L. Estlund, </w:t>
      </w:r>
      <w:r w:rsidRPr="00A05A11">
        <w:rPr>
          <w:i/>
          <w:iCs/>
        </w:rPr>
        <w:t>Between Rights and Contract: Arbitration Agreements and Non-Compete Covenants as a Hybrid Form of Employment Law</w:t>
      </w:r>
      <w:r w:rsidRPr="00A05A11">
        <w:t xml:space="preserve">, 155 U. Pa. L. Rev. 379 (Dec. 2006) (asserting, </w:t>
      </w:r>
      <w:r w:rsidRPr="00A05A11">
        <w:rPr>
          <w:i/>
          <w:iCs/>
        </w:rPr>
        <w:t xml:space="preserve">id. </w:t>
      </w:r>
      <w:r w:rsidRPr="00A05A11">
        <w:t>at 417, that “the affirmative case for allowing arbitration agreements and most non-competes (other than those that are necessary to protect trade secrets) rests thus far on the rather shaky ground of employer interest. It remains to ask whether these agreements—either arbitration agreements or non-competes—can be justified on the basis of employee or public interests.”).</w:t>
      </w:r>
    </w:p>
    <w:p w14:paraId="22B1332B" w14:textId="77777777" w:rsidR="0016514A" w:rsidRPr="00A05A11" w:rsidRDefault="0016514A" w:rsidP="00A05A11">
      <w:pPr>
        <w:pStyle w:val="BodyText"/>
      </w:pPr>
    </w:p>
    <w:p w14:paraId="0304B0D2" w14:textId="77777777" w:rsidR="00655396" w:rsidRDefault="00A05A11" w:rsidP="00A05A11">
      <w:pPr>
        <w:pStyle w:val="BodyText"/>
        <w:spacing w:line="240" w:lineRule="auto"/>
      </w:pPr>
      <w:r>
        <w:tab/>
      </w:r>
      <w:r w:rsidRPr="00A05A11">
        <w:t xml:space="preserve">• </w:t>
      </w:r>
      <w:r w:rsidRPr="00A05A11">
        <w:rPr>
          <w:i/>
          <w:iCs/>
        </w:rPr>
        <w:t>Forum selection clauses in arbitration agreements</w:t>
      </w:r>
      <w:r w:rsidRPr="00A05A11">
        <w:t xml:space="preserve">. Where an arbitration agreement contains a forum selection clause, only the district court sitting in the designated forum can issue an order compelling or enjoining arbitration, the U.S. District Court for the Northern District of Illinois determined in </w:t>
      </w:r>
      <w:r w:rsidRPr="00A05A11">
        <w:rPr>
          <w:i/>
          <w:iCs/>
        </w:rPr>
        <w:t>UAL Corp. v. Mesa Airlines, Inc.</w:t>
      </w:r>
      <w:r w:rsidRPr="00A05A11">
        <w:t>, 88 F. Supp. 2d 910 (N.D. Ill. 2000) (arbitration clause was contained in an airline purchase agreement that also contained a covenant not to compete, which the seller allegedly violated, as a result of which the buyer filed a demand for arbitration with the American Arbitration Association).</w:t>
      </w:r>
    </w:p>
    <w:p w14:paraId="6600249B"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i/>
          <w:iCs/>
        </w:rPr>
      </w:pPr>
    </w:p>
    <w:p w14:paraId="2E89309E" w14:textId="77777777" w:rsidR="00655396" w:rsidRDefault="00655396" w:rsidP="008B512B">
      <w:pPr>
        <w:pStyle w:val="AdditionalTopicsSectionHeadings"/>
        <w:spacing w:line="240" w:lineRule="auto"/>
      </w:pPr>
      <w:r>
        <w:t>Assignment</w:t>
      </w:r>
    </w:p>
    <w:p w14:paraId="601AF3DD" w14:textId="77777777" w:rsidR="00655396" w:rsidRDefault="00655396" w:rsidP="008B512B">
      <w:pPr>
        <w:pStyle w:val="BodyText"/>
        <w:spacing w:line="240" w:lineRule="auto"/>
      </w:pPr>
    </w:p>
    <w:p w14:paraId="050A56A8" w14:textId="0816880D" w:rsidR="00655396" w:rsidRDefault="00655396" w:rsidP="008B512B">
      <w:pPr>
        <w:pStyle w:val="BodyText"/>
        <w:spacing w:line="240" w:lineRule="auto"/>
      </w:pPr>
      <w:r>
        <w:tab/>
        <w:t xml:space="preserve">While contract rights are, generally, assignable under Illinois law, “this rule is subject to exception where the assignment would </w:t>
      </w:r>
      <w:r w:rsidR="006A121F">
        <w:t>vary</w:t>
      </w:r>
      <w:r>
        <w:t xml:space="preserve"> materially alter the duty of the obligor, increase materially the burden of risk imposed by the contract, or impair materially the obligor’s chance of obtaining return performance.”</w:t>
      </w:r>
      <w:r w:rsidR="00FB1D09">
        <w:t xml:space="preserve"> </w:t>
      </w:r>
      <w:r>
        <w:rPr>
          <w:i/>
          <w:iCs/>
        </w:rPr>
        <w:t>Videojet Techs., Inc. v. Garcia</w:t>
      </w:r>
      <w:r>
        <w:t>, 2008 U.S. Dist. LEXIS 46045, at *21 (M.D. Fla. June 12, 2008) (applying Illinois substantive law</w:t>
      </w:r>
      <w:r w:rsidR="00D47546">
        <w:t xml:space="preserve">; </w:t>
      </w:r>
      <w:r>
        <w:t xml:space="preserve">citing, </w:t>
      </w:r>
      <w:r>
        <w:rPr>
          <w:i/>
          <w:iCs/>
        </w:rPr>
        <w:t xml:space="preserve">id. </w:t>
      </w:r>
      <w:r>
        <w:t xml:space="preserve">at n.8, </w:t>
      </w:r>
      <w:r>
        <w:rPr>
          <w:i/>
          <w:iCs/>
        </w:rPr>
        <w:t>A-Tech Computer Servs., Inc. v. Soo Hoo</w:t>
      </w:r>
      <w:r>
        <w:t>, 254 Ill. App. 3d 392, 193 Ill. Dec. 862 (1993)).</w:t>
      </w:r>
    </w:p>
    <w:p w14:paraId="78AB17AF" w14:textId="0D098BC7" w:rsidR="00655396" w:rsidRDefault="00655396" w:rsidP="008B512B">
      <w:pPr>
        <w:pStyle w:val="BodyText"/>
        <w:spacing w:line="240" w:lineRule="auto"/>
      </w:pPr>
      <w:r>
        <w:tab/>
        <w:t>There is no Illinois state-court precedent holding that restrictive covenants may never be assigned without employee consent.</w:t>
      </w:r>
      <w:r w:rsidR="00FB1D09">
        <w:t xml:space="preserve"> </w:t>
      </w:r>
      <w:r>
        <w:rPr>
          <w:i/>
          <w:iCs/>
        </w:rPr>
        <w:t>AutoMed Techs., Inc. v. Eller</w:t>
      </w:r>
      <w:r>
        <w:t xml:space="preserve">, 160 F. Supp. 2d 915, 924 (N.D. Ill. </w:t>
      </w:r>
      <w:r>
        <w:lastRenderedPageBreak/>
        <w:t>2001).</w:t>
      </w:r>
      <w:r w:rsidR="00FB1D09">
        <w:t xml:space="preserve"> </w:t>
      </w:r>
      <w:r>
        <w:t xml:space="preserve">In </w:t>
      </w:r>
      <w:r>
        <w:rPr>
          <w:i/>
          <w:iCs/>
        </w:rPr>
        <w:t>AutoMed</w:t>
      </w:r>
      <w:r>
        <w:t>, the U.S. District Court for the Northern District of Illinois predicted that, under Illinois law, where the employment contract is silent as to the assignability of a restrictive covenant contained therein, assignment to—and enforcement by—a corporate acquirer is permitted.</w:t>
      </w:r>
      <w:r w:rsidR="00FB1D09">
        <w:t xml:space="preserve"> </w:t>
      </w:r>
      <w:r>
        <w:rPr>
          <w:i/>
          <w:iCs/>
        </w:rPr>
        <w:t>Id. See also Unisource Worldwide, Inc. v. Carrara</w:t>
      </w:r>
      <w:r>
        <w:t xml:space="preserve">, 244 F. Supp. 2d 977, 982 (C.D. Ill. 2003) (when an employment contract is silent on this issue, “courts generally find that an acquiring corporation can enforce the acquired company’s restrictive covenants;” citing </w:t>
      </w:r>
      <w:r>
        <w:rPr>
          <w:i/>
          <w:iCs/>
        </w:rPr>
        <w:t>Hexacomb Corp. v. GTW Enters.</w:t>
      </w:r>
      <w:r>
        <w:t>, 875 F. Supp. 457, 464 (N.D. Ill. 1993))</w:t>
      </w:r>
      <w:r w:rsidR="00D47546">
        <w:t xml:space="preserve">; </w:t>
      </w:r>
      <w:r>
        <w:rPr>
          <w:i/>
          <w:iCs/>
        </w:rPr>
        <w:t>Chemetall GMBH v. ZR Energy, Inc</w:t>
      </w:r>
      <w:r>
        <w:t>., 320 F.3d 714 (7th Cir. 2003) (the terms of an asset purchase agreement govern whether preexisting confidentiality agreements are obligations preserved for the benefit of the purchaser).</w:t>
      </w:r>
    </w:p>
    <w:p w14:paraId="56B89EAA" w14:textId="7CCB7C41" w:rsidR="00655396" w:rsidRDefault="00655396" w:rsidP="008B512B">
      <w:pPr>
        <w:pStyle w:val="BodyText"/>
        <w:spacing w:line="240" w:lineRule="auto"/>
      </w:pPr>
      <w:r>
        <w:tab/>
        <w:t>However, the Illinois Supreme Court has decided that an employment agreement containing a noncompetition clause that violates the corporate practice of medicine doctrine is unassignable.</w:t>
      </w:r>
      <w:r w:rsidR="00FB1D09">
        <w:t xml:space="preserve"> </w:t>
      </w:r>
      <w:r>
        <w:rPr>
          <w:i/>
          <w:iCs/>
        </w:rPr>
        <w:t>Carter-Shields v. Alton Health Inst.</w:t>
      </w:r>
      <w:r>
        <w:t>, 201 Ill. 2d 441, 453, 462, 268 Ill. Dec. 25, 32, 36–37, 777 N.E.2d 948, 954, 959–60 (2002) (employer assigned a physician service agreement to medical service corporation</w:t>
      </w:r>
      <w:r w:rsidR="00D47546">
        <w:t xml:space="preserve">; </w:t>
      </w:r>
      <w:r>
        <w:t>holding that service agreement, which contained nonassignment clause and noncompete clause, violated corporate practice of medicine doctrine and, accordingly, was void, unenforceable, and unassignable).</w:t>
      </w:r>
      <w:r w:rsidR="00FB1D09">
        <w:rPr>
          <w:b/>
          <w:bCs/>
        </w:rPr>
        <w:t xml:space="preserve"> </w:t>
      </w:r>
      <w:r>
        <w:rPr>
          <w:b/>
          <w:bCs/>
        </w:rPr>
        <w:t>[</w:t>
      </w:r>
      <w:r>
        <w:rPr>
          <w:i/>
          <w:iCs/>
        </w:rPr>
        <w:t>Editor’s note</w:t>
      </w:r>
      <w:r w:rsidR="00D47546">
        <w:rPr>
          <w:i/>
          <w:iCs/>
        </w:rPr>
        <w:t xml:space="preserve">: </w:t>
      </w:r>
      <w:r>
        <w:t xml:space="preserve">The </w:t>
      </w:r>
      <w:r>
        <w:rPr>
          <w:i/>
          <w:iCs/>
        </w:rPr>
        <w:t xml:space="preserve">Carter-Shields </w:t>
      </w:r>
      <w:r>
        <w:t>court did not directly consider whether noncompete provisions are assignable.</w:t>
      </w:r>
      <w:r>
        <w:rPr>
          <w:b/>
          <w:bCs/>
        </w:rPr>
        <w:t>]</w:t>
      </w:r>
    </w:p>
    <w:p w14:paraId="03ABD6F9" w14:textId="0E541716" w:rsidR="00655396" w:rsidRDefault="00655396" w:rsidP="008B512B">
      <w:pPr>
        <w:pStyle w:val="BodyText"/>
        <w:spacing w:line="240" w:lineRule="auto"/>
      </w:pPr>
      <w:r>
        <w:tab/>
        <w:t xml:space="preserve">In </w:t>
      </w:r>
      <w:r>
        <w:rPr>
          <w:i/>
          <w:iCs/>
        </w:rPr>
        <w:t>Grundstad v. Ritt</w:t>
      </w:r>
      <w:r>
        <w:t>, 166 F.3d 867 (7th Cir. 1999), the U.S. Court of Appeals for the Seventh Circuit determined that an assignment under which a judgment creditor obtained rights to payments under a noncompete agreement executed as part of an individual’s withdrawal from an Illinois partnership in a gaming concession business did not relieve the guarantor of liability.</w:t>
      </w:r>
      <w:r w:rsidR="00FB1D09">
        <w:t xml:space="preserve"> </w:t>
      </w:r>
      <w:r>
        <w:rPr>
          <w:i/>
          <w:iCs/>
        </w:rPr>
        <w:t>Id.</w:t>
      </w:r>
      <w:r>
        <w:t xml:space="preserve"> at 871 (reasoning that assignment did not shift to assignee assignor’s obligation not to compete with principal and, accordingly, did not materially change risk to personal guarantor of principal).</w:t>
      </w:r>
    </w:p>
    <w:p w14:paraId="7262C18E" w14:textId="11F37E2F" w:rsidR="00655396" w:rsidRDefault="00655396" w:rsidP="008B512B">
      <w:pPr>
        <w:pStyle w:val="BodyText"/>
        <w:spacing w:line="240" w:lineRule="auto"/>
      </w:pPr>
      <w:r>
        <w:tab/>
        <w:t xml:space="preserve">In </w:t>
      </w:r>
      <w:r>
        <w:rPr>
          <w:i/>
          <w:iCs/>
        </w:rPr>
        <w:t>Cronimet Holdings, Inc. v. Keywell Metals, LLC,</w:t>
      </w:r>
      <w:r>
        <w:t xml:space="preserve"> No. 14 C 3503, 2014 BL 315275, 2014 IER Cases 171287 (N.D. Ill. 2014), the U.S. District Court for the Northern District of Illinois dismissed counterclaims by a purchaser of assets of a bankrupt titanium recycling firm against an unsuccessful bidder for its assets and two </w:t>
      </w:r>
      <w:r>
        <w:lastRenderedPageBreak/>
        <w:t>former firm employees now working for the bidder.</w:t>
      </w:r>
      <w:r w:rsidR="00FB1D09">
        <w:t xml:space="preserve"> </w:t>
      </w:r>
      <w:r>
        <w:t>The purchaser sought to enforce the firm’s 2-year noncompetition agreements with former employees and a nondisclosure agreement purporting to bar the unsuccessful bidder from hiring the firm’s employees.</w:t>
      </w:r>
      <w:r w:rsidR="00FB1D09">
        <w:t xml:space="preserve"> </w:t>
      </w:r>
      <w:r>
        <w:t>The purchaser also lodged a claim for tortious interference by the bidder and related conspiracy claims.</w:t>
      </w:r>
      <w:r w:rsidR="00FB1D09">
        <w:t xml:space="preserve"> </w:t>
      </w:r>
      <w:r>
        <w:t>The court held that, even though the firm purportedly assigned the agreements to the purchaser, the agreements were unenforceable as a defunct firm has no protectable business interests, the agreements did not expressly provide that the purchaser was the intended beneficiary, the purchaser was not a successor in interest because it did not purchase the agreements, and there could be no tortious interference as the noncompetition and nondisclosure agreements were unenforceable.</w:t>
      </w:r>
      <w:r w:rsidR="00FB1D09">
        <w:t xml:space="preserve"> </w:t>
      </w:r>
      <w:r>
        <w:rPr>
          <w:i/>
          <w:iCs/>
        </w:rPr>
        <w:t>Id.</w:t>
      </w:r>
      <w:r>
        <w:t>, 2014 BL 315275, at *5–8.</w:t>
      </w:r>
    </w:p>
    <w:p w14:paraId="51A86024" w14:textId="60ECC5E5" w:rsidR="00655396" w:rsidRDefault="00655396" w:rsidP="008B512B">
      <w:pPr>
        <w:pStyle w:val="BodyText"/>
        <w:spacing w:line="240" w:lineRule="auto"/>
        <w:rPr>
          <w:i/>
          <w:iCs/>
        </w:rPr>
      </w:pPr>
      <w:r>
        <w:tab/>
        <w:t>Whether a confidentiality agreement prohibiting employees from revealing confidential information can be assigned pursuant to an asset purchase agreement is a question of the intent of the parties to the transaction.</w:t>
      </w:r>
      <w:r w:rsidR="00FB1D09">
        <w:t xml:space="preserve"> </w:t>
      </w:r>
      <w:r>
        <w:rPr>
          <w:i/>
          <w:iCs/>
        </w:rPr>
        <w:t>Chemetall</w:t>
      </w:r>
      <w:r>
        <w:t>, 320 F.3d at 720–21.</w:t>
      </w:r>
      <w:r w:rsidR="00FB1D09">
        <w:t xml:space="preserve"> </w:t>
      </w:r>
      <w:r>
        <w:t>“The intent of the parties is a ‘question of fact to be derived not only from the instrument executed by the parties, but also from the surrounding circumstances.’</w:t>
      </w:r>
      <w:r>
        <w:rPr>
          <w:rFonts w:ascii="Times New Roman" w:hAnsi="Times New Roman" w:cs="Times New Roman"/>
        </w:rPr>
        <w:t> </w:t>
      </w:r>
      <w:r>
        <w:t>”</w:t>
      </w:r>
      <w:r w:rsidR="00FB1D09">
        <w:t xml:space="preserve"> </w:t>
      </w:r>
      <w:r>
        <w:rPr>
          <w:i/>
          <w:iCs/>
        </w:rPr>
        <w:t>Id.</w:t>
      </w:r>
      <w:r>
        <w:t xml:space="preserve"> at 721 (citation omitted).</w:t>
      </w:r>
    </w:p>
    <w:p w14:paraId="437D3326" w14:textId="77777777" w:rsidR="00655396" w:rsidRDefault="00655396" w:rsidP="008B512B">
      <w:pPr>
        <w:pStyle w:val="BodyText"/>
        <w:spacing w:line="240" w:lineRule="auto"/>
      </w:pPr>
      <w:r>
        <w:tab/>
      </w:r>
      <w:r>
        <w:rPr>
          <w:i/>
          <w:iCs/>
        </w:rPr>
        <w:t xml:space="preserve">See generally </w:t>
      </w:r>
      <w:r>
        <w:t>Adam Schneid, Note</w:t>
      </w:r>
      <w:r w:rsidR="00D47546">
        <w:t xml:space="preserve">: </w:t>
      </w:r>
      <w:r>
        <w:rPr>
          <w:i/>
          <w:iCs/>
        </w:rPr>
        <w:t>Assignability of Covenants Not to Compete</w:t>
      </w:r>
      <w:r w:rsidR="00D47546">
        <w:rPr>
          <w:i/>
          <w:iCs/>
        </w:rPr>
        <w:t xml:space="preserve">: </w:t>
      </w:r>
      <w:r>
        <w:rPr>
          <w:i/>
          <w:iCs/>
        </w:rPr>
        <w:t>When Can a Successor Firm Enforce a Noncompete Agreement?</w:t>
      </w:r>
      <w:r>
        <w:t xml:space="preserve">, 27 </w:t>
      </w:r>
      <w:r>
        <w:rPr>
          <w:smallCaps/>
        </w:rPr>
        <w:t>Cardozo L. Rev.</w:t>
      </w:r>
      <w:r>
        <w:t xml:space="preserve"> 1485 (Jan. 2006) (asserting, </w:t>
      </w:r>
      <w:r>
        <w:rPr>
          <w:i/>
          <w:iCs/>
        </w:rPr>
        <w:t>id.</w:t>
      </w:r>
      <w:r>
        <w:t xml:space="preserve"> at 1506, that the application of “flexible guidelines as opposed to strict rules in determining the assignability of a covenant not to compete” produces the most equitable results).</w:t>
      </w:r>
    </w:p>
    <w:p w14:paraId="35200C20" w14:textId="77777777" w:rsidR="00655396" w:rsidRDefault="00655396" w:rsidP="008B512B">
      <w:pPr>
        <w:pStyle w:val="BodyText"/>
        <w:spacing w:line="240" w:lineRule="auto"/>
      </w:pPr>
    </w:p>
    <w:p w14:paraId="297E00DE" w14:textId="77777777" w:rsidR="00655396" w:rsidRDefault="00655396" w:rsidP="008B512B">
      <w:pPr>
        <w:pStyle w:val="AdditionalTopicsSectionHeadings"/>
        <w:spacing w:line="240" w:lineRule="auto"/>
      </w:pPr>
      <w:r>
        <w:t>Attorneys</w:t>
      </w:r>
    </w:p>
    <w:p w14:paraId="61F404EF" w14:textId="77777777" w:rsidR="00655396" w:rsidRDefault="00655396" w:rsidP="008B512B">
      <w:pPr>
        <w:pStyle w:val="BodyText"/>
        <w:spacing w:line="240" w:lineRule="auto"/>
      </w:pPr>
    </w:p>
    <w:p w14:paraId="696E3F2E" w14:textId="382300F2" w:rsidR="00655396" w:rsidRDefault="00655396" w:rsidP="008B512B">
      <w:pPr>
        <w:pStyle w:val="BodyText"/>
        <w:spacing w:line="240" w:lineRule="auto"/>
        <w:rPr>
          <w:spacing w:val="-1"/>
        </w:rPr>
      </w:pPr>
      <w:r>
        <w:rPr>
          <w:i/>
          <w:iCs/>
          <w:spacing w:val="-1"/>
        </w:rPr>
        <w:tab/>
        <w:t>See generally</w:t>
      </w:r>
      <w:r>
        <w:rPr>
          <w:spacing w:val="-1"/>
        </w:rPr>
        <w:t xml:space="preserve"> George M. Cohen, </w:t>
      </w:r>
      <w:r>
        <w:rPr>
          <w:i/>
          <w:iCs/>
          <w:spacing w:val="-1"/>
        </w:rPr>
        <w:t>The Multilawyered Problems of Professional Responsibility</w:t>
      </w:r>
      <w:r>
        <w:rPr>
          <w:spacing w:val="-1"/>
        </w:rPr>
        <w:t xml:space="preserve">, 2003 </w:t>
      </w:r>
      <w:r>
        <w:rPr>
          <w:smallCaps/>
          <w:spacing w:val="-1"/>
        </w:rPr>
        <w:t xml:space="preserve">U. Ill. L. Rev. </w:t>
      </w:r>
      <w:r>
        <w:rPr>
          <w:spacing w:val="-1"/>
        </w:rPr>
        <w:t>1409, 1472 (2003) (“an expansion of the ban on covenants not to compete more definitely includes co-counsel and similar relationships;” quoting in citing</w:t>
      </w:r>
      <w:r w:rsidR="00CD7A12">
        <w:rPr>
          <w:spacing w:val="-1"/>
        </w:rPr>
        <w:t xml:space="preserve"> </w:t>
      </w:r>
      <w:r>
        <w:rPr>
          <w:smallCaps/>
          <w:spacing w:val="-1"/>
        </w:rPr>
        <w:t xml:space="preserve">Model R. Prof’l Conduct </w:t>
      </w:r>
      <w:r>
        <w:rPr>
          <w:spacing w:val="-1"/>
        </w:rPr>
        <w:t xml:space="preserve">R. 5.6(a) (Rev. 2000) (“A lawyer shall not participate in offering or making </w:t>
      </w:r>
      <w:r w:rsidR="00944F63">
        <w:rPr>
          <w:spacing w:val="-1"/>
        </w:rPr>
        <w:t>…</w:t>
      </w:r>
      <w:r>
        <w:rPr>
          <w:spacing w:val="-1"/>
        </w:rPr>
        <w:t xml:space="preserve"> a partnership, shareholders, operating, employment, or other similar type of agreement that restricts the right of a lawyer to practice after termination of the relationship, except an agreement concerning </w:t>
      </w:r>
      <w:r>
        <w:rPr>
          <w:spacing w:val="-1"/>
        </w:rPr>
        <w:lastRenderedPageBreak/>
        <w:t>benefits upon retirement.”))</w:t>
      </w:r>
      <w:r w:rsidR="00D47546">
        <w:rPr>
          <w:spacing w:val="-1"/>
        </w:rPr>
        <w:t xml:space="preserve">; </w:t>
      </w:r>
      <w:r>
        <w:rPr>
          <w:smallCaps/>
          <w:spacing w:val="-1"/>
        </w:rPr>
        <w:t>Restatement (Third) of Law Governing Lawyers</w:t>
      </w:r>
      <w:r>
        <w:rPr>
          <w:spacing w:val="-1"/>
        </w:rPr>
        <w:t xml:space="preserve"> §9(3) (2000) (“Absent an agreement with the firm providing a more permissive rule, a lawyer leaving a law firm may solicit firm clients</w:t>
      </w:r>
      <w:r w:rsidR="00D47546">
        <w:rPr>
          <w:spacing w:val="-1"/>
        </w:rPr>
        <w:t xml:space="preserve">: </w:t>
      </w:r>
      <w:r>
        <w:rPr>
          <w:spacing w:val="-1"/>
        </w:rPr>
        <w:t>(a) prior to leaving the firm</w:t>
      </w:r>
      <w:r w:rsidR="00D47546">
        <w:rPr>
          <w:spacing w:val="-1"/>
        </w:rPr>
        <w:t xml:space="preserve">: </w:t>
      </w:r>
      <w:r>
        <w:rPr>
          <w:spacing w:val="-1"/>
        </w:rPr>
        <w:t>(i) only with respect to firm clients on whose matters the lawyer is actively and substantially working</w:t>
      </w:r>
      <w:r w:rsidR="00D47546">
        <w:rPr>
          <w:spacing w:val="-1"/>
        </w:rPr>
        <w:t xml:space="preserve">; </w:t>
      </w:r>
      <w:r>
        <w:rPr>
          <w:spacing w:val="-1"/>
        </w:rPr>
        <w:t>and (ii) only after the lawyer has adequately and timely informed the firm of the lawyer’s intent to contact firm clients for that purpose</w:t>
      </w:r>
      <w:r w:rsidR="00D47546">
        <w:rPr>
          <w:spacing w:val="-1"/>
        </w:rPr>
        <w:t xml:space="preserve">; </w:t>
      </w:r>
      <w:r>
        <w:rPr>
          <w:spacing w:val="-1"/>
        </w:rPr>
        <w:t>and (b) after ceasing employment in the firm, to the same extent as any other nonfirm lawyer.”) and cmt. i (2000).</w:t>
      </w:r>
    </w:p>
    <w:p w14:paraId="457AB94D" w14:textId="77777777" w:rsidR="00655396" w:rsidRDefault="00655396" w:rsidP="008B512B">
      <w:pPr>
        <w:pStyle w:val="BodyText"/>
        <w:spacing w:line="240" w:lineRule="auto"/>
      </w:pPr>
    </w:p>
    <w:p w14:paraId="1023A6E7" w14:textId="77777777" w:rsidR="00655396" w:rsidRDefault="00655396" w:rsidP="008B512B">
      <w:pPr>
        <w:pStyle w:val="AdditionalTopicsSectionHeadings"/>
        <w:spacing w:line="240" w:lineRule="auto"/>
      </w:pPr>
      <w:r>
        <w:t>Attorney’s Fees</w:t>
      </w:r>
    </w:p>
    <w:p w14:paraId="42C69CEC" w14:textId="77777777" w:rsidR="00655396" w:rsidRDefault="00655396" w:rsidP="008B512B">
      <w:pPr>
        <w:pStyle w:val="BodyText"/>
        <w:spacing w:line="240" w:lineRule="auto"/>
        <w:rPr>
          <w:sz w:val="20"/>
          <w:szCs w:val="20"/>
        </w:rPr>
      </w:pPr>
    </w:p>
    <w:p w14:paraId="587EDBA1" w14:textId="31E827A5" w:rsidR="00655396" w:rsidRDefault="00655396" w:rsidP="00480D88">
      <w:pPr>
        <w:pStyle w:val="BodyText"/>
        <w:spacing w:line="240" w:lineRule="auto"/>
      </w:pPr>
      <w:r>
        <w:tab/>
        <w:t>Attorney’s fees are not generally allowable to the successful party under Illinois law in the absence of a statute or specific agreement between the parties providing otherwise.</w:t>
      </w:r>
      <w:r w:rsidR="00FB1D09">
        <w:t xml:space="preserve"> </w:t>
      </w:r>
      <w:r>
        <w:rPr>
          <w:i/>
          <w:iCs/>
        </w:rPr>
        <w:t>Westway Holdings Corp. v. Tate &amp; Lyle PLC</w:t>
      </w:r>
      <w:r>
        <w:t>, 2011 U.S. Dist. LEXIS 88679, at *20 (D. Del. 2011) (applying Illinois substantive law)</w:t>
      </w:r>
      <w:r w:rsidR="00480D88">
        <w:t xml:space="preserve">; </w:t>
      </w:r>
      <w:r w:rsidR="00480D88" w:rsidRPr="00480D88">
        <w:rPr>
          <w:i/>
          <w:iCs/>
        </w:rPr>
        <w:t>Lozano v. Mayer</w:t>
      </w:r>
      <w:r w:rsidR="00480D88">
        <w:t xml:space="preserve">, 2008 WL 5243507 (Ill. Cir. Ct. Cook Cty. Apr. 17, 2008). </w:t>
      </w:r>
    </w:p>
    <w:p w14:paraId="15BC9DC9" w14:textId="3245B5B7" w:rsidR="00655396" w:rsidRPr="006A121F" w:rsidRDefault="00655396" w:rsidP="008B512B">
      <w:pPr>
        <w:pStyle w:val="BodyText"/>
        <w:spacing w:line="240" w:lineRule="auto"/>
      </w:pPr>
      <w:r>
        <w:tab/>
        <w:t>There is “no reason to reject [a] contractual fee-shifting arrangement simply because Plaintiffs have not been awarded the full dollar amount of damages they requested.”</w:t>
      </w:r>
      <w:r w:rsidR="00FB1D09">
        <w:t xml:space="preserve"> </w:t>
      </w:r>
      <w:r w:rsidR="00480D88">
        <w:rPr>
          <w:i/>
          <w:iCs/>
        </w:rPr>
        <w:t>Westway</w:t>
      </w:r>
      <w:r w:rsidR="00480D88">
        <w:t>, 2011 U.S. Dist. LEXIS 88679, at *20</w:t>
      </w:r>
      <w:r w:rsidR="00480D88" w:rsidRPr="006A121F">
        <w:t>.</w:t>
      </w:r>
    </w:p>
    <w:p w14:paraId="7FFDE9E1" w14:textId="77777777" w:rsidR="00655396" w:rsidRDefault="00655396" w:rsidP="008B512B">
      <w:pPr>
        <w:pStyle w:val="BodyText"/>
        <w:spacing w:line="240" w:lineRule="auto"/>
        <w:rPr>
          <w:sz w:val="20"/>
          <w:szCs w:val="20"/>
        </w:rPr>
      </w:pPr>
    </w:p>
    <w:p w14:paraId="4B024FFA" w14:textId="3E015AE7" w:rsidR="00655396" w:rsidRDefault="00655396" w:rsidP="008B512B">
      <w:pPr>
        <w:pStyle w:val="BodyText"/>
        <w:spacing w:line="240" w:lineRule="auto"/>
        <w:rPr>
          <w:spacing w:val="-1"/>
        </w:rPr>
      </w:pPr>
      <w:r>
        <w:rPr>
          <w:spacing w:val="-1"/>
        </w:rPr>
        <w:tab/>
        <w:t xml:space="preserve">• </w:t>
      </w:r>
      <w:r>
        <w:rPr>
          <w:i/>
          <w:iCs/>
          <w:spacing w:val="-1"/>
        </w:rPr>
        <w:t>Lack of consideration for attorney’s fee provision</w:t>
      </w:r>
      <w:r>
        <w:rPr>
          <w:spacing w:val="-1"/>
        </w:rPr>
        <w:t>.</w:t>
      </w:r>
      <w:r w:rsidR="00FB1D09">
        <w:rPr>
          <w:spacing w:val="-1"/>
        </w:rPr>
        <w:t xml:space="preserve"> </w:t>
      </w:r>
      <w:r>
        <w:rPr>
          <w:spacing w:val="-1"/>
        </w:rPr>
        <w:t>Seven months of at-will employment following the signing of an employment agreement is too short a period of time of continued employment to constitute sufficient consideration under Illinois law to support the agreement or any term within it, including a noncompetition clause and an attorney’s fee provision.</w:t>
      </w:r>
      <w:r w:rsidR="00FB1D09">
        <w:rPr>
          <w:spacing w:val="-1"/>
        </w:rPr>
        <w:t xml:space="preserve"> </w:t>
      </w:r>
      <w:r>
        <w:rPr>
          <w:i/>
          <w:iCs/>
          <w:spacing w:val="-1"/>
        </w:rPr>
        <w:t>Brown &amp; Brown, Inc. v. Mudron</w:t>
      </w:r>
      <w:r>
        <w:rPr>
          <w:spacing w:val="-1"/>
        </w:rPr>
        <w:t>, 379 Ill. App. 3d 724, 729, 320 Ill. Dec. 293, 887 N.E.2d 437, 441 (2008) (majority op.).</w:t>
      </w:r>
    </w:p>
    <w:p w14:paraId="32C311BF" w14:textId="77777777" w:rsidR="00655396" w:rsidRDefault="00655396" w:rsidP="008B512B">
      <w:pPr>
        <w:pStyle w:val="BodyText"/>
        <w:spacing w:line="240" w:lineRule="auto"/>
        <w:rPr>
          <w:sz w:val="20"/>
          <w:szCs w:val="20"/>
        </w:rPr>
      </w:pPr>
    </w:p>
    <w:p w14:paraId="008CA3C2" w14:textId="3E351F16" w:rsidR="00655396" w:rsidRDefault="00655396" w:rsidP="008B512B">
      <w:pPr>
        <w:pStyle w:val="BodyText"/>
        <w:spacing w:line="240" w:lineRule="auto"/>
        <w:rPr>
          <w:i/>
          <w:iCs/>
        </w:rPr>
      </w:pPr>
      <w:r>
        <w:tab/>
        <w:t xml:space="preserve">• </w:t>
      </w:r>
      <w:r>
        <w:rPr>
          <w:i/>
          <w:iCs/>
        </w:rPr>
        <w:t>Broadcasting industry employee covenants</w:t>
      </w:r>
      <w:r>
        <w:t>.</w:t>
      </w:r>
      <w:r w:rsidR="00FB1D09">
        <w:t xml:space="preserve"> </w:t>
      </w:r>
      <w:r>
        <w:t>Attorney’s fee awards are a statutory remedy for violation of the Illinois statute barring, effective January 1, 2002, covenants not to compete in the broadcasting industry except with respect to sales and management employees.</w:t>
      </w:r>
      <w:r w:rsidR="00FB1D09">
        <w:t xml:space="preserve"> </w:t>
      </w:r>
      <w:r>
        <w:t xml:space="preserve">820 </w:t>
      </w:r>
      <w:r>
        <w:rPr>
          <w:smallCaps/>
        </w:rPr>
        <w:t>Ill. Comp. Stat.</w:t>
      </w:r>
      <w:r>
        <w:t xml:space="preserve"> 17/15.</w:t>
      </w:r>
      <w:r w:rsidR="00FB1D09">
        <w:t xml:space="preserve"> </w:t>
      </w:r>
      <w:r>
        <w:t>The statute also provides for the recovery of civil damages and costs.</w:t>
      </w:r>
      <w:r w:rsidR="00FB1D09">
        <w:t xml:space="preserve"> </w:t>
      </w:r>
      <w:r>
        <w:rPr>
          <w:i/>
          <w:iCs/>
        </w:rPr>
        <w:t>Id.</w:t>
      </w:r>
    </w:p>
    <w:p w14:paraId="2E72F503" w14:textId="77777777" w:rsidR="00655396" w:rsidRDefault="00655396" w:rsidP="008B512B">
      <w:pPr>
        <w:pStyle w:val="BodyText"/>
        <w:spacing w:line="240" w:lineRule="auto"/>
        <w:rPr>
          <w:sz w:val="20"/>
          <w:szCs w:val="20"/>
        </w:rPr>
      </w:pPr>
    </w:p>
    <w:p w14:paraId="0B2E3C07" w14:textId="77777777" w:rsidR="00655396" w:rsidRDefault="00655396" w:rsidP="008B512B">
      <w:pPr>
        <w:pStyle w:val="AdditionalTopicsSectionHeadings"/>
        <w:spacing w:line="240" w:lineRule="auto"/>
      </w:pPr>
      <w:r>
        <w:lastRenderedPageBreak/>
        <w:t xml:space="preserve">Attorney’s Fees (Awarded as Damages for Wrongfully </w:t>
      </w:r>
      <w:r>
        <w:br/>
        <w:t>Issued Preliminary Injunction)</w:t>
      </w:r>
    </w:p>
    <w:p w14:paraId="07C17F8C"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sz w:val="20"/>
          <w:szCs w:val="20"/>
        </w:rPr>
      </w:pPr>
    </w:p>
    <w:p w14:paraId="2546D306"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Under §11-110 of the Illinois Code of Civil Procedure, 735 ILCS 5/11-110, the statute dealing with wrongful entry of a preliminary injunction, only those attorney fees arising from actions seeking reversal or dissolution of the preliminary injunction are recoverable; if the injunction dissolves by operation of its own terms or as a result of final judgment, the party wrongfully enjoined is not entitled to damages or fees. </w:t>
      </w:r>
      <w:r>
        <w:rPr>
          <w:rFonts w:ascii="Baskerville" w:hAnsi="Baskerville" w:cs="Baskerville"/>
          <w:i/>
          <w:iCs/>
        </w:rPr>
        <w:t>Label Printers v. Pflug,</w:t>
      </w:r>
      <w:r>
        <w:rPr>
          <w:rFonts w:ascii="Baskerville" w:hAnsi="Baskerville" w:cs="Baskerville"/>
        </w:rPr>
        <w:t xml:space="preserve"> 246 Ill. App. 3d 435, 438, 186 Ill. Dec. 516, 518, 616 N.E.2d 706, 708 (2d Dist. 1993) (</w:t>
      </w:r>
      <w:r>
        <w:rPr>
          <w:rFonts w:ascii="Baskerville" w:hAnsi="Baskerville" w:cs="Baskerville"/>
          <w:i/>
          <w:iCs/>
        </w:rPr>
        <w:t>Label Printers II</w:t>
      </w:r>
      <w:r>
        <w:rPr>
          <w:rFonts w:ascii="Baskerville" w:hAnsi="Baskerville" w:cs="Baskerville"/>
        </w:rPr>
        <w:t>).</w:t>
      </w:r>
    </w:p>
    <w:p w14:paraId="291A4F02" w14:textId="77777777" w:rsidR="00655396" w:rsidRDefault="00655396" w:rsidP="008B512B">
      <w:pPr>
        <w:pStyle w:val="BodyText"/>
        <w:spacing w:line="240" w:lineRule="auto"/>
      </w:pPr>
    </w:p>
    <w:p w14:paraId="7155B5EF" w14:textId="77777777" w:rsidR="00655396" w:rsidRDefault="00655396" w:rsidP="008B512B">
      <w:pPr>
        <w:pStyle w:val="AdditionalTopicsSectionHeadings"/>
        <w:spacing w:line="240" w:lineRule="auto"/>
      </w:pPr>
      <w:r>
        <w:t>At-Will Employees</w:t>
      </w:r>
    </w:p>
    <w:p w14:paraId="00318ED9" w14:textId="77777777" w:rsidR="00655396" w:rsidRDefault="00655396" w:rsidP="008B512B">
      <w:pPr>
        <w:pStyle w:val="BodyText"/>
        <w:spacing w:line="240" w:lineRule="auto"/>
      </w:pPr>
    </w:p>
    <w:p w14:paraId="0841BDD4" w14:textId="39C348D9" w:rsidR="00655396" w:rsidRDefault="00655396" w:rsidP="008B512B">
      <w:pPr>
        <w:pStyle w:val="BodyText"/>
        <w:spacing w:line="240" w:lineRule="auto"/>
        <w:rPr>
          <w:spacing w:val="-1"/>
        </w:rPr>
      </w:pPr>
      <w:r>
        <w:rPr>
          <w:spacing w:val="-1"/>
        </w:rPr>
        <w:tab/>
        <w:t xml:space="preserve">The Second District Court of Appeals in a 1997 opinion adopted the Fourth District position that a covenant need not be ancillary to an employment </w:t>
      </w:r>
      <w:r>
        <w:rPr>
          <w:i/>
          <w:iCs/>
          <w:spacing w:val="-1"/>
        </w:rPr>
        <w:t>agreement</w:t>
      </w:r>
      <w:r>
        <w:rPr>
          <w:spacing w:val="-1"/>
        </w:rPr>
        <w:t xml:space="preserve">—and need only be ancillary to an at-will employment </w:t>
      </w:r>
      <w:r>
        <w:rPr>
          <w:i/>
          <w:iCs/>
          <w:spacing w:val="-1"/>
        </w:rPr>
        <w:t>relationship</w:t>
      </w:r>
      <w:r>
        <w:rPr>
          <w:spacing w:val="-1"/>
        </w:rPr>
        <w:t>—in order to satisfy the ancillarity requirement.</w:t>
      </w:r>
      <w:r w:rsidR="00FB1D09">
        <w:rPr>
          <w:spacing w:val="-1"/>
        </w:rPr>
        <w:t xml:space="preserve"> </w:t>
      </w:r>
      <w:r>
        <w:rPr>
          <w:i/>
          <w:iCs/>
          <w:spacing w:val="-1"/>
        </w:rPr>
        <w:t>Lawrence &amp; Allen, Inc. v. Cambridge Human Res. Grp., Inc.</w:t>
      </w:r>
      <w:r>
        <w:rPr>
          <w:spacing w:val="-1"/>
        </w:rPr>
        <w:t xml:space="preserve">, 226 Ill. Dec. 331, 337, 685 N.E.2d 434, 440 (Ct. App. 2d Dist. 1997) (“We decline to follow the holding in </w:t>
      </w:r>
      <w:r>
        <w:rPr>
          <w:i/>
          <w:iCs/>
          <w:spacing w:val="-1"/>
        </w:rPr>
        <w:t>Creative Entertainment</w:t>
      </w:r>
      <w:r>
        <w:rPr>
          <w:spacing w:val="-1"/>
        </w:rPr>
        <w:t xml:space="preserve"> [</w:t>
      </w:r>
      <w:r>
        <w:rPr>
          <w:i/>
          <w:iCs/>
          <w:spacing w:val="-1"/>
        </w:rPr>
        <w:t>Inc. v. Lorenz</w:t>
      </w:r>
      <w:r>
        <w:rPr>
          <w:spacing w:val="-1"/>
        </w:rPr>
        <w:t>, 265 Ill. App. 3d 343, 202 Ill. Dec. 571, 638 N.E.2d 217 (1st. Dist. 1994),] because it is inconsistent with Illinois precedent and persuasive authority.</w:t>
      </w:r>
      <w:r w:rsidR="00FB1D09">
        <w:rPr>
          <w:spacing w:val="-1"/>
        </w:rPr>
        <w:t xml:space="preserve"> </w:t>
      </w:r>
      <w:r>
        <w:rPr>
          <w:spacing w:val="-1"/>
        </w:rPr>
        <w:t xml:space="preserve">Instead, we follow the well-reasoned decision in </w:t>
      </w:r>
      <w:r>
        <w:rPr>
          <w:i/>
          <w:iCs/>
          <w:spacing w:val="-1"/>
        </w:rPr>
        <w:t>Abel v. Fox</w:t>
      </w:r>
      <w:r>
        <w:rPr>
          <w:spacing w:val="-1"/>
        </w:rPr>
        <w:t>, 274 Ill. App. 3d 811, 211 Ill. Dec. 129, 654 N.E.2d 591 ([4th Dist.] 1995).”).</w:t>
      </w:r>
    </w:p>
    <w:p w14:paraId="5D1C1AD3" w14:textId="751CC5A3" w:rsidR="00655396" w:rsidRDefault="00655396" w:rsidP="008B512B">
      <w:pPr>
        <w:pStyle w:val="BodyText"/>
        <w:spacing w:line="240" w:lineRule="auto"/>
      </w:pPr>
      <w:r>
        <w:tab/>
        <w:t xml:space="preserve">In 1998, the Sixth Division of the First District registered its agreement with the Second and Fourth Districts and declined to follow </w:t>
      </w:r>
      <w:r>
        <w:rPr>
          <w:i/>
          <w:iCs/>
        </w:rPr>
        <w:t>Creative Entertainment</w:t>
      </w:r>
      <w:r>
        <w:t>.</w:t>
      </w:r>
      <w:r w:rsidR="00FB1D09">
        <w:t xml:space="preserve"> </w:t>
      </w:r>
      <w:r>
        <w:rPr>
          <w:i/>
          <w:iCs/>
        </w:rPr>
        <w:t>Woodfield Grp., Inc. v. DeLisle</w:t>
      </w:r>
      <w:r>
        <w:t>, 295 Ill. App. 3d 935, 941, 230 Ill. Dec. 335, 339, 693 N.E.2d 464, 468, 13 IER Cases 1646 (1st Dist. 1998) (“A restrictive covenant agreement may meet the requirements for ancillarity if it is ancillary to an employment relationship even though the employment may lack a written agreement and remain at will.”).</w:t>
      </w:r>
    </w:p>
    <w:p w14:paraId="1A3DEA56" w14:textId="77777777" w:rsidR="00655396" w:rsidRDefault="00655396" w:rsidP="008B512B">
      <w:pPr>
        <w:pStyle w:val="BodyText"/>
        <w:spacing w:line="240" w:lineRule="auto"/>
      </w:pPr>
      <w:r>
        <w:tab/>
      </w:r>
      <w:r>
        <w:rPr>
          <w:i/>
          <w:iCs/>
        </w:rPr>
        <w:t>See also</w:t>
      </w:r>
      <w:r>
        <w:t xml:space="preserve"> T. Canafax, Jr., </w:t>
      </w:r>
      <w:r>
        <w:rPr>
          <w:i/>
          <w:iCs/>
        </w:rPr>
        <w:t>Are Covenants Not to Compete Enforceable Against At-Will Employees in Illinois?</w:t>
      </w:r>
      <w:r>
        <w:t xml:space="preserve">, 85 </w:t>
      </w:r>
      <w:r>
        <w:rPr>
          <w:smallCaps/>
        </w:rPr>
        <w:t>Ill. B.J.</w:t>
      </w:r>
      <w:r>
        <w:t xml:space="preserve"> 370 (Aug. 1997).</w:t>
      </w:r>
    </w:p>
    <w:p w14:paraId="545399B1" w14:textId="77777777" w:rsidR="00655396" w:rsidRDefault="00655396" w:rsidP="008B512B">
      <w:pPr>
        <w:pStyle w:val="BodyText"/>
        <w:spacing w:line="240" w:lineRule="auto"/>
      </w:pPr>
    </w:p>
    <w:p w14:paraId="263BFAD6" w14:textId="77777777" w:rsidR="00655396" w:rsidRDefault="00655396" w:rsidP="008B512B">
      <w:pPr>
        <w:pStyle w:val="AdditionalTopicsSectionHeadings"/>
        <w:spacing w:line="240" w:lineRule="auto"/>
      </w:pPr>
      <w:r>
        <w:lastRenderedPageBreak/>
        <w:t>Bankruptcy (Generally)</w:t>
      </w:r>
    </w:p>
    <w:p w14:paraId="6612ADEB" w14:textId="77777777" w:rsidR="00655396" w:rsidRDefault="00655396" w:rsidP="008B512B">
      <w:pPr>
        <w:pStyle w:val="BodyText"/>
        <w:spacing w:line="240" w:lineRule="auto"/>
      </w:pPr>
    </w:p>
    <w:p w14:paraId="75A709D4" w14:textId="2F617DD9" w:rsidR="00655396" w:rsidRDefault="00655396" w:rsidP="008B512B">
      <w:pPr>
        <w:pStyle w:val="BodyText"/>
        <w:spacing w:line="240" w:lineRule="auto"/>
      </w:pPr>
      <w:r>
        <w:tab/>
        <w:t>Under the majority view, payments based upon noncompetition covenants are not excluded as earnings for post-petition services performed under Chapter 7 of the Bankruptcy Code.</w:t>
      </w:r>
      <w:r w:rsidR="00FB1D09">
        <w:t xml:space="preserve"> </w:t>
      </w:r>
      <w:r>
        <w:rPr>
          <w:i/>
          <w:iCs/>
        </w:rPr>
        <w:t>In re Jokiel</w:t>
      </w:r>
      <w:r>
        <w:t xml:space="preserve">, 447 B.R. 868, 873 (Bankr. N.D. Ill. 2011) (dictum; citing </w:t>
      </w:r>
      <w:r>
        <w:rPr>
          <w:i/>
          <w:iCs/>
        </w:rPr>
        <w:t>In re Laspina</w:t>
      </w:r>
      <w:r>
        <w:t>, 304 B.R. 814 (Bankr. S.D. Ohio 2004) (collecting cases)).</w:t>
      </w:r>
    </w:p>
    <w:p w14:paraId="2430F4B7" w14:textId="77777777" w:rsidR="00655396" w:rsidRDefault="00655396" w:rsidP="008B512B">
      <w:pPr>
        <w:pStyle w:val="BodyText"/>
        <w:spacing w:line="240" w:lineRule="auto"/>
      </w:pPr>
    </w:p>
    <w:p w14:paraId="0528DD23" w14:textId="4D9C28C7" w:rsidR="00655396" w:rsidRDefault="00655396" w:rsidP="008B512B">
      <w:pPr>
        <w:pStyle w:val="BodyText"/>
        <w:spacing w:line="240" w:lineRule="auto"/>
      </w:pPr>
      <w:r>
        <w:tab/>
        <w:t xml:space="preserve">• </w:t>
      </w:r>
      <w:r>
        <w:rPr>
          <w:i/>
          <w:iCs/>
        </w:rPr>
        <w:t>Fraudulent transfers</w:t>
      </w:r>
      <w:r>
        <w:t>.</w:t>
      </w:r>
      <w:r w:rsidR="00FB1D09">
        <w:t xml:space="preserve"> </w:t>
      </w:r>
      <w:r>
        <w:rPr>
          <w:i/>
          <w:iCs/>
        </w:rPr>
        <w:t>See</w:t>
      </w:r>
      <w:r>
        <w:t xml:space="preserve"> Michael L. Cook, Alesia Ranney-Marinelli &amp; Kayalyn A. Marafioti, </w:t>
      </w:r>
      <w:r>
        <w:rPr>
          <w:i/>
          <w:iCs/>
        </w:rPr>
        <w:t>Fraudulent Transfers</w:t>
      </w:r>
      <w:r>
        <w:t>, available in</w:t>
      </w:r>
      <w:r>
        <w:rPr>
          <w:smallCaps/>
        </w:rPr>
        <w:t xml:space="preserve"> 25th Annual Current Developments in Bankruptcy &amp; Reorganization</w:t>
      </w:r>
      <w:r>
        <w:t xml:space="preserve"> at 659 (PLI, Commercial Law and Practice Course Handbook Series, April 2003) (citing, </w:t>
      </w:r>
      <w:r>
        <w:rPr>
          <w:i/>
          <w:iCs/>
        </w:rPr>
        <w:t>id.</w:t>
      </w:r>
      <w:r>
        <w:t xml:space="preserve"> at 666,</w:t>
      </w:r>
      <w:r w:rsidR="00FB1D09">
        <w:t xml:space="preserve"> </w:t>
      </w:r>
      <w:r>
        <w:t xml:space="preserve">as an example of fraudulent transfers in the bankruptcy context, </w:t>
      </w:r>
      <w:r>
        <w:rPr>
          <w:i/>
          <w:iCs/>
        </w:rPr>
        <w:t>Limperis v. Kolacny (In re Chicago Music Corp.)</w:t>
      </w:r>
      <w:r>
        <w:t>, 36 B.R. 626 (Bankr. N.D. Ill. 1984) (debtor paid $55,000 to outgoing president for purported noncompetition covenant)).</w:t>
      </w:r>
    </w:p>
    <w:p w14:paraId="0BB8343A" w14:textId="77777777" w:rsidR="00655396" w:rsidRDefault="00655396" w:rsidP="008B512B">
      <w:pPr>
        <w:pStyle w:val="BodyText"/>
        <w:spacing w:line="240" w:lineRule="auto"/>
      </w:pPr>
    </w:p>
    <w:p w14:paraId="34B84480" w14:textId="77777777" w:rsidR="00655396" w:rsidRDefault="00655396" w:rsidP="008B512B">
      <w:pPr>
        <w:pStyle w:val="BodyText"/>
        <w:spacing w:line="240" w:lineRule="auto"/>
      </w:pPr>
      <w:r>
        <w:tab/>
        <w:t xml:space="preserve">• </w:t>
      </w:r>
      <w:r>
        <w:rPr>
          <w:i/>
          <w:iCs/>
        </w:rPr>
        <w:t>Executory nature (or not) of covenant</w:t>
      </w:r>
      <w:r>
        <w:t xml:space="preserve">. As to the determination of the materiality of noncompetition or nonsolicitation covenants (and their breach) under Illinois law for purposes of determining the executory nature of such agreements under federal bankruptcy law, 11 U.S.C. §365, see </w:t>
      </w:r>
      <w:r>
        <w:rPr>
          <w:i/>
          <w:iCs/>
        </w:rPr>
        <w:t>In re Rupari Holding Corp</w:t>
      </w:r>
      <w:r>
        <w:t>., 2017 BL 430977, at *5 (Bankr. D. Del. Nov. 28, 2017).</w:t>
      </w:r>
    </w:p>
    <w:p w14:paraId="1C28BB84" w14:textId="77777777" w:rsidR="00655396" w:rsidRDefault="00655396" w:rsidP="008B512B">
      <w:pPr>
        <w:pStyle w:val="AdditionalTopicsSectionHeadings"/>
        <w:spacing w:line="240" w:lineRule="auto"/>
      </w:pPr>
    </w:p>
    <w:p w14:paraId="61AE88B3" w14:textId="77777777" w:rsidR="00655396" w:rsidRDefault="00655396" w:rsidP="008B512B">
      <w:pPr>
        <w:pStyle w:val="AdditionalTopicsSectionHeadings"/>
        <w:spacing w:line="240" w:lineRule="auto"/>
      </w:pPr>
      <w:r>
        <w:t>Bona Fide Retirement Plan</w:t>
      </w:r>
    </w:p>
    <w:p w14:paraId="7FBF1B62" w14:textId="77777777" w:rsidR="00655396" w:rsidRDefault="00655396" w:rsidP="008B512B">
      <w:pPr>
        <w:pStyle w:val="BodyText"/>
        <w:spacing w:line="240" w:lineRule="auto"/>
      </w:pPr>
    </w:p>
    <w:p w14:paraId="618A6F11" w14:textId="633A6B9F" w:rsidR="00655396" w:rsidRDefault="00655396" w:rsidP="008B512B">
      <w:pPr>
        <w:pStyle w:val="BodyText"/>
        <w:spacing w:line="240" w:lineRule="auto"/>
      </w:pPr>
      <w:r>
        <w:tab/>
        <w:t>A provision in a law firm partnership agreement that conditions the payment of retirement benefits on actual retirement from the practice of law is not unenforceable as against public policy where the retirement provision does not merely categorize a lawyer’s departure as “retirement” solely to limit his or her right to practice law but, instead, defines retirement for the purpose of receiving future benefits.</w:t>
      </w:r>
      <w:r w:rsidR="00FB1D09">
        <w:t xml:space="preserve"> </w:t>
      </w:r>
      <w:r>
        <w:rPr>
          <w:i/>
          <w:iCs/>
        </w:rPr>
        <w:t>Hoff v. Mayer, Brown &amp; Platt</w:t>
      </w:r>
      <w:r>
        <w:t>, 331 Ill. App. 3d 732, 736–40, 265 Ill. Dec. 225, 229–32, 772 N.E.2d 263, 267–70 (1st Dist. 2002) (holding enforceable law firm employment agreement conditioning payment of retirement benefits on cessation of the practice of law if a partner was younger than age 65</w:t>
      </w:r>
      <w:r w:rsidR="00D47546">
        <w:t xml:space="preserve">; </w:t>
      </w:r>
      <w:r>
        <w:t xml:space="preserve">relying on </w:t>
      </w:r>
      <w:r>
        <w:rPr>
          <w:i/>
          <w:iCs/>
        </w:rPr>
        <w:t>Neuman v. Akman</w:t>
      </w:r>
      <w:r>
        <w:t xml:space="preserve">, 715 A.2d 127, 136 (D.C. 1998) (holding </w:t>
      </w:r>
      <w:r>
        <w:lastRenderedPageBreak/>
        <w:t>enforceable provisions denying lawyer additional amount linked to future earnings of firm if lawyer retired and continued to practice law; reasoning that amount would come directly from firm profits that post-date lawyer’s departure)</w:t>
      </w:r>
      <w:r w:rsidR="00D47546">
        <w:t xml:space="preserve">; </w:t>
      </w:r>
      <w:r>
        <w:rPr>
          <w:i/>
          <w:iCs/>
        </w:rPr>
        <w:t>Donnelly v. Brown, Winick, Graves, Baskerville, Schoenebaum, &amp; Walker, P.L.C.</w:t>
      </w:r>
      <w:r>
        <w:t>, 599 N.W.2d 677, 680 (Iowa 1999) (holding that firm’s retirement plan, requiring 10 years of service and 60 years of age, or 25 years of service, qualified as bona fide retirement plan and, therefore, provision conditioning payment of retirement benefits on termination of practice of law was valid)</w:t>
      </w:r>
      <w:r w:rsidR="00D47546">
        <w:t xml:space="preserve">; </w:t>
      </w:r>
      <w:r>
        <w:rPr>
          <w:i/>
          <w:iCs/>
        </w:rPr>
        <w:t>Cohen v. Lord, Day &amp; Lord</w:t>
      </w:r>
      <w:r>
        <w:t>, 75 N.Y.2d 95, 100, 551 N.Y.S.2d 157, 550 N.E.2d 410, 412 (1989) (holding that law firm agreement conditioning payment of earned but uncollected revenues upon withdrawing partner’s cessation of practice of law was unenforceable as penalty and, therefore, impermissible restriction on the practice of law)</w:t>
      </w:r>
      <w:r w:rsidR="00D47546">
        <w:t xml:space="preserve">; </w:t>
      </w:r>
      <w:r>
        <w:rPr>
          <w:i/>
          <w:iCs/>
        </w:rPr>
        <w:t>Gray v. Martin</w:t>
      </w:r>
      <w:r>
        <w:t>, 63 Or. App. 173, 179, 663 P.2d 1285, 1290 (1983) (holding that partnership agreement requiring forfeiture of financial benefits if withdrawing partner continued to practice law, which agreement did not differentiate between retiring and withdrawing partners, was unenforceable)).</w:t>
      </w:r>
    </w:p>
    <w:p w14:paraId="16D3D1BE" w14:textId="77777777" w:rsidR="00655396" w:rsidRDefault="00655396" w:rsidP="008B512B">
      <w:pPr>
        <w:pStyle w:val="BodyText"/>
        <w:spacing w:line="240" w:lineRule="auto"/>
      </w:pPr>
    </w:p>
    <w:p w14:paraId="57223572" w14:textId="77777777" w:rsidR="00655396" w:rsidRDefault="00655396" w:rsidP="008B512B">
      <w:pPr>
        <w:pStyle w:val="AdditionalTopicsSectionHeadings"/>
        <w:spacing w:line="240" w:lineRule="auto"/>
      </w:pPr>
      <w:r>
        <w:t>Breach of Contract as Affirmative Defense</w:t>
      </w:r>
    </w:p>
    <w:p w14:paraId="566944EF" w14:textId="77777777" w:rsidR="00655396" w:rsidRDefault="00655396" w:rsidP="008B512B">
      <w:pPr>
        <w:pStyle w:val="BodyText"/>
        <w:spacing w:line="240" w:lineRule="auto"/>
      </w:pPr>
    </w:p>
    <w:p w14:paraId="1F865B98" w14:textId="39CD9FD1" w:rsidR="00655396" w:rsidRDefault="00655396" w:rsidP="008B512B">
      <w:pPr>
        <w:pStyle w:val="BodyText"/>
        <w:spacing w:line="240" w:lineRule="auto"/>
      </w:pPr>
      <w:r>
        <w:tab/>
        <w:t>A breach of a partnership agreement “can operate to discharge the duties of a covenant not to compete where the breach is material.”</w:t>
      </w:r>
      <w:r w:rsidR="00FB1D09">
        <w:t xml:space="preserve"> </w:t>
      </w:r>
      <w:r>
        <w:rPr>
          <w:i/>
          <w:iCs/>
        </w:rPr>
        <w:t>Galesburg Clinic Ass’n v. West</w:t>
      </w:r>
      <w:r>
        <w:t>, 302 Ill. App. 3d 1016, 1018, 706 N.E.2d 1035, 1036–37 (3d Dist. 1999) (citing</w:t>
      </w:r>
      <w:r>
        <w:rPr>
          <w:i/>
          <w:iCs/>
        </w:rPr>
        <w:t xml:space="preserve"> Wyatt v. Dishong</w:t>
      </w:r>
      <w:r>
        <w:t>, 127 Ill. App. 3d 716, 720, 83 Ill. Dec. 1, 469 N.E.2d 608, 611 (5th Dist. 1984)).</w:t>
      </w:r>
      <w:r w:rsidR="00FB1D09">
        <w:t xml:space="preserve"> </w:t>
      </w:r>
      <w:r>
        <w:t>In such situations, the test for materiality “is whether the breach is of such a nature and of such importance that, if anticipated in advance, the contract would not have been entered into.”</w:t>
      </w:r>
      <w:r w:rsidR="00FB1D09">
        <w:t xml:space="preserve"> </w:t>
      </w:r>
      <w:r>
        <w:rPr>
          <w:i/>
          <w:iCs/>
        </w:rPr>
        <w:t>Id.</w:t>
      </w:r>
      <w:r>
        <w:t xml:space="preserve">, 706 N.E.2d at 1037 (citing </w:t>
      </w:r>
      <w:r>
        <w:rPr>
          <w:i/>
          <w:iCs/>
        </w:rPr>
        <w:t>Trapkus v. Edstrom’s, Inc.</w:t>
      </w:r>
      <w:r>
        <w:t>, 140 Ill. App. 3d 720, 725, 95 Ill. Dec. 119, 489 N.E.2d 340, 345 (1986)).</w:t>
      </w:r>
    </w:p>
    <w:p w14:paraId="007496BC" w14:textId="77777777" w:rsidR="00655396" w:rsidRDefault="00655396" w:rsidP="008B512B">
      <w:pPr>
        <w:pStyle w:val="BodyText"/>
        <w:spacing w:line="240" w:lineRule="auto"/>
      </w:pPr>
      <w:r>
        <w:tab/>
        <w:t>En route to finding that the circuit court had acted within its sound discretion when it found that a secret meeting of a partnership’s executive committee and votes taken therein, “all in contravention of the partnership agreement, were material breaches that discharged the defendants’ obligations under the covenant not to compete” (</w:t>
      </w:r>
      <w:r>
        <w:rPr>
          <w:i/>
          <w:iCs/>
        </w:rPr>
        <w:t>id</w:t>
      </w:r>
      <w:r>
        <w:t xml:space="preserve">. at 1020, 706 N.E.2d at 1038), the court of appeals in </w:t>
      </w:r>
      <w:r>
        <w:rPr>
          <w:i/>
          <w:iCs/>
        </w:rPr>
        <w:t>Galesburg</w:t>
      </w:r>
      <w:r>
        <w:t xml:space="preserve"> observed:</w:t>
      </w:r>
    </w:p>
    <w:p w14:paraId="13C76CD6" w14:textId="77777777" w:rsidR="00655396" w:rsidRDefault="00655396" w:rsidP="008B512B">
      <w:pPr>
        <w:pStyle w:val="BodyText"/>
        <w:spacing w:line="240" w:lineRule="auto"/>
      </w:pPr>
    </w:p>
    <w:p w14:paraId="64A70C9B" w14:textId="77777777" w:rsidR="00655396" w:rsidRPr="00655396" w:rsidRDefault="00655396" w:rsidP="008B512B">
      <w:pPr>
        <w:pStyle w:val="BQ"/>
        <w:spacing w:line="240" w:lineRule="auto"/>
        <w:rPr>
          <w:b/>
        </w:rPr>
      </w:pPr>
      <w:r w:rsidRPr="00655396">
        <w:t xml:space="preserve">Here, article X of the agreement provides: </w:t>
      </w:r>
    </w:p>
    <w:p w14:paraId="779B8ADB" w14:textId="62B8FA8E" w:rsidR="00655396" w:rsidRPr="00655396" w:rsidRDefault="00655396" w:rsidP="008B512B">
      <w:pPr>
        <w:pStyle w:val="BQ2"/>
        <w:spacing w:line="240" w:lineRule="auto"/>
        <w:rPr>
          <w:b/>
        </w:rPr>
      </w:pPr>
      <w:r w:rsidRPr="00655396">
        <w:t>“Conduct of Business</w:t>
      </w:r>
      <w:r w:rsidR="00D47546">
        <w:t xml:space="preserve">: </w:t>
      </w:r>
      <w:r w:rsidRPr="00655396">
        <w:t>The business and affairs of the association shall be managed, controlled and governed by an Executive Committee which shall determine all questions of policy and shall exercise direction and control over the associates as employees of the association.</w:t>
      </w:r>
      <w:r w:rsidR="00FB1D09">
        <w:t xml:space="preserve"> </w:t>
      </w:r>
      <w:r w:rsidRPr="00655396">
        <w:t>*</w:t>
      </w:r>
      <w:r w:rsidRPr="00655396">
        <w:rPr>
          <w:rFonts w:ascii="Times New Roman" w:hAnsi="Times New Roman" w:cs="Times New Roman"/>
        </w:rPr>
        <w:t> </w:t>
      </w:r>
      <w:r w:rsidRPr="00655396">
        <w:t>*</w:t>
      </w:r>
      <w:r w:rsidRPr="00655396">
        <w:rPr>
          <w:rFonts w:ascii="Times New Roman" w:hAnsi="Times New Roman" w:cs="Times New Roman"/>
        </w:rPr>
        <w:t> </w:t>
      </w:r>
      <w:r w:rsidRPr="00655396">
        <w:t>* The Executive Committee shall be composed of five associates elected by *</w:t>
      </w:r>
      <w:r w:rsidRPr="00655396">
        <w:rPr>
          <w:rFonts w:ascii="Times New Roman" w:hAnsi="Times New Roman" w:cs="Times New Roman"/>
        </w:rPr>
        <w:t> </w:t>
      </w:r>
      <w:r w:rsidRPr="00655396">
        <w:t>*</w:t>
      </w:r>
      <w:r w:rsidRPr="00655396">
        <w:rPr>
          <w:rFonts w:ascii="Times New Roman" w:hAnsi="Times New Roman" w:cs="Times New Roman"/>
        </w:rPr>
        <w:t> </w:t>
      </w:r>
      <w:r w:rsidRPr="00655396">
        <w:t>* ballot.</w:t>
      </w:r>
      <w:r w:rsidR="00FB1D09">
        <w:t xml:space="preserve"> </w:t>
      </w:r>
      <w:r w:rsidRPr="00655396">
        <w:t>*</w:t>
      </w:r>
      <w:r w:rsidRPr="00655396">
        <w:rPr>
          <w:rFonts w:ascii="Times New Roman" w:hAnsi="Times New Roman" w:cs="Times New Roman"/>
        </w:rPr>
        <w:t> </w:t>
      </w:r>
      <w:r w:rsidRPr="00655396">
        <w:t>*</w:t>
      </w:r>
      <w:r w:rsidRPr="00655396">
        <w:rPr>
          <w:rFonts w:ascii="Times New Roman" w:hAnsi="Times New Roman" w:cs="Times New Roman"/>
        </w:rPr>
        <w:t> </w:t>
      </w:r>
      <w:r w:rsidRPr="00655396">
        <w:t>* A majority of the members of the Executive Committee shall constitute a quorum for the transaction of business at any meeting of said committee.</w:t>
      </w:r>
      <w:r w:rsidR="00FB1D09">
        <w:t xml:space="preserve"> </w:t>
      </w:r>
      <w:r w:rsidRPr="00655396">
        <w:t>A majority vote of the entire membership of the committee shall be required to constitute action of the committee which shall be binding upon the association.</w:t>
      </w:r>
      <w:r w:rsidR="00FB1D09">
        <w:t xml:space="preserve"> </w:t>
      </w:r>
      <w:r w:rsidRPr="00655396">
        <w:t>*</w:t>
      </w:r>
      <w:r w:rsidRPr="00655396">
        <w:rPr>
          <w:rFonts w:ascii="Times New Roman" w:hAnsi="Times New Roman" w:cs="Times New Roman"/>
        </w:rPr>
        <w:t> </w:t>
      </w:r>
      <w:r w:rsidRPr="00655396">
        <w:t>*</w:t>
      </w:r>
      <w:r w:rsidRPr="00655396">
        <w:rPr>
          <w:rFonts w:ascii="Times New Roman" w:hAnsi="Times New Roman" w:cs="Times New Roman"/>
        </w:rPr>
        <w:t> </w:t>
      </w:r>
      <w:r w:rsidRPr="00655396">
        <w:t>* Regular meetings of the Executive Committee shall be held in the offices of the association at 7:30 o’clock P.M. on the third Tuesday of each month, or at a time and place determined by a majority of the Executive Committee.”</w:t>
      </w:r>
    </w:p>
    <w:p w14:paraId="252AF556" w14:textId="24B845EC" w:rsidR="00655396" w:rsidRPr="00655396" w:rsidRDefault="00655396" w:rsidP="008B512B">
      <w:pPr>
        <w:pStyle w:val="BQ"/>
        <w:spacing w:line="240" w:lineRule="auto"/>
        <w:rPr>
          <w:b/>
        </w:rPr>
      </w:pPr>
      <w:r w:rsidRPr="00655396">
        <w:tab/>
        <w:t>The circuit court found that article X was materially breached when</w:t>
      </w:r>
      <w:r w:rsidR="00D47546">
        <w:t>:</w:t>
      </w:r>
      <w:r w:rsidR="00FB1D09">
        <w:t xml:space="preserve"> </w:t>
      </w:r>
      <w:r w:rsidRPr="00655396">
        <w:t>(1) three members of the executive committee conducted secret meetings</w:t>
      </w:r>
      <w:r w:rsidR="00D47546">
        <w:t xml:space="preserve">; </w:t>
      </w:r>
      <w:r w:rsidRPr="00655396">
        <w:t>(2) the executive committee did not meet or vote on whether to fire the plaintiff’s chief executive officer, June Brackett</w:t>
      </w:r>
      <w:r w:rsidR="00D47546">
        <w:t xml:space="preserve">; </w:t>
      </w:r>
      <w:r w:rsidRPr="00655396">
        <w:t>(3) the executive committee did not approve the hiring of accountant John Michael Clay</w:t>
      </w:r>
      <w:r w:rsidR="00D47546">
        <w:t xml:space="preserve">; </w:t>
      </w:r>
      <w:r w:rsidRPr="00655396">
        <w:t>(4) three members of the executive committee voted to compensate Clay for unsubstantiated bills</w:t>
      </w:r>
      <w:r w:rsidR="00D47546">
        <w:t xml:space="preserve">; </w:t>
      </w:r>
      <w:r w:rsidRPr="00655396">
        <w:t>and (5) the plaintiff changed its accounting method from a cash basis to an accrual basis without properly amending the articles.</w:t>
      </w:r>
    </w:p>
    <w:p w14:paraId="7C12AECB" w14:textId="06018835" w:rsidR="00655396" w:rsidRPr="00655396" w:rsidRDefault="00655396" w:rsidP="008B512B">
      <w:pPr>
        <w:pStyle w:val="BQ"/>
        <w:spacing w:line="240" w:lineRule="auto"/>
        <w:rPr>
          <w:b/>
        </w:rPr>
      </w:pPr>
      <w:r w:rsidRPr="00655396">
        <w:tab/>
        <w:t>All that remains, then, is the propriety of the circuit court’s ruling that these breaches were material.</w:t>
      </w:r>
      <w:r w:rsidR="00FB1D09">
        <w:t xml:space="preserve"> </w:t>
      </w:r>
      <w:r w:rsidRPr="00655396">
        <w:t>The defendants testified that they relied on the articles of agreement when they joined the partnership, they expected that the terms thereof would be complied with to protect their interests, and they would not have joined the partnership without such articles.</w:t>
      </w:r>
      <w:r w:rsidR="00FB1D09">
        <w:t xml:space="preserve"> </w:t>
      </w:r>
      <w:r w:rsidRPr="00655396">
        <w:t>We agree with the circuit court that the secret meetings of the executive committee and the votes taken therein directly contradict article X and therefore were material breaches such that the defendants’ obligations under the covenant not to compete clause were discharged.</w:t>
      </w:r>
    </w:p>
    <w:p w14:paraId="73C897AE" w14:textId="77777777" w:rsidR="00655396" w:rsidRDefault="00655396" w:rsidP="008B512B">
      <w:pPr>
        <w:pStyle w:val="BodyText"/>
        <w:spacing w:line="240" w:lineRule="auto"/>
      </w:pPr>
    </w:p>
    <w:p w14:paraId="716FEAD0" w14:textId="77777777" w:rsidR="00655396" w:rsidRDefault="00655396" w:rsidP="008B512B">
      <w:pPr>
        <w:pStyle w:val="BodyText"/>
        <w:spacing w:line="240" w:lineRule="auto"/>
      </w:pPr>
      <w:r>
        <w:rPr>
          <w:i/>
          <w:iCs/>
        </w:rPr>
        <w:t>Id</w:t>
      </w:r>
      <w:r>
        <w:t>. at 1018–19, 706 N.E.2d at 1037.</w:t>
      </w:r>
    </w:p>
    <w:p w14:paraId="6D903076" w14:textId="77777777" w:rsidR="00655396" w:rsidRDefault="00655396" w:rsidP="008B512B">
      <w:pPr>
        <w:pStyle w:val="BodyText"/>
        <w:spacing w:line="240" w:lineRule="auto"/>
      </w:pPr>
    </w:p>
    <w:p w14:paraId="4FA0054B" w14:textId="77777777" w:rsidR="00655396" w:rsidRDefault="00655396" w:rsidP="008B512B">
      <w:pPr>
        <w:pStyle w:val="AdditionalTopicsSectionHeadings"/>
        <w:spacing w:line="240" w:lineRule="auto"/>
      </w:pPr>
      <w:r>
        <w:t>Case-by-Case Analysis</w:t>
      </w:r>
    </w:p>
    <w:p w14:paraId="48F7F3C6" w14:textId="77777777" w:rsidR="00655396" w:rsidRDefault="00655396" w:rsidP="008B512B">
      <w:pPr>
        <w:pStyle w:val="BodyText"/>
        <w:spacing w:line="240" w:lineRule="auto"/>
      </w:pPr>
    </w:p>
    <w:p w14:paraId="6B4FD17D" w14:textId="4447BD33" w:rsidR="00655396" w:rsidRDefault="00655396" w:rsidP="008B512B">
      <w:pPr>
        <w:pStyle w:val="BodyText"/>
        <w:spacing w:line="240" w:lineRule="auto"/>
      </w:pPr>
      <w:r>
        <w:lastRenderedPageBreak/>
        <w:tab/>
        <w:t>The reasonableness of a covenant not to compete under Illinois law “cannot be determined in the abstract … and it necessarily depends on the unique facts and circumstances of each case.”</w:t>
      </w:r>
      <w:r w:rsidR="00FB1D09">
        <w:t xml:space="preserve"> </w:t>
      </w:r>
      <w:r>
        <w:rPr>
          <w:i/>
          <w:iCs/>
        </w:rPr>
        <w:t>Integrated Genomics, Inc. v. Kyrpides</w:t>
      </w:r>
      <w:r>
        <w:t xml:space="preserve">, 2008 U.S. Dist. LEXIS 16838, at *19 (N.D. Ill. Mar. 4, 2008) (ruling, </w:t>
      </w:r>
      <w:r>
        <w:rPr>
          <w:i/>
          <w:iCs/>
        </w:rPr>
        <w:t xml:space="preserve">id. </w:t>
      </w:r>
      <w:r>
        <w:t>at *21–22,</w:t>
      </w:r>
      <w:r w:rsidR="00FB1D09">
        <w:t xml:space="preserve"> </w:t>
      </w:r>
      <w:r>
        <w:t>it inappropriate to determine, on a motion to dismiss, the reasonableness of a postemployment noncompetition covenant where, as here, the court has no information thus far regarding the number and size of rivals that compete with the former employer, the general size of the relevant industry, the existence of other jobs in the former employee’s field of expertise, or the nature of the relationships between the former employer and its clients).</w:t>
      </w:r>
      <w:r w:rsidR="00FB1D09">
        <w:t xml:space="preserve"> </w:t>
      </w:r>
      <w:r>
        <w:rPr>
          <w:i/>
          <w:iCs/>
        </w:rPr>
        <w:t>See Bishop v. Lakeland Animal Hosp., P.C.</w:t>
      </w:r>
      <w:r>
        <w:t xml:space="preserve">, 268 Ill. App. 3d 114, 644 N.E.2d 33, 35–36 (1994) (cited, along with another case, in </w:t>
      </w:r>
      <w:r>
        <w:rPr>
          <w:i/>
          <w:iCs/>
        </w:rPr>
        <w:t>Videojet Techs., Inc. v. Garcia</w:t>
      </w:r>
      <w:r>
        <w:t>, 2008 U.S. Dist. LEXIS 46045, at *14 (M.D. Fla. June 12, 2008) (applying Illinois substantive law), for the principle that the determination of the reasonableness of any particular covenant not to compete necessarily depends, under Illinois law, on the unique facts and circumstances of the case)</w:t>
      </w:r>
      <w:r w:rsidR="00D47546">
        <w:t xml:space="preserve">; </w:t>
      </w:r>
      <w:r>
        <w:rPr>
          <w:i/>
          <w:iCs/>
        </w:rPr>
        <w:t>Liautaud v. Liautaud</w:t>
      </w:r>
      <w:r>
        <w:t xml:space="preserve">, 221 F.3d 981, 987 (7th Cir. 2000) (stating that, under Illinois law, the question “whether the scope of [any particular] noncompetition agreement is reasonable [is determined on the basis of] the facts and circumstances of the particular case,” citing </w:t>
      </w:r>
      <w:r>
        <w:rPr>
          <w:i/>
          <w:iCs/>
        </w:rPr>
        <w:t>Eichmann v. National Hosp. &amp; Health Care Servs., Inc.</w:t>
      </w:r>
      <w:r>
        <w:t xml:space="preserve">, 308 Ill. App. 3d 337, 241 Ill. Dec. 738, 719 N.E.2d 1141, 1143 (1999); </w:t>
      </w:r>
      <w:r>
        <w:rPr>
          <w:i/>
          <w:iCs/>
        </w:rPr>
        <w:t>Lawrence &amp; Allen, Inc. v. Cambridge Human Res. Grp., Inc.</w:t>
      </w:r>
      <w:r>
        <w:t xml:space="preserve">, 292 Ill. App. 3d 131, 226 Ill. Dec. 331, 685 N.E.2d 434, 441 (1997); </w:t>
      </w:r>
      <w:r>
        <w:rPr>
          <w:i/>
          <w:iCs/>
        </w:rPr>
        <w:t>Weitekamp v. Lane</w:t>
      </w:r>
      <w:r>
        <w:t>, 250 Ill. App. 3d 1017, 189 Ill. Dec. 486, 620 N.E.2d 454, 462 (1993)).</w:t>
      </w:r>
    </w:p>
    <w:p w14:paraId="70248B17" w14:textId="77777777" w:rsidR="00655396" w:rsidRDefault="00655396" w:rsidP="008B512B">
      <w:pPr>
        <w:pStyle w:val="BodyText"/>
        <w:spacing w:line="240" w:lineRule="auto"/>
      </w:pPr>
    </w:p>
    <w:p w14:paraId="44F8D3BD" w14:textId="77777777" w:rsidR="00655396" w:rsidRDefault="00655396" w:rsidP="008B512B">
      <w:pPr>
        <w:pStyle w:val="AdditionalTopicsSectionHeadings"/>
        <w:spacing w:line="240" w:lineRule="auto"/>
      </w:pPr>
      <w:r>
        <w:t>Characterization as a Covenant or Not</w:t>
      </w:r>
    </w:p>
    <w:p w14:paraId="18DFC02C" w14:textId="77777777" w:rsidR="00655396" w:rsidRDefault="00655396" w:rsidP="008B512B">
      <w:pPr>
        <w:pStyle w:val="BodyText"/>
        <w:spacing w:line="240" w:lineRule="auto"/>
      </w:pPr>
    </w:p>
    <w:p w14:paraId="5ADC0889" w14:textId="0A33BBC9" w:rsidR="00655396" w:rsidRDefault="00655396" w:rsidP="008B512B">
      <w:pPr>
        <w:pStyle w:val="BodyText"/>
        <w:spacing w:line="240" w:lineRule="auto"/>
      </w:pPr>
      <w:r>
        <w:tab/>
        <w:t xml:space="preserve">• </w:t>
      </w:r>
      <w:r>
        <w:rPr>
          <w:i/>
          <w:iCs/>
        </w:rPr>
        <w:t>Anti-raiding provisions</w:t>
      </w:r>
      <w:r>
        <w:t xml:space="preserve">. The court in </w:t>
      </w:r>
      <w:r>
        <w:rPr>
          <w:i/>
          <w:iCs/>
        </w:rPr>
        <w:t>H&amp;M Commercial Driver Leasing, Inc. v. Fox Valley Containers, Inc</w:t>
      </w:r>
      <w:r>
        <w:t>., 209 Ill. 2d 52, 805 N.E.2d 1177 (2004), addressed the question whether a contractual provision prohibiting one party from hiring any truck drivers and other personnel furnished to it by another party for a period of 1 year from the termination of the agreement constitutes a covenant not to compete under Illinois law.</w:t>
      </w:r>
      <w:r w:rsidR="00FB1D09">
        <w:t xml:space="preserve"> </w:t>
      </w:r>
      <w:r>
        <w:t xml:space="preserve">The majority found the provision at issue simply restricted a customer’s ability to hire employees of its supplier </w:t>
      </w:r>
      <w:r>
        <w:lastRenderedPageBreak/>
        <w:t>of drivers</w:t>
      </w:r>
      <w:r w:rsidR="00D47546">
        <w:t xml:space="preserve">; </w:t>
      </w:r>
      <w:r>
        <w:t>according to the court, it was simply a contract provision to be analyzed in terms of whether it acted as a restraint of trade.</w:t>
      </w:r>
      <w:r w:rsidR="00FB1D09">
        <w:t xml:space="preserve"> </w:t>
      </w:r>
      <w:r>
        <w:rPr>
          <w:i/>
          <w:iCs/>
        </w:rPr>
        <w:t>Id</w:t>
      </w:r>
      <w:r>
        <w:t>., 209 Ill. 2d at 63.</w:t>
      </w:r>
      <w:r w:rsidR="00CD7A12">
        <w:t xml:space="preserve"> </w:t>
      </w:r>
      <w:r>
        <w:t>The court found the restriction was reasonable and enforceable because it protected H&amp;M’s sole business asset, its drivers, from being hired away by its customers.</w:t>
      </w:r>
      <w:r w:rsidR="00FB1D09">
        <w:t xml:space="preserve"> </w:t>
      </w:r>
      <w:r>
        <w:t>“If customers could hire H&amp;M’s drivers on a permanent basis, then they would no longer need H&amp;M’s services.”</w:t>
      </w:r>
      <w:r w:rsidR="00FB1D09">
        <w:t xml:space="preserve"> </w:t>
      </w:r>
      <w:r>
        <w:rPr>
          <w:i/>
          <w:iCs/>
        </w:rPr>
        <w:t>Id</w:t>
      </w:r>
      <w:r>
        <w:t>. at 64.</w:t>
      </w:r>
      <w:r w:rsidR="00FB1D09">
        <w:t xml:space="preserve"> </w:t>
      </w:r>
      <w:r>
        <w:t>The dissent, however, likened the provision to a restrictive covenant, which would require the time limit and geographic scope of the restriction to be reasonable, that trade secrets or confidential information be involved, and that the restriction be reasonably necessary for the protection of a legitimate business interest.</w:t>
      </w:r>
      <w:r w:rsidR="00FB1D09">
        <w:t xml:space="preserve"> </w:t>
      </w:r>
      <w:r>
        <w:rPr>
          <w:i/>
          <w:iCs/>
        </w:rPr>
        <w:t>Id</w:t>
      </w:r>
      <w:r>
        <w:t>. at 69 (Rarick, J., dissenting).</w:t>
      </w:r>
      <w:r w:rsidR="00FB1D09">
        <w:t xml:space="preserve"> </w:t>
      </w:r>
      <w:r>
        <w:t>The dissent found the drivers to lack the requisite unique characteristics to differentiate them from the general pool of drivers, to lack specialized skill or training from the employer, and not to be in possession of trade secrets, customer lists, or other confidential business information belonging to H&amp;M.</w:t>
      </w:r>
      <w:r w:rsidR="00FB1D09">
        <w:t xml:space="preserve"> </w:t>
      </w:r>
      <w:r>
        <w:rPr>
          <w:i/>
          <w:iCs/>
        </w:rPr>
        <w:t>Id</w:t>
      </w:r>
      <w:r>
        <w:t>. at 70.</w:t>
      </w:r>
    </w:p>
    <w:p w14:paraId="46406495" w14:textId="77777777" w:rsidR="00655396" w:rsidRDefault="00655396" w:rsidP="008B512B">
      <w:pPr>
        <w:pStyle w:val="BodyText"/>
        <w:spacing w:line="240" w:lineRule="auto"/>
      </w:pPr>
    </w:p>
    <w:p w14:paraId="2F5F88CA" w14:textId="61E72F5E" w:rsidR="00655396" w:rsidRDefault="00655396" w:rsidP="008B512B">
      <w:pPr>
        <w:pStyle w:val="BodyText"/>
        <w:spacing w:line="240" w:lineRule="auto"/>
      </w:pPr>
      <w:r>
        <w:tab/>
        <w:t xml:space="preserve">• </w:t>
      </w:r>
      <w:r>
        <w:rPr>
          <w:i/>
          <w:iCs/>
        </w:rPr>
        <w:t>Royalties provision treated as a restrictive covenant</w:t>
      </w:r>
      <w:r>
        <w:t>.</w:t>
      </w:r>
      <w:r w:rsidR="00FB1D09">
        <w:t xml:space="preserve"> </w:t>
      </w:r>
      <w:r>
        <w:t xml:space="preserve">In </w:t>
      </w:r>
      <w:r>
        <w:rPr>
          <w:i/>
          <w:iCs/>
        </w:rPr>
        <w:t>Bires v. WalTom, LLC</w:t>
      </w:r>
      <w:r>
        <w:t>, 662 F. Supp. 2d 1019 (N.D. Ill. 2009), the court determined that a royalties provision in a professional race car driver’s contract, “while not stated expressly as a covenant not to compete, is subject to the same analysis as restrictive covenants under Illinois law.”</w:t>
      </w:r>
      <w:r w:rsidR="00FB1D09">
        <w:t xml:space="preserve"> </w:t>
      </w:r>
      <w:r>
        <w:rPr>
          <w:i/>
          <w:iCs/>
        </w:rPr>
        <w:t>Id.</w:t>
      </w:r>
      <w:r>
        <w:t xml:space="preserve"> at 1030.</w:t>
      </w:r>
      <w:r w:rsidR="00FB1D09">
        <w:t xml:space="preserve"> </w:t>
      </w:r>
      <w:r>
        <w:t>The provision stated that</w:t>
      </w:r>
      <w:r w:rsidR="004E4908">
        <w:t>,</w:t>
      </w:r>
      <w:r>
        <w:t xml:space="preserve"> for a period of 10 years, 25 percent of all “gross monies or other consideration earned or received at any time by or on behalf of Driver as a result of Driver’s activities in and throughout the Racing Industries,” which industries were defined by the underlying agreement as, “without limitation, all aspects of racing, driving, appearances, sponsorships, endorsements, managed investments, entertainment, amusement, music, recording, songwriting, publishing, internet publishing, television, motion picture, nightclub, concert, radio and theatrical industries, and shall include any and all forms of advertising, merchandising, or other exploitations using Driver’s name, photograph, voice, sound effects, likeness, caricatures, talents or materials.”</w:t>
      </w:r>
      <w:r w:rsidR="00FB1D09">
        <w:t xml:space="preserve"> </w:t>
      </w:r>
      <w:r>
        <w:rPr>
          <w:i/>
          <w:iCs/>
        </w:rPr>
        <w:t xml:space="preserve">Id. </w:t>
      </w:r>
      <w:r>
        <w:t>at 1034.</w:t>
      </w:r>
      <w:r w:rsidR="00FB1D09">
        <w:t xml:space="preserve"> </w:t>
      </w:r>
      <w:r>
        <w:t xml:space="preserve">En route to characterizing the provision as a restrictive covenant, the </w:t>
      </w:r>
      <w:r>
        <w:rPr>
          <w:i/>
          <w:iCs/>
        </w:rPr>
        <w:t>Bires</w:t>
      </w:r>
      <w:r>
        <w:t xml:space="preserve"> court pointed out:</w:t>
      </w:r>
    </w:p>
    <w:p w14:paraId="7F0F6CFE" w14:textId="77777777" w:rsidR="00655396" w:rsidRDefault="00655396" w:rsidP="008B512B">
      <w:pPr>
        <w:pStyle w:val="BodyText"/>
        <w:spacing w:line="240" w:lineRule="auto"/>
      </w:pPr>
    </w:p>
    <w:p w14:paraId="0DD554A5" w14:textId="77777777" w:rsidR="00655396" w:rsidRPr="00655396" w:rsidRDefault="00655396" w:rsidP="008B512B">
      <w:pPr>
        <w:pStyle w:val="BQ"/>
        <w:spacing w:line="240" w:lineRule="auto"/>
        <w:rPr>
          <w:b/>
        </w:rPr>
      </w:pPr>
      <w:r w:rsidRPr="00655396">
        <w:tab/>
        <w:t xml:space="preserve">As the Illinois Appellate Court has noted, “[p]ostemployment </w:t>
      </w:r>
      <w:r w:rsidRPr="00655396">
        <w:lastRenderedPageBreak/>
        <w:t xml:space="preserve">restrictive covenants typically involve agreements by a past employee not to compete with the business of her former employer, not to solicit clients or customers of her former employer, and not to disseminate trade secrets of her former employer.” </w:t>
      </w:r>
      <w:r w:rsidRPr="00655396">
        <w:rPr>
          <w:bCs w:val="0"/>
          <w:i/>
          <w:iCs/>
        </w:rPr>
        <w:t>Coady v. Harpo, Inc.,</w:t>
      </w:r>
      <w:r w:rsidRPr="00655396">
        <w:t xml:space="preserve"> 308 Ill. App. 3d 153, 719 N.E.2d 244, 250, 241 Ill. Dec. 383 (Ill. App. Ct. 1999).</w:t>
      </w:r>
    </w:p>
    <w:p w14:paraId="4C1D07E5" w14:textId="77777777" w:rsidR="00655396" w:rsidRPr="00655396" w:rsidRDefault="00655396" w:rsidP="008B512B">
      <w:pPr>
        <w:pStyle w:val="BQ"/>
        <w:spacing w:line="240" w:lineRule="auto"/>
        <w:rPr>
          <w:b/>
        </w:rPr>
      </w:pPr>
      <w:r w:rsidRPr="00655396">
        <w:tab/>
        <w:t xml:space="preserve">However, as noted by one prominent contract treatise, “[w]here, although there is no covenant not to compete, a penalty is provided in case the employee engages in the same business after termination of his employment, the rules applicable to covenants against competition should be applied.” 6 </w:t>
      </w:r>
      <w:r w:rsidRPr="00655396">
        <w:rPr>
          <w:smallCaps/>
        </w:rPr>
        <w:t xml:space="preserve">Williston on Contracts </w:t>
      </w:r>
      <w:r w:rsidRPr="00655396">
        <w:t xml:space="preserve">§13:13. Indeed, [the employee in the instant case, race car driver Bires,] points to cases outside Illinois in support of his contention that the royalties provision should be considered an illegal restraint of trade. For example, in </w:t>
      </w:r>
      <w:r w:rsidRPr="00655396">
        <w:rPr>
          <w:bCs w:val="0"/>
          <w:i/>
          <w:iCs/>
        </w:rPr>
        <w:t>Peat Marwick Main &amp; Co. v. Haass,</w:t>
      </w:r>
      <w:r w:rsidRPr="00655396">
        <w:t xml:space="preserve"> 818 S.W.2d 381, 385–86 (Tex. 1991), the partnership agreement at issue provided that if a partner who terminates or is terminated solicits the former partnership’s clients within 24 months after the termination, the former partner had to pay (1) in full “all fees and expenses, billed or unbilled, due to the Firm as of the date that the Firm learned that the client would be served by the former partner” as well as (2) reimburse the Firm “for all direct costs (out of pocket expense) paid or to be paid by the Firm in connection with the acquisition of such client.</w:t>
      </w:r>
      <w:r w:rsidRPr="00655396">
        <w:rPr>
          <w:rFonts w:ascii="Times New Roman" w:hAnsi="Times New Roman" w:cs="Times New Roman"/>
          <w:sz w:val="24"/>
          <w:szCs w:val="24"/>
        </w:rPr>
        <w:t> </w:t>
      </w:r>
      <w:r w:rsidRPr="00655396">
        <w:t xml:space="preserve">…” </w:t>
      </w:r>
      <w:r w:rsidRPr="00655396">
        <w:rPr>
          <w:bCs w:val="0"/>
          <w:i/>
          <w:iCs/>
        </w:rPr>
        <w:t>Peat Marwick,</w:t>
      </w:r>
      <w:r w:rsidRPr="00655396">
        <w:t xml:space="preserve"> 818 S.W.2d at 383. The court concluded that this provision was subject to the same standards of reasonableness as a restrictive covenant noting in part that “[i]f the damages provided are sufficiently severe, then the economic penalty’s deterrent effect functions as a covenant not to compete as surely as if the agreement expressly stated that the departing member will not compete.” </w:t>
      </w:r>
      <w:r w:rsidRPr="00655396">
        <w:rPr>
          <w:bCs w:val="0"/>
          <w:i/>
          <w:iCs/>
        </w:rPr>
        <w:t>Id</w:t>
      </w:r>
      <w:r w:rsidRPr="00655396">
        <w:t xml:space="preserve">. at 385. </w:t>
      </w:r>
      <w:r w:rsidRPr="00655396">
        <w:rPr>
          <w:bCs w:val="0"/>
          <w:i/>
          <w:iCs/>
        </w:rPr>
        <w:t>See also Leon M. Reimer &amp; Co., P.C. v. Cipolla,</w:t>
      </w:r>
      <w:r w:rsidRPr="00655396">
        <w:t xml:space="preserve"> 929 F. Supp. 154 (S.D.N.Y. 1996) (agreement provision requiring employee to pay his former employer [one and a half] times the employer’s annual gross fees charged to such client in the event that the employee accepted an engagement from the client within two years of his termination was analyzed as a covenant not to compete).</w:t>
      </w:r>
    </w:p>
    <w:p w14:paraId="10C4C0C0" w14:textId="3198458E" w:rsidR="00655396" w:rsidRPr="00655396" w:rsidRDefault="00655396" w:rsidP="008B512B">
      <w:pPr>
        <w:pStyle w:val="BQ"/>
        <w:spacing w:line="240" w:lineRule="auto"/>
        <w:rPr>
          <w:b/>
        </w:rPr>
      </w:pPr>
      <w:r w:rsidRPr="00655396">
        <w:tab/>
        <w:t xml:space="preserve">But would Illinois courts agree? As an initial matter, Illinois “recognize[s], as a general rule, that the right of an individual to follow and pursue a particular occupation for which he is best trained is a fundamental right and that one who has worked in a particular field cannot be compelled to erase from his mind all of the general skills, knowledge and expertise acquired through his experience.” </w:t>
      </w:r>
      <w:r w:rsidRPr="00655396">
        <w:rPr>
          <w:bCs w:val="0"/>
          <w:i/>
          <w:iCs/>
        </w:rPr>
        <w:t>Smith Oil Corp. v. Viking Chemical Co.,</w:t>
      </w:r>
      <w:r w:rsidRPr="00655396">
        <w:t xml:space="preserve"> 127 Ill. App. 3d 423, 468 N.E.2d 797, 800, 82 Ill. Dec. 250 (Ill. App. Ct. 1984) ([not a covenant case;] </w:t>
      </w:r>
      <w:r w:rsidRPr="00655396">
        <w:rPr>
          <w:bCs w:val="0"/>
          <w:i/>
          <w:iCs/>
        </w:rPr>
        <w:t xml:space="preserve">citing </w:t>
      </w:r>
      <w:r w:rsidRPr="00655396">
        <w:rPr>
          <w:bCs w:val="0"/>
          <w:i/>
          <w:iCs/>
        </w:rPr>
        <w:lastRenderedPageBreak/>
        <w:t>ILG Industries, Inc. v. Scott,</w:t>
      </w:r>
      <w:r w:rsidRPr="00655396">
        <w:t xml:space="preserve"> 49 Ill.</w:t>
      </w:r>
      <w:r w:rsidR="00386DE5">
        <w:t xml:space="preserve"> </w:t>
      </w:r>
      <w:r w:rsidRPr="00655396">
        <w:t xml:space="preserve">2d 88, 93, 273 N.E.2d 393 [(1971)]). Moreover, “[g]enerally, an employee whose employment has terminated may not take confidential particularized plans or processes developed by his employer, but may take generalized skills and knowledge acquired during his tenure with the former employer.” </w:t>
      </w:r>
      <w:r w:rsidRPr="00655396">
        <w:rPr>
          <w:bCs w:val="0"/>
          <w:i/>
          <w:iCs/>
        </w:rPr>
        <w:t>Id.</w:t>
      </w:r>
      <w:r w:rsidRPr="00655396">
        <w:t xml:space="preserve"> (citation and internal quotation marks omitted).</w:t>
      </w:r>
      <w:r w:rsidRPr="00655396">
        <w:tab/>
        <w:t>[The former employer in the instant case, race car team WalTom] does not assert that it is attempting to protect confidential information or trade secrets learned by Bires while he was in their employ. Rather, it contends that it wants to reap the benefits of its investment, stating that “the royalties provision is a bargained-for return on WalTom’s investment in Bires.” Response to Bires Motion for Judgment on the Pleadings, Dkt. #101, at 12 (internal quotation marks omitted). The court construes this statement as asserting that because the parties were free to contract, the provision should stand. But the one Illinois case that this court was able to locate that addresses a similar issue (</w:t>
      </w:r>
      <w:r w:rsidRPr="00655396">
        <w:rPr>
          <w:bCs w:val="0"/>
          <w:i/>
          <w:iCs/>
        </w:rPr>
        <w:t>i.e.,</w:t>
      </w:r>
      <w:r w:rsidRPr="00655396">
        <w:t xml:space="preserve"> whether a provision stating that former insurance agent would forfeit renewal premiums of approximately $63,250 if he represented any other life insurance company in Illinois or the surrounding 11-state area), not only concluded that such a provision was a restraint of trade, but in the process rejected the “free to contract” argument. </w:t>
      </w:r>
      <w:r w:rsidRPr="00655396">
        <w:rPr>
          <w:bCs w:val="0"/>
          <w:i/>
          <w:iCs/>
        </w:rPr>
        <w:t>See Johnson v. Country Life Ins. Co.,</w:t>
      </w:r>
      <w:r w:rsidRPr="00655396">
        <w:t xml:space="preserve"> 12 Ill. App. 3d 158, 300 N.E.2d 11, 14 (Ill. App. Ct. 1973). The </w:t>
      </w:r>
      <w:r w:rsidRPr="00655396">
        <w:rPr>
          <w:bCs w:val="0"/>
          <w:i/>
          <w:iCs/>
        </w:rPr>
        <w:t>Johnson</w:t>
      </w:r>
      <w:r w:rsidRPr="00655396">
        <w:t xml:space="preserve"> court stated that:</w:t>
      </w:r>
    </w:p>
    <w:p w14:paraId="67233015" w14:textId="77777777" w:rsidR="00655396" w:rsidRPr="00655396" w:rsidRDefault="00655396" w:rsidP="008B512B">
      <w:pPr>
        <w:pStyle w:val="BQ2"/>
        <w:spacing w:line="240" w:lineRule="auto"/>
        <w:rPr>
          <w:b/>
        </w:rPr>
      </w:pPr>
      <w:r w:rsidRPr="00655396">
        <w:t>The fact that the parties are ‘free to contract’ does not, in and of itself, operate to bestow legitimacy upon each and every provision contained in the instrument. The cases completely prohibiting the employee from pursuit of his occupation for a period of time in a specified area also arise from contract provisions into which the parties were ‘free to enter’. In such cases the courts of this State have not inclined to the view that the freedom and right to contract removes from scrutiny the provisions of the contract when it is charged that they are in restraint of trade.</w:t>
      </w:r>
      <w:r w:rsidRPr="00655396">
        <w:rPr>
          <w:rFonts w:ascii="Times New Roman" w:hAnsi="Times New Roman" w:cs="Times New Roman"/>
          <w:sz w:val="24"/>
          <w:szCs w:val="24"/>
        </w:rPr>
        <w:t> </w:t>
      </w:r>
      <w:r w:rsidRPr="00655396">
        <w:rPr>
          <w:sz w:val="24"/>
          <w:szCs w:val="24"/>
        </w:rPr>
        <w:t>…</w:t>
      </w:r>
      <w:r w:rsidRPr="00655396">
        <w:t xml:space="preserve"> We do not agree with the proposition that since the parties are free to contract concerning renewal premiums, it necessarily follows that the provisions are not in restraint of trade.</w:t>
      </w:r>
    </w:p>
    <w:p w14:paraId="4BF88785" w14:textId="77777777" w:rsidR="00655396" w:rsidRPr="00655396" w:rsidRDefault="00655396" w:rsidP="008B512B">
      <w:pPr>
        <w:pStyle w:val="BQ"/>
        <w:spacing w:line="240" w:lineRule="auto"/>
        <w:rPr>
          <w:b/>
        </w:rPr>
      </w:pPr>
      <w:r w:rsidRPr="00655396">
        <w:rPr>
          <w:bCs w:val="0"/>
          <w:i/>
          <w:iCs/>
        </w:rPr>
        <w:t>Id.</w:t>
      </w:r>
      <w:r w:rsidRPr="00655396">
        <w:t xml:space="preserve"> at 14–15 (internal citations omitted).</w:t>
      </w:r>
    </w:p>
    <w:p w14:paraId="1873D6C1" w14:textId="77777777" w:rsidR="00655396" w:rsidRPr="00655396" w:rsidRDefault="00655396" w:rsidP="008B512B">
      <w:pPr>
        <w:pStyle w:val="BQ"/>
        <w:spacing w:line="240" w:lineRule="auto"/>
        <w:rPr>
          <w:b/>
        </w:rPr>
      </w:pPr>
      <w:r w:rsidRPr="00655396">
        <w:tab/>
        <w:t xml:space="preserve">Nor did the </w:t>
      </w:r>
      <w:r w:rsidRPr="00655396">
        <w:rPr>
          <w:bCs w:val="0"/>
          <w:i/>
          <w:iCs/>
        </w:rPr>
        <w:t>Johnson</w:t>
      </w:r>
      <w:r w:rsidRPr="00655396">
        <w:t xml:space="preserve"> court accept the contention (which WalTom echoes here) that the renewal forfeiture provision was not a restraint of trade because it did not act to prohibit the employee from working for or engaging in any competing business. The </w:t>
      </w:r>
      <w:r w:rsidRPr="00655396">
        <w:rPr>
          <w:bCs w:val="0"/>
          <w:i/>
          <w:iCs/>
        </w:rPr>
        <w:t>Johnson</w:t>
      </w:r>
      <w:r w:rsidRPr="00655396">
        <w:t xml:space="preserve"> court disagreed with this analysis “for the reason that it seems … to be based </w:t>
      </w:r>
      <w:r w:rsidRPr="00655396">
        <w:lastRenderedPageBreak/>
        <w:t xml:space="preserve">upon concepts completely divorced from practical reality.” The </w:t>
      </w:r>
      <w:r w:rsidRPr="00655396">
        <w:rPr>
          <w:bCs w:val="0"/>
          <w:i/>
          <w:iCs/>
        </w:rPr>
        <w:t>Johnson</w:t>
      </w:r>
      <w:r w:rsidRPr="00655396">
        <w:t xml:space="preserve"> court stated that:</w:t>
      </w:r>
    </w:p>
    <w:p w14:paraId="2F0270FF" w14:textId="77777777" w:rsidR="00655396" w:rsidRPr="00655396" w:rsidRDefault="00655396" w:rsidP="008B512B">
      <w:pPr>
        <w:pStyle w:val="BQ2"/>
        <w:spacing w:line="240" w:lineRule="auto"/>
        <w:rPr>
          <w:b/>
        </w:rPr>
      </w:pPr>
      <w:r w:rsidRPr="00655396">
        <w:t xml:space="preserve">True, the terminated employee cannot be restrained, </w:t>
      </w:r>
      <w:r w:rsidRPr="00655396">
        <w:rPr>
          <w:bCs w:val="0"/>
          <w:i/>
          <w:iCs/>
        </w:rPr>
        <w:t>i.e.,</w:t>
      </w:r>
      <w:r w:rsidRPr="00655396">
        <w:t xml:space="preserve"> enjoined, from pursuing his occupation nor is he obligated to refrain from so doing, but this is only half the problem. If he does elect to engage in his occupation what consequences follow as a result of the contractual provision? He forfeits his right to commissions which he would have received but for the contractual terms, and this after he has performed all of the services required of him during his relationship with the defendant.</w:t>
      </w:r>
      <w:r w:rsidRPr="00655396">
        <w:rPr>
          <w:rFonts w:ascii="Times New Roman" w:hAnsi="Times New Roman" w:cs="Times New Roman"/>
          <w:sz w:val="24"/>
          <w:szCs w:val="24"/>
        </w:rPr>
        <w:t> </w:t>
      </w:r>
      <w:r w:rsidRPr="00655396">
        <w:rPr>
          <w:sz w:val="24"/>
          <w:szCs w:val="24"/>
        </w:rPr>
        <w:t>…</w:t>
      </w:r>
      <w:r w:rsidRPr="00655396">
        <w:t xml:space="preserve"> The contract clearly extracts a penalty of significant proportions in the event that plaintiff seeks to engage in his occupation.</w:t>
      </w:r>
    </w:p>
    <w:p w14:paraId="0BB5BA09" w14:textId="77777777" w:rsidR="00655396" w:rsidRPr="00655396" w:rsidRDefault="00655396" w:rsidP="008B512B">
      <w:pPr>
        <w:pStyle w:val="BQ"/>
        <w:spacing w:line="240" w:lineRule="auto"/>
        <w:rPr>
          <w:b/>
        </w:rPr>
      </w:pPr>
      <w:r w:rsidRPr="00655396">
        <w:rPr>
          <w:bCs w:val="0"/>
          <w:i/>
          <w:iCs/>
        </w:rPr>
        <w:t>Id.</w:t>
      </w:r>
      <w:r w:rsidRPr="00655396">
        <w:t xml:space="preserve"> at 15. The </w:t>
      </w:r>
      <w:r w:rsidRPr="00655396">
        <w:rPr>
          <w:bCs w:val="0"/>
          <w:i/>
          <w:iCs/>
        </w:rPr>
        <w:t>Johnson</w:t>
      </w:r>
      <w:r w:rsidRPr="00655396">
        <w:t xml:space="preserve"> court ultimately concluded that the renewal forfeiture provision was in restraint of trade. [</w:t>
      </w:r>
      <w:r w:rsidRPr="00655396">
        <w:rPr>
          <w:bCs w:val="0"/>
          <w:i/>
          <w:iCs/>
        </w:rPr>
        <w:t>Id.</w:t>
      </w:r>
      <w:r w:rsidRPr="00655396">
        <w:t>]</w:t>
      </w:r>
    </w:p>
    <w:p w14:paraId="55AEA51D" w14:textId="77777777" w:rsidR="00655396" w:rsidRPr="00655396" w:rsidRDefault="00655396" w:rsidP="008B512B">
      <w:pPr>
        <w:pStyle w:val="BQ"/>
        <w:spacing w:line="240" w:lineRule="auto"/>
        <w:rPr>
          <w:b/>
        </w:rPr>
      </w:pPr>
      <w:r w:rsidRPr="00655396">
        <w:tab/>
        <w:t xml:space="preserve">In </w:t>
      </w:r>
      <w:r w:rsidRPr="00655396">
        <w:rPr>
          <w:bCs w:val="0"/>
          <w:i/>
          <w:iCs/>
        </w:rPr>
        <w:t>Johnson,</w:t>
      </w:r>
      <w:r w:rsidRPr="00655396">
        <w:t xml:space="preserve"> the plaintiff “testified that he could reasonably expect to receive $63,250.00 in renewals from business that was ‘already on the books’ when he was terminated.” </w:t>
      </w:r>
      <w:r w:rsidRPr="00655396">
        <w:rPr>
          <w:bCs w:val="0"/>
          <w:i/>
          <w:iCs/>
        </w:rPr>
        <w:t>Id.</w:t>
      </w:r>
      <w:r w:rsidRPr="00655396">
        <w:t xml:space="preserve"> at 12. Here, it is undisputed that WalTom estimated that at the time the Driving Agreement was executed it could earn about $7 million from Bires pursuant to the royalties provision. If $63,250 was a sufficient penalty in 1973 to constitute a restraint of trade, then $7 million in 2006, the year the Driving Agreement was executed, most certainly is.</w:t>
      </w:r>
    </w:p>
    <w:p w14:paraId="28012C11" w14:textId="77777777" w:rsidR="00655396" w:rsidRDefault="00655396" w:rsidP="008B512B">
      <w:pPr>
        <w:pStyle w:val="BodyText"/>
        <w:spacing w:line="240" w:lineRule="auto"/>
      </w:pPr>
    </w:p>
    <w:p w14:paraId="50045C8B" w14:textId="77777777" w:rsidR="00655396" w:rsidRDefault="00655396" w:rsidP="008B512B">
      <w:pPr>
        <w:pStyle w:val="BodyText"/>
        <w:spacing w:line="240" w:lineRule="auto"/>
      </w:pPr>
      <w:r>
        <w:rPr>
          <w:i/>
          <w:iCs/>
        </w:rPr>
        <w:t xml:space="preserve">Id. </w:t>
      </w:r>
      <w:r>
        <w:t xml:space="preserve">at 1031–32 (footnote omitted; noting, </w:t>
      </w:r>
      <w:r>
        <w:rPr>
          <w:i/>
          <w:iCs/>
        </w:rPr>
        <w:t xml:space="preserve">id. </w:t>
      </w:r>
      <w:r>
        <w:t xml:space="preserve">at 1032 n.5, that $63,250 was worth approximately $286,866.14 in 2006, the year in which the parties’ driving agreement was executed, using the Consumer Price Index as a measure of relative worth; based on the court’s holding in </w:t>
      </w:r>
      <w:r>
        <w:rPr>
          <w:i/>
          <w:iCs/>
        </w:rPr>
        <w:t>Johnson,</w:t>
      </w:r>
      <w:r>
        <w:t xml:space="preserve"> concluding, </w:t>
      </w:r>
      <w:r>
        <w:rPr>
          <w:i/>
          <w:iCs/>
        </w:rPr>
        <w:t xml:space="preserve">id. </w:t>
      </w:r>
      <w:r>
        <w:t>at 1033, that the royalties provision in the instant case “imposes a sufficient penalty such that it is subject to the same reasonableness requirements as a covenant not to compete”).</w:t>
      </w:r>
    </w:p>
    <w:p w14:paraId="525F2E91" w14:textId="77777777" w:rsidR="00655396" w:rsidRDefault="00655396" w:rsidP="008B512B">
      <w:pPr>
        <w:pStyle w:val="BodyText"/>
        <w:spacing w:line="240" w:lineRule="auto"/>
      </w:pPr>
    </w:p>
    <w:p w14:paraId="288A43FF" w14:textId="77777777" w:rsidR="00655396" w:rsidRDefault="00655396" w:rsidP="008B512B">
      <w:pPr>
        <w:pStyle w:val="AdditionalTopicsSectionHeadings"/>
        <w:spacing w:line="240" w:lineRule="auto"/>
      </w:pPr>
      <w:r>
        <w:t>Conspiracy</w:t>
      </w:r>
    </w:p>
    <w:p w14:paraId="5B5F66E0" w14:textId="77777777" w:rsidR="00655396" w:rsidRDefault="00655396" w:rsidP="008B512B">
      <w:pPr>
        <w:pStyle w:val="BodyText"/>
        <w:spacing w:line="240" w:lineRule="auto"/>
      </w:pPr>
    </w:p>
    <w:p w14:paraId="75FA8606" w14:textId="4E7F635E" w:rsidR="00655396" w:rsidRDefault="00655396" w:rsidP="008B512B">
      <w:pPr>
        <w:pStyle w:val="BodyText"/>
        <w:spacing w:line="240" w:lineRule="auto"/>
      </w:pPr>
      <w:r>
        <w:tab/>
        <w:t xml:space="preserve">As to the application of a conspiracy theory to enforce a covenant not to compete against a nonsignatory, see </w:t>
      </w:r>
      <w:r>
        <w:rPr>
          <w:i/>
          <w:iCs/>
        </w:rPr>
        <w:t>Craft v. McConoughly</w:t>
      </w:r>
      <w:r>
        <w:t>, 79 Ill. 346 (1875) (cited in Ted P. Pearce,</w:t>
      </w:r>
      <w:r w:rsidR="00FB1D09">
        <w:t xml:space="preserve"> </w:t>
      </w:r>
      <w:r>
        <w:t xml:space="preserve">Leigh Reynolds King &amp; J. Cary Tharrington, </w:t>
      </w:r>
      <w:r>
        <w:rPr>
          <w:i/>
          <w:iCs/>
        </w:rPr>
        <w:t>The Enforcement of Post-Termination Remedies in the Franchise Contract</w:t>
      </w:r>
      <w:r>
        <w:t xml:space="preserve">, 24 </w:t>
      </w:r>
      <w:r>
        <w:rPr>
          <w:smallCaps/>
        </w:rPr>
        <w:t>Okla. City U. L. Rev.</w:t>
      </w:r>
      <w:r>
        <w:t xml:space="preserve"> 81, 93 n.53 (Spring/Summer 1999)).</w:t>
      </w:r>
    </w:p>
    <w:p w14:paraId="26F48E8A" w14:textId="77777777" w:rsidR="00655396" w:rsidRDefault="00655396" w:rsidP="008B512B">
      <w:pPr>
        <w:pStyle w:val="BodyText"/>
        <w:spacing w:line="240" w:lineRule="auto"/>
      </w:pPr>
    </w:p>
    <w:p w14:paraId="0F0D0F70" w14:textId="77777777" w:rsidR="00655396" w:rsidRDefault="00655396" w:rsidP="008B512B">
      <w:pPr>
        <w:pStyle w:val="AdditionalTopicsSectionHeadings"/>
        <w:spacing w:line="240" w:lineRule="auto"/>
      </w:pPr>
      <w:r>
        <w:t>Construction (Contractual)</w:t>
      </w:r>
    </w:p>
    <w:p w14:paraId="03160439" w14:textId="77777777" w:rsidR="00655396" w:rsidRDefault="00655396" w:rsidP="008B512B">
      <w:pPr>
        <w:pStyle w:val="BodyText"/>
        <w:spacing w:line="240" w:lineRule="auto"/>
      </w:pPr>
    </w:p>
    <w:p w14:paraId="7EACAB96" w14:textId="77777777" w:rsidR="00655396" w:rsidRDefault="00655396" w:rsidP="008B512B">
      <w:pPr>
        <w:pStyle w:val="BodyText"/>
        <w:spacing w:line="240" w:lineRule="auto"/>
      </w:pPr>
      <w:r>
        <w:tab/>
        <w:t>Under Illinois contract law, “</w:t>
      </w:r>
      <w:r>
        <w:rPr>
          <w:rFonts w:ascii="Times New Roman" w:hAnsi="Times New Roman" w:cs="Times New Roman"/>
        </w:rPr>
        <w:t> </w:t>
      </w:r>
      <w:r>
        <w:t>‘meaning and effect must be given to every part of the contract including all its terms and provisions, so no part is rendered meaningless or surplusage unless absolutely necessary.’</w:t>
      </w:r>
      <w:r>
        <w:rPr>
          <w:rFonts w:ascii="Times New Roman" w:hAnsi="Times New Roman" w:cs="Times New Roman"/>
        </w:rPr>
        <w:t> </w:t>
      </w:r>
      <w:r>
        <w:t xml:space="preserve">” </w:t>
      </w:r>
      <w:r>
        <w:rPr>
          <w:i/>
          <w:iCs/>
        </w:rPr>
        <w:t>Bodum USA, Inc. v. La Cafetiere, Inc.</w:t>
      </w:r>
      <w:r>
        <w:t xml:space="preserve">, 2009 U.S. Dist. LEXIS 25555, at *12–13 (N.D. Ill. Mar. 24, 2009) (quoting, with internal quotation marks and citations omitted, </w:t>
      </w:r>
      <w:r>
        <w:rPr>
          <w:i/>
          <w:iCs/>
        </w:rPr>
        <w:t>INEOS Polymers Inc. v. BASF Catalysts</w:t>
      </w:r>
      <w:r>
        <w:t xml:space="preserve">, 553 F.3d 491, 500 (7th Cir. 2009); noting, </w:t>
      </w:r>
      <w:r>
        <w:rPr>
          <w:i/>
          <w:iCs/>
        </w:rPr>
        <w:t>id.</w:t>
      </w:r>
      <w:r>
        <w:t xml:space="preserve"> at *12, that Article 1157 of the French Civil Code similarly provides that where a clause admits of two meanings, “</w:t>
      </w:r>
      <w:r>
        <w:rPr>
          <w:rFonts w:ascii="Times New Roman" w:hAnsi="Times New Roman" w:cs="Times New Roman"/>
        </w:rPr>
        <w:t> </w:t>
      </w:r>
      <w:r>
        <w:t>‘one shall rather understand it in the one with which it may have some effect, than in the meaning with which it could not produce any;’</w:t>
      </w:r>
      <w:r>
        <w:rPr>
          <w:rFonts w:ascii="Times New Roman" w:hAnsi="Times New Roman" w:cs="Times New Roman"/>
        </w:rPr>
        <w:t> </w:t>
      </w:r>
      <w:r>
        <w:t xml:space="preserve">” quoting </w:t>
      </w:r>
      <w:r>
        <w:rPr>
          <w:smallCaps/>
        </w:rPr>
        <w:t xml:space="preserve">C. Civ. </w:t>
      </w:r>
      <w:r>
        <w:t>Art. 1157).</w:t>
      </w:r>
    </w:p>
    <w:p w14:paraId="413F9221" w14:textId="02236076" w:rsidR="00655396" w:rsidRDefault="00655396" w:rsidP="008B512B">
      <w:pPr>
        <w:pStyle w:val="BodyText"/>
        <w:spacing w:line="240" w:lineRule="auto"/>
      </w:pPr>
      <w:r>
        <w:tab/>
        <w:t>When construing a contract under the law of Illinois, “courts examine the contract as a whole according to its plain, ordinary, and prevalent meaning” (</w:t>
      </w:r>
      <w:r>
        <w:rPr>
          <w:i/>
          <w:iCs/>
        </w:rPr>
        <w:t>Restaurant.Com, Inc. v. Savad</w:t>
      </w:r>
      <w:r>
        <w:t>, 2008 U.S. Dist. LEXIS 77991, at *7 (N.D. Ill. Aug. 21, 2008)), and ambiguities in contractual terms are to be resolved against the drafter.</w:t>
      </w:r>
      <w:r w:rsidR="00FB1D09">
        <w:t xml:space="preserve"> </w:t>
      </w:r>
      <w:r>
        <w:rPr>
          <w:i/>
          <w:iCs/>
        </w:rPr>
        <w:t xml:space="preserve">Id. </w:t>
      </w:r>
      <w:r>
        <w:t xml:space="preserve">at *8; </w:t>
      </w:r>
      <w:r>
        <w:rPr>
          <w:i/>
          <w:iCs/>
        </w:rPr>
        <w:t>Liautaud v. Liautaud</w:t>
      </w:r>
      <w:r>
        <w:t>, 221 F.3d 981, 986 (7th Cir. 2000).</w:t>
      </w:r>
    </w:p>
    <w:p w14:paraId="3ED5D77A" w14:textId="62590706" w:rsidR="00655396" w:rsidRDefault="00655396" w:rsidP="008B512B">
      <w:pPr>
        <w:pStyle w:val="BodyText"/>
        <w:spacing w:line="240" w:lineRule="auto"/>
      </w:pPr>
      <w:r>
        <w:tab/>
        <w:t>However, if the language used is “reasonably or fairly susceptible to having more than one meaning” can it be said to be ambiguous under Illinois law (</w:t>
      </w:r>
      <w:r>
        <w:rPr>
          <w:i/>
          <w:iCs/>
        </w:rPr>
        <w:t>Restaurant.Com</w:t>
      </w:r>
      <w:r>
        <w:t>, 2008 U.S. Dist. LEXIS 77991, at *8), and “it is not ambiguous if a court can discover its meaning simply through knowledge of those facts which give it meaning as gleaned from the general language of the contract. A contract is not rendered ambiguous simply because the parties do not agree on the meaning of its terms.”</w:t>
      </w:r>
      <w:r w:rsidR="00FB1D09">
        <w:t xml:space="preserve"> </w:t>
      </w:r>
      <w:r>
        <w:rPr>
          <w:i/>
          <w:iCs/>
        </w:rPr>
        <w:t>Id.</w:t>
      </w:r>
      <w:r>
        <w:t xml:space="preserve"> (citation omitted; internal punctuation omitted; finding, </w:t>
      </w:r>
      <w:r>
        <w:rPr>
          <w:i/>
          <w:iCs/>
        </w:rPr>
        <w:t>id.</w:t>
      </w:r>
      <w:r>
        <w:t xml:space="preserve"> at *9, that postemployment anti-employee-raiding covenant was not ambiguous and that it prohibited not only the hiring away of the employer’s employees, but also that it prohibited the former employee from acting in “any other manner [to] persuade” any employee of the employer “to alter, modify or terminate their relationship with the [employer] or any of its affiliates.”).</w:t>
      </w:r>
    </w:p>
    <w:p w14:paraId="2CB834D8" w14:textId="77777777" w:rsidR="00655396" w:rsidRDefault="00655396" w:rsidP="008B512B">
      <w:pPr>
        <w:pStyle w:val="BodyText"/>
        <w:spacing w:line="240" w:lineRule="auto"/>
      </w:pPr>
    </w:p>
    <w:p w14:paraId="31D00DEC" w14:textId="77777777" w:rsidR="00655396" w:rsidRPr="00655396" w:rsidRDefault="00655396" w:rsidP="008B512B">
      <w:pPr>
        <w:pStyle w:val="HeadingCenter11"/>
        <w:spacing w:after="0" w:line="240" w:lineRule="auto"/>
        <w:rPr>
          <w:b w:val="0"/>
        </w:rPr>
      </w:pPr>
      <w:r w:rsidRPr="00655396">
        <w:rPr>
          <w:b w:val="0"/>
        </w:rPr>
        <w:t>“Competes with”</w:t>
      </w:r>
    </w:p>
    <w:p w14:paraId="15B2ED34" w14:textId="24DA2DC6" w:rsidR="00655396" w:rsidRDefault="00655396" w:rsidP="008B512B">
      <w:pPr>
        <w:pStyle w:val="BodyText"/>
        <w:spacing w:line="240" w:lineRule="auto"/>
      </w:pPr>
      <w:r>
        <w:tab/>
        <w:t xml:space="preserve">In </w:t>
      </w:r>
      <w:r>
        <w:rPr>
          <w:i/>
          <w:iCs/>
        </w:rPr>
        <w:t>Taimoorazy v. Bloomington Anesthesiology Service, Ltd.</w:t>
      </w:r>
      <w:r>
        <w:t xml:space="preserve">, </w:t>
      </w:r>
      <w:r>
        <w:lastRenderedPageBreak/>
        <w:t>122 F. Supp. 2d 967 (C.D. Ill. 2000), an anesthesiology service provider unsuccessfully charged that two former employee anesthesiologists had breached covenants not to compete within McLean County (one of the employees was also barred from competing in Livingston County) when they began working at a hospital located in McLean County, but at which the employer was itself precluded from providing services.</w:t>
      </w:r>
      <w:r w:rsidR="00FB1D09">
        <w:t xml:space="preserve"> </w:t>
      </w:r>
      <w:r>
        <w:t>Focusing on the word “compete,” the court observed:</w:t>
      </w:r>
    </w:p>
    <w:p w14:paraId="0C42AEE6" w14:textId="77777777" w:rsidR="00655396" w:rsidRDefault="00655396" w:rsidP="008B512B">
      <w:pPr>
        <w:pStyle w:val="BodyText"/>
        <w:spacing w:line="240" w:lineRule="auto"/>
      </w:pPr>
    </w:p>
    <w:p w14:paraId="753C5A36" w14:textId="7320BA09" w:rsidR="00655396" w:rsidRPr="00655396" w:rsidRDefault="00655396" w:rsidP="008B512B">
      <w:pPr>
        <w:pStyle w:val="BQ"/>
        <w:spacing w:line="240" w:lineRule="auto"/>
        <w:rPr>
          <w:b/>
        </w:rPr>
      </w:pPr>
      <w:r w:rsidRPr="00655396">
        <w:tab/>
        <w:t>Contrary to the interpretation that has sometimes been offered by [former employer] Bloomington Anesthesiology in its letters and pleadings, the plain language of the restrictive covenant in Article 20 of the Employment Agreement does not preclude [the former employees] from doing business or practicing medicine in McLean County</w:t>
      </w:r>
      <w:r w:rsidR="00D47546">
        <w:t xml:space="preserve">; </w:t>
      </w:r>
      <w:r w:rsidRPr="00655396">
        <w:t>rather, it only prohibits [them] from participating in or associating with a practice which competes with Bloomington Anesthesiology.</w:t>
      </w:r>
      <w:r w:rsidR="00FB1D09">
        <w:t xml:space="preserve"> </w:t>
      </w:r>
      <w:r w:rsidRPr="00655396">
        <w:t>“Competition” is commonly defined as “[t]he efforts or action of two or more commercial interests to obtain the same business from third parties.”</w:t>
      </w:r>
      <w:r w:rsidR="00FB1D09">
        <w:t xml:space="preserve"> </w:t>
      </w:r>
      <w:r w:rsidRPr="00655396">
        <w:t>Black’s Law Dictionary, 7th Edition ([added emphasis omitted]).</w:t>
      </w:r>
      <w:r w:rsidR="00FB1D09">
        <w:t xml:space="preserve"> </w:t>
      </w:r>
      <w:r w:rsidRPr="00655396">
        <w:t>Similarly, Illinois courts have defined the term as follows</w:t>
      </w:r>
      <w:r w:rsidR="00D47546">
        <w:t xml:space="preserve">: </w:t>
      </w:r>
      <w:r w:rsidRPr="00655396">
        <w:t>“</w:t>
      </w:r>
      <w:r w:rsidRPr="00655396">
        <w:rPr>
          <w:rFonts w:ascii="Times New Roman" w:hAnsi="Times New Roman" w:cs="Times New Roman"/>
        </w:rPr>
        <w:t> </w:t>
      </w:r>
      <w:r w:rsidRPr="00655396">
        <w:t xml:space="preserve">‘Compete’ means to seek or strive for something for which others are contending or to vie with another for a prize </w:t>
      </w:r>
      <w:r w:rsidR="00944F63">
        <w:t>…</w:t>
      </w:r>
      <w:r w:rsidRPr="00655396">
        <w:rPr>
          <w:rFonts w:ascii="Times New Roman" w:hAnsi="Times New Roman" w:cs="Times New Roman"/>
        </w:rPr>
        <w:t> </w:t>
      </w:r>
      <w:r w:rsidRPr="00655396">
        <w:t xml:space="preserve"> to strive for a position, reward, profit or goal for which another is striving; to contend in rivalry.”</w:t>
      </w:r>
      <w:r w:rsidR="00FB1D09">
        <w:t xml:space="preserve"> </w:t>
      </w:r>
      <w:r w:rsidRPr="00655396">
        <w:rPr>
          <w:bCs w:val="0"/>
          <w:i/>
          <w:iCs/>
        </w:rPr>
        <w:t>Hagerty, Lockenvitz, Ginzkey, etc. v. Ginzkey</w:t>
      </w:r>
      <w:r w:rsidRPr="00655396">
        <w:t>, 85 Ill. App. 3d 640, 40 Ill. Dec. 778, 406 N.E.2d 1145, 1146 (4th Dist. 1980) ([added emphasis omitted]).</w:t>
      </w:r>
      <w:r w:rsidR="00FB1D09">
        <w:t xml:space="preserve"> </w:t>
      </w:r>
      <w:r w:rsidRPr="00655396">
        <w:t>An individual who is merely present and available to provide services, but who has not actively solicited business, has not engaged in competition.</w:t>
      </w:r>
      <w:r w:rsidR="00FB1D09">
        <w:t xml:space="preserve"> </w:t>
      </w:r>
      <w:r w:rsidRPr="00655396">
        <w:rPr>
          <w:bCs w:val="0"/>
          <w:i/>
          <w:iCs/>
        </w:rPr>
        <w:t>Id.</w:t>
      </w:r>
      <w:r w:rsidRPr="00655396">
        <w:t xml:space="preserve"> at 1147, 40 Ill. Dec. 778.</w:t>
      </w:r>
    </w:p>
    <w:p w14:paraId="275DAD59" w14:textId="3E497E09" w:rsidR="00655396" w:rsidRPr="00655396" w:rsidRDefault="00655396" w:rsidP="008B512B">
      <w:pPr>
        <w:pStyle w:val="BQ"/>
        <w:spacing w:line="240" w:lineRule="auto"/>
        <w:rPr>
          <w:b/>
        </w:rPr>
      </w:pPr>
      <w:r w:rsidRPr="00655396">
        <w:tab/>
        <w:t xml:space="preserve">Here, [the former employees] sought positions with the anesthesia group that provided services to BroMenn Hospital and </w:t>
      </w:r>
      <w:r w:rsidRPr="00655396">
        <w:br/>
        <w:t>ultimately obtained staff privileges at BroMenn Hospital.</w:t>
      </w:r>
      <w:r w:rsidR="00FB1D09">
        <w:t xml:space="preserve"> </w:t>
      </w:r>
      <w:r w:rsidRPr="00655396">
        <w:t>The record is devoid of any evidence suggesting that [the former employees] have actively solicited any of the patients or hospitals served by Bloomington Anesthesiology or that Bloomington Anesthesiology is either seeking or has any interest in developing an anesthesiology practice at BroMenn Hospital.</w:t>
      </w:r>
      <w:r w:rsidR="00FB1D09">
        <w:t xml:space="preserve"> </w:t>
      </w:r>
      <w:r w:rsidRPr="00655396">
        <w:t>To the contrary, Bloomington Anesthesiology admits that as part of its agreement with OSF Healthcare System to provide exclusive anesthesia services at St. Joseph[, which is located in McLean County], it agreed not to provide any anesthesia services at BroMenn Hospital.</w:t>
      </w:r>
      <w:r w:rsidR="00FB1D09">
        <w:t xml:space="preserve"> </w:t>
      </w:r>
      <w:r w:rsidRPr="00655396">
        <w:t xml:space="preserve">In fact, the contract </w:t>
      </w:r>
      <w:r w:rsidRPr="00655396">
        <w:lastRenderedPageBreak/>
        <w:t>specifically provides that Bloomington Anesthesiology “shall not participate in or maintain an interest, either directly or indirectly, in any anesthesiology services which are in competition in any manner with the [St. Joseph] MEDICAL CENTER or the SURGICAL CENTER within McLean County, Illinois.”</w:t>
      </w:r>
    </w:p>
    <w:p w14:paraId="4FD0002E" w14:textId="3CA843B1" w:rsidR="00655396" w:rsidRPr="00655396" w:rsidRDefault="00655396" w:rsidP="008B512B">
      <w:pPr>
        <w:pStyle w:val="BQ"/>
        <w:spacing w:line="240" w:lineRule="auto"/>
        <w:rPr>
          <w:b/>
        </w:rPr>
      </w:pPr>
      <w:r w:rsidRPr="00655396">
        <w:tab/>
        <w:t>[The former employer] argues that there has been competition in violation of Article 20, because BroMenn Hospital in some sense competes with St. Joseph for patients. However, the Court rejects this argument, as there has been no demonstration that [the former employees] have “actively solicited business” as opposed to being “merely present and available” to provide services when requested at a facility in which [doctors still associated with the former employer] are precluded from offering services.</w:t>
      </w:r>
      <w:r w:rsidR="00FB1D09">
        <w:t xml:space="preserve"> </w:t>
      </w:r>
      <w:r w:rsidRPr="00655396">
        <w:rPr>
          <w:bCs w:val="0"/>
          <w:i/>
          <w:iCs/>
        </w:rPr>
        <w:t>See Hagerty, et al.</w:t>
      </w:r>
      <w:r w:rsidRPr="00655396">
        <w:t>, 40 Ill. Dec. 778, 406 N.E.2d at 1147.</w:t>
      </w:r>
      <w:r w:rsidR="00FB1D09">
        <w:t xml:space="preserve"> </w:t>
      </w:r>
      <w:r w:rsidRPr="00655396">
        <w:t>The concept of theoretical or conceptual competition proposed by [the former employer] is contrary to Illinois law.</w:t>
      </w:r>
    </w:p>
    <w:p w14:paraId="79A3BE2C" w14:textId="7CFE2B88" w:rsidR="00655396" w:rsidRPr="00655396" w:rsidRDefault="00655396" w:rsidP="008B512B">
      <w:pPr>
        <w:pStyle w:val="BQ"/>
        <w:spacing w:line="240" w:lineRule="auto"/>
        <w:rPr>
          <w:b/>
        </w:rPr>
      </w:pPr>
      <w:r w:rsidRPr="00655396">
        <w:tab/>
        <w:t xml:space="preserve">Moreover, “the meaning to be given to the plain words of a written instrument is a question of law for the court’s determination where the parties have attached no unusual or peculiar meaning to the words.” </w:t>
      </w:r>
      <w:r w:rsidRPr="00655396">
        <w:rPr>
          <w:bCs w:val="0"/>
          <w:i/>
          <w:iCs/>
        </w:rPr>
        <w:t>Id.</w:t>
      </w:r>
      <w:r w:rsidRPr="00655396">
        <w:t xml:space="preserve"> at 1146, 40 Ill. Dec. 778.</w:t>
      </w:r>
      <w:r w:rsidR="00FB1D09">
        <w:t xml:space="preserve"> </w:t>
      </w:r>
      <w:r w:rsidRPr="00655396">
        <w:t>The plain language of the restrictive covenant at issue in this case prohibits [the former employees] from competing with Bloomington Anesthesiology and the business that it conducts but does not prohibit them from engaging in any services offered by St. Joseph or practicing medicine in a location within McLean County that does not infringe on the business conducted by Bloomington Anesthesiology.</w:t>
      </w:r>
      <w:r w:rsidR="00FB1D09">
        <w:t xml:space="preserve"> </w:t>
      </w:r>
      <w:r w:rsidRPr="00655396">
        <w:t>The fact that the hospitals themselves may compete for patients is not included within the plain language of the restrictive covenant and is simply irrelevant to any legitimate interest that Bloomington Anesthesiology has in protecting its medical practice at St. Joseph.</w:t>
      </w:r>
      <w:r w:rsidR="00FB1D09">
        <w:t xml:space="preserve"> </w:t>
      </w:r>
      <w:r w:rsidRPr="00655396">
        <w:t xml:space="preserve">In drafting the Employment Agreement, Bloomington Anesthesiology did not include language indicating an intent to bar [the former employees] from practicing medicine at any hospital that can be said to compete with the hospital(s) at which [the former employer] </w:t>
      </w:r>
      <w:r w:rsidRPr="00655396">
        <w:br/>
        <w:t>provides exclusive services, and it cannot now seek to enforce an aspect of a covenant that does not exist.</w:t>
      </w:r>
    </w:p>
    <w:p w14:paraId="19C3998B" w14:textId="3195009B" w:rsidR="00655396" w:rsidRPr="00655396" w:rsidRDefault="00655396" w:rsidP="008B512B">
      <w:pPr>
        <w:pStyle w:val="BQ"/>
        <w:spacing w:line="240" w:lineRule="auto"/>
        <w:rPr>
          <w:b/>
        </w:rPr>
      </w:pPr>
      <w:r w:rsidRPr="00655396">
        <w:tab/>
        <w:t>Thus, under the particular and somewhat unique circumstances of this case, Bloomington Anesthesiology is contractually prohibited from providing any anesthesia services at BroMenn Hospital and can therefore have no legitimate business interest in preventing [the former employees] from providing such services.</w:t>
      </w:r>
      <w:r w:rsidR="00FB1D09">
        <w:t xml:space="preserve"> </w:t>
      </w:r>
      <w:r w:rsidRPr="00655396">
        <w:t xml:space="preserve">In light of the facts of record in this case, [the former employees] cannot reasonably be </w:t>
      </w:r>
      <w:r w:rsidRPr="00655396">
        <w:lastRenderedPageBreak/>
        <w:t>said to have associated with or participated in a practice which competes with the business conducted by Bloomington Anesthesiology or to have actively solicited its clients.</w:t>
      </w:r>
      <w:r w:rsidR="00FB1D09">
        <w:t xml:space="preserve"> </w:t>
      </w:r>
      <w:r w:rsidRPr="00655396">
        <w:t>Accordingly, even assuming that the restrictive covenant was generally valid and enforceable, the Court finds that [the former employees have] not violated Article 20 of [the] Employment Agreement as written</w:t>
      </w:r>
      <w:r w:rsidR="00944F63">
        <w:t>…</w:t>
      </w:r>
      <w:r w:rsidRPr="00655396">
        <w:rPr>
          <w:rFonts w:ascii="Times New Roman" w:hAnsi="Times New Roman" w:cs="Times New Roman"/>
        </w:rPr>
        <w:t> </w:t>
      </w:r>
      <w:r w:rsidRPr="00655396">
        <w:t xml:space="preserve">. </w:t>
      </w:r>
    </w:p>
    <w:p w14:paraId="7FE63133" w14:textId="77777777" w:rsidR="00655396" w:rsidRDefault="00655396" w:rsidP="008B512B">
      <w:pPr>
        <w:pStyle w:val="BodyText"/>
        <w:spacing w:line="240" w:lineRule="auto"/>
      </w:pPr>
    </w:p>
    <w:p w14:paraId="3CFA6B36" w14:textId="77777777" w:rsidR="00655396" w:rsidRDefault="00655396" w:rsidP="008B512B">
      <w:pPr>
        <w:pStyle w:val="BodyText"/>
        <w:spacing w:line="240" w:lineRule="auto"/>
      </w:pPr>
      <w:r>
        <w:rPr>
          <w:i/>
          <w:iCs/>
        </w:rPr>
        <w:t>Id.</w:t>
      </w:r>
      <w:r>
        <w:t xml:space="preserve"> at 979–80.</w:t>
      </w:r>
    </w:p>
    <w:p w14:paraId="6DEFCFDB" w14:textId="77777777" w:rsidR="00655396" w:rsidRPr="00655396" w:rsidRDefault="00655396" w:rsidP="008B512B">
      <w:pPr>
        <w:pStyle w:val="BodyText"/>
        <w:spacing w:line="240" w:lineRule="auto"/>
      </w:pPr>
    </w:p>
    <w:p w14:paraId="2405EB36" w14:textId="77777777" w:rsidR="00655396" w:rsidRPr="00655396" w:rsidRDefault="00655396" w:rsidP="008B512B">
      <w:pPr>
        <w:pStyle w:val="HeadingCenter11"/>
        <w:spacing w:after="0" w:line="240" w:lineRule="auto"/>
        <w:rPr>
          <w:b w:val="0"/>
        </w:rPr>
      </w:pPr>
      <w:r w:rsidRPr="00655396">
        <w:rPr>
          <w:b w:val="0"/>
        </w:rPr>
        <w:t>“Employment”</w:t>
      </w:r>
    </w:p>
    <w:p w14:paraId="121D4AC4" w14:textId="063646E7" w:rsidR="00655396" w:rsidRDefault="00655396" w:rsidP="008B512B">
      <w:pPr>
        <w:pStyle w:val="BodyText"/>
        <w:spacing w:line="240" w:lineRule="auto"/>
      </w:pPr>
      <w:r>
        <w:tab/>
        <w:t xml:space="preserve">In </w:t>
      </w:r>
      <w:r>
        <w:rPr>
          <w:i/>
          <w:iCs/>
        </w:rPr>
        <w:t>Marwaha v. Woodridge Clinic, S.C.</w:t>
      </w:r>
      <w:r>
        <w:t xml:space="preserve">, 339 Ill. App. 3d 291 (2d Dist. 2003), </w:t>
      </w:r>
      <w:r>
        <w:rPr>
          <w:i/>
          <w:iCs/>
        </w:rPr>
        <w:t>appeal denied</w:t>
      </w:r>
      <w:r>
        <w:t>, 205 Ill. 2d 587, 803 N.E.2d 484 (2003) (table), the plaintiff, a medical doctor, was employed by the defendant medical clinic pursuant to an agreement providing for employment from July 1, 1993, through June 30, 1996.</w:t>
      </w:r>
      <w:r w:rsidR="00FB1D09">
        <w:t xml:space="preserve"> </w:t>
      </w:r>
      <w:r>
        <w:t xml:space="preserve">The employment agreement contained no provision for automatic extension or continuation beyond June 30, 1996, and contained a covenant not to compete providing that “upon termination of the Doctor’s </w:t>
      </w:r>
      <w:r>
        <w:rPr>
          <w:i/>
          <w:iCs/>
        </w:rPr>
        <w:t>employment</w:t>
      </w:r>
      <w:r>
        <w:t xml:space="preserve"> for any reason, the Doctor shall not [engage in various forms of competitive activity].”</w:t>
      </w:r>
      <w:r w:rsidR="00FB1D09">
        <w:t xml:space="preserve"> </w:t>
      </w:r>
      <w:r>
        <w:rPr>
          <w:i/>
          <w:iCs/>
        </w:rPr>
        <w:t>Id.</w:t>
      </w:r>
      <w:r>
        <w:t xml:space="preserve"> at 292.</w:t>
      </w:r>
      <w:r w:rsidR="00FB1D09">
        <w:t xml:space="preserve"> </w:t>
      </w:r>
      <w:r>
        <w:t>After the expiration of the employment agreement on June 30, 1996, plaintiff continued to work for defendant.</w:t>
      </w:r>
      <w:r w:rsidR="00FB1D09">
        <w:t xml:space="preserve"> </w:t>
      </w:r>
      <w:r>
        <w:t>He finally received a notice of termination on November 24, 2001. The plaintiff sought a declaratory judgment that the covenant was unenforceable, and the clinic countersued for injunctive relief, claiming that the noncompete clause was triggered by the November 24, 2001, termination.</w:t>
      </w:r>
      <w:r w:rsidR="00FB1D09">
        <w:t xml:space="preserve"> </w:t>
      </w:r>
      <w:r>
        <w:t xml:space="preserve">The court interpreted the word “employment” in the noncompete to govern the relationship between the parties through June 30, 1996, relying upon the fact that the agreement provided in other sections for employment through that period, the well-settled rule in Illinois that words used in one part of a contract are deemed to have like significance in another, and the fact that noncompetes do not exist in perpetuity governing non-existent employment contracts. </w:t>
      </w:r>
      <w:r>
        <w:rPr>
          <w:i/>
          <w:iCs/>
        </w:rPr>
        <w:t>Id.</w:t>
      </w:r>
      <w:r>
        <w:t xml:space="preserve"> at 293–94.</w:t>
      </w:r>
    </w:p>
    <w:p w14:paraId="08C9F402" w14:textId="77777777" w:rsidR="00655396" w:rsidRDefault="00655396" w:rsidP="008B512B">
      <w:pPr>
        <w:pStyle w:val="BodyText"/>
        <w:spacing w:line="240" w:lineRule="auto"/>
      </w:pPr>
    </w:p>
    <w:p w14:paraId="46A2AA0C" w14:textId="0FE98C5D" w:rsidR="00655396" w:rsidRPr="00655396" w:rsidRDefault="00655396" w:rsidP="008B512B">
      <w:pPr>
        <w:pStyle w:val="HeadingCenter11"/>
        <w:spacing w:after="0" w:line="240" w:lineRule="auto"/>
        <w:rPr>
          <w:b w:val="0"/>
        </w:rPr>
      </w:pPr>
      <w:r w:rsidRPr="00655396">
        <w:rPr>
          <w:b w:val="0"/>
        </w:rPr>
        <w:t xml:space="preserve">“Engaging in the </w:t>
      </w:r>
      <w:r w:rsidR="00944F63">
        <w:rPr>
          <w:b w:val="0"/>
        </w:rPr>
        <w:t>…</w:t>
      </w:r>
      <w:r w:rsidRPr="00655396">
        <w:rPr>
          <w:b w:val="0"/>
        </w:rPr>
        <w:t xml:space="preserve"> business” in specified county</w:t>
      </w:r>
    </w:p>
    <w:p w14:paraId="69626679" w14:textId="486497B0"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In </w:t>
      </w:r>
      <w:r>
        <w:rPr>
          <w:rFonts w:ascii="Baskerville" w:hAnsi="Baskerville" w:cs="Baskerville"/>
          <w:i/>
          <w:iCs/>
        </w:rPr>
        <w:t>Diepholz v. Rutledge</w:t>
      </w:r>
      <w:r>
        <w:rPr>
          <w:rFonts w:ascii="Baskerville" w:hAnsi="Baskerville" w:cs="Baskerville"/>
        </w:rPr>
        <w:t xml:space="preserve">, 276 Ill. App. 3d 1013, 213 Ill. Dec. 643, 659 N.E.2d 989 (4th Dist. 1995), a sale of business covenant case, the court construed a covenant barring the seller of an automobile dealership for four years from “engaging in the </w:t>
      </w:r>
      <w:r>
        <w:rPr>
          <w:rFonts w:ascii="Baskerville" w:hAnsi="Baskerville" w:cs="Baskerville"/>
        </w:rPr>
        <w:lastRenderedPageBreak/>
        <w:t xml:space="preserve">automobile sales or service business as an individual or as an owner in Coles County, Illinois” not to restrict the seller’s right to </w:t>
      </w:r>
      <w:r>
        <w:rPr>
          <w:rFonts w:ascii="Baskerville" w:hAnsi="Baskerville" w:cs="Baskerville"/>
          <w:i/>
          <w:iCs/>
        </w:rPr>
        <w:t>advertise</w:t>
      </w:r>
      <w:r>
        <w:rPr>
          <w:rFonts w:ascii="Baskerville" w:hAnsi="Baskerville" w:cs="Baskerville"/>
        </w:rPr>
        <w:t xml:space="preserve"> in newspapers and radio stations in that county.</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659 N.E.2d at 990, 992.</w:t>
      </w:r>
      <w:r w:rsidR="00FB1D09">
        <w:rPr>
          <w:rFonts w:ascii="Baskerville" w:hAnsi="Baskerville" w:cs="Baskerville"/>
        </w:rPr>
        <w:t xml:space="preserve"> </w:t>
      </w:r>
      <w:r>
        <w:rPr>
          <w:rFonts w:ascii="Baskerville" w:hAnsi="Baskerville" w:cs="Baskerville"/>
        </w:rPr>
        <w:t>The court explained:</w:t>
      </w:r>
    </w:p>
    <w:p w14:paraId="7F02212C" w14:textId="77777777" w:rsidR="00655396" w:rsidRDefault="00655396" w:rsidP="008B512B">
      <w:pPr>
        <w:pStyle w:val="BodyText"/>
        <w:spacing w:line="240" w:lineRule="auto"/>
      </w:pPr>
    </w:p>
    <w:p w14:paraId="0FBF806F" w14:textId="3494FA66"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The covenant forbids [the seller] from engaging in the automobile business in Coles County.</w:t>
      </w:r>
      <w:r w:rsidR="00FB1D09">
        <w:rPr>
          <w:rFonts w:ascii="Baskerville" w:hAnsi="Baskerville" w:cs="Baskerville"/>
          <w:sz w:val="22"/>
          <w:szCs w:val="22"/>
        </w:rPr>
        <w:t xml:space="preserve"> </w:t>
      </w:r>
      <w:r>
        <w:rPr>
          <w:rFonts w:ascii="Baskerville" w:hAnsi="Baskerville" w:cs="Baskerville"/>
          <w:sz w:val="22"/>
          <w:szCs w:val="22"/>
        </w:rPr>
        <w:t>Advertising is undeniably part of the automobile sales business.</w:t>
      </w:r>
      <w:r w:rsidR="00FB1D09">
        <w:rPr>
          <w:rFonts w:ascii="Baskerville" w:hAnsi="Baskerville" w:cs="Baskerville"/>
          <w:sz w:val="22"/>
          <w:szCs w:val="22"/>
        </w:rPr>
        <w:t xml:space="preserve"> </w:t>
      </w:r>
      <w:r>
        <w:rPr>
          <w:rFonts w:ascii="Baskerville" w:hAnsi="Baskerville" w:cs="Baskerville"/>
          <w:sz w:val="22"/>
          <w:szCs w:val="22"/>
        </w:rPr>
        <w:t>However, an automobile dealer is not “engaged in” business in every location his advertisements reach.</w:t>
      </w:r>
      <w:r w:rsidR="00FB1D09">
        <w:rPr>
          <w:rFonts w:ascii="Baskerville" w:hAnsi="Baskerville" w:cs="Baskerville"/>
          <w:sz w:val="22"/>
          <w:szCs w:val="22"/>
        </w:rPr>
        <w:t xml:space="preserve"> </w:t>
      </w:r>
      <w:r>
        <w:rPr>
          <w:rFonts w:ascii="Baskerville" w:hAnsi="Baskerville" w:cs="Baskerville"/>
          <w:i/>
          <w:iCs/>
          <w:sz w:val="22"/>
          <w:szCs w:val="22"/>
        </w:rPr>
        <w:t>Advertising</w:t>
      </w:r>
      <w:r>
        <w:rPr>
          <w:rFonts w:ascii="Baskerville" w:hAnsi="Baskerville" w:cs="Baskerville"/>
          <w:sz w:val="22"/>
          <w:szCs w:val="22"/>
        </w:rPr>
        <w:t xml:space="preserve"> in Coles County </w:t>
      </w:r>
      <w:r>
        <w:rPr>
          <w:rFonts w:ascii="Baskerville" w:hAnsi="Baskerville" w:cs="Baskerville"/>
          <w:i/>
          <w:iCs/>
          <w:sz w:val="22"/>
          <w:szCs w:val="22"/>
        </w:rPr>
        <w:t>is not “engaging in the</w:t>
      </w:r>
      <w:r>
        <w:rPr>
          <w:rFonts w:ascii="Baskerville" w:hAnsi="Baskerville" w:cs="Baskerville"/>
          <w:sz w:val="22"/>
          <w:szCs w:val="22"/>
        </w:rPr>
        <w:t xml:space="preserve"> automobile sales or service </w:t>
      </w:r>
      <w:r>
        <w:rPr>
          <w:rFonts w:ascii="Baskerville" w:hAnsi="Baskerville" w:cs="Baskerville"/>
          <w:i/>
          <w:iCs/>
          <w:sz w:val="22"/>
          <w:szCs w:val="22"/>
        </w:rPr>
        <w:t>business</w:t>
      </w:r>
      <w:r>
        <w:rPr>
          <w:rFonts w:ascii="Baskerville" w:hAnsi="Baskerville" w:cs="Baskerville"/>
          <w:sz w:val="22"/>
          <w:szCs w:val="22"/>
        </w:rPr>
        <w:t xml:space="preserve"> as an individual or as an owner in Coles County.”</w:t>
      </w:r>
      <w:r w:rsidR="00FB1D09">
        <w:rPr>
          <w:rFonts w:ascii="Baskerville" w:hAnsi="Baskerville" w:cs="Baskerville"/>
          <w:sz w:val="22"/>
          <w:szCs w:val="22"/>
        </w:rPr>
        <w:t xml:space="preserve"> </w:t>
      </w:r>
      <w:r>
        <w:rPr>
          <w:rFonts w:ascii="Baskerville" w:hAnsi="Baskerville" w:cs="Baskerville"/>
          <w:sz w:val="22"/>
          <w:szCs w:val="22"/>
        </w:rPr>
        <w:t>Modern media advertisements normally cover a substantial area.</w:t>
      </w:r>
      <w:r w:rsidR="00FB1D09">
        <w:rPr>
          <w:rFonts w:ascii="Baskerville" w:hAnsi="Baskerville" w:cs="Baskerville"/>
          <w:sz w:val="22"/>
          <w:szCs w:val="22"/>
        </w:rPr>
        <w:t xml:space="preserve"> </w:t>
      </w:r>
      <w:r>
        <w:rPr>
          <w:rFonts w:ascii="Baskerville" w:hAnsi="Baskerville" w:cs="Baskerville"/>
          <w:sz w:val="22"/>
          <w:szCs w:val="22"/>
        </w:rPr>
        <w:t>It would have been nearly impossible for [the seller] to operate a dealership in [adjacent] Moultrie County without advertising in Coles and other adjacent counties.</w:t>
      </w:r>
      <w:r w:rsidR="00FB1D09">
        <w:rPr>
          <w:rFonts w:ascii="Baskerville" w:hAnsi="Baskerville" w:cs="Baskerville"/>
          <w:sz w:val="22"/>
          <w:szCs w:val="22"/>
        </w:rPr>
        <w:t xml:space="preserve"> </w:t>
      </w:r>
      <w:r>
        <w:rPr>
          <w:rFonts w:ascii="Baskerville" w:hAnsi="Baskerville" w:cs="Baskerville"/>
          <w:sz w:val="22"/>
          <w:szCs w:val="22"/>
        </w:rPr>
        <w:t>Had the parties intended to prevent defendant from engaging in every adjacent county, the covenant should have so stated.</w:t>
      </w:r>
    </w:p>
    <w:p w14:paraId="40AEE815" w14:textId="584C54B0"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In </w:t>
      </w:r>
      <w:r>
        <w:rPr>
          <w:rFonts w:ascii="Baskerville" w:hAnsi="Baskerville" w:cs="Baskerville"/>
          <w:i/>
          <w:iCs/>
          <w:sz w:val="22"/>
          <w:szCs w:val="22"/>
        </w:rPr>
        <w:t>Jackson v. Hammer</w:t>
      </w:r>
      <w:r>
        <w:rPr>
          <w:rFonts w:ascii="Baskerville" w:hAnsi="Baskerville" w:cs="Baskerville"/>
          <w:sz w:val="22"/>
          <w:szCs w:val="22"/>
        </w:rPr>
        <w:t xml:space="preserve"> (1995), 274 Ill. App. 3d 59, 64, 210 Ill. Dec. 614, 618, 653 N.E.2d 809, 813, this court stated that the sellers of a hobby store apparently violated the terms of a noncompete clause by mailing advertising flyers to their former customers within the noncompete area.</w:t>
      </w:r>
      <w:r w:rsidR="00FB1D09">
        <w:rPr>
          <w:rFonts w:ascii="Baskerville" w:hAnsi="Baskerville" w:cs="Baskerville"/>
          <w:sz w:val="22"/>
          <w:szCs w:val="22"/>
        </w:rPr>
        <w:t xml:space="preserve"> </w:t>
      </w:r>
      <w:r>
        <w:rPr>
          <w:rFonts w:ascii="Baskerville" w:hAnsi="Baskerville" w:cs="Baskerville"/>
          <w:sz w:val="22"/>
          <w:szCs w:val="22"/>
        </w:rPr>
        <w:t>The present case is distinguishable.</w:t>
      </w:r>
      <w:r w:rsidR="00FB1D09">
        <w:rPr>
          <w:rFonts w:ascii="Baskerville" w:hAnsi="Baskerville" w:cs="Baskerville"/>
          <w:sz w:val="22"/>
          <w:szCs w:val="22"/>
        </w:rPr>
        <w:t xml:space="preserve"> </w:t>
      </w:r>
      <w:r>
        <w:rPr>
          <w:rFonts w:ascii="Baskerville" w:hAnsi="Baskerville" w:cs="Baskerville"/>
          <w:sz w:val="22"/>
          <w:szCs w:val="22"/>
        </w:rPr>
        <w:t xml:space="preserve">In </w:t>
      </w:r>
      <w:r>
        <w:rPr>
          <w:rFonts w:ascii="Baskerville" w:hAnsi="Baskerville" w:cs="Baskerville"/>
          <w:i/>
          <w:iCs/>
          <w:sz w:val="22"/>
          <w:szCs w:val="22"/>
        </w:rPr>
        <w:t>Jackson</w:t>
      </w:r>
      <w:r>
        <w:rPr>
          <w:rFonts w:ascii="Baskerville" w:hAnsi="Baskerville" w:cs="Baskerville"/>
          <w:sz w:val="22"/>
          <w:szCs w:val="22"/>
        </w:rPr>
        <w:t>, the sellers targeted specific customers with special interests within the noncompete area.</w:t>
      </w:r>
      <w:r w:rsidR="00FB1D09">
        <w:rPr>
          <w:rFonts w:ascii="Baskerville" w:hAnsi="Baskerville" w:cs="Baskerville"/>
          <w:sz w:val="22"/>
          <w:szCs w:val="22"/>
        </w:rPr>
        <w:t xml:space="preserve"> </w:t>
      </w:r>
      <w:r>
        <w:rPr>
          <w:rFonts w:ascii="Baskerville" w:hAnsi="Baskerville" w:cs="Baskerville"/>
          <w:sz w:val="22"/>
          <w:szCs w:val="22"/>
        </w:rPr>
        <w:t xml:space="preserve">Although [the seller in the instant case] hoped to reach Coles County residents with his [newspaper and radio] advertisements, he did not engage in the same sort of </w:t>
      </w:r>
      <w:r>
        <w:rPr>
          <w:rFonts w:ascii="Baskerville" w:hAnsi="Baskerville" w:cs="Baskerville"/>
          <w:i/>
          <w:iCs/>
          <w:sz w:val="22"/>
          <w:szCs w:val="22"/>
        </w:rPr>
        <w:t>targeted marketing</w:t>
      </w:r>
      <w:r>
        <w:rPr>
          <w:rFonts w:ascii="Baskerville" w:hAnsi="Baskerville" w:cs="Baskerville"/>
          <w:sz w:val="22"/>
          <w:szCs w:val="22"/>
        </w:rPr>
        <w:t xml:space="preserve"> as the sellers in </w:t>
      </w:r>
      <w:r>
        <w:rPr>
          <w:rFonts w:ascii="Baskerville" w:hAnsi="Baskerville" w:cs="Baskerville"/>
          <w:i/>
          <w:iCs/>
          <w:sz w:val="22"/>
          <w:szCs w:val="22"/>
        </w:rPr>
        <w:t>Jackson</w:t>
      </w:r>
      <w:r>
        <w:rPr>
          <w:rFonts w:ascii="Baskerville" w:hAnsi="Baskerville" w:cs="Baskerville"/>
          <w:sz w:val="22"/>
          <w:szCs w:val="22"/>
        </w:rPr>
        <w:t>.</w:t>
      </w:r>
    </w:p>
    <w:p w14:paraId="110A4B98" w14:textId="77777777" w:rsidR="00655396" w:rsidRDefault="00655396" w:rsidP="008B512B">
      <w:pPr>
        <w:pStyle w:val="BodyText"/>
        <w:spacing w:line="240" w:lineRule="auto"/>
      </w:pPr>
    </w:p>
    <w:p w14:paraId="5302B127"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xml:space="preserve"> at 992 (emphasis added).</w:t>
      </w:r>
    </w:p>
    <w:p w14:paraId="29530215" w14:textId="324961FC"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En route to interpreting the phrase “engaging in the </w:t>
      </w:r>
      <w:r w:rsidR="00944F63">
        <w:rPr>
          <w:rFonts w:ascii="Baskerville" w:hAnsi="Baskerville" w:cs="Baskerville"/>
        </w:rPr>
        <w:t>…</w:t>
      </w:r>
      <w:r>
        <w:rPr>
          <w:rFonts w:ascii="Baskerville" w:hAnsi="Baskerville" w:cs="Baskerville"/>
        </w:rPr>
        <w:t xml:space="preserve"> business of” not to include advertising, the court stressed that, because the record did not support the trial court’s finding that the buyer of the business was the sole drafter of the covenant, there was “no need to construe the covenant narrowly against [the seller].”</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991.</w:t>
      </w:r>
      <w:r w:rsidR="00FB1D09">
        <w:rPr>
          <w:rFonts w:ascii="Baskerville" w:hAnsi="Baskerville" w:cs="Baskerville"/>
        </w:rPr>
        <w:t xml:space="preserve"> </w:t>
      </w:r>
      <w:r>
        <w:rPr>
          <w:rFonts w:ascii="Baskerville" w:hAnsi="Baskerville" w:cs="Baskerville"/>
        </w:rPr>
        <w:t>The court had already noted:</w:t>
      </w:r>
    </w:p>
    <w:p w14:paraId="70839C18" w14:textId="77777777" w:rsidR="00655396" w:rsidRDefault="00655396" w:rsidP="008B512B">
      <w:pPr>
        <w:pStyle w:val="BodyText"/>
        <w:spacing w:line="240" w:lineRule="auto"/>
      </w:pPr>
    </w:p>
    <w:p w14:paraId="040834F7" w14:textId="3CA6571E"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In general, the meaning to be given the plain words of a written instrument is a question of law for the court’s determination, where the parties have attached no unusual or peculiar meaning to the words.</w:t>
      </w:r>
      <w:r w:rsidR="00FB1D09">
        <w:rPr>
          <w:rFonts w:ascii="Baskerville" w:hAnsi="Baskerville" w:cs="Baskerville"/>
          <w:sz w:val="22"/>
          <w:szCs w:val="22"/>
        </w:rPr>
        <w:t xml:space="preserve"> </w:t>
      </w:r>
      <w:r>
        <w:rPr>
          <w:rFonts w:ascii="Baskerville" w:hAnsi="Baskerville" w:cs="Baskerville"/>
          <w:sz w:val="22"/>
          <w:szCs w:val="22"/>
        </w:rPr>
        <w:t>(</w:t>
      </w:r>
      <w:r>
        <w:rPr>
          <w:rFonts w:ascii="Baskerville" w:hAnsi="Baskerville" w:cs="Baskerville"/>
          <w:i/>
          <w:iCs/>
          <w:sz w:val="22"/>
          <w:szCs w:val="22"/>
        </w:rPr>
        <w:t>Hagerty, Lockenvitz, Ginzkey &amp; Associates v. Ginzkey</w:t>
      </w:r>
      <w:r>
        <w:rPr>
          <w:rFonts w:ascii="Baskerville" w:hAnsi="Baskerville" w:cs="Baskerville"/>
          <w:sz w:val="22"/>
          <w:szCs w:val="22"/>
        </w:rPr>
        <w:t xml:space="preserve"> (1980), 85 Ill. App. 3d 640, 641, 40 Ill. Dec. 778, 779, 406 N.E.2d 1145, 1146.)</w:t>
      </w:r>
      <w:r w:rsidR="00FB1D09">
        <w:rPr>
          <w:rFonts w:ascii="Baskerville" w:hAnsi="Baskerville" w:cs="Baskerville"/>
          <w:sz w:val="22"/>
          <w:szCs w:val="22"/>
        </w:rPr>
        <w:t xml:space="preserve"> </w:t>
      </w:r>
      <w:r>
        <w:rPr>
          <w:rFonts w:ascii="Baskerville" w:hAnsi="Baskerville" w:cs="Baskerville"/>
          <w:sz w:val="22"/>
          <w:szCs w:val="22"/>
        </w:rPr>
        <w:t xml:space="preserve">In </w:t>
      </w:r>
      <w:r>
        <w:rPr>
          <w:rFonts w:ascii="Baskerville" w:hAnsi="Baskerville" w:cs="Baskerville"/>
          <w:sz w:val="22"/>
          <w:szCs w:val="22"/>
        </w:rPr>
        <w:lastRenderedPageBreak/>
        <w:t>the present case, there is no indication that the parties attached unusual or peculiar meanings to the words of the covenant.</w:t>
      </w:r>
    </w:p>
    <w:p w14:paraId="49E49F1A" w14:textId="0DB79815"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Courts often state that covenants not to compete must be strictly construed</w:t>
      </w:r>
      <w:r w:rsidR="00FB1D09">
        <w:rPr>
          <w:rFonts w:ascii="Baskerville" w:hAnsi="Baskerville" w:cs="Baskerville"/>
          <w:sz w:val="22"/>
          <w:szCs w:val="22"/>
        </w:rPr>
        <w:t xml:space="preserve"> </w:t>
      </w:r>
      <w:r>
        <w:rPr>
          <w:rFonts w:ascii="Baskerville" w:hAnsi="Baskerville" w:cs="Baskerville"/>
          <w:sz w:val="22"/>
          <w:szCs w:val="22"/>
        </w:rPr>
        <w:t>and interpreted and any doubts or ambiguities resolved in favor of natural rights and against restriction.</w:t>
      </w:r>
      <w:r w:rsidR="00FB1D09">
        <w:rPr>
          <w:rFonts w:ascii="Baskerville" w:hAnsi="Baskerville" w:cs="Baskerville"/>
          <w:sz w:val="22"/>
          <w:szCs w:val="22"/>
        </w:rPr>
        <w:t xml:space="preserve"> </w:t>
      </w:r>
      <w:r w:rsidRPr="00E547EA">
        <w:rPr>
          <w:rFonts w:ascii="Baskerville" w:hAnsi="Baskerville" w:cs="Baskerville"/>
          <w:sz w:val="22"/>
          <w:szCs w:val="22"/>
          <w:lang w:val="nb-NO"/>
        </w:rPr>
        <w:t>(</w:t>
      </w:r>
      <w:r w:rsidRPr="00E547EA">
        <w:rPr>
          <w:rFonts w:ascii="Baskerville" w:hAnsi="Baskerville" w:cs="Baskerville"/>
          <w:i/>
          <w:iCs/>
          <w:sz w:val="22"/>
          <w:szCs w:val="22"/>
          <w:lang w:val="nb-NO"/>
        </w:rPr>
        <w:t>Hagerty</w:t>
      </w:r>
      <w:r w:rsidRPr="00E547EA">
        <w:rPr>
          <w:rFonts w:ascii="Baskerville" w:hAnsi="Baskerville" w:cs="Baskerville"/>
          <w:sz w:val="22"/>
          <w:szCs w:val="22"/>
          <w:lang w:val="nb-NO"/>
        </w:rPr>
        <w:t>, 85 Ill. App. 3d at 643–44, 40 Ill. Dec. at 780, 406 N.E.2d at 1147.)</w:t>
      </w:r>
      <w:r w:rsidR="00FB1D09">
        <w:rPr>
          <w:rFonts w:ascii="Baskerville" w:hAnsi="Baskerville" w:cs="Baskerville"/>
          <w:sz w:val="22"/>
          <w:szCs w:val="22"/>
          <w:lang w:val="nb-NO"/>
        </w:rPr>
        <w:t xml:space="preserve"> </w:t>
      </w:r>
      <w:r>
        <w:rPr>
          <w:rFonts w:ascii="Baskerville" w:hAnsi="Baskerville" w:cs="Baskerville"/>
          <w:sz w:val="22"/>
          <w:szCs w:val="22"/>
        </w:rPr>
        <w:t>Courts treat covenants not to compete with some suspicion because they operate in restraint of trade.</w:t>
      </w:r>
      <w:r w:rsidR="00FB1D09">
        <w:rPr>
          <w:rFonts w:ascii="Baskerville" w:hAnsi="Baskerville" w:cs="Baskerville"/>
          <w:sz w:val="22"/>
          <w:szCs w:val="22"/>
        </w:rPr>
        <w:t xml:space="preserve"> </w:t>
      </w:r>
      <w:r>
        <w:rPr>
          <w:rFonts w:ascii="Baskerville" w:hAnsi="Baskerville" w:cs="Baskerville"/>
          <w:sz w:val="22"/>
          <w:szCs w:val="22"/>
        </w:rPr>
        <w:t>(</w:t>
      </w:r>
      <w:r>
        <w:rPr>
          <w:rFonts w:ascii="Baskerville" w:hAnsi="Baskerville" w:cs="Baskerville"/>
          <w:i/>
          <w:iCs/>
          <w:sz w:val="22"/>
          <w:szCs w:val="22"/>
        </w:rPr>
        <w:t>Russell v. Jim Russell Supply, Inc.</w:t>
      </w:r>
      <w:r>
        <w:rPr>
          <w:rFonts w:ascii="Baskerville" w:hAnsi="Baskerville" w:cs="Baskerville"/>
          <w:sz w:val="22"/>
          <w:szCs w:val="22"/>
        </w:rPr>
        <w:t xml:space="preserve"> (1990), 200 Ill. App. 3d 855, 864, 146 Ill. Dec. 152, 159, 558 N.E.2d 115, 122.)</w:t>
      </w:r>
      <w:r w:rsidR="00FB1D09">
        <w:rPr>
          <w:rFonts w:ascii="Baskerville" w:hAnsi="Baskerville" w:cs="Baskerville"/>
          <w:sz w:val="22"/>
          <w:szCs w:val="22"/>
        </w:rPr>
        <w:t xml:space="preserve"> </w:t>
      </w:r>
      <w:r>
        <w:rPr>
          <w:rFonts w:ascii="Baskerville" w:hAnsi="Baskerville" w:cs="Baskerville"/>
          <w:sz w:val="22"/>
          <w:szCs w:val="22"/>
        </w:rPr>
        <w:t>Restrictive covenants accompanying the purchase of assets are more favorably viewed than those connected with employer-employee arrangements because of the arm’s length bargaining position of the parties.</w:t>
      </w:r>
      <w:r w:rsidR="00FB1D09">
        <w:rPr>
          <w:rFonts w:ascii="Baskerville" w:hAnsi="Baskerville" w:cs="Baskerville"/>
          <w:sz w:val="22"/>
          <w:szCs w:val="22"/>
        </w:rPr>
        <w:t xml:space="preserve"> </w:t>
      </w:r>
      <w:r w:rsidRPr="00E547EA">
        <w:rPr>
          <w:rFonts w:ascii="Baskerville" w:hAnsi="Baskerville" w:cs="Baskerville"/>
          <w:sz w:val="22"/>
          <w:szCs w:val="22"/>
          <w:lang w:val="nb-NO"/>
        </w:rPr>
        <w:t>(</w:t>
      </w:r>
      <w:r w:rsidRPr="00E547EA">
        <w:rPr>
          <w:rFonts w:ascii="Baskerville" w:hAnsi="Baskerville" w:cs="Baskerville"/>
          <w:i/>
          <w:iCs/>
          <w:sz w:val="22"/>
          <w:szCs w:val="22"/>
          <w:lang w:val="nb-NO"/>
        </w:rPr>
        <w:t>Russell</w:t>
      </w:r>
      <w:r w:rsidRPr="00E547EA">
        <w:rPr>
          <w:rFonts w:ascii="Baskerville" w:hAnsi="Baskerville" w:cs="Baskerville"/>
          <w:sz w:val="22"/>
          <w:szCs w:val="22"/>
          <w:lang w:val="nb-NO"/>
        </w:rPr>
        <w:t>, 200 Ill. App. 3d at 865, 146 Ill. Dec. at 160, 558 N.E.2d at 123.)</w:t>
      </w:r>
      <w:r w:rsidR="00FB1D09">
        <w:rPr>
          <w:rFonts w:ascii="Baskerville" w:hAnsi="Baskerville" w:cs="Baskerville"/>
          <w:sz w:val="22"/>
          <w:szCs w:val="22"/>
          <w:lang w:val="nb-NO"/>
        </w:rPr>
        <w:t xml:space="preserve"> </w:t>
      </w:r>
      <w:r>
        <w:rPr>
          <w:rFonts w:ascii="Baskerville" w:hAnsi="Baskerville" w:cs="Baskerville"/>
          <w:sz w:val="22"/>
          <w:szCs w:val="22"/>
        </w:rPr>
        <w:t>These covenants are often necessary to protect property interests.</w:t>
      </w:r>
      <w:r w:rsidR="00FB1D09">
        <w:rPr>
          <w:rFonts w:ascii="Baskerville" w:hAnsi="Baskerville" w:cs="Baskerville"/>
          <w:sz w:val="22"/>
          <w:szCs w:val="22"/>
        </w:rPr>
        <w:t xml:space="preserve"> </w:t>
      </w:r>
      <w:r>
        <w:rPr>
          <w:rFonts w:ascii="Baskerville" w:hAnsi="Baskerville" w:cs="Baskerville"/>
          <w:sz w:val="22"/>
          <w:szCs w:val="22"/>
        </w:rPr>
        <w:t>“A covenant ancillary to the sale of a business ensures the buyer that the former owner will not walk away from the sale with the company’s customers and good will, leaving the buyer with an acquisition that turns out to be only chimerical.”</w:t>
      </w:r>
      <w:r w:rsidR="00FB1D09">
        <w:rPr>
          <w:rFonts w:ascii="Baskerville" w:hAnsi="Baskerville" w:cs="Baskerville"/>
          <w:sz w:val="22"/>
          <w:szCs w:val="22"/>
        </w:rPr>
        <w:t xml:space="preserve"> </w:t>
      </w:r>
      <w:r>
        <w:rPr>
          <w:rFonts w:ascii="Baskerville" w:hAnsi="Baskerville" w:cs="Baskerville"/>
          <w:i/>
          <w:iCs/>
          <w:sz w:val="22"/>
          <w:szCs w:val="22"/>
        </w:rPr>
        <w:t>Central Water Works Supply, Inc. v. Fisher</w:t>
      </w:r>
      <w:r>
        <w:rPr>
          <w:rFonts w:ascii="Baskerville" w:hAnsi="Baskerville" w:cs="Baskerville"/>
          <w:sz w:val="22"/>
          <w:szCs w:val="22"/>
        </w:rPr>
        <w:t xml:space="preserve"> ([4th Dist.] 1993), 240 Ill. App. 3d 952, 957, 181 Ill. Dec. 545, 549, 608 N.E.2d 618, 622.</w:t>
      </w:r>
    </w:p>
    <w:p w14:paraId="62B88B33" w14:textId="77777777" w:rsidR="00655396" w:rsidRDefault="00655396" w:rsidP="008B512B">
      <w:pPr>
        <w:pStyle w:val="BodyText"/>
        <w:spacing w:line="240" w:lineRule="auto"/>
      </w:pPr>
    </w:p>
    <w:p w14:paraId="5CC10CCD"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xml:space="preserve"> (pointing out that “covenant in question was part of a negotiated sales agreement between businessmen.”).</w:t>
      </w:r>
    </w:p>
    <w:p w14:paraId="7514F62D"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sz w:val="22"/>
          <w:szCs w:val="22"/>
          <w:u w:val="thick"/>
        </w:rPr>
      </w:pPr>
    </w:p>
    <w:p w14:paraId="40351728" w14:textId="79E0DD4D" w:rsidR="00655396" w:rsidRPr="00655396" w:rsidRDefault="00655396" w:rsidP="008B512B">
      <w:pPr>
        <w:pStyle w:val="HeadingCenter11"/>
        <w:spacing w:after="0" w:line="240" w:lineRule="auto"/>
        <w:rPr>
          <w:b w:val="0"/>
        </w:rPr>
      </w:pPr>
      <w:r w:rsidRPr="00655396">
        <w:rPr>
          <w:b w:val="0"/>
        </w:rPr>
        <w:t xml:space="preserve">“Enter into any agreement </w:t>
      </w:r>
      <w:r w:rsidR="00944F63">
        <w:rPr>
          <w:b w:val="0"/>
        </w:rPr>
        <w:t>…</w:t>
      </w:r>
      <w:r w:rsidRPr="00655396">
        <w:rPr>
          <w:b w:val="0"/>
        </w:rPr>
        <w:t xml:space="preserve"> with </w:t>
      </w:r>
      <w:r w:rsidR="00944F63">
        <w:rPr>
          <w:b w:val="0"/>
        </w:rPr>
        <w:t>…</w:t>
      </w:r>
      <w:r w:rsidRPr="00655396">
        <w:rPr>
          <w:b w:val="0"/>
        </w:rPr>
        <w:t>”</w:t>
      </w:r>
    </w:p>
    <w:p w14:paraId="4FC62848" w14:textId="67E68D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In </w:t>
      </w:r>
      <w:r>
        <w:rPr>
          <w:rFonts w:ascii="Baskerville" w:hAnsi="Baskerville" w:cs="Baskerville"/>
          <w:i/>
          <w:iCs/>
        </w:rPr>
        <w:t>Emergency Medical Care, Inc. v. Marion Memorial Hospital</w:t>
      </w:r>
      <w:r>
        <w:rPr>
          <w:rFonts w:ascii="Baskerville" w:hAnsi="Baskerville" w:cs="Baskerville"/>
        </w:rPr>
        <w:t>, 94 F.3d 1059 (7th Cir. 1996), the Seventh Circuit was called upon to construe under Illinois law an anti-raiding/liquidated damages clause (Paragraph J) in an emergency room physician-staffing contract between Marion Memorial Hospital and Emergency Medical Care, Inc. (EMC), a medical organization that once supplied the hospital with physicians to staff its emergency room.</w:t>
      </w:r>
      <w:r w:rsidR="00FB1D09">
        <w:rPr>
          <w:rFonts w:ascii="Baskerville" w:hAnsi="Baskerville" w:cs="Baskerville"/>
        </w:rPr>
        <w:t xml:space="preserve"> </w:t>
      </w:r>
      <w:r>
        <w:rPr>
          <w:rFonts w:ascii="Baskerville" w:hAnsi="Baskerville" w:cs="Baskerville"/>
        </w:rPr>
        <w:t>Paragraph J provided that the Hospital would not “</w:t>
      </w:r>
      <w:r>
        <w:rPr>
          <w:rFonts w:ascii="Baskerville" w:hAnsi="Baskerville" w:cs="Baskerville"/>
          <w:i/>
          <w:iCs/>
        </w:rPr>
        <w:t>directly or indirectly enter into any agreement</w:t>
      </w:r>
      <w:r>
        <w:rPr>
          <w:rFonts w:ascii="Baskerville" w:hAnsi="Baskerville" w:cs="Baskerville"/>
        </w:rPr>
        <w:t xml:space="preserve"> covering the same or similar services as are provided herein </w:t>
      </w:r>
      <w:r>
        <w:rPr>
          <w:rFonts w:ascii="Baskerville" w:hAnsi="Baskerville" w:cs="Baskerville"/>
          <w:i/>
          <w:iCs/>
        </w:rPr>
        <w:t>with</w:t>
      </w:r>
      <w:r>
        <w:rPr>
          <w:rFonts w:ascii="Baskerville" w:hAnsi="Baskerville" w:cs="Baskerville"/>
        </w:rPr>
        <w:t xml:space="preserve"> any physician introduced to it by EMC or with whom it came into a business or professional relationship as a result of this Agreemen</w:t>
      </w:r>
      <w:r w:rsidR="00944F63">
        <w:rPr>
          <w:rFonts w:ascii="Baskerville" w:hAnsi="Baskerville" w:cs="Baskerville"/>
        </w:rPr>
        <w:t>t…</w:t>
      </w:r>
      <w:r>
        <w:t> </w:t>
      </w:r>
      <w:r>
        <w:rPr>
          <w:rFonts w:ascii="Baskerville" w:hAnsi="Baskerville" w:cs="Baskerville"/>
        </w:rPr>
        <w:t>.”</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1060 (emphasis added).</w:t>
      </w:r>
      <w:r w:rsidR="00FB1D09">
        <w:rPr>
          <w:rFonts w:ascii="Baskerville" w:hAnsi="Baskerville" w:cs="Baskerville"/>
        </w:rPr>
        <w:t xml:space="preserve"> </w:t>
      </w:r>
      <w:r>
        <w:rPr>
          <w:rFonts w:ascii="Baskerville" w:hAnsi="Baskerville" w:cs="Baskerville"/>
        </w:rPr>
        <w:t>The hospital’s contract with EMC was properly terminated, and it subsequently entered into a contract with a third party, Healthline Management, Inc. (HMI), to supply it with physicians to staff the hospital’s emergency room.</w:t>
      </w:r>
      <w:r w:rsidR="00FB1D09">
        <w:rPr>
          <w:rFonts w:ascii="Baskerville" w:hAnsi="Baskerville" w:cs="Baskerville"/>
        </w:rPr>
        <w:t xml:space="preserve"> </w:t>
      </w:r>
      <w:r>
        <w:rPr>
          <w:rFonts w:ascii="Baskerville" w:hAnsi="Baskerville" w:cs="Baskerville"/>
        </w:rPr>
        <w:lastRenderedPageBreak/>
        <w:t>When HMI scheduled a number of physicians who had previously been affiliated with EMC to staff the hospital’s emergency room, EMC filed suit charging that the hospital had breached Paragraph J.</w:t>
      </w:r>
    </w:p>
    <w:p w14:paraId="00042854" w14:textId="530B8B98"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On the parties’ cross-motions for summary judgment, the U.S. District Court for the Southern District of Illinois entered summary judgment in favor of the hospital on finding that the hospital had not itself hired the physicians about whom EMC complained.</w:t>
      </w:r>
      <w:r w:rsidR="00FB1D09">
        <w:rPr>
          <w:rFonts w:ascii="Baskerville" w:hAnsi="Baskerville" w:cs="Baskerville"/>
        </w:rPr>
        <w:t xml:space="preserve"> </w:t>
      </w:r>
      <w:r>
        <w:rPr>
          <w:rFonts w:ascii="Baskerville" w:hAnsi="Baskerville" w:cs="Baskerville"/>
          <w:i/>
          <w:iCs/>
        </w:rPr>
        <w:t>Id.</w:t>
      </w:r>
    </w:p>
    <w:p w14:paraId="3A8BCDA5" w14:textId="0F897FAA"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On appeal, the Seventh Circuit affirmed, insisting that the clause phrase “directly or indirectly” would not be construed to mean “use or utilize.”</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1061.</w:t>
      </w:r>
      <w:r w:rsidR="00FB1D09">
        <w:rPr>
          <w:rFonts w:ascii="Baskerville" w:hAnsi="Baskerville" w:cs="Baskerville"/>
        </w:rPr>
        <w:t xml:space="preserve"> </w:t>
      </w:r>
      <w:r>
        <w:rPr>
          <w:rFonts w:ascii="Baskerville" w:hAnsi="Baskerville" w:cs="Baskerville"/>
        </w:rPr>
        <w:t>The court also determined that the hospital’s agreement to credential physicians associated with HMI was not a “direct agreement” with the physicians at issue such as to violate the agreement with EMC.</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1061 n.1.</w:t>
      </w:r>
      <w:r w:rsidR="00CD7A12">
        <w:rPr>
          <w:rFonts w:ascii="Baskerville" w:hAnsi="Baskerville" w:cs="Baskerville"/>
        </w:rPr>
        <w:t xml:space="preserve"> </w:t>
      </w:r>
      <w:r>
        <w:rPr>
          <w:rFonts w:ascii="Baskerville" w:hAnsi="Baskerville" w:cs="Baskerville"/>
        </w:rPr>
        <w:t>The court explained:</w:t>
      </w:r>
    </w:p>
    <w:p w14:paraId="205D1673" w14:textId="77777777" w:rsidR="00655396" w:rsidRDefault="00655396" w:rsidP="008B512B">
      <w:pPr>
        <w:pStyle w:val="BodyText"/>
        <w:spacing w:line="240" w:lineRule="auto"/>
        <w:rPr>
          <w:sz w:val="12"/>
          <w:szCs w:val="12"/>
        </w:rPr>
      </w:pPr>
    </w:p>
    <w:p w14:paraId="2E330382" w14:textId="7C2FDF1C"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[B]ecause Illinois courts favor fair competition and disfavor restraints of trade, we must strictly construe noncompetition agreements against the party seeking restriction.</w:t>
      </w:r>
      <w:r w:rsidR="00FB1D09">
        <w:rPr>
          <w:rFonts w:ascii="Baskerville" w:hAnsi="Baskerville" w:cs="Baskerville"/>
          <w:sz w:val="22"/>
          <w:szCs w:val="22"/>
        </w:rPr>
        <w:t xml:space="preserve"> </w:t>
      </w:r>
      <w:r>
        <w:rPr>
          <w:rFonts w:ascii="Baskerville" w:hAnsi="Baskerville" w:cs="Baskerville"/>
          <w:i/>
          <w:iCs/>
          <w:sz w:val="22"/>
          <w:szCs w:val="22"/>
        </w:rPr>
        <w:t>Diepholz v. Rutledge</w:t>
      </w:r>
      <w:r>
        <w:rPr>
          <w:rFonts w:ascii="Baskerville" w:hAnsi="Baskerville" w:cs="Baskerville"/>
          <w:sz w:val="22"/>
          <w:szCs w:val="22"/>
        </w:rPr>
        <w:t xml:space="preserve">, 276 </w:t>
      </w:r>
      <w:r>
        <w:rPr>
          <w:rFonts w:ascii="Baskerville" w:hAnsi="Baskerville" w:cs="Baskerville"/>
          <w:sz w:val="22"/>
          <w:szCs w:val="22"/>
        </w:rPr>
        <w:br/>
        <w:t>Ill. App. 3d 1013, 213, Ill. Dec. 643, 645, 659 N.E.2d 989, 991 (1995).</w:t>
      </w:r>
    </w:p>
    <w:p w14:paraId="761A61DF"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p>
    <w:p w14:paraId="6D29AB6F" w14:textId="77777777" w:rsidR="00655396" w:rsidRDefault="00655396" w:rsidP="008B512B">
      <w:pPr>
        <w:pStyle w:val="NoParagraphStyle"/>
        <w:tabs>
          <w:tab w:val="left" w:pos="960"/>
          <w:tab w:val="left" w:pos="1440"/>
        </w:tabs>
        <w:spacing w:line="240" w:lineRule="auto"/>
        <w:ind w:left="480"/>
        <w:jc w:val="center"/>
        <w:rPr>
          <w:rFonts w:ascii="Baskerville" w:hAnsi="Baskerville" w:cs="Baskerville"/>
          <w:sz w:val="22"/>
          <w:szCs w:val="22"/>
        </w:rPr>
      </w:pPr>
      <w:r>
        <w:rPr>
          <w:rFonts w:ascii="Baskerville" w:hAnsi="Baskerville" w:cs="Baskerville"/>
          <w:sz w:val="22"/>
          <w:szCs w:val="22"/>
        </w:rPr>
        <w:t>* * * *</w:t>
      </w:r>
    </w:p>
    <w:p w14:paraId="72A2B23D" w14:textId="0D50789E"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This case comes down to the meaning of the phrase “directly or indirectly enter into any agreement </w:t>
      </w:r>
      <w:r w:rsidR="00944F63">
        <w:rPr>
          <w:rFonts w:ascii="Baskerville" w:hAnsi="Baskerville" w:cs="Baskerville"/>
          <w:sz w:val="22"/>
          <w:szCs w:val="22"/>
        </w:rPr>
        <w:t>…</w:t>
      </w:r>
      <w:r>
        <w:rPr>
          <w:rFonts w:ascii="Baskerville" w:hAnsi="Baskerville" w:cs="Baskerville"/>
          <w:sz w:val="22"/>
          <w:szCs w:val="22"/>
        </w:rPr>
        <w:t xml:space="preserve"> with [a former EMC-affiliated] physician.</w:t>
      </w:r>
      <w:r w:rsidR="00FB1D09">
        <w:rPr>
          <w:rFonts w:ascii="Baskerville" w:hAnsi="Baskerville" w:cs="Baskerville"/>
          <w:sz w:val="22"/>
          <w:szCs w:val="22"/>
        </w:rPr>
        <w:t xml:space="preserve"> </w:t>
      </w:r>
      <w:r>
        <w:rPr>
          <w:rFonts w:ascii="Baskerville" w:hAnsi="Baskerville" w:cs="Baskerville"/>
          <w:sz w:val="22"/>
          <w:szCs w:val="22"/>
        </w:rPr>
        <w:t>Because these terms are not defined in the agreement, we look to their common and ordinary meaning.</w:t>
      </w:r>
      <w:r w:rsidR="00FB1D09">
        <w:rPr>
          <w:rFonts w:ascii="Baskerville" w:hAnsi="Baskerville" w:cs="Baskerville"/>
          <w:sz w:val="22"/>
          <w:szCs w:val="22"/>
        </w:rPr>
        <w:t xml:space="preserve"> </w:t>
      </w:r>
      <w:r>
        <w:rPr>
          <w:rFonts w:ascii="Baskerville" w:hAnsi="Baskerville" w:cs="Baskerville"/>
          <w:i/>
          <w:iCs/>
          <w:sz w:val="22"/>
          <w:szCs w:val="22"/>
        </w:rPr>
        <w:t>Church</w:t>
      </w:r>
      <w:r>
        <w:rPr>
          <w:rFonts w:ascii="Baskerville" w:hAnsi="Baskerville" w:cs="Baskerville"/>
          <w:sz w:val="22"/>
          <w:szCs w:val="22"/>
        </w:rPr>
        <w:t xml:space="preserve"> [</w:t>
      </w:r>
      <w:r>
        <w:rPr>
          <w:rFonts w:ascii="Baskerville" w:hAnsi="Baskerville" w:cs="Baskerville"/>
          <w:i/>
          <w:iCs/>
          <w:sz w:val="22"/>
          <w:szCs w:val="22"/>
        </w:rPr>
        <w:t>v. General Motors Corp.</w:t>
      </w:r>
      <w:r>
        <w:rPr>
          <w:rFonts w:ascii="Baskerville" w:hAnsi="Baskerville" w:cs="Baskerville"/>
          <w:sz w:val="22"/>
          <w:szCs w:val="22"/>
        </w:rPr>
        <w:t>, 74 F.3d 795, 799 (7th Cir. 1996)].</w:t>
      </w:r>
      <w:r w:rsidR="00FB1D09">
        <w:rPr>
          <w:rFonts w:ascii="Baskerville" w:hAnsi="Baskerville" w:cs="Baskerville"/>
          <w:sz w:val="22"/>
          <w:szCs w:val="22"/>
        </w:rPr>
        <w:t xml:space="preserve"> </w:t>
      </w:r>
      <w:r>
        <w:rPr>
          <w:rFonts w:ascii="Baskerville" w:hAnsi="Baskerville" w:cs="Baskerville"/>
          <w:sz w:val="22"/>
          <w:szCs w:val="22"/>
        </w:rPr>
        <w:t>Both parties agree with this principle, but disagree with its application.</w:t>
      </w:r>
      <w:r w:rsidR="00FB1D09">
        <w:rPr>
          <w:rFonts w:ascii="Baskerville" w:hAnsi="Baskerville" w:cs="Baskerville"/>
          <w:sz w:val="22"/>
          <w:szCs w:val="22"/>
        </w:rPr>
        <w:t xml:space="preserve"> </w:t>
      </w:r>
      <w:r>
        <w:rPr>
          <w:rFonts w:ascii="Baskerville" w:hAnsi="Baskerville" w:cs="Baskerville"/>
          <w:sz w:val="22"/>
          <w:szCs w:val="22"/>
        </w:rPr>
        <w:t>The Hospital asserts that it did not breach the agreement because it did not enter into any agreement “with” the physicians in question.</w:t>
      </w:r>
      <w:r w:rsidR="00FB1D09">
        <w:rPr>
          <w:rFonts w:ascii="Baskerville" w:hAnsi="Baskerville" w:cs="Baskerville"/>
          <w:sz w:val="22"/>
          <w:szCs w:val="22"/>
        </w:rPr>
        <w:t xml:space="preserve"> </w:t>
      </w:r>
      <w:r>
        <w:rPr>
          <w:rFonts w:ascii="Baskerville" w:hAnsi="Baskerville" w:cs="Baskerville"/>
          <w:sz w:val="22"/>
          <w:szCs w:val="22"/>
        </w:rPr>
        <w:t>In its complaint and before the district court, EMC argued that the language in question prohibited the Hospital from “using or utilizing” these physicians.</w:t>
      </w:r>
      <w:r w:rsidR="00FB1D09">
        <w:rPr>
          <w:rFonts w:ascii="Baskerville" w:hAnsi="Baskerville" w:cs="Baskerville"/>
          <w:sz w:val="22"/>
          <w:szCs w:val="22"/>
        </w:rPr>
        <w:t xml:space="preserve"> </w:t>
      </w:r>
      <w:r>
        <w:rPr>
          <w:rFonts w:ascii="Baskerville" w:hAnsi="Baskerville" w:cs="Baskerville"/>
          <w:sz w:val="22"/>
          <w:szCs w:val="22"/>
        </w:rPr>
        <w:t>In this court, EMC continues to argue that “directly or indirectly” means “use or utilize.”</w:t>
      </w:r>
    </w:p>
    <w:p w14:paraId="669CC42C" w14:textId="301CF895"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After considering both parties’ arguments, we come down on the side of the Hospital.</w:t>
      </w:r>
      <w:r w:rsidR="00FB1D09">
        <w:rPr>
          <w:rFonts w:ascii="Baskerville" w:hAnsi="Baskerville" w:cs="Baskerville"/>
          <w:sz w:val="22"/>
          <w:szCs w:val="22"/>
        </w:rPr>
        <w:t xml:space="preserve"> </w:t>
      </w:r>
      <w:r>
        <w:rPr>
          <w:rFonts w:ascii="Baskerville" w:hAnsi="Baskerville" w:cs="Baskerville"/>
          <w:sz w:val="22"/>
          <w:szCs w:val="22"/>
        </w:rPr>
        <w:t>Given our mandate to look to the precise language of Paragraph J, we simply do not see how the Hospital’s arrangement with HMI constitutes an agreement between the Hospital and the physicians.</w:t>
      </w:r>
      <w:r w:rsidR="00FB1D09">
        <w:rPr>
          <w:rFonts w:ascii="Baskerville" w:hAnsi="Baskerville" w:cs="Baskerville"/>
          <w:sz w:val="22"/>
          <w:szCs w:val="22"/>
        </w:rPr>
        <w:t xml:space="preserve"> </w:t>
      </w:r>
      <w:r>
        <w:rPr>
          <w:rFonts w:ascii="Baskerville" w:hAnsi="Baskerville" w:cs="Baskerville"/>
          <w:sz w:val="22"/>
          <w:szCs w:val="22"/>
        </w:rPr>
        <w:t>EMC concedes that it is not a “direct” agreement, but insists that it falls squarely within the “indirect” clause of Paragraph J.</w:t>
      </w:r>
      <w:r w:rsidR="00FB1D09">
        <w:rPr>
          <w:rFonts w:ascii="Baskerville" w:hAnsi="Baskerville" w:cs="Baskerville"/>
          <w:sz w:val="22"/>
          <w:szCs w:val="22"/>
        </w:rPr>
        <w:t xml:space="preserve"> </w:t>
      </w:r>
      <w:r>
        <w:rPr>
          <w:rFonts w:ascii="Baskerville" w:hAnsi="Baskerville" w:cs="Baskerville"/>
          <w:sz w:val="22"/>
          <w:szCs w:val="22"/>
        </w:rPr>
        <w:t xml:space="preserve">We have a hard time divining what might constitute an indirect agreement </w:t>
      </w:r>
      <w:r>
        <w:rPr>
          <w:rFonts w:ascii="Baskerville" w:hAnsi="Baskerville" w:cs="Baskerville"/>
          <w:i/>
          <w:iCs/>
          <w:sz w:val="22"/>
          <w:szCs w:val="22"/>
        </w:rPr>
        <w:t>with</w:t>
      </w:r>
      <w:r>
        <w:rPr>
          <w:rFonts w:ascii="Baskerville" w:hAnsi="Baskerville" w:cs="Baskerville"/>
          <w:sz w:val="22"/>
          <w:szCs w:val="22"/>
        </w:rPr>
        <w:t xml:space="preserve"> the physicians.</w:t>
      </w:r>
      <w:r w:rsidR="00FB1D09">
        <w:rPr>
          <w:rFonts w:ascii="Baskerville" w:hAnsi="Baskerville" w:cs="Baskerville"/>
          <w:sz w:val="22"/>
          <w:szCs w:val="22"/>
        </w:rPr>
        <w:t xml:space="preserve"> </w:t>
      </w:r>
      <w:r>
        <w:rPr>
          <w:rFonts w:ascii="Baskerville" w:hAnsi="Baskerville" w:cs="Baskerville"/>
          <w:sz w:val="22"/>
          <w:szCs w:val="22"/>
        </w:rPr>
        <w:t>Of course, this is not to say that the “indirectly” language is meaningless.</w:t>
      </w:r>
      <w:r w:rsidR="00FB1D09">
        <w:rPr>
          <w:rFonts w:ascii="Baskerville" w:hAnsi="Baskerville" w:cs="Baskerville"/>
          <w:sz w:val="22"/>
          <w:szCs w:val="22"/>
        </w:rPr>
        <w:t xml:space="preserve"> </w:t>
      </w:r>
      <w:r>
        <w:rPr>
          <w:rFonts w:ascii="Baskerville" w:hAnsi="Baskerville" w:cs="Baskerville"/>
          <w:sz w:val="22"/>
          <w:szCs w:val="22"/>
        </w:rPr>
        <w:t xml:space="preserve">While we are unsure what it </w:t>
      </w:r>
      <w:r>
        <w:rPr>
          <w:rFonts w:ascii="Baskerville" w:hAnsi="Baskerville" w:cs="Baskerville"/>
          <w:sz w:val="22"/>
          <w:szCs w:val="22"/>
        </w:rPr>
        <w:lastRenderedPageBreak/>
        <w:t>might encompass, we are sure that it does not cover the HMI agreement.</w:t>
      </w:r>
      <w:r w:rsidR="00FB1D09">
        <w:rPr>
          <w:rFonts w:ascii="Baskerville" w:hAnsi="Baskerville" w:cs="Baskerville"/>
          <w:sz w:val="22"/>
          <w:szCs w:val="22"/>
        </w:rPr>
        <w:t xml:space="preserve"> </w:t>
      </w:r>
      <w:r>
        <w:rPr>
          <w:rFonts w:ascii="Baskerville" w:hAnsi="Baskerville" w:cs="Baskerville"/>
          <w:sz w:val="22"/>
          <w:szCs w:val="22"/>
        </w:rPr>
        <w:t>EMC has not provided any examples, relying instead on its argument that the provision really means “use and utilize.”</w:t>
      </w:r>
    </w:p>
    <w:p w14:paraId="271EA91F" w14:textId="706275D0"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EMC quotes a dictionary definition of “indirect” in an effort to demonstrate that the Hospital’s agreement with HMI constitutes am “indirect” agreement with the physicians.</w:t>
      </w:r>
      <w:r w:rsidR="00FB1D09">
        <w:rPr>
          <w:rFonts w:ascii="Baskerville" w:hAnsi="Baskerville" w:cs="Baskerville"/>
          <w:sz w:val="22"/>
          <w:szCs w:val="22"/>
        </w:rPr>
        <w:t xml:space="preserve"> </w:t>
      </w:r>
      <w:r>
        <w:rPr>
          <w:rFonts w:ascii="Baskerville" w:hAnsi="Baskerville" w:cs="Baskerville"/>
          <w:sz w:val="22"/>
          <w:szCs w:val="22"/>
        </w:rPr>
        <w:t xml:space="preserve">It then extrapolates from the definitions, which include “not straightforward and open,” to argue that “the parties intended to prevent the Hospital from utilizing the EMC[-]provided physicians by </w:t>
      </w:r>
      <w:r>
        <w:rPr>
          <w:rFonts w:ascii="Baskerville" w:hAnsi="Baskerville" w:cs="Baskerville"/>
          <w:i/>
          <w:iCs/>
          <w:sz w:val="22"/>
          <w:szCs w:val="22"/>
        </w:rPr>
        <w:t>any</w:t>
      </w:r>
      <w:r>
        <w:rPr>
          <w:rFonts w:ascii="Baskerville" w:hAnsi="Baskerville" w:cs="Baskerville"/>
          <w:sz w:val="22"/>
          <w:szCs w:val="22"/>
        </w:rPr>
        <w:t xml:space="preserve"> means within the agreement period.”</w:t>
      </w:r>
      <w:r w:rsidR="00FB1D09">
        <w:rPr>
          <w:rFonts w:ascii="Baskerville" w:hAnsi="Baskerville" w:cs="Baskerville"/>
          <w:sz w:val="22"/>
          <w:szCs w:val="22"/>
        </w:rPr>
        <w:t xml:space="preserve"> </w:t>
      </w:r>
      <w:r>
        <w:rPr>
          <w:rFonts w:ascii="Baskerville" w:hAnsi="Baskerville" w:cs="Baskerville"/>
          <w:sz w:val="22"/>
          <w:szCs w:val="22"/>
        </w:rPr>
        <w:t>This interpretation fails a common sense rule of contract interpretation because, had the parties intended to prevent the [H]ospital from “using or utilizing” any of the doctors formerly on EMC’s roster, the contract should have said so.</w:t>
      </w:r>
      <w:r w:rsidR="00FB1D09">
        <w:rPr>
          <w:rFonts w:ascii="Baskerville" w:hAnsi="Baskerville" w:cs="Baskerville"/>
          <w:sz w:val="22"/>
          <w:szCs w:val="22"/>
        </w:rPr>
        <w:t xml:space="preserve"> </w:t>
      </w:r>
      <w:r>
        <w:rPr>
          <w:rFonts w:ascii="Baskerville" w:hAnsi="Baskerville" w:cs="Baskerville"/>
          <w:i/>
          <w:iCs/>
          <w:sz w:val="22"/>
          <w:szCs w:val="22"/>
        </w:rPr>
        <w:t>See Diepholz</w:t>
      </w:r>
      <w:r>
        <w:rPr>
          <w:rFonts w:ascii="Baskerville" w:hAnsi="Baskerville" w:cs="Baskerville"/>
          <w:sz w:val="22"/>
          <w:szCs w:val="22"/>
        </w:rPr>
        <w:t xml:space="preserve">, 213 Ill. Dec. at 645, 659 N.E.2d at 991. </w:t>
      </w:r>
    </w:p>
    <w:p w14:paraId="5E4ADBA2" w14:textId="17F216AF"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To summarize: we conclude that Paragraph J is unambiguous and that the Hospital did not breach the provision by utilizing HMI doctors who previously had affiliated with EMC.</w:t>
      </w:r>
      <w:r w:rsidR="00FB1D09">
        <w:rPr>
          <w:rFonts w:ascii="Baskerville" w:hAnsi="Baskerville" w:cs="Baskerville"/>
          <w:sz w:val="22"/>
          <w:szCs w:val="22"/>
        </w:rPr>
        <w:t xml:space="preserve"> </w:t>
      </w:r>
      <w:r>
        <w:rPr>
          <w:rFonts w:ascii="Baskerville" w:hAnsi="Baskerville" w:cs="Baskerville"/>
          <w:sz w:val="22"/>
          <w:szCs w:val="22"/>
        </w:rPr>
        <w:t>The hospital’s agreement was “with” HMI and not the physicians.</w:t>
      </w:r>
      <w:r w:rsidR="00FB1D09">
        <w:rPr>
          <w:rFonts w:ascii="Baskerville" w:hAnsi="Baskerville" w:cs="Baskerville"/>
          <w:sz w:val="22"/>
          <w:szCs w:val="22"/>
        </w:rPr>
        <w:t xml:space="preserve"> </w:t>
      </w:r>
      <w:r>
        <w:rPr>
          <w:rFonts w:ascii="Baskerville" w:hAnsi="Baskerville" w:cs="Baskerville"/>
          <w:sz w:val="22"/>
          <w:szCs w:val="22"/>
        </w:rPr>
        <w:t>End of subject.</w:t>
      </w:r>
    </w:p>
    <w:p w14:paraId="78D8B9BA"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i/>
          <w:iCs/>
        </w:rPr>
      </w:pPr>
    </w:p>
    <w:p w14:paraId="2D5A19A5"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xml:space="preserve"> at 1061–62 (court’s emphasis retained; footnote omitted).</w:t>
      </w:r>
    </w:p>
    <w:p w14:paraId="74969931" w14:textId="74B43952"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The Seventh Circuit also rejected EMC’s argument that the Hospital’s agreement to credential the HMI doctors constituted a direct agreement violative of Paragraph J.</w:t>
      </w:r>
      <w:r w:rsidR="00FB1D09">
        <w:rPr>
          <w:rFonts w:ascii="Baskerville" w:hAnsi="Baskerville" w:cs="Baskerville"/>
        </w:rPr>
        <w:t xml:space="preserve"> </w:t>
      </w:r>
      <w:r>
        <w:rPr>
          <w:rFonts w:ascii="Baskerville" w:hAnsi="Baskerville" w:cs="Baskerville"/>
        </w:rPr>
        <w:t>The court reasoned that credentialing “involves merely the Hospital’s acknowledgment of a physician’s qualifications.”</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1061 n.1.</w:t>
      </w:r>
    </w:p>
    <w:p w14:paraId="507FED3A" w14:textId="77777777" w:rsidR="00655396" w:rsidRDefault="00655396" w:rsidP="008B512B">
      <w:pPr>
        <w:pStyle w:val="BodyText"/>
        <w:spacing w:line="240" w:lineRule="auto"/>
      </w:pPr>
    </w:p>
    <w:p w14:paraId="56BCB0CC" w14:textId="0210B980" w:rsidR="00655396" w:rsidRPr="00655396" w:rsidRDefault="00655396" w:rsidP="008B512B">
      <w:pPr>
        <w:pStyle w:val="HeadingCenter11"/>
        <w:spacing w:after="0" w:line="240" w:lineRule="auto"/>
        <w:rPr>
          <w:b w:val="0"/>
        </w:rPr>
      </w:pPr>
      <w:r w:rsidRPr="00655396">
        <w:rPr>
          <w:b w:val="0"/>
        </w:rPr>
        <w:t xml:space="preserve">“Involved in the business of providing </w:t>
      </w:r>
      <w:r w:rsidR="00944F63">
        <w:rPr>
          <w:b w:val="0"/>
        </w:rPr>
        <w:t>…</w:t>
      </w:r>
      <w:r w:rsidRPr="00655396">
        <w:rPr>
          <w:b w:val="0"/>
        </w:rPr>
        <w:t xml:space="preserve"> medicine services”</w:t>
      </w:r>
    </w:p>
    <w:p w14:paraId="1FD75D13" w14:textId="77777777" w:rsidR="00655396" w:rsidRDefault="00655396" w:rsidP="008B512B">
      <w:pPr>
        <w:pStyle w:val="BodyText"/>
        <w:spacing w:line="240" w:lineRule="auto"/>
        <w:rPr>
          <w:i/>
          <w:iCs/>
        </w:rPr>
      </w:pPr>
      <w:r>
        <w:tab/>
        <w:t xml:space="preserve">In </w:t>
      </w:r>
      <w:r>
        <w:rPr>
          <w:i/>
          <w:iCs/>
        </w:rPr>
        <w:t>Bloomington Urological Associates, SC v. Scaglia</w:t>
      </w:r>
      <w:r>
        <w:t>, 292 Ill. App. 3d 793, 226 Ill. Dec. 759, 686 N.E.2d 389 (4th Dist. 1997), the majority construed a restriction under which a former employee physician agreed not to be “involved in the business of providing urological medicine services” from any office located within a 50-mile radius of any office of the former employer (</w:t>
      </w:r>
      <w:r>
        <w:rPr>
          <w:i/>
          <w:iCs/>
        </w:rPr>
        <w:t>id.</w:t>
      </w:r>
      <w:r>
        <w:t xml:space="preserve"> at 795, 226 Ill. Dec. at 761, 686 N.E.2d at 391) </w:t>
      </w:r>
      <w:r>
        <w:rPr>
          <w:i/>
          <w:iCs/>
        </w:rPr>
        <w:t>not to include:</w:t>
      </w:r>
    </w:p>
    <w:p w14:paraId="241A6903" w14:textId="77777777" w:rsidR="00655396" w:rsidRDefault="00655396" w:rsidP="008B512B">
      <w:pPr>
        <w:pStyle w:val="BodyText"/>
        <w:spacing w:line="240" w:lineRule="auto"/>
        <w:rPr>
          <w:i/>
          <w:iCs/>
        </w:rPr>
      </w:pPr>
    </w:p>
    <w:p w14:paraId="243B5A07" w14:textId="77777777" w:rsidR="00655396" w:rsidRDefault="00655396" w:rsidP="008B512B">
      <w:pPr>
        <w:pStyle w:val="BodyText"/>
        <w:spacing w:line="240" w:lineRule="auto"/>
      </w:pPr>
      <w:r>
        <w:tab/>
      </w:r>
      <w:r>
        <w:rPr>
          <w:b/>
          <w:bCs/>
        </w:rPr>
        <w:t>•</w:t>
      </w:r>
      <w:r>
        <w:t xml:space="preserve"> “administrative or managerial aspects of medical practice, such as billing, scheduling, and updating patients’ charts” (</w:t>
      </w:r>
      <w:r>
        <w:rPr>
          <w:i/>
          <w:iCs/>
        </w:rPr>
        <w:t>id.</w:t>
      </w:r>
      <w:r>
        <w:t xml:space="preserve"> at 799, 226 Ill. Dec. at 763, 686 N.E.2d at 393); or</w:t>
      </w:r>
    </w:p>
    <w:p w14:paraId="13F99264" w14:textId="77777777" w:rsidR="00655396" w:rsidRDefault="00655396" w:rsidP="008B512B">
      <w:pPr>
        <w:pStyle w:val="BodyText"/>
        <w:spacing w:line="240" w:lineRule="auto"/>
      </w:pPr>
    </w:p>
    <w:p w14:paraId="6871C39E" w14:textId="6B6F20C7" w:rsidR="00655396" w:rsidRDefault="00655396" w:rsidP="008B512B">
      <w:pPr>
        <w:pStyle w:val="BodyText"/>
        <w:spacing w:line="240" w:lineRule="auto"/>
      </w:pPr>
      <w:r>
        <w:tab/>
      </w:r>
      <w:r>
        <w:rPr>
          <w:b/>
          <w:bCs/>
        </w:rPr>
        <w:t>•</w:t>
      </w:r>
      <w:r>
        <w:t xml:space="preserve"> “telephone inquiries from existing patients to a physician (or </w:t>
      </w:r>
      <w:r>
        <w:lastRenderedPageBreak/>
        <w:t>his employees acting as conduits of information) or responses to those patients—either in the form of recommending treatment or prescribing medication.”</w:t>
      </w:r>
      <w:r w:rsidR="00FB1D09">
        <w:t xml:space="preserve"> </w:t>
      </w:r>
      <w:r>
        <w:rPr>
          <w:i/>
          <w:iCs/>
        </w:rPr>
        <w:t>Id.</w:t>
      </w:r>
      <w:r>
        <w:t>, 226 Ill. Dec. at 764, 686 N.E.2d at 394.</w:t>
      </w:r>
    </w:p>
    <w:p w14:paraId="6F6A7490" w14:textId="77777777" w:rsidR="00655396" w:rsidRDefault="00655396" w:rsidP="008B512B">
      <w:pPr>
        <w:pStyle w:val="BodyText"/>
        <w:spacing w:line="240" w:lineRule="auto"/>
      </w:pPr>
      <w:r>
        <w:tab/>
        <w:t xml:space="preserve">According to the majority in </w:t>
      </w:r>
      <w:r>
        <w:rPr>
          <w:i/>
          <w:iCs/>
        </w:rPr>
        <w:t>Bloomington Urological</w:t>
      </w:r>
      <w:r>
        <w:t>:</w:t>
      </w:r>
    </w:p>
    <w:p w14:paraId="6206B54B" w14:textId="77777777" w:rsidR="00655396" w:rsidRDefault="00655396" w:rsidP="008B512B">
      <w:pPr>
        <w:pStyle w:val="BodyText"/>
        <w:spacing w:line="240" w:lineRule="auto"/>
      </w:pPr>
    </w:p>
    <w:p w14:paraId="3665D730" w14:textId="14DD9BF6"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[A]lthough we do not decide precisely what “</w:t>
      </w:r>
      <w:r>
        <w:rPr>
          <w:rFonts w:ascii="Baskerville" w:hAnsi="Baskerville" w:cs="Baskerville"/>
          <w:i/>
          <w:iCs/>
          <w:sz w:val="22"/>
          <w:szCs w:val="22"/>
        </w:rPr>
        <w:t>the practice of medicine</w:t>
      </w:r>
      <w:r>
        <w:rPr>
          <w:rFonts w:ascii="Baskerville" w:hAnsi="Baskerville" w:cs="Baskerville"/>
          <w:sz w:val="22"/>
          <w:szCs w:val="22"/>
        </w:rPr>
        <w:t xml:space="preserve">” means in the context of a restrictive covenant, we conclude that, in [the context of the instant agreed order emanating from a restrictive covenant], it </w:t>
      </w:r>
      <w:r>
        <w:rPr>
          <w:rFonts w:ascii="Baskerville" w:hAnsi="Baskerville" w:cs="Baskerville"/>
          <w:i/>
          <w:iCs/>
          <w:sz w:val="22"/>
          <w:szCs w:val="22"/>
        </w:rPr>
        <w:t>cannot include telephone inquiries from existing patients to a physician (or his employees acting as conduits of information) or responses to those patients—either in the form of recommending treatment or prescribing medication</w:t>
      </w:r>
      <w:r>
        <w:rPr>
          <w:rFonts w:ascii="Baskerville" w:hAnsi="Baskerville" w:cs="Baskerville"/>
          <w:sz w:val="22"/>
          <w:szCs w:val="22"/>
        </w:rPr>
        <w:t>.</w:t>
      </w:r>
      <w:r w:rsidR="00FB1D09">
        <w:rPr>
          <w:rFonts w:ascii="Baskerville" w:hAnsi="Baskerville" w:cs="Baskerville"/>
          <w:sz w:val="22"/>
          <w:szCs w:val="22"/>
        </w:rPr>
        <w:t xml:space="preserve"> </w:t>
      </w:r>
      <w:r>
        <w:rPr>
          <w:rFonts w:ascii="Baskerville" w:hAnsi="Baskerville" w:cs="Baskerville"/>
          <w:sz w:val="22"/>
          <w:szCs w:val="22"/>
        </w:rPr>
        <w:t>In the age of modern technology—where telephones and beepers travel with an individual and telephone calls can be automatically forwarded to another line—it simply makes no sense to place significance upon where a physician happens to make calls.</w:t>
      </w:r>
    </w:p>
    <w:p w14:paraId="7BFD1736" w14:textId="77777777" w:rsidR="00655396" w:rsidRDefault="00655396" w:rsidP="008B512B">
      <w:pPr>
        <w:pStyle w:val="BodyText"/>
        <w:spacing w:line="240" w:lineRule="auto"/>
      </w:pPr>
    </w:p>
    <w:p w14:paraId="37707D76" w14:textId="77777777" w:rsidR="00655396" w:rsidRDefault="00655396" w:rsidP="008B512B">
      <w:pPr>
        <w:pStyle w:val="BodyText"/>
        <w:spacing w:line="240" w:lineRule="auto"/>
      </w:pPr>
      <w:r>
        <w:rPr>
          <w:i/>
          <w:iCs/>
        </w:rPr>
        <w:t>Id.</w:t>
      </w:r>
      <w:r>
        <w:t>, 226 Ill. Dec. at 764, 686 N.E.2d at 394 (emphasis added).</w:t>
      </w:r>
    </w:p>
    <w:p w14:paraId="7189E1AB" w14:textId="480CBCD4" w:rsidR="00655396" w:rsidRDefault="00655396" w:rsidP="008B512B">
      <w:pPr>
        <w:pStyle w:val="BodyText"/>
        <w:spacing w:line="240" w:lineRule="auto"/>
      </w:pPr>
      <w:r>
        <w:tab/>
        <w:t>This interpretation is consistent with the “legal and ethical obligation [imposed on Illinois physicians] to attend to their patients’ needs.”</w:t>
      </w:r>
      <w:r w:rsidR="00FB1D09">
        <w:t xml:space="preserve"> </w:t>
      </w:r>
      <w:r>
        <w:rPr>
          <w:i/>
          <w:iCs/>
        </w:rPr>
        <w:t>Id.</w:t>
      </w:r>
      <w:r>
        <w:t xml:space="preserve"> at 799–800, 226 Ill. Dec. at 764, 686 N.E.2d at 394.</w:t>
      </w:r>
      <w:r w:rsidR="00FB1D09">
        <w:t xml:space="preserve"> </w:t>
      </w:r>
      <w:r>
        <w:t xml:space="preserve">The </w:t>
      </w:r>
      <w:r>
        <w:rPr>
          <w:i/>
          <w:iCs/>
        </w:rPr>
        <w:t>Bloomington Urological</w:t>
      </w:r>
      <w:r>
        <w:t xml:space="preserve"> majority explained:</w:t>
      </w:r>
    </w:p>
    <w:p w14:paraId="51A35A1A" w14:textId="48B96A8C" w:rsidR="00655396" w:rsidRDefault="00655396" w:rsidP="008B512B">
      <w:pPr>
        <w:pStyle w:val="NoParagraphStyle"/>
        <w:tabs>
          <w:tab w:val="left" w:pos="960"/>
          <w:tab w:val="left" w:pos="1440"/>
        </w:tabs>
        <w:spacing w:line="240" w:lineRule="auto"/>
        <w:ind w:left="480"/>
        <w:jc w:val="both"/>
        <w:rPr>
          <w:rFonts w:ascii="Baskerville" w:hAnsi="Baskerville" w:cs="Baskerville"/>
        </w:rPr>
      </w:pPr>
      <w:r>
        <w:rPr>
          <w:rFonts w:ascii="Baskerville" w:hAnsi="Baskerville" w:cs="Baskerville"/>
          <w:sz w:val="22"/>
          <w:szCs w:val="22"/>
        </w:rPr>
        <w:t>Physicians licensed in Illinois are specifically prohibited from abandoning their patients.</w:t>
      </w:r>
      <w:r w:rsidR="00FB1D09">
        <w:rPr>
          <w:rFonts w:ascii="Baskerville" w:hAnsi="Baskerville" w:cs="Baskerville"/>
          <w:sz w:val="22"/>
          <w:szCs w:val="22"/>
        </w:rPr>
        <w:t xml:space="preserve"> </w:t>
      </w:r>
      <w:r>
        <w:rPr>
          <w:rFonts w:ascii="Baskerville" w:hAnsi="Baskerville" w:cs="Baskerville"/>
          <w:sz w:val="22"/>
          <w:szCs w:val="22"/>
        </w:rPr>
        <w:t>See 225 ILCS 60/22(A)(16) (West 1994).</w:t>
      </w:r>
      <w:r w:rsidR="00FB1D09">
        <w:rPr>
          <w:rFonts w:ascii="Baskerville" w:hAnsi="Baskerville" w:cs="Baskerville"/>
          <w:sz w:val="22"/>
          <w:szCs w:val="22"/>
        </w:rPr>
        <w:t xml:space="preserve"> </w:t>
      </w:r>
      <w:r>
        <w:rPr>
          <w:rFonts w:ascii="Baskerville" w:hAnsi="Baskerville" w:cs="Baskerville"/>
          <w:sz w:val="22"/>
          <w:szCs w:val="22"/>
        </w:rPr>
        <w:t>Further, the American Medical Association’s Council on Ethical and Judicial Affairs mandates that “once having undertaken a case, the physician should not neglect the patient.”</w:t>
      </w:r>
      <w:r w:rsidR="00FB1D09">
        <w:rPr>
          <w:rFonts w:ascii="Baskerville" w:hAnsi="Baskerville" w:cs="Baskerville"/>
          <w:sz w:val="22"/>
          <w:szCs w:val="22"/>
        </w:rPr>
        <w:t xml:space="preserve"> </w:t>
      </w:r>
      <w:r>
        <w:rPr>
          <w:rFonts w:ascii="Baskerville" w:hAnsi="Baskerville" w:cs="Baskerville"/>
          <w:sz w:val="22"/>
          <w:szCs w:val="22"/>
        </w:rPr>
        <w:t>American Medical Association Code of Medical Ethics: Current Opinions with Annotations, 8.11 (1996).</w:t>
      </w:r>
      <w:r w:rsidR="00FB1D09">
        <w:rPr>
          <w:rFonts w:ascii="Baskerville" w:hAnsi="Baskerville" w:cs="Baskerville"/>
          <w:sz w:val="22"/>
          <w:szCs w:val="22"/>
        </w:rPr>
        <w:t xml:space="preserve"> </w:t>
      </w:r>
      <w:r>
        <w:rPr>
          <w:rFonts w:ascii="Baskerville" w:hAnsi="Baskerville" w:cs="Baskerville"/>
          <w:i/>
          <w:iCs/>
          <w:sz w:val="22"/>
          <w:szCs w:val="22"/>
        </w:rPr>
        <w:t>To conclude that telephone inquiries from existing patients to their physician constitute the practice of medicine in the context of a restrictive covenant would effectively force a physician to neglect or abandon his patients whenever they telephone or page him with medical-related questions, concerns, or emergencies at a time when he happens to be in the restricted geographical area</w:t>
      </w:r>
      <w:r>
        <w:rPr>
          <w:rFonts w:ascii="Baskerville" w:hAnsi="Baskerville" w:cs="Baskerville"/>
          <w:sz w:val="22"/>
          <w:szCs w:val="22"/>
        </w:rPr>
        <w:t>.</w:t>
      </w:r>
    </w:p>
    <w:p w14:paraId="02C47064" w14:textId="77777777" w:rsidR="00655396" w:rsidRDefault="00655396" w:rsidP="008B512B">
      <w:pPr>
        <w:pStyle w:val="BodyText"/>
        <w:spacing w:line="240" w:lineRule="auto"/>
        <w:rPr>
          <w:i/>
          <w:iCs/>
        </w:rPr>
      </w:pPr>
    </w:p>
    <w:p w14:paraId="451850BE" w14:textId="77777777" w:rsidR="00655396" w:rsidRDefault="00655396" w:rsidP="008B512B">
      <w:pPr>
        <w:pStyle w:val="BodyText"/>
        <w:spacing w:line="240" w:lineRule="auto"/>
      </w:pPr>
      <w:r>
        <w:rPr>
          <w:i/>
          <w:iCs/>
        </w:rPr>
        <w:t>Id.</w:t>
      </w:r>
      <w:r>
        <w:t xml:space="preserve"> at 800, 226 Ill. Dec. at 764, 686 N.E.2d at 394 (emphasis added).</w:t>
      </w:r>
    </w:p>
    <w:p w14:paraId="50DE6D81" w14:textId="77777777" w:rsidR="00655396" w:rsidRDefault="00655396" w:rsidP="008B512B">
      <w:pPr>
        <w:pStyle w:val="BodyText"/>
        <w:spacing w:line="240" w:lineRule="auto"/>
      </w:pPr>
      <w:r>
        <w:tab/>
        <w:t xml:space="preserve">Having so interpreted the parties’ agreed order, the </w:t>
      </w:r>
      <w:r>
        <w:rPr>
          <w:i/>
          <w:iCs/>
        </w:rPr>
        <w:t>Bloomington Urological</w:t>
      </w:r>
      <w:r>
        <w:t xml:space="preserve"> majority concluded that</w:t>
      </w:r>
    </w:p>
    <w:p w14:paraId="001BCE9A" w14:textId="77777777" w:rsidR="00655396" w:rsidRDefault="00655396" w:rsidP="008B512B">
      <w:pPr>
        <w:pStyle w:val="BodyText"/>
        <w:spacing w:line="240" w:lineRule="auto"/>
      </w:pPr>
    </w:p>
    <w:p w14:paraId="45D18A2A" w14:textId="044137C4"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Scaglia did not violate the agreed order.</w:t>
      </w:r>
      <w:r w:rsidR="00FB1D09">
        <w:rPr>
          <w:rFonts w:ascii="Baskerville" w:hAnsi="Baskerville" w:cs="Baskerville"/>
          <w:sz w:val="22"/>
          <w:szCs w:val="22"/>
        </w:rPr>
        <w:t xml:space="preserve"> </w:t>
      </w:r>
      <w:r>
        <w:rPr>
          <w:rFonts w:ascii="Baskerville" w:hAnsi="Baskerville" w:cs="Baskerville"/>
          <w:sz w:val="22"/>
          <w:szCs w:val="22"/>
        </w:rPr>
        <w:t xml:space="preserve">The order permitted him to examine, diagnose, and treat patients in his [Ottawa, Illinois] office, </w:t>
      </w:r>
      <w:r>
        <w:rPr>
          <w:rFonts w:ascii="Baskerville" w:hAnsi="Baskerville" w:cs="Baskerville"/>
          <w:sz w:val="22"/>
          <w:szCs w:val="22"/>
        </w:rPr>
        <w:lastRenderedPageBreak/>
        <w:t xml:space="preserve">and </w:t>
      </w:r>
      <w:r>
        <w:rPr>
          <w:rFonts w:ascii="Baskerville" w:hAnsi="Baskerville" w:cs="Baskerville"/>
          <w:i/>
          <w:iCs/>
          <w:sz w:val="22"/>
          <w:szCs w:val="22"/>
        </w:rPr>
        <w:t>it is undisputed that he never personally examined a patient in his home office</w:t>
      </w:r>
      <w:r>
        <w:rPr>
          <w:rFonts w:ascii="Baskerville" w:hAnsi="Baskerville" w:cs="Baskerville"/>
          <w:sz w:val="22"/>
          <w:szCs w:val="22"/>
        </w:rPr>
        <w:t xml:space="preserve"> [</w:t>
      </w:r>
      <w:r>
        <w:rPr>
          <w:rFonts w:ascii="Baskerville" w:hAnsi="Baskerville" w:cs="Baskerville"/>
          <w:i/>
          <w:iCs/>
          <w:sz w:val="22"/>
          <w:szCs w:val="22"/>
        </w:rPr>
        <w:t>located within the agreed order’s proscriptive area—in Bloomington, Illinois</w:t>
      </w:r>
      <w:r>
        <w:rPr>
          <w:rFonts w:ascii="Baskerville" w:hAnsi="Baskerville" w:cs="Baskerville"/>
          <w:sz w:val="22"/>
          <w:szCs w:val="22"/>
        </w:rPr>
        <w:t>].</w:t>
      </w:r>
      <w:r w:rsidR="00FB1D09">
        <w:rPr>
          <w:rFonts w:ascii="Baskerville" w:hAnsi="Baskerville" w:cs="Baskerville"/>
          <w:sz w:val="22"/>
          <w:szCs w:val="22"/>
        </w:rPr>
        <w:t xml:space="preserve"> </w:t>
      </w:r>
      <w:r>
        <w:rPr>
          <w:rFonts w:ascii="Baskerville" w:hAnsi="Baskerville" w:cs="Baskerville"/>
          <w:i/>
          <w:iCs/>
          <w:sz w:val="22"/>
          <w:szCs w:val="22"/>
        </w:rPr>
        <w:t>Nor did the evidence show that he or his nurses ever solicited patients from his own office.</w:t>
      </w:r>
      <w:r w:rsidR="00FB1D09">
        <w:rPr>
          <w:rFonts w:ascii="Baskerville" w:hAnsi="Baskerville" w:cs="Baskerville"/>
          <w:i/>
          <w:iCs/>
          <w:sz w:val="22"/>
          <w:szCs w:val="22"/>
        </w:rPr>
        <w:t xml:space="preserve"> </w:t>
      </w:r>
      <w:r>
        <w:rPr>
          <w:rFonts w:ascii="Baskerville" w:hAnsi="Baskerville" w:cs="Baskerville"/>
          <w:i/>
          <w:iCs/>
          <w:sz w:val="22"/>
          <w:szCs w:val="22"/>
        </w:rPr>
        <w:t>Scaglia’s response—and his nurses’ responses—to telephone calls from patients he had already personally seen and treated in Ottawa is a necessary concomitant to his treatment of those patients</w:t>
      </w:r>
      <w:r>
        <w:rPr>
          <w:rFonts w:ascii="Baskerville" w:hAnsi="Baskerville" w:cs="Baskerville"/>
          <w:sz w:val="22"/>
          <w:szCs w:val="22"/>
        </w:rPr>
        <w:t>.</w:t>
      </w:r>
    </w:p>
    <w:p w14:paraId="12AE4B26" w14:textId="77777777" w:rsidR="00655396" w:rsidRDefault="00655396" w:rsidP="008B512B">
      <w:pPr>
        <w:pStyle w:val="BodyText"/>
        <w:spacing w:line="240" w:lineRule="auto"/>
      </w:pPr>
    </w:p>
    <w:p w14:paraId="4385A328" w14:textId="77777777" w:rsidR="00655396" w:rsidRDefault="00655396" w:rsidP="008B512B">
      <w:pPr>
        <w:pStyle w:val="BodyText"/>
        <w:spacing w:line="240" w:lineRule="auto"/>
      </w:pPr>
      <w:r>
        <w:rPr>
          <w:i/>
          <w:iCs/>
        </w:rPr>
        <w:t>Id.</w:t>
      </w:r>
      <w:r>
        <w:t>, 226 Ill. Dec. at 764, 686 N.E.2d at 394 (emphasis added).</w:t>
      </w:r>
    </w:p>
    <w:p w14:paraId="78D111C4" w14:textId="77777777" w:rsidR="00655396" w:rsidRDefault="00655396" w:rsidP="008B512B">
      <w:pPr>
        <w:pStyle w:val="BodyText"/>
        <w:spacing w:line="240" w:lineRule="auto"/>
      </w:pPr>
      <w:r>
        <w:tab/>
        <w:t xml:space="preserve">In </w:t>
      </w:r>
      <w:r>
        <w:rPr>
          <w:i/>
          <w:iCs/>
        </w:rPr>
        <w:t>dissent</w:t>
      </w:r>
      <w:r>
        <w:t xml:space="preserve"> from the majority’s conclusion that the agreed order was ambiguous as to the scope of acts prohibited, Justice McCullough observed:</w:t>
      </w:r>
    </w:p>
    <w:p w14:paraId="07A37D0D" w14:textId="77777777" w:rsidR="00655396" w:rsidRDefault="00655396" w:rsidP="008B512B">
      <w:pPr>
        <w:pStyle w:val="BodyText"/>
        <w:spacing w:line="240" w:lineRule="auto"/>
      </w:pPr>
    </w:p>
    <w:p w14:paraId="2600FE1E" w14:textId="33747CFA" w:rsidR="00655396" w:rsidRDefault="00655396" w:rsidP="008B512B">
      <w:pPr>
        <w:pStyle w:val="NoParagraphStyle"/>
        <w:tabs>
          <w:tab w:val="left" w:pos="960"/>
          <w:tab w:val="left" w:pos="1440"/>
        </w:tabs>
        <w:spacing w:line="240" w:lineRule="auto"/>
        <w:ind w:left="480"/>
        <w:jc w:val="both"/>
        <w:rPr>
          <w:rFonts w:ascii="Baskerville" w:hAnsi="Baskerville" w:cs="Baskerville"/>
          <w:i/>
          <w:iCs/>
          <w:sz w:val="22"/>
          <w:szCs w:val="22"/>
        </w:rPr>
      </w:pPr>
      <w:r>
        <w:rPr>
          <w:rFonts w:ascii="Baskerville" w:hAnsi="Baskerville" w:cs="Baskerville"/>
          <w:sz w:val="22"/>
          <w:szCs w:val="22"/>
        </w:rPr>
        <w:t>The parties here were free to draft any provisions they liked for purposes of resolving their dispute by means of the agreed order.</w:t>
      </w:r>
      <w:r w:rsidR="00FB1D09">
        <w:rPr>
          <w:rFonts w:ascii="Baskerville" w:hAnsi="Baskerville" w:cs="Baskerville"/>
          <w:sz w:val="22"/>
          <w:szCs w:val="22"/>
        </w:rPr>
        <w:t xml:space="preserve"> </w:t>
      </w:r>
      <w:r>
        <w:rPr>
          <w:rFonts w:ascii="Baskerville" w:hAnsi="Baskerville" w:cs="Baskerville"/>
          <w:i/>
          <w:iCs/>
          <w:sz w:val="22"/>
          <w:szCs w:val="22"/>
        </w:rPr>
        <w:t>Had they wished merely to prohibit Scaglia from the “practice of medicine,” a concept the majority itself declines to define, they might readily have done so.</w:t>
      </w:r>
      <w:r w:rsidR="00FB1D09">
        <w:rPr>
          <w:rFonts w:ascii="Baskerville" w:hAnsi="Baskerville" w:cs="Baskerville"/>
          <w:i/>
          <w:iCs/>
          <w:sz w:val="22"/>
          <w:szCs w:val="22"/>
        </w:rPr>
        <w:t xml:space="preserve"> </w:t>
      </w:r>
      <w:r>
        <w:rPr>
          <w:rFonts w:ascii="Baskerville" w:hAnsi="Baskerville" w:cs="Baskerville"/>
          <w:i/>
          <w:iCs/>
          <w:sz w:val="22"/>
          <w:szCs w:val="22"/>
        </w:rPr>
        <w:t>Instead, the agreed order prohibited Scaglia from being “involved in the business of providing urological medicine services,” a limitation necessarily broader than the “practice of medicine.”</w:t>
      </w:r>
    </w:p>
    <w:p w14:paraId="0F2186B0" w14:textId="77777777" w:rsidR="00655396" w:rsidRDefault="00655396" w:rsidP="008B512B">
      <w:pPr>
        <w:pStyle w:val="BodyText"/>
        <w:spacing w:line="240" w:lineRule="auto"/>
        <w:rPr>
          <w:sz w:val="14"/>
          <w:szCs w:val="14"/>
        </w:rPr>
      </w:pPr>
    </w:p>
    <w:p w14:paraId="1438D3D9" w14:textId="77777777" w:rsidR="00655396" w:rsidRDefault="00655396" w:rsidP="008B512B">
      <w:pPr>
        <w:pStyle w:val="NoParagraphStyle"/>
        <w:tabs>
          <w:tab w:val="left" w:pos="960"/>
          <w:tab w:val="left" w:pos="1440"/>
        </w:tabs>
        <w:spacing w:line="240" w:lineRule="auto"/>
        <w:ind w:left="480"/>
        <w:jc w:val="center"/>
        <w:rPr>
          <w:rFonts w:ascii="Baskerville" w:hAnsi="Baskerville" w:cs="Baskerville"/>
          <w:sz w:val="22"/>
          <w:szCs w:val="22"/>
        </w:rPr>
      </w:pPr>
      <w:r>
        <w:rPr>
          <w:rFonts w:ascii="Baskerville" w:hAnsi="Baskerville" w:cs="Baskerville"/>
          <w:sz w:val="22"/>
          <w:szCs w:val="22"/>
        </w:rPr>
        <w:t>* * * * *</w:t>
      </w:r>
    </w:p>
    <w:p w14:paraId="6323F15D" w14:textId="6F2F9B41"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Provisions of the Medical Practice Act of 1987 relating to the unauthorized practice of medicine describe the practice of medicine as “the diagnosis or treatment of physical or mental ailments (225 ILCS 60/49(i) (West 1994)), and also include the conduct of a person who “attaches the title Doctor, Physician, Surgeon, [or] M.D. * * * to his or her name indicating that he or she is engaged in the treatment of human ailments or conditions as a business.”</w:t>
      </w:r>
      <w:r w:rsidR="00FB1D09">
        <w:rPr>
          <w:rFonts w:ascii="Baskerville" w:hAnsi="Baskerville" w:cs="Baskerville"/>
          <w:sz w:val="22"/>
          <w:szCs w:val="22"/>
        </w:rPr>
        <w:t xml:space="preserve"> </w:t>
      </w:r>
      <w:r>
        <w:rPr>
          <w:rFonts w:ascii="Baskerville" w:hAnsi="Baskerville" w:cs="Baskerville"/>
          <w:sz w:val="22"/>
          <w:szCs w:val="22"/>
        </w:rPr>
        <w:t>225 ILCS 60/49(v) (West 1994).</w:t>
      </w:r>
      <w:r w:rsidR="00FB1D09">
        <w:rPr>
          <w:rFonts w:ascii="Baskerville" w:hAnsi="Baskerville" w:cs="Baskerville"/>
          <w:sz w:val="22"/>
          <w:szCs w:val="22"/>
        </w:rPr>
        <w:t xml:space="preserve"> </w:t>
      </w:r>
      <w:r>
        <w:rPr>
          <w:rFonts w:ascii="Baskerville" w:hAnsi="Baskerville" w:cs="Baskerville"/>
          <w:i/>
          <w:iCs/>
          <w:sz w:val="22"/>
          <w:szCs w:val="22"/>
        </w:rPr>
        <w:t>The trial judge could reasonably find that defendant’s maintenance of a telephone listing in his professional capacity constituted providing urological medicine services</w:t>
      </w:r>
      <w:r>
        <w:rPr>
          <w:rFonts w:ascii="Baskerville" w:hAnsi="Baskerville" w:cs="Baskerville"/>
          <w:sz w:val="22"/>
          <w:szCs w:val="22"/>
        </w:rPr>
        <w:t xml:space="preserve"> and, therefore, the provision of medical services within the restricted area.</w:t>
      </w:r>
      <w:r w:rsidR="00FB1D09">
        <w:rPr>
          <w:rFonts w:ascii="Baskerville" w:hAnsi="Baskerville" w:cs="Baskerville"/>
          <w:sz w:val="22"/>
          <w:szCs w:val="22"/>
        </w:rPr>
        <w:t xml:space="preserve"> </w:t>
      </w:r>
      <w:r>
        <w:rPr>
          <w:rFonts w:ascii="Baskerville" w:hAnsi="Baskerville" w:cs="Baskerville"/>
          <w:sz w:val="22"/>
          <w:szCs w:val="22"/>
        </w:rPr>
        <w:t>Patients charts and files are necessarily integral to the diagnosis and treatment of patients, and [the defendant’s] maintenance of files in [his] Bloomington office could also reasonably be found to constitute the “business of providing urological medical services.”</w:t>
      </w:r>
      <w:r w:rsidR="00FB1D09">
        <w:rPr>
          <w:rFonts w:ascii="Baskerville" w:hAnsi="Baskerville" w:cs="Baskerville"/>
          <w:sz w:val="22"/>
          <w:szCs w:val="22"/>
        </w:rPr>
        <w:t xml:space="preserve"> </w:t>
      </w:r>
      <w:r>
        <w:rPr>
          <w:rFonts w:ascii="Baskerville" w:hAnsi="Baskerville" w:cs="Baskerville"/>
          <w:sz w:val="22"/>
          <w:szCs w:val="22"/>
        </w:rPr>
        <w:t>Similarly, defendant employs two nurses in the Bloomington home office who operate under his direction and control and act as a conduit for defendant’s prescription of medication and other medical treatment.</w:t>
      </w:r>
      <w:r w:rsidR="00FB1D09">
        <w:rPr>
          <w:rFonts w:ascii="Baskerville" w:hAnsi="Baskerville" w:cs="Baskerville"/>
          <w:sz w:val="22"/>
          <w:szCs w:val="22"/>
        </w:rPr>
        <w:t xml:space="preserve"> </w:t>
      </w:r>
      <w:r>
        <w:rPr>
          <w:rFonts w:ascii="Baskerville" w:hAnsi="Baskerville" w:cs="Baskerville"/>
          <w:sz w:val="22"/>
          <w:szCs w:val="22"/>
        </w:rPr>
        <w:t xml:space="preserve">Defendant personally provided medical advice and prescribed </w:t>
      </w:r>
      <w:r>
        <w:rPr>
          <w:rFonts w:ascii="Baskerville" w:hAnsi="Baskerville" w:cs="Baskerville"/>
          <w:sz w:val="22"/>
          <w:szCs w:val="22"/>
        </w:rPr>
        <w:lastRenderedPageBreak/>
        <w:t>treatment from the Bloomington home office in response to patient calls to that location</w:t>
      </w:r>
      <w:r w:rsidR="00944F63">
        <w:rPr>
          <w:rFonts w:ascii="Baskerville" w:hAnsi="Baskerville" w:cs="Baskerville"/>
          <w:sz w:val="22"/>
          <w:szCs w:val="22"/>
        </w:rPr>
        <w:t>…</w:t>
      </w:r>
      <w:r>
        <w:rPr>
          <w:sz w:val="22"/>
          <w:szCs w:val="22"/>
        </w:rPr>
        <w:t> </w:t>
      </w:r>
      <w:r>
        <w:rPr>
          <w:rFonts w:ascii="Baskerville" w:hAnsi="Baskerville" w:cs="Baskerville"/>
          <w:sz w:val="22"/>
          <w:szCs w:val="22"/>
        </w:rPr>
        <w:t>. [I]t is clear defendant violated the agreed order.</w:t>
      </w:r>
    </w:p>
    <w:p w14:paraId="74EF6C33" w14:textId="7ACA7DE6"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The parties bargained for the restriction of “being involved in the business of providing urological medicine services.”</w:t>
      </w:r>
      <w:r w:rsidR="00FB1D09">
        <w:rPr>
          <w:rFonts w:ascii="Baskerville" w:hAnsi="Baskerville" w:cs="Baskerville"/>
          <w:sz w:val="22"/>
          <w:szCs w:val="22"/>
        </w:rPr>
        <w:t xml:space="preserve"> </w:t>
      </w:r>
      <w:r>
        <w:rPr>
          <w:rFonts w:ascii="Baskerville" w:hAnsi="Baskerville" w:cs="Baskerville"/>
          <w:sz w:val="22"/>
          <w:szCs w:val="22"/>
        </w:rPr>
        <w:t>That Scaglia would pay that agreement only cursory heed, by limiting his physical contact with patients to the Ottawa office, evidences his disdain for the broader reach of the agreement he voluntarily entered into.</w:t>
      </w:r>
      <w:r w:rsidR="00FB1D09">
        <w:rPr>
          <w:rFonts w:ascii="Baskerville" w:hAnsi="Baskerville" w:cs="Baskerville"/>
          <w:sz w:val="22"/>
          <w:szCs w:val="22"/>
        </w:rPr>
        <w:t xml:space="preserve"> </w:t>
      </w:r>
      <w:r>
        <w:rPr>
          <w:rFonts w:ascii="Baskerville" w:hAnsi="Baskerville" w:cs="Baskerville"/>
          <w:i/>
          <w:iCs/>
          <w:sz w:val="22"/>
          <w:szCs w:val="22"/>
        </w:rPr>
        <w:t>The majority’s constriction of the agreed order to the prohibition of face-to-face, physician-patient contact, is not supported by the language the parties chose in framing their consensus</w:t>
      </w:r>
      <w:r>
        <w:rPr>
          <w:rFonts w:ascii="Baskerville" w:hAnsi="Baskerville" w:cs="Baskerville"/>
          <w:sz w:val="22"/>
          <w:szCs w:val="22"/>
        </w:rPr>
        <w:t>.</w:t>
      </w:r>
    </w:p>
    <w:p w14:paraId="2016E48E"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r>
      <w:r>
        <w:rPr>
          <w:rFonts w:ascii="Baskerville" w:hAnsi="Baskerville" w:cs="Baskerville"/>
          <w:i/>
          <w:iCs/>
          <w:sz w:val="22"/>
          <w:szCs w:val="22"/>
        </w:rPr>
        <w:t>Curiously, the majority does not contend a restriction on the practice of medicine, a course of conduct it agrees involves the diagnosis and treatment of physical ailment, is against public policy—but</w:t>
      </w:r>
      <w:r>
        <w:rPr>
          <w:rFonts w:ascii="Baskerville" w:hAnsi="Baskerville" w:cs="Baskerville"/>
          <w:sz w:val="22"/>
          <w:szCs w:val="22"/>
        </w:rPr>
        <w:t>[</w:t>
      </w:r>
      <w:r>
        <w:rPr>
          <w:rFonts w:ascii="Baskerville" w:hAnsi="Baskerville" w:cs="Baskerville"/>
          <w:i/>
          <w:iCs/>
          <w:sz w:val="22"/>
          <w:szCs w:val="22"/>
        </w:rPr>
        <w:t>, according to the majority,</w:t>
      </w:r>
      <w:r>
        <w:rPr>
          <w:rFonts w:ascii="Baskerville" w:hAnsi="Baskerville" w:cs="Baskerville"/>
          <w:sz w:val="22"/>
          <w:szCs w:val="22"/>
        </w:rPr>
        <w:t>]</w:t>
      </w:r>
      <w:r>
        <w:rPr>
          <w:rFonts w:ascii="Baskerville" w:hAnsi="Baskerville" w:cs="Baskerville"/>
          <w:i/>
          <w:iCs/>
          <w:sz w:val="22"/>
          <w:szCs w:val="22"/>
        </w:rPr>
        <w:t xml:space="preserve"> it becomes so when there is a restriction on doctor-patient telephone cont</w:t>
      </w:r>
      <w:r>
        <w:rPr>
          <w:rFonts w:ascii="Baskerville" w:hAnsi="Baskerville" w:cs="Baskerville"/>
          <w:sz w:val="22"/>
          <w:szCs w:val="22"/>
        </w:rPr>
        <w:t>[</w:t>
      </w:r>
      <w:r>
        <w:rPr>
          <w:rFonts w:ascii="Baskerville" w:hAnsi="Baskerville" w:cs="Baskerville"/>
          <w:i/>
          <w:iCs/>
          <w:sz w:val="22"/>
          <w:szCs w:val="22"/>
        </w:rPr>
        <w:t>act</w:t>
      </w:r>
      <w:r>
        <w:rPr>
          <w:rFonts w:ascii="Baskerville" w:hAnsi="Baskerville" w:cs="Baskerville"/>
          <w:sz w:val="22"/>
          <w:szCs w:val="22"/>
        </w:rPr>
        <w:t>]</w:t>
      </w:r>
      <w:r>
        <w:rPr>
          <w:rFonts w:ascii="Baskerville" w:hAnsi="Baskerville" w:cs="Baskerville"/>
          <w:i/>
          <w:iCs/>
          <w:sz w:val="22"/>
          <w:szCs w:val="22"/>
        </w:rPr>
        <w:t xml:space="preserve"> for that same purpose.</w:t>
      </w:r>
    </w:p>
    <w:p w14:paraId="294AD129" w14:textId="77777777" w:rsidR="00655396" w:rsidRDefault="00655396" w:rsidP="008B512B">
      <w:pPr>
        <w:pStyle w:val="BodyText"/>
        <w:spacing w:line="240" w:lineRule="auto"/>
      </w:pPr>
    </w:p>
    <w:p w14:paraId="3646E6DD" w14:textId="77777777" w:rsidR="00655396" w:rsidRDefault="00655396" w:rsidP="008B512B">
      <w:pPr>
        <w:pStyle w:val="BodyText"/>
        <w:spacing w:line="240" w:lineRule="auto"/>
      </w:pPr>
      <w:r>
        <w:rPr>
          <w:i/>
          <w:iCs/>
        </w:rPr>
        <w:t>Id.</w:t>
      </w:r>
      <w:r>
        <w:t xml:space="preserve"> at 801–02, 226 Ill. Dec. at 764–65, 686 N.E.2d at 394–95 (emphasis added).</w:t>
      </w:r>
    </w:p>
    <w:p w14:paraId="59138560" w14:textId="77777777" w:rsidR="00655396" w:rsidRDefault="00655396" w:rsidP="008B512B">
      <w:pPr>
        <w:pStyle w:val="BodyText"/>
        <w:spacing w:line="240" w:lineRule="auto"/>
      </w:pPr>
    </w:p>
    <w:p w14:paraId="5CF08C97" w14:textId="204A0669" w:rsidR="00655396" w:rsidRPr="0036473D" w:rsidRDefault="00655396" w:rsidP="008B512B">
      <w:pPr>
        <w:pStyle w:val="HeadingCenter11"/>
        <w:spacing w:after="0" w:line="240" w:lineRule="auto"/>
        <w:rPr>
          <w:b w:val="0"/>
        </w:rPr>
      </w:pPr>
      <w:r w:rsidRPr="0036473D">
        <w:rPr>
          <w:b w:val="0"/>
        </w:rPr>
        <w:t xml:space="preserve">“Participating in the </w:t>
      </w:r>
      <w:r w:rsidR="00944F63">
        <w:rPr>
          <w:b w:val="0"/>
        </w:rPr>
        <w:t>…</w:t>
      </w:r>
      <w:r w:rsidRPr="0036473D">
        <w:rPr>
          <w:b w:val="0"/>
        </w:rPr>
        <w:t xml:space="preserve"> business”</w:t>
      </w:r>
    </w:p>
    <w:p w14:paraId="134E5918" w14:textId="5E307682" w:rsidR="00655396" w:rsidRDefault="00655396" w:rsidP="008B512B">
      <w:pPr>
        <w:pStyle w:val="BodyText"/>
        <w:spacing w:line="240" w:lineRule="auto"/>
      </w:pPr>
      <w:r>
        <w:tab/>
        <w:t xml:space="preserve">Attendance at continuing education classes and business meetings of a subsequent employer at branch offices—at which the employee does not actually work—within a covenant-proscribed area does not constitute anything more than a de minimis or technical breach of a covenant against “participat[ing] in </w:t>
      </w:r>
      <w:r w:rsidR="00944F63">
        <w:t>…</w:t>
      </w:r>
      <w:r>
        <w:t xml:space="preserve"> any funeral home business” within the proscribed area.</w:t>
      </w:r>
      <w:r w:rsidR="00FB1D09">
        <w:t xml:space="preserve"> </w:t>
      </w:r>
      <w:r>
        <w:rPr>
          <w:i/>
          <w:iCs/>
        </w:rPr>
        <w:t>Sheehy v. Sheehy</w:t>
      </w:r>
      <w:r>
        <w:t>, 229 Ill. App. 3d 996, 1001–03, 234 Ill. Dec. 34, 38–39, 702 N.E.2d 200, 204–05, 14 IER Cases 833 (1st Dist. 1998).</w:t>
      </w:r>
    </w:p>
    <w:p w14:paraId="3FBCB833" w14:textId="77777777" w:rsidR="0036473D" w:rsidRDefault="0036473D" w:rsidP="008B512B">
      <w:pPr>
        <w:pStyle w:val="BodyText"/>
        <w:spacing w:line="240" w:lineRule="auto"/>
        <w:rPr>
          <w:sz w:val="22"/>
          <w:szCs w:val="22"/>
          <w:u w:val="thick"/>
        </w:rPr>
      </w:pPr>
    </w:p>
    <w:p w14:paraId="45F34522" w14:textId="5F495258" w:rsidR="00655396" w:rsidRPr="0036473D" w:rsidRDefault="00655396" w:rsidP="008B512B">
      <w:pPr>
        <w:pStyle w:val="HeadingCenter11"/>
        <w:spacing w:after="0" w:line="240" w:lineRule="auto"/>
        <w:rPr>
          <w:b w:val="0"/>
        </w:rPr>
      </w:pPr>
      <w:r w:rsidRPr="0036473D">
        <w:rPr>
          <w:b w:val="0"/>
        </w:rPr>
        <w:t xml:space="preserve">“[P]roviding </w:t>
      </w:r>
      <w:r w:rsidR="00944F63">
        <w:rPr>
          <w:b w:val="0"/>
        </w:rPr>
        <w:t>…</w:t>
      </w:r>
      <w:r w:rsidRPr="0036473D">
        <w:rPr>
          <w:b w:val="0"/>
        </w:rPr>
        <w:t xml:space="preserve"> medicine services”</w:t>
      </w:r>
    </w:p>
    <w:p w14:paraId="20B00391" w14:textId="77777777" w:rsidR="00655396" w:rsidRDefault="00655396" w:rsidP="008B512B">
      <w:pPr>
        <w:pStyle w:val="BodyText"/>
        <w:spacing w:line="240" w:lineRule="auto"/>
        <w:rPr>
          <w:i/>
          <w:iCs/>
        </w:rPr>
      </w:pPr>
      <w:r>
        <w:tab/>
        <w:t xml:space="preserve">In </w:t>
      </w:r>
      <w:r>
        <w:rPr>
          <w:i/>
          <w:iCs/>
        </w:rPr>
        <w:t>Bloomington Urological Associates, SC v. Scaglia</w:t>
      </w:r>
      <w:r>
        <w:t>, 292 Ill. App. 3d 793, 226 Ill. Dec. 759, 686 N.E.2d 389 (4th Dist. 1997), the majority construed a restriction under which a former employee physician agreed not to be “involved in the business of providing urological medicine services” from any office located within a 50-mile radius of any office of the former employer (</w:t>
      </w:r>
      <w:r>
        <w:rPr>
          <w:i/>
          <w:iCs/>
        </w:rPr>
        <w:t>id.</w:t>
      </w:r>
      <w:r>
        <w:t xml:space="preserve"> at 795, 226 Ill. Dec. at 761, 686 N.E.2d at 391) </w:t>
      </w:r>
      <w:r>
        <w:rPr>
          <w:i/>
          <w:iCs/>
        </w:rPr>
        <w:t>not to include:</w:t>
      </w:r>
    </w:p>
    <w:p w14:paraId="1B859FD4" w14:textId="77777777" w:rsidR="00655396" w:rsidRDefault="00655396" w:rsidP="008B512B">
      <w:pPr>
        <w:pStyle w:val="BodyText"/>
        <w:spacing w:line="240" w:lineRule="auto"/>
      </w:pPr>
    </w:p>
    <w:p w14:paraId="70514CCC" w14:textId="77777777" w:rsidR="00655396" w:rsidRDefault="00655396" w:rsidP="008B512B">
      <w:pPr>
        <w:pStyle w:val="BodyText"/>
        <w:spacing w:line="240" w:lineRule="auto"/>
      </w:pPr>
      <w:r>
        <w:lastRenderedPageBreak/>
        <w:tab/>
      </w:r>
      <w:r>
        <w:rPr>
          <w:b/>
          <w:bCs/>
        </w:rPr>
        <w:t>•</w:t>
      </w:r>
      <w:r>
        <w:t xml:space="preserve"> “administrative or managerial aspects of medical practice, such as billing, scheduling, and updating patients’ charts” (</w:t>
      </w:r>
      <w:r>
        <w:rPr>
          <w:i/>
          <w:iCs/>
        </w:rPr>
        <w:t>id.</w:t>
      </w:r>
      <w:r>
        <w:t xml:space="preserve"> at 799, 226 Ill. Dec. at 763, 686 N.E.2d at 393); or</w:t>
      </w:r>
    </w:p>
    <w:p w14:paraId="79FC2491" w14:textId="77777777" w:rsidR="00655396" w:rsidRDefault="00655396" w:rsidP="008B512B">
      <w:pPr>
        <w:pStyle w:val="BodyText"/>
        <w:spacing w:line="240" w:lineRule="auto"/>
      </w:pPr>
    </w:p>
    <w:p w14:paraId="5913D59F" w14:textId="43661E12" w:rsidR="00655396" w:rsidRDefault="00655396" w:rsidP="008B512B">
      <w:pPr>
        <w:pStyle w:val="BodyText"/>
        <w:spacing w:line="240" w:lineRule="auto"/>
      </w:pPr>
      <w:r>
        <w:tab/>
      </w:r>
      <w:r>
        <w:rPr>
          <w:b/>
          <w:bCs/>
        </w:rPr>
        <w:t>•</w:t>
      </w:r>
      <w:r>
        <w:t xml:space="preserve"> “telephone inquiries from existing patients to a physician (or his employees acting as conduits of information) or responses to those patients—either in the form of recommending treatment or prescribing medication.”</w:t>
      </w:r>
      <w:r w:rsidR="00FB1D09">
        <w:t xml:space="preserve"> </w:t>
      </w:r>
      <w:r>
        <w:rPr>
          <w:i/>
          <w:iCs/>
        </w:rPr>
        <w:t>Id.</w:t>
      </w:r>
      <w:r>
        <w:t>, 226 Ill. Dec. at 764, 686 N.E.2d at 394.</w:t>
      </w:r>
    </w:p>
    <w:p w14:paraId="68F713D8" w14:textId="79A3BA04" w:rsidR="00655396" w:rsidRDefault="00655396" w:rsidP="008B512B">
      <w:pPr>
        <w:pStyle w:val="BodyText"/>
        <w:spacing w:line="240" w:lineRule="auto"/>
      </w:pPr>
      <w:r>
        <w:tab/>
        <w:t xml:space="preserve">For more information on this case, see the </w:t>
      </w:r>
      <w:r>
        <w:rPr>
          <w:i/>
          <w:iCs/>
        </w:rPr>
        <w:t xml:space="preserve">Involved in the business of providing </w:t>
      </w:r>
      <w:r w:rsidR="00944F63">
        <w:rPr>
          <w:i/>
          <w:iCs/>
        </w:rPr>
        <w:t>…</w:t>
      </w:r>
      <w:r>
        <w:rPr>
          <w:i/>
          <w:iCs/>
        </w:rPr>
        <w:t xml:space="preserve"> medicine services</w:t>
      </w:r>
      <w:r>
        <w:t xml:space="preserve"> subheading, </w:t>
      </w:r>
      <w:r>
        <w:rPr>
          <w:i/>
          <w:iCs/>
        </w:rPr>
        <w:t>supra</w:t>
      </w:r>
      <w:r>
        <w:t xml:space="preserve">, in this </w:t>
      </w:r>
      <w:r>
        <w:rPr>
          <w:i/>
          <w:iCs/>
        </w:rPr>
        <w:t>Construction (Contractual)</w:t>
      </w:r>
      <w:r>
        <w:t xml:space="preserve"> entry.</w:t>
      </w:r>
    </w:p>
    <w:p w14:paraId="69C13290" w14:textId="77777777" w:rsidR="00655396" w:rsidRPr="0036473D" w:rsidRDefault="00655396" w:rsidP="008B512B">
      <w:pPr>
        <w:pStyle w:val="BodyText"/>
        <w:spacing w:line="240" w:lineRule="auto"/>
      </w:pPr>
    </w:p>
    <w:p w14:paraId="33BDAA23" w14:textId="77777777" w:rsidR="00655396" w:rsidRPr="0036473D" w:rsidRDefault="00655396" w:rsidP="008B512B">
      <w:pPr>
        <w:pStyle w:val="HeadingCenter11"/>
        <w:spacing w:after="0" w:line="240" w:lineRule="auto"/>
        <w:rPr>
          <w:b w:val="0"/>
        </w:rPr>
      </w:pPr>
      <w:r w:rsidRPr="0036473D">
        <w:rPr>
          <w:b w:val="0"/>
        </w:rPr>
        <w:t>“Radius”</w:t>
      </w:r>
    </w:p>
    <w:p w14:paraId="0E34C2CE" w14:textId="726F074B" w:rsidR="00655396" w:rsidRDefault="00655396" w:rsidP="008B512B">
      <w:pPr>
        <w:pStyle w:val="BodyText"/>
        <w:spacing w:line="240" w:lineRule="auto"/>
      </w:pPr>
      <w:r>
        <w:tab/>
        <w:t>“Where the covenant specifically uses the word ‘radius’ a court may find a physician in breach for practicing within the radius even though the shortest distance by car is greater than the distance in the restrictive covenant.”</w:t>
      </w:r>
      <w:r w:rsidR="00FB1D09">
        <w:t xml:space="preserve"> </w:t>
      </w:r>
      <w:r>
        <w:t xml:space="preserve">James W. Lowry, Commentary: </w:t>
      </w:r>
      <w:r>
        <w:rPr>
          <w:i/>
          <w:iCs/>
        </w:rPr>
        <w:t>Covenants Not to Compete in Physician Contracts</w:t>
      </w:r>
      <w:r w:rsidR="00D47546">
        <w:rPr>
          <w:i/>
          <w:iCs/>
        </w:rPr>
        <w:t xml:space="preserve">: </w:t>
      </w:r>
      <w:r>
        <w:rPr>
          <w:i/>
          <w:iCs/>
        </w:rPr>
        <w:t>Recent Trends Defining Reasonableness at Common Law</w:t>
      </w:r>
      <w:r>
        <w:t xml:space="preserve">, 24 </w:t>
      </w:r>
      <w:r>
        <w:rPr>
          <w:smallCaps/>
        </w:rPr>
        <w:t>J. Legal Med.</w:t>
      </w:r>
      <w:r>
        <w:t xml:space="preserve"> 215, 229 (June 2003) (citing, </w:t>
      </w:r>
      <w:r>
        <w:rPr>
          <w:i/>
          <w:iCs/>
        </w:rPr>
        <w:t>id.</w:t>
      </w:r>
      <w:r>
        <w:t xml:space="preserve"> at n.108, </w:t>
      </w:r>
      <w:r>
        <w:rPr>
          <w:i/>
          <w:iCs/>
        </w:rPr>
        <w:t>In re Lopez</w:t>
      </w:r>
      <w:r>
        <w:t>, 93 B.R. 155, 160 (Bankr. N.D. Ill. 1988)).</w:t>
      </w:r>
    </w:p>
    <w:p w14:paraId="19221442" w14:textId="77777777" w:rsidR="00655396" w:rsidRDefault="00655396" w:rsidP="008B512B">
      <w:pPr>
        <w:pStyle w:val="BodyText"/>
        <w:spacing w:line="240" w:lineRule="auto"/>
      </w:pPr>
    </w:p>
    <w:p w14:paraId="4B6FDD07" w14:textId="77777777" w:rsidR="00655396" w:rsidRPr="0036473D" w:rsidRDefault="00655396" w:rsidP="008B512B">
      <w:pPr>
        <w:pStyle w:val="HeadingCenter11"/>
        <w:spacing w:after="0" w:line="240" w:lineRule="auto"/>
        <w:rPr>
          <w:b w:val="0"/>
        </w:rPr>
      </w:pPr>
      <w:r w:rsidRPr="0036473D">
        <w:rPr>
          <w:b w:val="0"/>
        </w:rPr>
        <w:t>“Serviced Clients”</w:t>
      </w:r>
    </w:p>
    <w:p w14:paraId="1D7F2019" w14:textId="771E2F37" w:rsidR="00655396" w:rsidRDefault="00655396" w:rsidP="008B512B">
      <w:pPr>
        <w:pStyle w:val="BodyText"/>
        <w:spacing w:line="240" w:lineRule="auto"/>
      </w:pPr>
      <w:r>
        <w:tab/>
        <w:t xml:space="preserve">Nonsolicitation and nonrecruitment agreements prohibiting former employees of a staffing firm from soliciting former “serviced clients” did not also prohibit them from soliciting job-seeking candidates in </w:t>
      </w:r>
      <w:r>
        <w:rPr>
          <w:i/>
          <w:iCs/>
        </w:rPr>
        <w:t>Instant Technology, LLC v. DeFazio</w:t>
      </w:r>
      <w:r>
        <w:t>, No. 1:12-cv-00491, 2014 BL 126166, 38 IER Cases 427 (N.D. Ill. May 2, 2014) (also holding nonsolicitation agreement unenforceable for other reasons).</w:t>
      </w:r>
      <w:r w:rsidR="00FB1D09">
        <w:t xml:space="preserve"> </w:t>
      </w:r>
      <w:r>
        <w:t>A manager who worked for the staffing firm testified that “‘Serviced Clients’ include any client employer [the staffing firm] has ‘billed or executed work for within the past three years,’ as well as any client employer with whom [the firm] has ‘a signed MSA.’ [The manager] also testified that [the firm] does not bill its job-seeking candidates, only its client employers.”</w:t>
      </w:r>
      <w:r w:rsidR="00FB1D09">
        <w:t xml:space="preserve"> </w:t>
      </w:r>
      <w:r>
        <w:rPr>
          <w:i/>
          <w:iCs/>
        </w:rPr>
        <w:t>Id.</w:t>
      </w:r>
      <w:r>
        <w:t>, 2014 BL 126166, at *17.</w:t>
      </w:r>
      <w:r w:rsidR="00FB1D09">
        <w:t xml:space="preserve"> </w:t>
      </w:r>
      <w:r>
        <w:t>On this evidence, the court determined that “serviced clients” did not include the firm’s job-seeking applicants.</w:t>
      </w:r>
      <w:r w:rsidR="00FB1D09">
        <w:t xml:space="preserve"> </w:t>
      </w:r>
      <w:r>
        <w:rPr>
          <w:i/>
          <w:iCs/>
        </w:rPr>
        <w:t>Id.</w:t>
      </w:r>
    </w:p>
    <w:p w14:paraId="30FF2EA8" w14:textId="77777777" w:rsidR="00655396" w:rsidRDefault="00655396" w:rsidP="008B512B">
      <w:pPr>
        <w:pStyle w:val="BodyText"/>
        <w:spacing w:line="240" w:lineRule="auto"/>
      </w:pPr>
    </w:p>
    <w:p w14:paraId="48ADB920" w14:textId="77777777" w:rsidR="00655396" w:rsidRDefault="00655396" w:rsidP="008B512B">
      <w:pPr>
        <w:pStyle w:val="AdditionalTopicsSectionHeadings"/>
        <w:spacing w:line="240" w:lineRule="auto"/>
      </w:pPr>
      <w:r>
        <w:t>Contempt</w:t>
      </w:r>
    </w:p>
    <w:p w14:paraId="4BA3CF26" w14:textId="77777777" w:rsidR="00655396" w:rsidRDefault="00655396" w:rsidP="008B512B">
      <w:pPr>
        <w:pStyle w:val="BodyText"/>
        <w:spacing w:line="240" w:lineRule="auto"/>
      </w:pPr>
    </w:p>
    <w:p w14:paraId="664ECC6E" w14:textId="359A2AD4" w:rsidR="00655396" w:rsidRDefault="00655396" w:rsidP="008B512B">
      <w:pPr>
        <w:pStyle w:val="BodyText"/>
        <w:spacing w:line="240" w:lineRule="auto"/>
      </w:pPr>
      <w:r>
        <w:tab/>
        <w:t>Under Illinois Supreme Court Rule 307(a)(1) (166 Ill. 2d R. 307(a)(1)), which permits interlocutory appeal from injunctive orders, a state appellate court has jurisdiction to consider a trial court’s finding that a physician formerly employed by a medical organization is in contempt of court for violating a noncompetition clause in an agreed order.</w:t>
      </w:r>
      <w:r w:rsidR="00FB1D09">
        <w:t xml:space="preserve"> </w:t>
      </w:r>
      <w:r>
        <w:rPr>
          <w:i/>
          <w:iCs/>
        </w:rPr>
        <w:t>Bloomington Urological Assocs., SC v. Scaglia</w:t>
      </w:r>
      <w:r>
        <w:t>, 292 Ill. App. 3d 793, 796, 226 Ill. Dec. 759, 762, 686 N.E.2d 389, 392 (4th Dist. 1997) (majority finding physician not in indirect civil contempt).</w:t>
      </w:r>
      <w:r w:rsidR="00FB1D09">
        <w:t xml:space="preserve"> </w:t>
      </w:r>
      <w:r>
        <w:rPr>
          <w:i/>
          <w:iCs/>
        </w:rPr>
        <w:t>See also</w:t>
      </w:r>
      <w:r>
        <w:t xml:space="preserve"> the discussion under the </w:t>
      </w:r>
      <w:r>
        <w:rPr>
          <w:i/>
          <w:iCs/>
        </w:rPr>
        <w:t>Appeals</w:t>
      </w:r>
      <w:r>
        <w:t xml:space="preserve"> entry, </w:t>
      </w:r>
      <w:r>
        <w:rPr>
          <w:i/>
          <w:iCs/>
        </w:rPr>
        <w:t>supra</w:t>
      </w:r>
      <w:r>
        <w:t xml:space="preserve">, in this </w:t>
      </w:r>
      <w:r>
        <w:rPr>
          <w:i/>
          <w:iCs/>
        </w:rPr>
        <w:t>Additional Topics</w:t>
      </w:r>
      <w:r>
        <w:t xml:space="preserve"> section.</w:t>
      </w:r>
    </w:p>
    <w:p w14:paraId="780579D0" w14:textId="77777777" w:rsidR="00655396" w:rsidRDefault="00655396" w:rsidP="008B512B">
      <w:pPr>
        <w:pStyle w:val="BodyText"/>
        <w:spacing w:line="240" w:lineRule="auto"/>
      </w:pPr>
    </w:p>
    <w:p w14:paraId="051F2950" w14:textId="77777777" w:rsidR="00655396" w:rsidRDefault="00655396" w:rsidP="008B512B">
      <w:pPr>
        <w:pStyle w:val="AdditionalTopicsSectionHeadings"/>
        <w:spacing w:line="240" w:lineRule="auto"/>
      </w:pPr>
      <w:r>
        <w:t>Context Characterization: Franchise Versus Other Contexts</w:t>
      </w:r>
    </w:p>
    <w:p w14:paraId="17808236" w14:textId="77777777" w:rsidR="00655396" w:rsidRDefault="00655396" w:rsidP="008B512B">
      <w:pPr>
        <w:pStyle w:val="BodyText"/>
        <w:spacing w:line="240" w:lineRule="auto"/>
      </w:pPr>
    </w:p>
    <w:p w14:paraId="3810022C" w14:textId="77777777" w:rsidR="00655396" w:rsidRDefault="00655396" w:rsidP="008B512B">
      <w:pPr>
        <w:pStyle w:val="BodyText"/>
        <w:spacing w:line="240" w:lineRule="auto"/>
      </w:pPr>
      <w:r>
        <w:tab/>
      </w:r>
      <w:r>
        <w:rPr>
          <w:i/>
          <w:iCs/>
        </w:rPr>
        <w:t>See</w:t>
      </w:r>
      <w:r>
        <w:t xml:space="preserve"> the discussion under the </w:t>
      </w:r>
      <w:r>
        <w:rPr>
          <w:i/>
          <w:iCs/>
        </w:rPr>
        <w:t>Context Characterization: Gift Versus Franchise</w:t>
      </w:r>
      <w:r>
        <w:t xml:space="preserve"> heading, </w:t>
      </w:r>
      <w:r>
        <w:rPr>
          <w:i/>
          <w:iCs/>
        </w:rPr>
        <w:t>infra</w:t>
      </w:r>
      <w:r>
        <w:t xml:space="preserve">, in this </w:t>
      </w:r>
      <w:r>
        <w:rPr>
          <w:i/>
          <w:iCs/>
        </w:rPr>
        <w:t>Additional Topics</w:t>
      </w:r>
      <w:r>
        <w:t xml:space="preserve"> section.</w:t>
      </w:r>
    </w:p>
    <w:p w14:paraId="5930206F" w14:textId="77777777" w:rsidR="00655396" w:rsidRDefault="00655396" w:rsidP="008B512B">
      <w:pPr>
        <w:pStyle w:val="BodyText"/>
        <w:spacing w:line="240" w:lineRule="auto"/>
      </w:pPr>
    </w:p>
    <w:p w14:paraId="265922FC" w14:textId="77777777" w:rsidR="00655396" w:rsidRDefault="00655396" w:rsidP="008B512B">
      <w:pPr>
        <w:pStyle w:val="AdditionalTopicsSectionHeadings"/>
        <w:spacing w:line="240" w:lineRule="auto"/>
      </w:pPr>
      <w:r>
        <w:t>Context Characterization: Gift Versus Franchise</w:t>
      </w:r>
    </w:p>
    <w:p w14:paraId="449FDD29" w14:textId="77777777" w:rsidR="00655396" w:rsidRDefault="00655396" w:rsidP="008B512B">
      <w:pPr>
        <w:pStyle w:val="BodyText"/>
        <w:spacing w:line="240" w:lineRule="auto"/>
      </w:pPr>
    </w:p>
    <w:p w14:paraId="43F44FE7" w14:textId="39380A5C" w:rsidR="00655396" w:rsidRDefault="00655396" w:rsidP="008B512B">
      <w:pPr>
        <w:pStyle w:val="BodyText"/>
        <w:spacing w:line="240" w:lineRule="auto"/>
      </w:pPr>
      <w:r>
        <w:tab/>
        <w:t xml:space="preserve">In </w:t>
      </w:r>
      <w:r>
        <w:rPr>
          <w:i/>
          <w:iCs/>
        </w:rPr>
        <w:t>Liautaud v. Liautaud</w:t>
      </w:r>
      <w:r>
        <w:t>, 221 F.3d 981 (7th Cir. 2000), Jim Liautaud, upon request, provided his cousin, Michael Liautaud, with the secrets behind his successful sandwich shop business.</w:t>
      </w:r>
      <w:r w:rsidR="00FB1D09">
        <w:t xml:space="preserve"> </w:t>
      </w:r>
      <w:r>
        <w:rPr>
          <w:i/>
          <w:iCs/>
        </w:rPr>
        <w:t>Id.</w:t>
      </w:r>
      <w:r>
        <w:t xml:space="preserve"> at 984.</w:t>
      </w:r>
      <w:r w:rsidR="00FB1D09">
        <w:t xml:space="preserve"> </w:t>
      </w:r>
      <w:r>
        <w:t xml:space="preserve">To protect himself, he proffered to Michael a noncompetition agreement that barred Michael from expanding his new business beyond the Madison, Wisconsin, market. </w:t>
      </w:r>
      <w:r>
        <w:rPr>
          <w:i/>
          <w:iCs/>
        </w:rPr>
        <w:t>Id.</w:t>
      </w:r>
      <w:r>
        <w:t xml:space="preserve"> Michael agreed to the covenant, but later violated it by expanding his business into other parts of Wisconsin. </w:t>
      </w:r>
      <w:r>
        <w:rPr>
          <w:i/>
          <w:iCs/>
        </w:rPr>
        <w:t>Id.</w:t>
      </w:r>
      <w:r w:rsidR="00FB1D09">
        <w:t xml:space="preserve"> </w:t>
      </w:r>
      <w:r>
        <w:t>Jim then brought suit for breach of the covenant.</w:t>
      </w:r>
      <w:r w:rsidR="00FB1D09">
        <w:t xml:space="preserve"> </w:t>
      </w:r>
      <w:r>
        <w:t>En route to finding that the covenant was ancillary to a valid transaction—a gift—and, thus, enforceable under Illinois law, the U.S. Court of Appeals for the Seventh Circuit observed:</w:t>
      </w:r>
    </w:p>
    <w:p w14:paraId="0EAA1AE0" w14:textId="77777777" w:rsidR="00655396" w:rsidRDefault="00655396" w:rsidP="008B512B">
      <w:pPr>
        <w:pStyle w:val="BodyText"/>
        <w:spacing w:line="240" w:lineRule="auto"/>
      </w:pPr>
    </w:p>
    <w:p w14:paraId="2ED5C191" w14:textId="521A91C6" w:rsidR="00655396" w:rsidRPr="0036473D" w:rsidRDefault="00655396" w:rsidP="008B512B">
      <w:pPr>
        <w:pStyle w:val="BQ"/>
        <w:spacing w:line="240" w:lineRule="auto"/>
        <w:rPr>
          <w:b/>
        </w:rPr>
      </w:pPr>
      <w:r w:rsidRPr="0036473D">
        <w:t xml:space="preserve">In order for a noncompetition agreement to be valid </w:t>
      </w:r>
      <w:r w:rsidR="00944F63">
        <w:t>…</w:t>
      </w:r>
      <w:r w:rsidRPr="0036473D">
        <w:t xml:space="preserve"> it must be ancillary to a valid transaction, such that the covenant not to compete is subordinate to the main purpose of the transaction.</w:t>
      </w:r>
      <w:r w:rsidR="00FB1D09">
        <w:t xml:space="preserve"> </w:t>
      </w:r>
      <w:r w:rsidRPr="0036473D">
        <w:rPr>
          <w:bCs w:val="0"/>
          <w:i/>
          <w:iCs/>
        </w:rPr>
        <w:t>See</w:t>
      </w:r>
      <w:r w:rsidRPr="0036473D">
        <w:t xml:space="preserve"> [</w:t>
      </w:r>
      <w:r w:rsidRPr="0036473D">
        <w:rPr>
          <w:bCs w:val="0"/>
          <w:i/>
          <w:iCs/>
        </w:rPr>
        <w:t>Abel v. Fox</w:t>
      </w:r>
      <w:r w:rsidRPr="0036473D">
        <w:t>, 274 Ill. App. 3d 811, 211 Ill. Dec. 129, 654 N.E.2d 591, 593 (1995)].</w:t>
      </w:r>
      <w:r w:rsidR="00FB1D09">
        <w:t xml:space="preserve"> </w:t>
      </w:r>
      <w:r w:rsidRPr="0036473D">
        <w:t>Although noncompetition agreements typically stem from an employment relationship or from the sale of a business, another valid transaction may support a covenant not to compete.</w:t>
      </w:r>
      <w:r w:rsidR="00FB1D09">
        <w:t xml:space="preserve"> </w:t>
      </w:r>
      <w:r w:rsidRPr="0036473D">
        <w:t xml:space="preserve">The Supreme Court of Illinois has stated that a valid restraint on trade may be based </w:t>
      </w:r>
      <w:r w:rsidRPr="0036473D">
        <w:lastRenderedPageBreak/>
        <w:t xml:space="preserve">on a purchase or sale of a business or “any other analogous circumstance giving one party a just right to be protected against competition from the other.” </w:t>
      </w:r>
      <w:r w:rsidRPr="0036473D">
        <w:rPr>
          <w:bCs w:val="0"/>
          <w:i/>
          <w:iCs/>
        </w:rPr>
        <w:t>More v. Bennett</w:t>
      </w:r>
      <w:r w:rsidRPr="0036473D">
        <w:t>, 140 Ill. 69, 29 N.E. 888, 891 (1892).</w:t>
      </w:r>
    </w:p>
    <w:p w14:paraId="596FA85F" w14:textId="09D8E45E" w:rsidR="00655396" w:rsidRPr="0036473D" w:rsidRDefault="00655396" w:rsidP="008B512B">
      <w:pPr>
        <w:pStyle w:val="BQ"/>
        <w:spacing w:line="240" w:lineRule="auto"/>
        <w:rPr>
          <w:b/>
        </w:rPr>
      </w:pPr>
      <w:r w:rsidRPr="0036473D">
        <w:tab/>
        <w:t>Although Jim urges that we characterize the transaction as a franchise agreement, we believe that the arrangement is more accurately characterized as a gift.</w:t>
      </w:r>
      <w:r w:rsidR="00FB1D09">
        <w:t xml:space="preserve"> </w:t>
      </w:r>
      <w:r w:rsidRPr="0036473D">
        <w:t xml:space="preserve">“A gift is a voluntary gratuitous transfer of property from donor to donee where the donor manifests an intent to make such a gift and absolutely and irrevocably delivers the property to the donee.” </w:t>
      </w:r>
      <w:r w:rsidRPr="0036473D">
        <w:rPr>
          <w:bCs w:val="0"/>
          <w:i/>
          <w:iCs/>
        </w:rPr>
        <w:t>In re Estate of Poliquin</w:t>
      </w:r>
      <w:r w:rsidRPr="0036473D">
        <w:t>, 247 Ill. App. 3d 112, 186 Ill. Dec. 801, 617 N.E.2d 40, 42 (1993).</w:t>
      </w:r>
      <w:r w:rsidR="00FB1D09">
        <w:t xml:space="preserve"> </w:t>
      </w:r>
      <w:r w:rsidRPr="0036473D">
        <w:t>We believe that there is no question that Jim intended to provide Michael with the gift of the “secrets of his success.”</w:t>
      </w:r>
      <w:r w:rsidR="00FB1D09">
        <w:t xml:space="preserve"> </w:t>
      </w:r>
      <w:r w:rsidRPr="0036473D">
        <w:t>Also, the parties do not dispute that Jim delivered his gift to Michael and that Michael accepted Jim’s gift.</w:t>
      </w:r>
      <w:r w:rsidR="00FB1D09">
        <w:t xml:space="preserve"> </w:t>
      </w:r>
      <w:r w:rsidRPr="0036473D">
        <w:t>Thus, the parties entered a valid gift relationship.</w:t>
      </w:r>
      <w:r w:rsidR="00FB1D09">
        <w:t xml:space="preserve"> </w:t>
      </w:r>
      <w:r w:rsidRPr="0036473D">
        <w:t>The donor in a gift relationship, when the gift is trade secrets, is providing the donee with valuable advice for free.</w:t>
      </w:r>
      <w:r w:rsidR="00FB1D09">
        <w:t xml:space="preserve"> </w:t>
      </w:r>
      <w:r w:rsidRPr="0036473D">
        <w:t>The donor may wish to protect both his generosity and his business interests from exploitation</w:t>
      </w:r>
      <w:r w:rsidR="00D47546">
        <w:t xml:space="preserve">; </w:t>
      </w:r>
      <w:r w:rsidRPr="0036473D">
        <w:t>therefore, he may desire to impose a covenant not to compete on his donee.</w:t>
      </w:r>
      <w:r w:rsidR="00FB1D09">
        <w:t xml:space="preserve"> </w:t>
      </w:r>
      <w:r w:rsidRPr="0036473D">
        <w:rPr>
          <w:bCs w:val="0"/>
          <w:i/>
          <w:iCs/>
        </w:rPr>
        <w:t>See More</w:t>
      </w:r>
      <w:r w:rsidRPr="0036473D">
        <w:t>, 29 N.E. at 891.</w:t>
      </w:r>
      <w:r w:rsidR="00FB1D09">
        <w:t xml:space="preserve"> </w:t>
      </w:r>
      <w:r w:rsidRPr="0036473D">
        <w:t>Here, the covenant not to compete was ancillary to the gift transaction between Jim and Michael</w:t>
      </w:r>
      <w:r w:rsidR="00D47546">
        <w:t xml:space="preserve">: </w:t>
      </w:r>
      <w:r w:rsidRPr="0036473D">
        <w:t>The gift from Jim to Michael was the essential element of the transaction, and the noncompetition agreement was subordinate to the main purpose of that transaction.</w:t>
      </w:r>
      <w:r w:rsidR="00FB1D09">
        <w:t xml:space="preserve"> </w:t>
      </w:r>
      <w:r w:rsidRPr="0036473D">
        <w:t>Thus, because the gift relationship is a valid relationship or transaction and the noncompetition agreement is subordinate to that relationship, the noncompetition agreement meets the first requirement that it be ancillary to a valid relationship or transaction.</w:t>
      </w:r>
    </w:p>
    <w:p w14:paraId="2B9B3667" w14:textId="77777777" w:rsidR="00655396" w:rsidRDefault="00655396" w:rsidP="008B512B">
      <w:pPr>
        <w:pStyle w:val="BodyText"/>
        <w:spacing w:line="240" w:lineRule="auto"/>
      </w:pPr>
    </w:p>
    <w:p w14:paraId="7C82EADA" w14:textId="77777777" w:rsidR="00655396" w:rsidRDefault="00655396" w:rsidP="008B512B">
      <w:pPr>
        <w:pStyle w:val="BodyText"/>
        <w:spacing w:line="240" w:lineRule="auto"/>
      </w:pPr>
      <w:r>
        <w:rPr>
          <w:i/>
          <w:iCs/>
        </w:rPr>
        <w:t>Id.</w:t>
      </w:r>
      <w:r>
        <w:t xml:space="preserve"> at 986.</w:t>
      </w:r>
    </w:p>
    <w:p w14:paraId="45789A71" w14:textId="77777777" w:rsidR="00655396" w:rsidRDefault="00655396" w:rsidP="008B512B">
      <w:pPr>
        <w:pStyle w:val="BodyText"/>
        <w:spacing w:line="240" w:lineRule="auto"/>
      </w:pPr>
    </w:p>
    <w:p w14:paraId="3EC9B499" w14:textId="77777777" w:rsidR="00655396" w:rsidRDefault="00655396" w:rsidP="008B512B">
      <w:pPr>
        <w:pStyle w:val="AdditionalTopicsSectionHeadings"/>
        <w:spacing w:line="240" w:lineRule="auto"/>
      </w:pPr>
      <w:r>
        <w:t>Context Characterization: Sale of Business Versus Employment Context</w:t>
      </w:r>
    </w:p>
    <w:p w14:paraId="5B22195D" w14:textId="77777777" w:rsidR="00655396" w:rsidRDefault="00655396" w:rsidP="008B512B">
      <w:pPr>
        <w:pStyle w:val="BodyText"/>
        <w:spacing w:line="240" w:lineRule="auto"/>
      </w:pPr>
    </w:p>
    <w:p w14:paraId="4633DF13" w14:textId="657D12FC"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“Illinois may be skeptical about covenants executed by salesmen and other employees, but it is quite willing to enforce covenants executed by entrepreneurs in order to form or sell a business.”</w:t>
      </w:r>
      <w:r w:rsidR="00FB1D09">
        <w:rPr>
          <w:rFonts w:ascii="Baskerville" w:hAnsi="Baskerville" w:cs="Baskerville"/>
        </w:rPr>
        <w:t xml:space="preserve"> </w:t>
      </w:r>
      <w:r>
        <w:rPr>
          <w:rFonts w:ascii="Baskerville" w:hAnsi="Baskerville" w:cs="Baskerville"/>
          <w:i/>
          <w:iCs/>
        </w:rPr>
        <w:t>Hess Newmark Owens Wolf, Inc. v. Owens</w:t>
      </w:r>
      <w:r>
        <w:rPr>
          <w:rFonts w:ascii="Baskerville" w:hAnsi="Baskerville" w:cs="Baskerville"/>
        </w:rPr>
        <w:t>, 415 F.3d 630, 634 (7th Cir. 2005) (involving sale-of-business context covenant).</w:t>
      </w:r>
    </w:p>
    <w:p w14:paraId="4F01B105"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However, the less strict standards governing covenants ancillary to the sale of a business do not apply to an employee who contributed </w:t>
      </w:r>
      <w:r>
        <w:rPr>
          <w:rFonts w:ascii="Baskerville" w:hAnsi="Baskerville" w:cs="Baskerville"/>
        </w:rPr>
        <w:lastRenderedPageBreak/>
        <w:t xml:space="preserve">to the employer’s “show account.” </w:t>
      </w:r>
      <w:r>
        <w:rPr>
          <w:rFonts w:ascii="Baskerville" w:hAnsi="Baskerville" w:cs="Baskerville"/>
          <w:i/>
          <w:iCs/>
        </w:rPr>
        <w:t>Springfield Rare Coin Galleries, Inc. v. Mileham,</w:t>
      </w:r>
      <w:r>
        <w:rPr>
          <w:rFonts w:ascii="Baskerville" w:hAnsi="Baskerville" w:cs="Baskerville"/>
        </w:rPr>
        <w:t xml:space="preserve"> 250 Ill. App. 3d 922, 939, 189 Ill. Dec. 511, 523, 620 N.E.2d 479, 491 (4th Dist. 1993). Note that:</w:t>
      </w:r>
    </w:p>
    <w:p w14:paraId="0EF0F3D9"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4CC775F1"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 xml:space="preserve">“Illinois courts have historically distinguished between the two types of covenants, based on the unique interest which each seeks to protect. Whereas a covenant ancillary to an employment contract shields the employer from the possibility of losing his clientele to an employee who appropriates proprietary customer information for his own benefit, and also shields him from the possibility of losing customers with whom he enjoys a near-permanent relationship, a covenant ancillary to the sale of a business ensures the buyer that the former owner will not walk away from the sale with the company’s customers and goodwill, leaving the buyer with an </w:t>
      </w:r>
      <w:r>
        <w:rPr>
          <w:rFonts w:ascii="Baskerville" w:hAnsi="Baskerville" w:cs="Baskerville"/>
          <w:sz w:val="22"/>
          <w:szCs w:val="22"/>
        </w:rPr>
        <w:br/>
        <w:t>acquisition that turns out to be only chimerical.”</w:t>
      </w:r>
    </w:p>
    <w:p w14:paraId="1B047B8A" w14:textId="77777777" w:rsidR="00655396" w:rsidRDefault="00655396" w:rsidP="008B512B">
      <w:pPr>
        <w:pStyle w:val="BodyText"/>
        <w:spacing w:line="240" w:lineRule="auto"/>
      </w:pPr>
    </w:p>
    <w:p w14:paraId="16042092"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xml:space="preserve"> (quoting </w:t>
      </w:r>
      <w:r>
        <w:rPr>
          <w:rFonts w:ascii="Baskerville" w:hAnsi="Baskerville" w:cs="Baskerville"/>
          <w:i/>
          <w:iCs/>
        </w:rPr>
        <w:t>Decker, Berta &amp; Co. v. Berta,</w:t>
      </w:r>
      <w:r>
        <w:rPr>
          <w:rFonts w:ascii="Baskerville" w:hAnsi="Baskerville" w:cs="Baskerville"/>
        </w:rPr>
        <w:t xml:space="preserve"> 225 Ill. App. 3d 24, 29–30, 167 Ill. Dec. 190, 193, 587 N.E.2d 72, 75 (1992) (quoting, in turn, </w:t>
      </w:r>
      <w:r>
        <w:rPr>
          <w:rFonts w:ascii="Baskerville" w:hAnsi="Baskerville" w:cs="Baskerville"/>
          <w:i/>
          <w:iCs/>
        </w:rPr>
        <w:t>Hamer Holding Grp., Inc. v. Elmore,</w:t>
      </w:r>
      <w:r>
        <w:rPr>
          <w:rFonts w:ascii="Baskerville" w:hAnsi="Baskerville" w:cs="Baskerville"/>
        </w:rPr>
        <w:t xml:space="preserve"> 202 Ill. App. 3d 994, 1007, 148 Ill. Dec. 310, 319, 560 N.E.2d 907, 916 (1990) (</w:t>
      </w:r>
      <w:r>
        <w:rPr>
          <w:rFonts w:ascii="Baskerville" w:hAnsi="Baskerville" w:cs="Baskerville"/>
          <w:i/>
          <w:iCs/>
        </w:rPr>
        <w:t>Hamer I</w:t>
      </w:r>
      <w:r>
        <w:rPr>
          <w:rFonts w:ascii="Baskerville" w:hAnsi="Baskerville" w:cs="Baskerville"/>
        </w:rPr>
        <w:t>))).</w:t>
      </w:r>
    </w:p>
    <w:p w14:paraId="376246CC" w14:textId="7612B290"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“Restrictive covenants accompanying the purchase of assets are more favorably viewed than those connected with employer-employee arrangements because of the arm’s length bargaining position of the parties.”</w:t>
      </w:r>
      <w:r w:rsidR="00FB1D09">
        <w:rPr>
          <w:rFonts w:ascii="Baskerville" w:hAnsi="Baskerville" w:cs="Baskerville"/>
        </w:rPr>
        <w:t xml:space="preserve"> </w:t>
      </w:r>
      <w:r>
        <w:rPr>
          <w:rFonts w:ascii="Baskerville" w:hAnsi="Baskerville" w:cs="Baskerville"/>
          <w:i/>
          <w:iCs/>
        </w:rPr>
        <w:t>Diepholz v. Rutledge</w:t>
      </w:r>
      <w:r>
        <w:rPr>
          <w:rFonts w:ascii="Baskerville" w:hAnsi="Baskerville" w:cs="Baskerville"/>
        </w:rPr>
        <w:t xml:space="preserve">, 276 Ill. App. 3d 1013, 213 Ill. Dec. 643, 659 N.E.2d 989 (4th Dist. 1995) (sale of automobile sales-and-service dealership case; citing </w:t>
      </w:r>
      <w:r>
        <w:rPr>
          <w:rFonts w:ascii="Baskerville" w:hAnsi="Baskerville" w:cs="Baskerville"/>
          <w:i/>
          <w:iCs/>
        </w:rPr>
        <w:t>Russell v. Jim Russell Supply, Inc.</w:t>
      </w:r>
      <w:r>
        <w:rPr>
          <w:rFonts w:ascii="Baskerville" w:hAnsi="Baskerville" w:cs="Baskerville"/>
        </w:rPr>
        <w:t>, 200 Ill. App. 3d 855, 865, 146 Ill. Dec. 152, 160, 558 N.E.2d 115, 123 (1990)).</w:t>
      </w:r>
    </w:p>
    <w:p w14:paraId="5042DE12" w14:textId="5FBF0158"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“The classification of a covenant [either as a sale of business covenant or, instead, as an employment covenant] is critical, since a covenant ancillary to the sale of a business need only be reasonable in duration, geographical area, and scope to be enforceable.”</w:t>
      </w:r>
      <w:r w:rsidR="00FB1D09">
        <w:rPr>
          <w:rFonts w:ascii="Baskerville" w:hAnsi="Baskerville" w:cs="Baskerville"/>
        </w:rPr>
        <w:t xml:space="preserve"> </w:t>
      </w:r>
      <w:r>
        <w:rPr>
          <w:rFonts w:ascii="Baskerville" w:hAnsi="Baskerville" w:cs="Baskerville"/>
          <w:i/>
          <w:iCs/>
        </w:rPr>
        <w:t>Loewen Grp. Int’l, Inc. v. Haberichter</w:t>
      </w:r>
      <w:r>
        <w:rPr>
          <w:rFonts w:ascii="Baskerville" w:hAnsi="Baskerville" w:cs="Baskerville"/>
        </w:rPr>
        <w:t xml:space="preserve">, 912 F. Supp. 388, 392 (N.D. Ill. 1996) (citing </w:t>
      </w:r>
      <w:r>
        <w:rPr>
          <w:rFonts w:ascii="Baskerville" w:hAnsi="Baskerville" w:cs="Baskerville"/>
          <w:i/>
          <w:iCs/>
        </w:rPr>
        <w:t>Hamer I</w:t>
      </w:r>
      <w:r>
        <w:rPr>
          <w:rFonts w:ascii="Baskerville" w:hAnsi="Baskerville" w:cs="Baskerville"/>
        </w:rPr>
        <w:t xml:space="preserve">, 202 Ill. App. 3d 994, 148 Ill. Dec. 310, 318, 560 N.E.2d at 915). In contrast, a covenant ancillary to an employment agreement will be enforceable “only if the employer demonstrates, in addition to the reasonableness of the restriction, certain special circumstances: (1) a ‘near-permanent’ relationship between the employer and its customers, and that but for his association with the </w:t>
      </w:r>
      <w:r>
        <w:rPr>
          <w:rFonts w:ascii="Baskerville" w:hAnsi="Baskerville" w:cs="Baskerville"/>
        </w:rPr>
        <w:lastRenderedPageBreak/>
        <w:t>employer, the former employee would not have had contact with the customers; or (2) the acquisition and attempted use of confidential information by the employee.”</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392–93 (citing </w:t>
      </w:r>
      <w:r>
        <w:rPr>
          <w:rFonts w:ascii="Baskerville" w:hAnsi="Baskerville" w:cs="Baskerville"/>
          <w:i/>
          <w:iCs/>
        </w:rPr>
        <w:t>Audio Props., Inc. v. Kovach</w:t>
      </w:r>
      <w:r>
        <w:rPr>
          <w:rFonts w:ascii="Baskerville" w:hAnsi="Baskerville" w:cs="Baskerville"/>
        </w:rPr>
        <w:t xml:space="preserve">, 275 Ill. App. 3d 145, 211 Ill. Dec. 651, 654, 655 N.E.2d at 1034, 1037 (1st Dist. 1995); </w:t>
      </w:r>
      <w:r>
        <w:rPr>
          <w:rFonts w:ascii="Baskerville" w:hAnsi="Baskerville" w:cs="Baskerville"/>
          <w:i/>
          <w:iCs/>
        </w:rPr>
        <w:t>Hamer I</w:t>
      </w:r>
      <w:r>
        <w:rPr>
          <w:rFonts w:ascii="Baskerville" w:hAnsi="Baskerville" w:cs="Baskerville"/>
        </w:rPr>
        <w:t>, 148 Ill. Dec. at 318, 560 N.E.2d at 915–16).</w:t>
      </w:r>
      <w:r w:rsidR="00FB1D09">
        <w:rPr>
          <w:rFonts w:ascii="Baskerville" w:hAnsi="Baskerville" w:cs="Baskerville"/>
        </w:rPr>
        <w:t xml:space="preserve"> </w:t>
      </w:r>
      <w:r>
        <w:rPr>
          <w:rFonts w:ascii="Baskerville" w:hAnsi="Baskerville" w:cs="Baskerville"/>
        </w:rPr>
        <w:t>The determination of whether a covenant is an employment covenant or, instead, a sale-of-business covenant turns on the intent of the parties to protect the integrity of the sale.</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393.</w:t>
      </w:r>
      <w:r w:rsidR="00FB1D09">
        <w:rPr>
          <w:rFonts w:ascii="Baskerville" w:hAnsi="Baskerville" w:cs="Baskerville"/>
        </w:rPr>
        <w:t xml:space="preserve"> </w:t>
      </w:r>
      <w:r>
        <w:rPr>
          <w:rFonts w:ascii="Baskerville" w:hAnsi="Baskerville" w:cs="Baskerville"/>
        </w:rPr>
        <w:t xml:space="preserve">Such facts may include whether the covenant was a condition precedent to the sale; whether the covenant was incorporated into the sale agreement; and the time that the parties signed the covenant in relation to the time that they signed the sales agreement. </w:t>
      </w:r>
      <w:r>
        <w:rPr>
          <w:rFonts w:ascii="Baskerville" w:hAnsi="Baskerville" w:cs="Baskerville"/>
          <w:i/>
          <w:iCs/>
        </w:rPr>
        <w:t>Id.</w:t>
      </w:r>
      <w:r>
        <w:rPr>
          <w:rFonts w:ascii="Baskerville" w:hAnsi="Baskerville" w:cs="Baskerville"/>
        </w:rPr>
        <w:t xml:space="preserve"> at 393 (quoting </w:t>
      </w:r>
      <w:r>
        <w:rPr>
          <w:rFonts w:ascii="Baskerville" w:hAnsi="Baskerville" w:cs="Baskerville"/>
          <w:i/>
          <w:iCs/>
        </w:rPr>
        <w:t>Business Records Corp. v. Lueth</w:t>
      </w:r>
      <w:r>
        <w:rPr>
          <w:rFonts w:ascii="Baskerville" w:hAnsi="Baskerville" w:cs="Baskerville"/>
        </w:rPr>
        <w:t xml:space="preserve">, 981 F.2d 957, 960 (7th Cir. 1992) (quoting and citing </w:t>
      </w:r>
      <w:r>
        <w:rPr>
          <w:rFonts w:ascii="Baskerville" w:hAnsi="Baskerville" w:cs="Baskerville"/>
          <w:i/>
          <w:iCs/>
        </w:rPr>
        <w:t>Hamer I</w:t>
      </w:r>
      <w:r>
        <w:rPr>
          <w:rFonts w:ascii="Baskerville" w:hAnsi="Baskerville" w:cs="Baskerville"/>
        </w:rPr>
        <w:t xml:space="preserve">, 148 Ill. Dec. at 319, 560 N.E.2d at 916; and </w:t>
      </w:r>
      <w:r>
        <w:rPr>
          <w:rFonts w:ascii="Baskerville" w:hAnsi="Baskerville" w:cs="Baskerville"/>
          <w:i/>
          <w:iCs/>
        </w:rPr>
        <w:t>O’Sullivan v. Conrad</w:t>
      </w:r>
      <w:r>
        <w:rPr>
          <w:rFonts w:ascii="Baskerville" w:hAnsi="Baskerville" w:cs="Baskerville"/>
        </w:rPr>
        <w:t>, 44 Ill. Supp. 3d 752, 3 Ill. Dec. 383, 358 N.E.2d 926, 929 (1976))).</w:t>
      </w:r>
      <w:r w:rsidR="00FB1D09">
        <w:rPr>
          <w:rFonts w:ascii="Baskerville" w:hAnsi="Baskerville" w:cs="Baskerville"/>
        </w:rPr>
        <w:t xml:space="preserve"> </w:t>
      </w:r>
      <w:r>
        <w:rPr>
          <w:rFonts w:ascii="Baskerville" w:hAnsi="Baskerville" w:cs="Baskerville"/>
        </w:rPr>
        <w:t xml:space="preserve">In </w:t>
      </w:r>
      <w:r>
        <w:rPr>
          <w:rFonts w:ascii="Baskerville" w:hAnsi="Baskerville" w:cs="Baskerville"/>
          <w:i/>
          <w:iCs/>
        </w:rPr>
        <w:t>Loewen</w:t>
      </w:r>
      <w:r>
        <w:rPr>
          <w:rFonts w:ascii="Baskerville" w:hAnsi="Baskerville" w:cs="Baskerville"/>
        </w:rPr>
        <w:t>, the court determined that the covenant governing the former employee, William J. Haberichter, was ancillary to Haberichter’s employment agreement—and not the sale of business of his first employer, Donovan &amp; Schaer Funeral Homes, P.C. (D &amp; S), to his second employer, Loewen Group International, Inc. (Loewen).</w:t>
      </w:r>
      <w:r w:rsidR="00FB1D09">
        <w:rPr>
          <w:rFonts w:ascii="Baskerville" w:hAnsi="Baskerville" w:cs="Baskerville"/>
        </w:rPr>
        <w:t xml:space="preserve"> </w:t>
      </w:r>
      <w:r>
        <w:rPr>
          <w:rFonts w:ascii="Baskerville" w:hAnsi="Baskerville" w:cs="Baskerville"/>
        </w:rPr>
        <w:t>The court explained:</w:t>
      </w:r>
    </w:p>
    <w:p w14:paraId="304E29D6" w14:textId="77777777" w:rsidR="00655396" w:rsidRDefault="00655396" w:rsidP="008B512B">
      <w:pPr>
        <w:pStyle w:val="BodyText"/>
        <w:spacing w:line="240" w:lineRule="auto"/>
      </w:pPr>
    </w:p>
    <w:p w14:paraId="41A7D3A7" w14:textId="1EB2357B"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In this case it is clear that Haberichter’s continued employment was not a condition precedent to the sale of D &amp; S to Loewen.</w:t>
      </w:r>
      <w:r w:rsidR="00FB1D09">
        <w:rPr>
          <w:rFonts w:ascii="Baskerville" w:hAnsi="Baskerville" w:cs="Baskerville"/>
          <w:sz w:val="22"/>
          <w:szCs w:val="22"/>
        </w:rPr>
        <w:t xml:space="preserve"> </w:t>
      </w:r>
      <w:r>
        <w:rPr>
          <w:rFonts w:ascii="Baskerville" w:hAnsi="Baskerville" w:cs="Baskerville"/>
          <w:sz w:val="22"/>
          <w:szCs w:val="22"/>
        </w:rPr>
        <w:t xml:space="preserve">Although Loewen was obligated to </w:t>
      </w:r>
      <w:r>
        <w:rPr>
          <w:rFonts w:ascii="Baskerville" w:hAnsi="Baskerville" w:cs="Baskerville"/>
          <w:i/>
          <w:iCs/>
          <w:sz w:val="22"/>
          <w:szCs w:val="22"/>
        </w:rPr>
        <w:t>offer</w:t>
      </w:r>
      <w:r>
        <w:rPr>
          <w:rFonts w:ascii="Baskerville" w:hAnsi="Baskerville" w:cs="Baskerville"/>
          <w:sz w:val="22"/>
          <w:szCs w:val="22"/>
        </w:rPr>
        <w:t xml:space="preserve"> Haberichter employment with the company, the Purchase Agreement explicitly relieved the company of this obligation if Haberichter did not wish to accept.</w:t>
      </w:r>
      <w:r w:rsidR="00FB1D09">
        <w:rPr>
          <w:rFonts w:ascii="Baskerville" w:hAnsi="Baskerville" w:cs="Baskerville"/>
          <w:sz w:val="22"/>
          <w:szCs w:val="22"/>
        </w:rPr>
        <w:t xml:space="preserve"> </w:t>
      </w:r>
      <w:r>
        <w:rPr>
          <w:rFonts w:ascii="Baskerville" w:hAnsi="Baskerville" w:cs="Baskerville"/>
          <w:sz w:val="22"/>
          <w:szCs w:val="22"/>
        </w:rPr>
        <w:t>Indeed, it appears from the correspondence between the attorneys for Loewen and Haberichter on February 12–13, 1992, that Haberichter unconditionally tendered his Employment Agreement only after the sale of D &amp; S had closed.</w:t>
      </w:r>
      <w:r w:rsidR="00FB1D09">
        <w:rPr>
          <w:rFonts w:ascii="Baskerville" w:hAnsi="Baskerville" w:cs="Baskerville"/>
          <w:sz w:val="22"/>
          <w:szCs w:val="22"/>
        </w:rPr>
        <w:t xml:space="preserve"> </w:t>
      </w:r>
      <w:r>
        <w:rPr>
          <w:rFonts w:ascii="Baskerville" w:hAnsi="Baskerville" w:cs="Baskerville"/>
          <w:sz w:val="22"/>
          <w:szCs w:val="22"/>
        </w:rPr>
        <w:t>Nor was the covenant incorporated into the Purchase Agreement, as it was for the principals of D &amp; S. Rather, the Purchase Agreement merely made Loewen’s obligation to offer employment to Haberichter contingent upon his signing a covenant similar to the one executed by the owners of D &amp; S.</w:t>
      </w:r>
      <w:r w:rsidR="00FB1D09">
        <w:rPr>
          <w:rFonts w:ascii="Baskerville" w:hAnsi="Baskerville" w:cs="Baskerville"/>
          <w:sz w:val="22"/>
          <w:szCs w:val="22"/>
        </w:rPr>
        <w:t xml:space="preserve"> </w:t>
      </w:r>
      <w:r>
        <w:rPr>
          <w:rFonts w:ascii="Baskerville" w:hAnsi="Baskerville" w:cs="Baskerville"/>
          <w:sz w:val="22"/>
          <w:szCs w:val="22"/>
        </w:rPr>
        <w:t>Finally, although the deal to purchase D &amp; S was closed at about the same time Haberichter signed the Employment Agreement, the actual Purchase Agreement was signed and dated December 11, 1991—a full two months before the closing date on February 11, 1992.</w:t>
      </w:r>
      <w:r w:rsidR="00FB1D09">
        <w:rPr>
          <w:rFonts w:ascii="Baskerville" w:hAnsi="Baskerville" w:cs="Baskerville"/>
          <w:sz w:val="22"/>
          <w:szCs w:val="22"/>
        </w:rPr>
        <w:t xml:space="preserve"> </w:t>
      </w:r>
      <w:r>
        <w:rPr>
          <w:rFonts w:ascii="Baskerville" w:hAnsi="Baskerville" w:cs="Baskerville"/>
          <w:sz w:val="22"/>
          <w:szCs w:val="22"/>
        </w:rPr>
        <w:t xml:space="preserve">Based on these </w:t>
      </w:r>
      <w:r>
        <w:rPr>
          <w:rFonts w:ascii="Baskerville" w:hAnsi="Baskerville" w:cs="Baskerville"/>
          <w:sz w:val="22"/>
          <w:szCs w:val="22"/>
        </w:rPr>
        <w:lastRenderedPageBreak/>
        <w:t>facts, we cannot conclude that the Employment Agreement with Haberichter was signed in order to protect the integrity of the sale of D &amp; S to Loewen.</w:t>
      </w:r>
      <w:r w:rsidR="00FB1D09">
        <w:rPr>
          <w:rFonts w:ascii="Baskerville" w:hAnsi="Baskerville" w:cs="Baskerville"/>
          <w:sz w:val="22"/>
          <w:szCs w:val="22"/>
        </w:rPr>
        <w:t xml:space="preserve"> </w:t>
      </w:r>
      <w:r>
        <w:rPr>
          <w:rFonts w:ascii="Baskerville" w:hAnsi="Baskerville" w:cs="Baskerville"/>
          <w:i/>
          <w:iCs/>
          <w:sz w:val="22"/>
          <w:szCs w:val="22"/>
        </w:rPr>
        <w:t>Cf. Lueth</w:t>
      </w:r>
      <w:r>
        <w:rPr>
          <w:rFonts w:ascii="Baskerville" w:hAnsi="Baskerville" w:cs="Baskerville"/>
          <w:sz w:val="22"/>
          <w:szCs w:val="22"/>
        </w:rPr>
        <w:t xml:space="preserve">, 981 F.2d at 960 (finding covenant ancillary to sales agreement where noncompetition agreement was condition precedent to purchase, was incorporated into sales agreement, and was executed simultaneously with sales agreement); </w:t>
      </w:r>
      <w:r>
        <w:rPr>
          <w:rFonts w:ascii="Baskerville" w:hAnsi="Baskerville" w:cs="Baskerville"/>
          <w:i/>
          <w:iCs/>
          <w:sz w:val="22"/>
          <w:szCs w:val="22"/>
        </w:rPr>
        <w:t>Decker, Berta and Co., Ltd. v. Berta</w:t>
      </w:r>
      <w:r>
        <w:rPr>
          <w:rFonts w:ascii="Baskerville" w:hAnsi="Baskerville" w:cs="Baskerville"/>
          <w:sz w:val="22"/>
          <w:szCs w:val="22"/>
        </w:rPr>
        <w:t xml:space="preserve">, 225 Ill. App. 3d 24, 167 Ill. Dec. 190, 191–194, 587 N.E.2d 72, 73–76 ([4th Dist.]) (upholding trial court’s finding that covenant was ancillary to sale of business where purchaser required the two </w:t>
      </w:r>
      <w:r>
        <w:rPr>
          <w:rFonts w:ascii="Baskerville" w:hAnsi="Baskerville" w:cs="Baskerville"/>
          <w:sz w:val="22"/>
          <w:szCs w:val="22"/>
        </w:rPr>
        <w:br/>
        <w:t xml:space="preserve">employees of the business to enter into employment agreements contemporaneous with the sale), </w:t>
      </w:r>
      <w:r>
        <w:rPr>
          <w:rFonts w:ascii="Baskerville" w:hAnsi="Baskerville" w:cs="Baskerville"/>
          <w:i/>
          <w:iCs/>
          <w:sz w:val="22"/>
          <w:szCs w:val="22"/>
        </w:rPr>
        <w:t>appeal denied</w:t>
      </w:r>
      <w:r>
        <w:rPr>
          <w:rFonts w:ascii="Baskerville" w:hAnsi="Baskerville" w:cs="Baskerville"/>
          <w:sz w:val="22"/>
          <w:szCs w:val="22"/>
        </w:rPr>
        <w:t xml:space="preserve">, 145 Ill. 2d 632, 173 Ill. Dec. 3, 596 N.E.2d 627 (Ill. 1992); </w:t>
      </w:r>
      <w:r>
        <w:rPr>
          <w:rFonts w:ascii="Baskerville" w:hAnsi="Baskerville" w:cs="Baskerville"/>
          <w:i/>
          <w:iCs/>
          <w:sz w:val="22"/>
          <w:szCs w:val="22"/>
        </w:rPr>
        <w:t>Hamer I</w:t>
      </w:r>
      <w:r>
        <w:rPr>
          <w:rFonts w:ascii="Baskerville" w:hAnsi="Baskerville" w:cs="Baskerville"/>
          <w:sz w:val="22"/>
          <w:szCs w:val="22"/>
        </w:rPr>
        <w:t>, 148 Ill. Dec. at 319–20, 560 N.E.2d at 916–17 (finding covenant ancillary to sales agreement where acquisition agreement explicitly required execution and delivery of employment agreement as condition precedent).</w:t>
      </w:r>
      <w:r w:rsidR="00FB1D09">
        <w:rPr>
          <w:rFonts w:ascii="Baskerville" w:hAnsi="Baskerville" w:cs="Baskerville"/>
          <w:sz w:val="22"/>
          <w:szCs w:val="22"/>
        </w:rPr>
        <w:t xml:space="preserve"> </w:t>
      </w:r>
      <w:r>
        <w:rPr>
          <w:rFonts w:ascii="Baskerville" w:hAnsi="Baskerville" w:cs="Baskerville"/>
          <w:sz w:val="22"/>
          <w:szCs w:val="22"/>
        </w:rPr>
        <w:t>Accordingly, we hold that the covenant not to compete was ancillary to Haberichter’s Employment Agreement.</w:t>
      </w:r>
    </w:p>
    <w:p w14:paraId="5E6F907F" w14:textId="77777777" w:rsidR="00655396" w:rsidRDefault="00655396" w:rsidP="008B512B">
      <w:pPr>
        <w:pStyle w:val="BodyText"/>
        <w:spacing w:line="240" w:lineRule="auto"/>
      </w:pPr>
    </w:p>
    <w:p w14:paraId="79074860" w14:textId="4EC2BAF0"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xml:space="preserve"> at 393 (court’s emphasis retained).</w:t>
      </w:r>
      <w:r w:rsidR="00FB1D09">
        <w:rPr>
          <w:rFonts w:ascii="Baskerville" w:hAnsi="Baskerville" w:cs="Baskerville"/>
        </w:rPr>
        <w:t xml:space="preserve"> </w:t>
      </w:r>
      <w:r>
        <w:rPr>
          <w:rFonts w:ascii="Baskerville" w:hAnsi="Baskerville" w:cs="Baskerville"/>
        </w:rPr>
        <w:t xml:space="preserve">Note that, in </w:t>
      </w:r>
      <w:r>
        <w:rPr>
          <w:rFonts w:ascii="Baskerville" w:hAnsi="Baskerville" w:cs="Baskerville"/>
          <w:i/>
          <w:iCs/>
        </w:rPr>
        <w:t>Loewen</w:t>
      </w:r>
      <w:r>
        <w:rPr>
          <w:rFonts w:ascii="Baskerville" w:hAnsi="Baskerville" w:cs="Baskerville"/>
        </w:rPr>
        <w:t>, the U.S. District Court for the Northern District of Illinois had previously granted summary judgment to the former employee based on its conclusion that the employer’s suit was preempted by the Labor Management Relations Act.</w:t>
      </w:r>
      <w:r w:rsidR="00FB1D09">
        <w:rPr>
          <w:rFonts w:ascii="Baskerville" w:hAnsi="Baskerville" w:cs="Baskerville"/>
        </w:rPr>
        <w:t xml:space="preserve"> </w:t>
      </w:r>
      <w:r>
        <w:rPr>
          <w:rFonts w:ascii="Baskerville" w:hAnsi="Baskerville" w:cs="Baskerville"/>
        </w:rPr>
        <w:t>863 F. Supp. 629.</w:t>
      </w:r>
      <w:r w:rsidR="00FB1D09">
        <w:rPr>
          <w:rFonts w:ascii="Baskerville" w:hAnsi="Baskerville" w:cs="Baskerville"/>
        </w:rPr>
        <w:t xml:space="preserve"> </w:t>
      </w:r>
      <w:r>
        <w:rPr>
          <w:rFonts w:ascii="Baskerville" w:hAnsi="Baskerville" w:cs="Baskerville"/>
        </w:rPr>
        <w:t>However, the U.S. Court of Appeals for the Seventh Circuit reversed and ordered Loewen’s claims reinstated.</w:t>
      </w:r>
      <w:r w:rsidR="00FB1D09">
        <w:rPr>
          <w:rFonts w:ascii="Baskerville" w:hAnsi="Baskerville" w:cs="Baskerville"/>
        </w:rPr>
        <w:t xml:space="preserve"> </w:t>
      </w:r>
      <w:r>
        <w:rPr>
          <w:rFonts w:ascii="Baskerville" w:hAnsi="Baskerville" w:cs="Baskerville"/>
        </w:rPr>
        <w:t>65 F.3d 1417 (7th Cir. 1995).</w:t>
      </w:r>
    </w:p>
    <w:p w14:paraId="27708ED3"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In determining whether a restrictive covenant is ancillary to the sale of a business, rather than ancillary to an employment agreement, “a court will consider the facts bearing on the parties’ intent to protect the integrity of a sale.” </w:t>
      </w:r>
      <w:r>
        <w:rPr>
          <w:rFonts w:ascii="Baskerville" w:hAnsi="Baskerville" w:cs="Baskerville"/>
          <w:i/>
          <w:iCs/>
        </w:rPr>
        <w:t>Howard Johnson &amp; Co. v. Feinstein,</w:t>
      </w:r>
      <w:r>
        <w:rPr>
          <w:rFonts w:ascii="Baskerville" w:hAnsi="Baskerville" w:cs="Baskerville"/>
        </w:rPr>
        <w:t xml:space="preserve"> 241 Ill. App. 3d 828, 836, 182 Ill. Dec. 396, 400, 609 N.E.2d 930, 934 (1st Dist. 1993) (finding noncompetition agreements were ancillary to sale of business where client base was main asset and noncompetition agreements were entered into to protect against loss of clientele).</w:t>
      </w:r>
    </w:p>
    <w:p w14:paraId="2424098C" w14:textId="77777777" w:rsidR="00655396" w:rsidRDefault="00655396" w:rsidP="008B512B">
      <w:pPr>
        <w:pStyle w:val="BodyText"/>
        <w:spacing w:line="240" w:lineRule="auto"/>
      </w:pPr>
      <w:r>
        <w:tab/>
        <w:t xml:space="preserve">In </w:t>
      </w:r>
      <w:r>
        <w:rPr>
          <w:i/>
          <w:iCs/>
        </w:rPr>
        <w:t>Arthur J. Gallagher &amp; Co. v. Youngdahl</w:t>
      </w:r>
      <w:r>
        <w:t xml:space="preserve">, 412 F. Supp. 2d 1013 (D. Minn. 2006) (applying Illinois law), the court determined that a restrictive covenant ancillary to the sale of a business is subject to less stringent a reasonableness test, not the strict construction usually applied in an employment situation. </w:t>
      </w:r>
    </w:p>
    <w:p w14:paraId="158F11FC" w14:textId="6DF5F08D" w:rsidR="00655396" w:rsidRDefault="00655396" w:rsidP="008B512B">
      <w:pPr>
        <w:pStyle w:val="BodyText"/>
        <w:spacing w:line="240" w:lineRule="auto"/>
      </w:pPr>
      <w:r>
        <w:tab/>
        <w:t xml:space="preserve">In February 2000, Gallagher &amp; Co., an international sales and </w:t>
      </w:r>
      <w:r>
        <w:lastRenderedPageBreak/>
        <w:t>marketing company engaged in the insurance business, bought R.L. Youngdahl &amp; Associates, Inc. (RLY), an insurance brokerage corporation.</w:t>
      </w:r>
      <w:r w:rsidR="00FB1D09">
        <w:t xml:space="preserve"> </w:t>
      </w:r>
      <w:r>
        <w:t>In conjunction with the sale, Gallagher &amp; Co. also hired the owner of RLY, Ronald Youngdahl, who then signed an employment agreement which contained a noncompete clause.</w:t>
      </w:r>
      <w:r w:rsidR="00FB1D09">
        <w:t xml:space="preserve"> </w:t>
      </w:r>
      <w:r>
        <w:t>Youngdahl’s 3-year term of employment expired on February 2003.</w:t>
      </w:r>
      <w:r w:rsidR="00FB1D09">
        <w:t xml:space="preserve"> </w:t>
      </w:r>
      <w:r>
        <w:t>However, Youngdahl continued to work at Gallagher &amp; Co. as an at-will employee until he was terminated in May 2005.</w:t>
      </w:r>
      <w:r w:rsidR="00FB1D09">
        <w:t xml:space="preserve"> </w:t>
      </w:r>
      <w:r>
        <w:t>Subsequently, Youngdahl accepted employment at a competing insurance company.</w:t>
      </w:r>
      <w:r w:rsidR="00FB1D09">
        <w:t xml:space="preserve"> </w:t>
      </w:r>
      <w:r>
        <w:t>In August 2005, Gallagher filed a complaint against Youngdahl, alleging that his post-termination activities breached the noncompete clause of his employment agreement with Gallagher.</w:t>
      </w:r>
      <w:r w:rsidR="00FB1D09">
        <w:t xml:space="preserve"> </w:t>
      </w:r>
      <w:r>
        <w:t>Youngdahl argued that the court must strictly construe the restrictive covenant, resolving any doubts or ambiguities against the restriction and in his favor.</w:t>
      </w:r>
      <w:r w:rsidR="00FB1D09">
        <w:t xml:space="preserve"> </w:t>
      </w:r>
    </w:p>
    <w:p w14:paraId="2CB1A705" w14:textId="63098535" w:rsidR="00655396" w:rsidRDefault="00655396" w:rsidP="008B512B">
      <w:pPr>
        <w:pStyle w:val="BodyText"/>
        <w:spacing w:line="240" w:lineRule="auto"/>
      </w:pPr>
      <w:r>
        <w:tab/>
        <w:t>The court first determined the applicable standard of review.</w:t>
      </w:r>
      <w:r w:rsidR="00FB1D09">
        <w:t xml:space="preserve"> </w:t>
      </w:r>
      <w:r>
        <w:t>Noting that previous case law established that a restrictive covenant ancillary to the sale of a business is subject to a “less stringent test of reasonableness,” the court proceeded to ask whether the parties intended to protect the integrity of the sale by including the covenant.</w:t>
      </w:r>
      <w:r w:rsidR="00FB1D09">
        <w:t xml:space="preserve"> </w:t>
      </w:r>
      <w:r>
        <w:rPr>
          <w:i/>
          <w:iCs/>
        </w:rPr>
        <w:t xml:space="preserve">Id. </w:t>
      </w:r>
      <w:r>
        <w:t>at 1016.</w:t>
      </w:r>
      <w:r w:rsidR="00FB1D09">
        <w:t xml:space="preserve"> </w:t>
      </w:r>
      <w:r>
        <w:t xml:space="preserve">Three factors convinced the court that the covenant </w:t>
      </w:r>
      <w:r>
        <w:rPr>
          <w:i/>
          <w:iCs/>
        </w:rPr>
        <w:t xml:space="preserve">was </w:t>
      </w:r>
      <w:r>
        <w:t>ancillary to the sale of the business and thus warranted a less stringent standard of review.</w:t>
      </w:r>
      <w:r w:rsidR="00FB1D09">
        <w:t xml:space="preserve"> </w:t>
      </w:r>
      <w:r>
        <w:t>First, the employment agreement specifically mentioned the sale of the business and Gallagher’s interest in employing Youngdahl “pursuant to the covenants herein in order to preserve the value of [RLY].”</w:t>
      </w:r>
      <w:r w:rsidR="00FB1D09">
        <w:t xml:space="preserve"> </w:t>
      </w:r>
      <w:r>
        <w:rPr>
          <w:i/>
          <w:iCs/>
        </w:rPr>
        <w:t xml:space="preserve">Id. </w:t>
      </w:r>
      <w:r>
        <w:t>at 1017.</w:t>
      </w:r>
      <w:r w:rsidR="00FB1D09">
        <w:t xml:space="preserve"> </w:t>
      </w:r>
      <w:r>
        <w:t>Second, all references to Gallagher in the noncompete clause also included a reference to “the Acquired Business” (RLY).</w:t>
      </w:r>
      <w:r w:rsidR="00FB1D09">
        <w:t xml:space="preserve"> </w:t>
      </w:r>
      <w:r>
        <w:t>Third, the agreement specifically stated that the execution of the employment agreement was a condition precedent to the sale.</w:t>
      </w:r>
      <w:r w:rsidR="00FB1D09">
        <w:t xml:space="preserve"> </w:t>
      </w:r>
      <w:r>
        <w:t>Together, these factors convinced the court that the restrictive covenants in the employment agreement were meant to protect the sale’s integrity.</w:t>
      </w:r>
      <w:r w:rsidR="00FB1D09">
        <w:t xml:space="preserve"> </w:t>
      </w:r>
      <w:r>
        <w:rPr>
          <w:i/>
          <w:iCs/>
        </w:rPr>
        <w:t>Id.</w:t>
      </w:r>
      <w:r w:rsidR="00FB1D09">
        <w:rPr>
          <w:i/>
          <w:iCs/>
        </w:rPr>
        <w:t xml:space="preserve"> </w:t>
      </w:r>
      <w:r>
        <w:t>Accordingly, the court examined the covenant using a reasonableness test rather than strict scrutiny.</w:t>
      </w:r>
    </w:p>
    <w:p w14:paraId="366146AE"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A covenant contained in a shareholder’s agreement is more analogous to a covenant not to compete ancillary to the sale of a business than to one ancillary to an employment contract, where the covenant is part of the transaction forming the share-issuing corporation and the parties intend it to be evidence of a good faith attempt to make the corporation successful. </w:t>
      </w:r>
      <w:r>
        <w:rPr>
          <w:rFonts w:ascii="Baskerville" w:hAnsi="Baskerville" w:cs="Baskerville"/>
          <w:i/>
          <w:iCs/>
        </w:rPr>
        <w:t xml:space="preserve">Central Water Works </w:t>
      </w:r>
      <w:r>
        <w:rPr>
          <w:rFonts w:ascii="Baskerville" w:hAnsi="Baskerville" w:cs="Baskerville"/>
          <w:i/>
          <w:iCs/>
        </w:rPr>
        <w:lastRenderedPageBreak/>
        <w:t>Supply, Inc. v. Fisher,</w:t>
      </w:r>
      <w:r>
        <w:rPr>
          <w:rFonts w:ascii="Baskerville" w:hAnsi="Baskerville" w:cs="Baskerville"/>
        </w:rPr>
        <w:t xml:space="preserve"> 240 Ill. App. 3d 952, 957, 181 Ill. Dec. 545, 549, 608 N.E.2d 618, 622 (4th Dist. 1993).</w:t>
      </w:r>
    </w:p>
    <w:p w14:paraId="4CE14F36"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7AA8A7D3" w14:textId="013CE8AE" w:rsidR="00655396" w:rsidRDefault="00655396" w:rsidP="008B512B">
      <w:pPr>
        <w:pStyle w:val="BodyText"/>
        <w:spacing w:line="240" w:lineRule="auto"/>
      </w:pPr>
      <w:r>
        <w:tab/>
        <w:t xml:space="preserve">• </w:t>
      </w:r>
      <w:r>
        <w:rPr>
          <w:i/>
          <w:iCs/>
        </w:rPr>
        <w:t>Owner of selling business not automatically bound by noncompetition covenant signed by her corporation.</w:t>
      </w:r>
      <w:r w:rsidR="00FB1D09">
        <w:t xml:space="preserve"> </w:t>
      </w:r>
      <w:r>
        <w:t>In connection with a noncompetition covenant signed by a pet grooming business, an Illinois court determined that the owner of the business was not bound by the agreement merely because she was the owner of the selling party.</w:t>
      </w:r>
      <w:r w:rsidR="00FB1D09">
        <w:t xml:space="preserve"> </w:t>
      </w:r>
      <w:r>
        <w:rPr>
          <w:i/>
          <w:iCs/>
        </w:rPr>
        <w:t>Berg v. Groomsmart, Inc.</w:t>
      </w:r>
      <w:r>
        <w:t>, 2014 IL App (2d) 130686-U (2d Dist. Apr. 7, 2014) (not citable as precedent except as permitted by Illinois Supreme Court Rule 23).</w:t>
      </w:r>
      <w:r w:rsidR="00FB1D09">
        <w:t xml:space="preserve"> </w:t>
      </w:r>
      <w:r>
        <w:rPr>
          <w:i/>
          <w:iCs/>
        </w:rPr>
        <w:t>In Berg</w:t>
      </w:r>
      <w:r>
        <w:t>, the company that purchased the owner’s pet grooming business refused to make the last balloon payment on the basis that the owner had begun working as a receptionist for a competing entity.</w:t>
      </w:r>
      <w:r w:rsidR="00FB1D09">
        <w:t xml:space="preserve"> </w:t>
      </w:r>
      <w:r>
        <w:rPr>
          <w:i/>
          <w:iCs/>
        </w:rPr>
        <w:t>Id.</w:t>
      </w:r>
      <w:r>
        <w:t xml:space="preserve"> at ¶12.</w:t>
      </w:r>
      <w:r w:rsidR="00FB1D09">
        <w:t xml:space="preserve"> </w:t>
      </w:r>
      <w:r>
        <w:t>The Illinois Appellate Court held that the contract only identified the owner’s business as a party to the agreement and that the owner herself was not a party, as agents are not bound by the terms of a contract under Illinois law and there was no evidence within the body of the agreement that the agreement was intended to bind the owner.</w:t>
      </w:r>
      <w:r w:rsidR="00FB1D09">
        <w:t xml:space="preserve"> </w:t>
      </w:r>
      <w:r>
        <w:rPr>
          <w:i/>
          <w:iCs/>
        </w:rPr>
        <w:t>Id.</w:t>
      </w:r>
      <w:r>
        <w:t xml:space="preserve"> at </w:t>
      </w:r>
      <w:r>
        <w:rPr>
          <w:rFonts w:cs="Times New Roman"/>
          <w:rtl/>
          <w:lang w:bidi="ar-YE"/>
        </w:rPr>
        <w:t>¶18</w:t>
      </w:r>
      <w:r>
        <w:t>–24.</w:t>
      </w:r>
    </w:p>
    <w:p w14:paraId="333B485B"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0453AAE5" w14:textId="77777777" w:rsidR="00655396" w:rsidRDefault="00655396" w:rsidP="008B512B">
      <w:pPr>
        <w:pStyle w:val="AdditionalTopicsSectionHeadings"/>
        <w:spacing w:line="240" w:lineRule="auto"/>
      </w:pPr>
      <w:r>
        <w:t>Corporate Practice of Medicine Doctrine</w:t>
      </w:r>
    </w:p>
    <w:p w14:paraId="18CFD2E2" w14:textId="77777777" w:rsidR="00655396" w:rsidRDefault="00655396" w:rsidP="008B512B">
      <w:pPr>
        <w:pStyle w:val="BodyText"/>
        <w:spacing w:line="240" w:lineRule="auto"/>
      </w:pPr>
    </w:p>
    <w:p w14:paraId="77D9EAB6" w14:textId="025F8A65" w:rsidR="00655396" w:rsidRDefault="00655396" w:rsidP="008B512B">
      <w:pPr>
        <w:pStyle w:val="BodyText"/>
        <w:spacing w:line="240" w:lineRule="auto"/>
      </w:pPr>
      <w:r>
        <w:tab/>
        <w:t>The corporate practice of medicine doctrine does not apply to licensed hospitals and their agreements with physicians.</w:t>
      </w:r>
      <w:r w:rsidR="00FB1D09">
        <w:t xml:space="preserve"> </w:t>
      </w:r>
      <w:r>
        <w:rPr>
          <w:i/>
          <w:iCs/>
        </w:rPr>
        <w:t>Holden v. Rockford Mem’l Hosp.</w:t>
      </w:r>
      <w:r>
        <w:t>, 295 Ill. App. 3d 45, 46, 692 N.E.2d 374, 376, 229 Ill. Dec. 601, 603 (2d Dist. 1998).</w:t>
      </w:r>
      <w:r w:rsidR="00CD7A12">
        <w:t xml:space="preserve"> </w:t>
      </w:r>
      <w:r>
        <w:t>In applying the corporate practice of law doctrine, Illinois courts draw distinctions between licensed hospitals and corporations that have no specific authority to offer medical services to the public.</w:t>
      </w:r>
      <w:r w:rsidR="00FB1D09">
        <w:t xml:space="preserve"> </w:t>
      </w:r>
      <w:r>
        <w:rPr>
          <w:i/>
          <w:iCs/>
        </w:rPr>
        <w:t>Berlin v. Sarah Bush Lincoln Health Ctr.,</w:t>
      </w:r>
      <w:r>
        <w:t xml:space="preserve"> 179 Ill. 2d 1, 16, 227 Ill. Dec. 769, 776, 688 N.E.2d 106, 113 (1997).</w:t>
      </w:r>
      <w:r w:rsidR="00FB1D09">
        <w:t xml:space="preserve"> </w:t>
      </w:r>
      <w:r>
        <w:rPr>
          <w:i/>
          <w:iCs/>
        </w:rPr>
        <w:t>See also</w:t>
      </w:r>
      <w:r>
        <w:t xml:space="preserve"> </w:t>
      </w:r>
      <w:r>
        <w:rPr>
          <w:i/>
          <w:iCs/>
        </w:rPr>
        <w:t>Center for Sight of Cent. Ill., S.C. v. Deranian</w:t>
      </w:r>
      <w:r>
        <w:t xml:space="preserve">, 712 N.E.2d 417, 422 (Ill. Ct. App. 4th Dist. 1999) (“Hospitals </w:t>
      </w:r>
      <w:r w:rsidR="00944F63">
        <w:t>…</w:t>
      </w:r>
      <w:r>
        <w:t xml:space="preserve"> are not required to comply with the doctrine against the corporate practice of medicine because they are otherwise licensed and regulated under Illinois law;” citing with approval </w:t>
      </w:r>
      <w:r>
        <w:rPr>
          <w:i/>
          <w:iCs/>
        </w:rPr>
        <w:t>Sarah Bush Lincoln Health Ctr.</w:t>
      </w:r>
      <w:r>
        <w:t>, 179 Ill. 2d at 15, 227 Ill. Dec. at 688 N.E.2d at 112).</w:t>
      </w:r>
    </w:p>
    <w:p w14:paraId="7E0E344F" w14:textId="2965EADF" w:rsidR="00655396" w:rsidRDefault="00655396" w:rsidP="008B512B">
      <w:pPr>
        <w:pStyle w:val="BodyText"/>
        <w:spacing w:line="240" w:lineRule="auto"/>
      </w:pPr>
      <w:r>
        <w:tab/>
      </w:r>
      <w:r>
        <w:rPr>
          <w:b/>
          <w:bCs/>
        </w:rPr>
        <w:t>[</w:t>
      </w:r>
      <w:r>
        <w:rPr>
          <w:i/>
          <w:iCs/>
        </w:rPr>
        <w:t>Editor’s note</w:t>
      </w:r>
      <w:r w:rsidR="00D47546">
        <w:rPr>
          <w:i/>
          <w:iCs/>
        </w:rPr>
        <w:t xml:space="preserve">: </w:t>
      </w:r>
      <w:r>
        <w:t xml:space="preserve">The cases cited in the discussion of the corporate practice of medicine doctrine below appear to continue to be good </w:t>
      </w:r>
      <w:r>
        <w:lastRenderedPageBreak/>
        <w:t xml:space="preserve">law, but </w:t>
      </w:r>
      <w:r>
        <w:rPr>
          <w:i/>
          <w:iCs/>
        </w:rPr>
        <w:t>Mohanty v. St. John Heart Clinic, S.C.</w:t>
      </w:r>
      <w:r>
        <w:t>, 225 Ill. 2d 52, 310 Ill. Dec. 274, 866 N.E.2d 85 (2006), appears to reject the underlying premise of these cases.</w:t>
      </w:r>
      <w:r w:rsidR="00FB1D09">
        <w:t xml:space="preserve"> </w:t>
      </w:r>
      <w:r>
        <w:t xml:space="preserve">Unfortunately, </w:t>
      </w:r>
      <w:r>
        <w:rPr>
          <w:i/>
          <w:iCs/>
        </w:rPr>
        <w:t xml:space="preserve">Mohanty </w:t>
      </w:r>
      <w:r>
        <w:t>does not explicitly deal with the corporate practice of medicine.</w:t>
      </w:r>
      <w:r>
        <w:rPr>
          <w:b/>
          <w:bCs/>
        </w:rPr>
        <w:t>]</w:t>
      </w:r>
    </w:p>
    <w:p w14:paraId="01F9C5FF" w14:textId="117F5C8E" w:rsidR="00655396" w:rsidRDefault="00655396" w:rsidP="008B512B">
      <w:pPr>
        <w:pStyle w:val="BodyText"/>
        <w:spacing w:line="240" w:lineRule="auto"/>
      </w:pPr>
      <w:r>
        <w:tab/>
        <w:t xml:space="preserve">The same result </w:t>
      </w:r>
      <w:r w:rsidR="006A121F">
        <w:t>applies</w:t>
      </w:r>
      <w:r>
        <w:t xml:space="preserve"> to charitable nonprofit health organizations.</w:t>
      </w:r>
      <w:r w:rsidR="00FB1D09">
        <w:rPr>
          <w:i/>
          <w:iCs/>
        </w:rPr>
        <w:t xml:space="preserve"> </w:t>
      </w:r>
      <w:r>
        <w:rPr>
          <w:i/>
          <w:iCs/>
        </w:rPr>
        <w:t>See Carter-Shields v. Alton Health Instit.</w:t>
      </w:r>
      <w:r>
        <w:t xml:space="preserve">, 201 Ill. 2d 441, 268 Ill. Dec. 25, 777 N.E.2d 948 (2002), </w:t>
      </w:r>
      <w:r>
        <w:rPr>
          <w:i/>
          <w:iCs/>
        </w:rPr>
        <w:t>aff’g and vacating in part Carter-Shields v. Alton Health Instit</w:t>
      </w:r>
      <w:r>
        <w:t>., 317 Ill. App. 3d 260, 268, 250 Ill. Dec. 806, 739 N.E.2d 569, 575 (5th Dist. 2000) (health care institute organized under General Not For Profit Corporation Act, 805 ILCS 105/101.01 et seq., but lacking tax-exempt status, that was not a licensed hospital and was partially controlled by a partnership, one member of which was a nonphysician, was barred by the corporate practice of medicine from entering into with a physician an employment agreement, which contained a covenant not to compete; accordingly, employment agreement, including covenant, was void, unenforceable, and unassignable). The state supreme court stated:</w:t>
      </w:r>
    </w:p>
    <w:p w14:paraId="662D6E86" w14:textId="77777777" w:rsidR="00655396" w:rsidRDefault="00655396" w:rsidP="008B512B">
      <w:pPr>
        <w:pStyle w:val="BodyText"/>
        <w:spacing w:line="240" w:lineRule="auto"/>
      </w:pPr>
    </w:p>
    <w:p w14:paraId="77F5EEEF" w14:textId="0195B230" w:rsidR="00655396" w:rsidRPr="0036473D" w:rsidRDefault="00655396" w:rsidP="008B512B">
      <w:pPr>
        <w:pStyle w:val="BQ"/>
        <w:spacing w:line="240" w:lineRule="auto"/>
        <w:rPr>
          <w:b/>
        </w:rPr>
      </w:pPr>
      <w:r w:rsidRPr="0036473D">
        <w:t>The fact that an entity achieved nonprofit status is unrelated to whether that entity meets the requirements set forth by the legislature to ensure that quality medical services are provided to the public.</w:t>
      </w:r>
      <w:r w:rsidR="00FB1D09">
        <w:t xml:space="preserve"> </w:t>
      </w:r>
      <w:r w:rsidRPr="0036473D">
        <w:t>Creating an exception to the corporate practice of medicine doctrine based exclusively upon the fact that an entity is nonprofit would not advance the public interest in safeguarding the physician’s professional judgment from lay interference or protecting the public’s general health and welfare</w:t>
      </w:r>
      <w:r w:rsidR="00944F63">
        <w:t>…</w:t>
      </w:r>
      <w:r w:rsidRPr="0036473D">
        <w:rPr>
          <w:rFonts w:ascii="Times New Roman" w:hAnsi="Times New Roman" w:cs="Times New Roman"/>
        </w:rPr>
        <w:t> </w:t>
      </w:r>
      <w:r w:rsidRPr="0036473D">
        <w:t>.</w:t>
      </w:r>
      <w:r w:rsidR="00FB1D09">
        <w:t xml:space="preserve"> </w:t>
      </w:r>
      <w:r w:rsidRPr="0036473D">
        <w:t>That [health organization] AHI was subject to certain rules and regulations is not the equivalent of being subject to, and regulated by, a comprehensive licensing scheme established by the legislature which mandates that medical-care providers meet specific requirements to safeguard the public health.</w:t>
      </w:r>
    </w:p>
    <w:p w14:paraId="30DC3904" w14:textId="77777777" w:rsidR="00655396" w:rsidRDefault="00655396" w:rsidP="008B512B">
      <w:pPr>
        <w:pStyle w:val="BodyText"/>
        <w:spacing w:line="240" w:lineRule="auto"/>
      </w:pPr>
    </w:p>
    <w:p w14:paraId="0B842167" w14:textId="77777777" w:rsidR="00655396" w:rsidRDefault="00655396" w:rsidP="008B512B">
      <w:pPr>
        <w:pStyle w:val="BodyText"/>
        <w:spacing w:line="240" w:lineRule="auto"/>
      </w:pPr>
      <w:r>
        <w:t>201 Ill. 2d at 460–61, 268 Ill. Dec. at 35–36, 777 N.E.2d at 958–59.</w:t>
      </w:r>
    </w:p>
    <w:p w14:paraId="670222D0" w14:textId="65B3A1E9" w:rsidR="00655396" w:rsidRDefault="00655396" w:rsidP="008B512B">
      <w:pPr>
        <w:pStyle w:val="BodyText"/>
        <w:spacing w:line="240" w:lineRule="auto"/>
      </w:pPr>
      <w:r>
        <w:tab/>
        <w:t xml:space="preserve">In </w:t>
      </w:r>
      <w:r>
        <w:rPr>
          <w:i/>
          <w:iCs/>
        </w:rPr>
        <w:t>Deranian</w:t>
      </w:r>
      <w:r>
        <w:t>, an Illinois court of appeals affirmed that an ophthalmology clinic did not have a likelihood of success on the merits in its suit to enforce a noncompetition covenant against a former employee ophthalmologist.</w:t>
      </w:r>
      <w:r w:rsidR="00FB1D09">
        <w:t xml:space="preserve"> </w:t>
      </w:r>
      <w:r>
        <w:t>712 N.E.2d at 421.</w:t>
      </w:r>
      <w:r w:rsidR="00FB1D09">
        <w:t xml:space="preserve"> </w:t>
      </w:r>
      <w:r>
        <w:t>The court reasoned that the underlying contract was formed in violation of Illinois Medical Corporation Act §13, 805 ILCS 15/13 (West 1996) (the Act), because it was drafted and negotiated on behalf of the employer by a nonphy</w:t>
      </w:r>
      <w:r>
        <w:lastRenderedPageBreak/>
        <w:t>sician and, importantly, the employer was a “dummy” medical corporation the physician president of which was controlled by nonphysicians.</w:t>
      </w:r>
      <w:r w:rsidR="00FB1D09">
        <w:t xml:space="preserve"> </w:t>
      </w:r>
      <w:r>
        <w:rPr>
          <w:i/>
          <w:iCs/>
        </w:rPr>
        <w:t>Id</w:t>
      </w:r>
      <w:r>
        <w:t>. at 422.</w:t>
      </w:r>
      <w:r w:rsidR="00FB1D09">
        <w:t xml:space="preserve"> </w:t>
      </w:r>
      <w:r>
        <w:t xml:space="preserve">The </w:t>
      </w:r>
      <w:r>
        <w:rPr>
          <w:i/>
          <w:iCs/>
        </w:rPr>
        <w:t>Deranian</w:t>
      </w:r>
      <w:r>
        <w:t xml:space="preserve"> court explained:</w:t>
      </w:r>
    </w:p>
    <w:p w14:paraId="57FE80D2" w14:textId="77777777" w:rsidR="00655396" w:rsidRDefault="00655396" w:rsidP="008B512B">
      <w:pPr>
        <w:pStyle w:val="BodyText"/>
        <w:spacing w:line="240" w:lineRule="auto"/>
      </w:pPr>
    </w:p>
    <w:p w14:paraId="59A0CA69" w14:textId="11B8DD00" w:rsidR="00655396" w:rsidRPr="00E547EA" w:rsidRDefault="00655396" w:rsidP="008B512B">
      <w:pPr>
        <w:pStyle w:val="BQ"/>
        <w:spacing w:line="240" w:lineRule="auto"/>
        <w:rPr>
          <w:b/>
          <w:lang w:val="nb-NO"/>
        </w:rPr>
      </w:pPr>
      <w:r w:rsidRPr="0036473D">
        <w:tab/>
        <w:t xml:space="preserve">In </w:t>
      </w:r>
      <w:r w:rsidRPr="0036473D">
        <w:rPr>
          <w:bCs w:val="0"/>
          <w:i/>
          <w:iCs/>
        </w:rPr>
        <w:t>Frydman v. Horn Eye Center, Ltd.</w:t>
      </w:r>
      <w:r w:rsidRPr="0036473D">
        <w:t>, 286 Ill. App. 3d 853, 222 Ill. Dec. 151, 676 N.E.2d 1355 (1997), the first district affirmed the circuit court’s dismissal of the plaintiff’s breach of contract claim because the contract called for conduct in violation of the Act.</w:t>
      </w:r>
      <w:r w:rsidR="00FB1D09">
        <w:t xml:space="preserve"> </w:t>
      </w:r>
      <w:r w:rsidRPr="0036473D">
        <w:t xml:space="preserve">The plaintiff in </w:t>
      </w:r>
      <w:r w:rsidRPr="0036473D">
        <w:rPr>
          <w:bCs w:val="0"/>
          <w:i/>
          <w:iCs/>
        </w:rPr>
        <w:t>Frydman</w:t>
      </w:r>
      <w:r w:rsidRPr="0036473D">
        <w:t xml:space="preserve"> was not a physician, but had entered a letter agreement with a medical corporation that provided he would become its president.</w:t>
      </w:r>
      <w:r w:rsidR="00FB1D09">
        <w:t xml:space="preserve"> </w:t>
      </w:r>
      <w:r w:rsidRPr="0036473D">
        <w:t>The agreement also provided that plaintiff would be compensated in cash and an equity position in the company.</w:t>
      </w:r>
      <w:r w:rsidR="00FB1D09">
        <w:t xml:space="preserve"> </w:t>
      </w:r>
      <w:r w:rsidRPr="00E547EA">
        <w:rPr>
          <w:bCs w:val="0"/>
          <w:i/>
          <w:iCs/>
          <w:lang w:val="nb-NO"/>
        </w:rPr>
        <w:t>Frydman</w:t>
      </w:r>
      <w:r w:rsidRPr="00E547EA">
        <w:rPr>
          <w:lang w:val="nb-NO"/>
        </w:rPr>
        <w:t>, 286 Ill. App. 3d at 855, 222 Ill. Dec. 151, 676 N.E.2d at 1357.</w:t>
      </w:r>
      <w:r w:rsidR="00FB1D09">
        <w:rPr>
          <w:lang w:val="nb-NO"/>
        </w:rPr>
        <w:t xml:space="preserve"> </w:t>
      </w:r>
      <w:r w:rsidRPr="0036473D">
        <w:t>The reviewing court held that [because] the contract called for a nonphysician to be president of a medical corporation and to take part in the management and control thereof, the contract was illegal and unenforceable.</w:t>
      </w:r>
      <w:r w:rsidR="00FB1D09">
        <w:rPr>
          <w:bCs w:val="0"/>
          <w:i/>
          <w:iCs/>
        </w:rPr>
        <w:t xml:space="preserve"> </w:t>
      </w:r>
      <w:r w:rsidRPr="00E547EA">
        <w:rPr>
          <w:bCs w:val="0"/>
          <w:i/>
          <w:iCs/>
          <w:lang w:val="nb-NO"/>
        </w:rPr>
        <w:t>Frydman</w:t>
      </w:r>
      <w:r w:rsidRPr="00E547EA">
        <w:rPr>
          <w:lang w:val="nb-NO"/>
        </w:rPr>
        <w:t>, 286 Ill. App. 3d at 859, 222 Ill. Dec. 151, 676 N.E.2d at 1360.</w:t>
      </w:r>
    </w:p>
    <w:p w14:paraId="0881FAFC" w14:textId="51CE094F" w:rsidR="00655396" w:rsidRPr="0036473D" w:rsidRDefault="00655396" w:rsidP="008B512B">
      <w:pPr>
        <w:pStyle w:val="BQ"/>
        <w:spacing w:line="240" w:lineRule="auto"/>
        <w:rPr>
          <w:b/>
        </w:rPr>
      </w:pPr>
      <w:r w:rsidRPr="00E547EA">
        <w:rPr>
          <w:lang w:val="nb-NO"/>
        </w:rPr>
        <w:tab/>
      </w:r>
      <w:r w:rsidRPr="0036473D">
        <w:t xml:space="preserve">The circumstances of this case differ from those in </w:t>
      </w:r>
      <w:r w:rsidRPr="0036473D">
        <w:rPr>
          <w:bCs w:val="0"/>
          <w:i/>
          <w:iCs/>
        </w:rPr>
        <w:t>Frydman</w:t>
      </w:r>
      <w:r w:rsidRPr="0036473D">
        <w:t>.</w:t>
      </w:r>
      <w:r w:rsidR="00FB1D09">
        <w:t xml:space="preserve"> </w:t>
      </w:r>
      <w:r w:rsidRPr="0036473D">
        <w:t>If [former employee] Deranian’s contract were to be found unenforceable, it would not be because performance under the contract violated the statute but because the contract was executed in violation of the statute.</w:t>
      </w:r>
      <w:r w:rsidR="00FB1D09">
        <w:t xml:space="preserve"> </w:t>
      </w:r>
      <w:r w:rsidRPr="0036473D">
        <w:t>Although Colkitt, president of [former employer] Center, signed Deranian’s contract, it appears he did so at the direction of Larry Pearson, president of Equivision, who drafted and negotiated the contract.</w:t>
      </w:r>
      <w:r w:rsidR="00FB1D09">
        <w:t xml:space="preserve"> </w:t>
      </w:r>
      <w:r w:rsidRPr="0036473D">
        <w:t>Colkitt was president of Center in name only and functioned as president under the direction of Pearson and Equivision.</w:t>
      </w:r>
      <w:r w:rsidR="00FB1D09">
        <w:t xml:space="preserve"> </w:t>
      </w:r>
      <w:r w:rsidRPr="0036473D">
        <w:t>Colkitt did not hire Deranian, manage the corporation, or manage the practice.</w:t>
      </w:r>
      <w:r w:rsidR="00FB1D09">
        <w:t xml:space="preserve"> </w:t>
      </w:r>
      <w:r w:rsidRPr="0036473D">
        <w:t>If by negotiating Deranian’s employment contract Pearson took part in the management and control of Center (a medical corporation), the contract was formed in violation of the statute.</w:t>
      </w:r>
      <w:r w:rsidR="00FB1D09">
        <w:t xml:space="preserve"> </w:t>
      </w:r>
      <w:r w:rsidRPr="0036473D">
        <w:t>805 ILCS 15/13 (West 1996).</w:t>
      </w:r>
      <w:r w:rsidR="00FB1D09">
        <w:t xml:space="preserve"> </w:t>
      </w:r>
      <w:r w:rsidRPr="0036473D">
        <w:t>The record contains no evidence that Pearson is a licensed physician, or was a licensed physician when he negotiated the agreement with Deranian.</w:t>
      </w:r>
    </w:p>
    <w:p w14:paraId="7D864B0B" w14:textId="16EEDB72" w:rsidR="00655396" w:rsidRPr="0036473D" w:rsidRDefault="00655396" w:rsidP="008B512B">
      <w:pPr>
        <w:pStyle w:val="BQ"/>
        <w:spacing w:line="240" w:lineRule="auto"/>
        <w:rPr>
          <w:b/>
        </w:rPr>
      </w:pPr>
      <w:r w:rsidRPr="0036473D">
        <w:tab/>
        <w:t>It is not unlawful for nonphysicians to negotiate employment contracts with physicians under all circumstances.</w:t>
      </w:r>
      <w:r w:rsidR="00FB1D09">
        <w:t xml:space="preserve"> </w:t>
      </w:r>
      <w:r w:rsidRPr="0036473D">
        <w:t>Hospitals, for example, are not required to comply with the doctrine against the corporate practice of medicine because they are otherwise licensed and regulated under Illinois law.</w:t>
      </w:r>
      <w:r w:rsidR="00FB1D09">
        <w:t xml:space="preserve"> </w:t>
      </w:r>
      <w:r w:rsidRPr="0036473D">
        <w:rPr>
          <w:bCs w:val="0"/>
          <w:i/>
          <w:iCs/>
        </w:rPr>
        <w:t>Berlin v. Sarah Bush Lincoln Health Center</w:t>
      </w:r>
      <w:r w:rsidRPr="0036473D">
        <w:t>, 179 Ill. 2d 1, 15, 227 Ill. Dec. 769, 688 N.E.2d 106, 112 (1997).</w:t>
      </w:r>
      <w:r w:rsidR="00FB1D09">
        <w:t xml:space="preserve"> </w:t>
      </w:r>
      <w:r w:rsidRPr="0036473D">
        <w:t>Likewise, an officer of a medical corporation is entitled to direct a nonphysician employee to enter negotiations with a physician.</w:t>
      </w:r>
      <w:r w:rsidR="00FB1D09">
        <w:t xml:space="preserve"> </w:t>
      </w:r>
      <w:r w:rsidRPr="0036473D">
        <w:lastRenderedPageBreak/>
        <w:t>Under the circumstances of this case, however, the medical corporation was a “dummy” corporation whose president was controlled by nonphysicians.</w:t>
      </w:r>
      <w:r w:rsidR="00FB1D09">
        <w:t xml:space="preserve"> </w:t>
      </w:r>
      <w:r w:rsidRPr="0036473D">
        <w:t>We question whether the signature of a “figurehead president” satisfies the requirements of the Act since to do so seems to elevate a legal technicality over the substance of the law.</w:t>
      </w:r>
    </w:p>
    <w:p w14:paraId="23F9D95D" w14:textId="77777777" w:rsidR="00655396" w:rsidRDefault="00655396" w:rsidP="008B512B">
      <w:pPr>
        <w:pStyle w:val="BodyText"/>
        <w:spacing w:line="240" w:lineRule="auto"/>
      </w:pPr>
    </w:p>
    <w:p w14:paraId="43147BB5" w14:textId="77777777" w:rsidR="00655396" w:rsidRDefault="00655396" w:rsidP="008B512B">
      <w:pPr>
        <w:pStyle w:val="BodyText"/>
        <w:spacing w:line="240" w:lineRule="auto"/>
      </w:pPr>
      <w:r>
        <w:rPr>
          <w:i/>
          <w:iCs/>
        </w:rPr>
        <w:t>Id.</w:t>
      </w:r>
      <w:r>
        <w:t xml:space="preserve"> at 421–22.</w:t>
      </w:r>
    </w:p>
    <w:p w14:paraId="03DAAE11" w14:textId="77777777" w:rsidR="00655396" w:rsidRDefault="00655396" w:rsidP="008B512B">
      <w:pPr>
        <w:pStyle w:val="BodyText"/>
        <w:spacing w:line="240" w:lineRule="auto"/>
      </w:pPr>
    </w:p>
    <w:p w14:paraId="77547772" w14:textId="77777777" w:rsidR="00655396" w:rsidRDefault="00655396" w:rsidP="008B512B">
      <w:pPr>
        <w:pStyle w:val="AdditionalTopicsSectionHeadings"/>
        <w:spacing w:line="240" w:lineRule="auto"/>
      </w:pPr>
      <w:r>
        <w:t>Declaratory Judgment Actions</w:t>
      </w:r>
    </w:p>
    <w:p w14:paraId="7E77563C" w14:textId="77777777" w:rsidR="00655396" w:rsidRDefault="00655396" w:rsidP="008B512B">
      <w:pPr>
        <w:pStyle w:val="BodyText"/>
        <w:spacing w:line="240" w:lineRule="auto"/>
      </w:pPr>
    </w:p>
    <w:p w14:paraId="43342585" w14:textId="1F5C9254" w:rsidR="00655396" w:rsidRDefault="00655396" w:rsidP="008B512B">
      <w:pPr>
        <w:pStyle w:val="BodyText"/>
        <w:spacing w:line="240" w:lineRule="auto"/>
      </w:pPr>
      <w:r>
        <w:tab/>
        <w:t>A contract’s enforceability is an appropriate dispute to resolve through declaratory judgment, a 2002 ruling from a federal district court sitting in Illinois makes clear.</w:t>
      </w:r>
      <w:r w:rsidR="00FB1D09">
        <w:t xml:space="preserve"> </w:t>
      </w:r>
      <w:r>
        <w:rPr>
          <w:i/>
          <w:iCs/>
        </w:rPr>
        <w:t>Roberge v. Qualitek Int’l, Inc.</w:t>
      </w:r>
      <w:r>
        <w:t>, 2002 U.S. Dist. LEXIS 1217, 2002 WL 109360, at *7 (N.D. Ill. Jan. 28, 2002) (entering declaratory judgment that covenant not to compete was void and unenforceable where potential new employer would not hire plaintiff former employee of defendant without resolution of issue of covenant’s enforceability</w:t>
      </w:r>
      <w:r w:rsidR="00D47546">
        <w:t xml:space="preserve">; </w:t>
      </w:r>
      <w:r>
        <w:t xml:space="preserve">cited in </w:t>
      </w:r>
      <w:r>
        <w:rPr>
          <w:i/>
          <w:iCs/>
        </w:rPr>
        <w:t>C&amp;S Mgmt., LLC v. Superior Canopy Corp.</w:t>
      </w:r>
      <w:r>
        <w:t>, 2008 U.S. Dist. LEXIS 100800, at *28 (N.D. Ind. Dec. 12, 2008) (not a covenant case).</w:t>
      </w:r>
    </w:p>
    <w:p w14:paraId="4290448B" w14:textId="77777777" w:rsidR="00655396" w:rsidRDefault="00655396" w:rsidP="008B512B">
      <w:pPr>
        <w:pStyle w:val="BodyText"/>
        <w:spacing w:line="240" w:lineRule="auto"/>
      </w:pPr>
    </w:p>
    <w:p w14:paraId="33A2718C" w14:textId="2CAC3758" w:rsidR="00655396" w:rsidRPr="00245C88" w:rsidRDefault="00655396" w:rsidP="00245C88">
      <w:pPr>
        <w:shd w:val="clear" w:color="auto" w:fill="FFFFFF"/>
        <w:rPr>
          <w:rFonts w:ascii="Baskerville" w:hAnsi="Baskerville" w:cs="Arial"/>
          <w:color w:val="000000" w:themeColor="text1"/>
        </w:rPr>
      </w:pPr>
      <w:r w:rsidRPr="00245C88">
        <w:rPr>
          <w:rFonts w:ascii="Baskerville" w:hAnsi="Baskerville"/>
        </w:rPr>
        <w:tab/>
        <w:t xml:space="preserve">• </w:t>
      </w:r>
      <w:r w:rsidRPr="00245C88">
        <w:rPr>
          <w:rFonts w:ascii="Baskerville" w:hAnsi="Baskerville"/>
          <w:i/>
          <w:iCs/>
        </w:rPr>
        <w:t>Mootness.</w:t>
      </w:r>
      <w:r w:rsidR="00FB1D09">
        <w:rPr>
          <w:rFonts w:ascii="Baskerville" w:hAnsi="Baskerville"/>
        </w:rPr>
        <w:t xml:space="preserve"> </w:t>
      </w:r>
      <w:r w:rsidRPr="00245C88">
        <w:rPr>
          <w:rFonts w:ascii="Baskerville" w:hAnsi="Baskerville"/>
        </w:rPr>
        <w:t>Where the temporal term of a putative covenant not to compete would have expired before a hearing on a former employee’s declaratory judgment action to have the covenant declared unenforceable, the action is moot.</w:t>
      </w:r>
      <w:r w:rsidR="00FB1D09">
        <w:rPr>
          <w:rFonts w:ascii="Baskerville" w:hAnsi="Baskerville"/>
        </w:rPr>
        <w:t xml:space="preserve"> </w:t>
      </w:r>
      <w:r w:rsidRPr="00245C88">
        <w:rPr>
          <w:rFonts w:ascii="Baskerville" w:hAnsi="Baskerville"/>
          <w:i/>
          <w:iCs/>
        </w:rPr>
        <w:t>Baker v. Daniel S. Berger, Ltd.</w:t>
      </w:r>
      <w:r w:rsidRPr="00245C88">
        <w:rPr>
          <w:rFonts w:ascii="Baskerville" w:hAnsi="Baskerville"/>
        </w:rPr>
        <w:t>, 323 Ill. App. 3d 956, 966–67, 257 Ill. Dec. 268, 277, 753 N.E.2d 463, 472 (1st Dist. 2001) (also ruling that, because agreement was not signed, suit had no basis in law or fact).</w:t>
      </w:r>
      <w:r w:rsidR="00245C88" w:rsidRPr="00245C88">
        <w:rPr>
          <w:rFonts w:ascii="Baskerville" w:hAnsi="Baskerville"/>
        </w:rPr>
        <w:t xml:space="preserve"> </w:t>
      </w:r>
      <w:r w:rsidR="00245C88" w:rsidRPr="00245C88">
        <w:rPr>
          <w:rFonts w:ascii="Baskerville" w:hAnsi="Baskerville"/>
          <w:i/>
          <w:iCs/>
        </w:rPr>
        <w:t>See also</w:t>
      </w:r>
      <w:r w:rsidR="00245C88" w:rsidRPr="00245C88">
        <w:rPr>
          <w:rFonts w:ascii="Baskerville" w:hAnsi="Baskerville"/>
        </w:rPr>
        <w:t xml:space="preserve"> </w:t>
      </w:r>
      <w:r w:rsidR="00245C88" w:rsidRPr="00245C88">
        <w:rPr>
          <w:rFonts w:ascii="Baskerville" w:hAnsi="Baskerville" w:cs="Arial"/>
          <w:i/>
          <w:iCs/>
          <w:color w:val="000000" w:themeColor="text1"/>
        </w:rPr>
        <w:t>Scott v. Grens</w:t>
      </w:r>
      <w:r w:rsidR="00245C88" w:rsidRPr="00245C88">
        <w:rPr>
          <w:rFonts w:ascii="Baskerville" w:hAnsi="Baskerville" w:cs="Arial"/>
          <w:color w:val="000000" w:themeColor="text1"/>
        </w:rPr>
        <w:t>, 2019 BL 218675, at *4 (Ill. Ct. App. 1st Dist. 2019) (not precedential; finding claim moot in light of extinguishment of member’s interest in operating agreement containing noncompetition covenant).</w:t>
      </w:r>
    </w:p>
    <w:p w14:paraId="79EAD4A8" w14:textId="77777777" w:rsidR="00655396" w:rsidRDefault="00655396" w:rsidP="008B512B">
      <w:pPr>
        <w:pStyle w:val="BodyText"/>
        <w:spacing w:line="240" w:lineRule="auto"/>
      </w:pPr>
    </w:p>
    <w:p w14:paraId="40ED3834" w14:textId="18B2740A" w:rsidR="00655396" w:rsidRDefault="00655396" w:rsidP="008B512B">
      <w:pPr>
        <w:pStyle w:val="BodyText"/>
        <w:spacing w:line="240" w:lineRule="auto"/>
      </w:pPr>
      <w:r>
        <w:tab/>
        <w:t xml:space="preserve">• </w:t>
      </w:r>
      <w:r>
        <w:rPr>
          <w:i/>
          <w:iCs/>
        </w:rPr>
        <w:t>Standard of review</w:t>
      </w:r>
      <w:r>
        <w:t>. A trial court’s grant or denial of a request for a declaratory judgment is reviewed for abuse of discretion.</w:t>
      </w:r>
      <w:r w:rsidR="00FB1D09">
        <w:t xml:space="preserve"> </w:t>
      </w:r>
      <w:r>
        <w:rPr>
          <w:i/>
          <w:iCs/>
        </w:rPr>
        <w:t>Galesburg Clinic Ass’n v. West</w:t>
      </w:r>
      <w:r>
        <w:t>, 302 Ill. App. 3d 1016, 1017–18, 706 N.E.2d 1035, 1036 (3d Dist. 1999).</w:t>
      </w:r>
      <w:r w:rsidR="00FB1D09">
        <w:t xml:space="preserve"> </w:t>
      </w:r>
      <w:r>
        <w:t xml:space="preserve">“Because the basis for granting or denying declaratory relief is, in most cases, readily discernible to a </w:t>
      </w:r>
      <w:r>
        <w:lastRenderedPageBreak/>
        <w:t>reviewing court, the circuit court’s decision is not given the same deference as is the circuit court’s exercise of discretion in other contexts.”</w:t>
      </w:r>
      <w:r w:rsidR="00FB1D09">
        <w:rPr>
          <w:i/>
          <w:iCs/>
        </w:rPr>
        <w:t xml:space="preserve"> </w:t>
      </w:r>
      <w:r>
        <w:rPr>
          <w:i/>
          <w:iCs/>
        </w:rPr>
        <w:t>Id.</w:t>
      </w:r>
      <w:r>
        <w:t xml:space="preserve"> at 1018, 706 N.E.2d at 1036.</w:t>
      </w:r>
      <w:r w:rsidR="00FB1D09">
        <w:t xml:space="preserve"> </w:t>
      </w:r>
      <w:r>
        <w:t>However, “the appellate court will not substitute its findings of credibility for those of the circuit court, since the circuit court is always in the best position to judge the credibility of a witness.”</w:t>
      </w:r>
      <w:r w:rsidR="00CD7A12">
        <w:t xml:space="preserve"> </w:t>
      </w:r>
      <w:r>
        <w:rPr>
          <w:i/>
          <w:iCs/>
        </w:rPr>
        <w:t>Id</w:t>
      </w:r>
      <w:r>
        <w:t>., 706 N.E.2d at 1036.</w:t>
      </w:r>
    </w:p>
    <w:p w14:paraId="6791F070" w14:textId="77777777" w:rsidR="00655396" w:rsidRDefault="00655396" w:rsidP="008B512B">
      <w:pPr>
        <w:pStyle w:val="BodyText"/>
        <w:spacing w:line="240" w:lineRule="auto"/>
      </w:pPr>
    </w:p>
    <w:p w14:paraId="64C1F8D0" w14:textId="77777777" w:rsidR="00655396" w:rsidRDefault="00655396" w:rsidP="008B512B">
      <w:pPr>
        <w:pStyle w:val="AdditionalTopicsSectionHeadings"/>
        <w:spacing w:line="240" w:lineRule="auto"/>
      </w:pPr>
      <w:r>
        <w:t>De Minimis Breaches</w:t>
      </w:r>
    </w:p>
    <w:p w14:paraId="007334A2" w14:textId="77777777" w:rsidR="00655396" w:rsidRDefault="00655396" w:rsidP="008B512B">
      <w:pPr>
        <w:pStyle w:val="BodyText"/>
        <w:spacing w:line="240" w:lineRule="auto"/>
      </w:pPr>
    </w:p>
    <w:p w14:paraId="5EB6E1FF" w14:textId="29A3CC31" w:rsidR="00655396" w:rsidRDefault="00655396" w:rsidP="008B512B">
      <w:pPr>
        <w:pStyle w:val="BodyText"/>
        <w:spacing w:line="240" w:lineRule="auto"/>
      </w:pPr>
      <w:r>
        <w:tab/>
        <w:t xml:space="preserve">Attendance at continuing education classes and business meetings of a subsequent employer at branch offices—at which the </w:t>
      </w:r>
      <w:r>
        <w:br/>
        <w:t>employee does not actually work—within a covenant-proscribed area does not constitute anything more than a de minimis or technical breach of a covenant against engaging in the funeral home business within the proscribed area.</w:t>
      </w:r>
      <w:r w:rsidR="00FB1D09">
        <w:t xml:space="preserve"> </w:t>
      </w:r>
      <w:r>
        <w:rPr>
          <w:i/>
          <w:iCs/>
        </w:rPr>
        <w:t>Sheehy v. Sheehy</w:t>
      </w:r>
      <w:r>
        <w:t>, 299 Ill. App. 3d 996, 1001–03, 234 Ill. Dec. 34, 38–39, 702 N.E.2d 200, 204–05, 14 IER Cases 833 (1st Dist. 1998).</w:t>
      </w:r>
    </w:p>
    <w:p w14:paraId="2908E7DA" w14:textId="77777777" w:rsidR="00655396" w:rsidRDefault="00655396" w:rsidP="008B512B">
      <w:pPr>
        <w:pStyle w:val="BodyText"/>
        <w:spacing w:line="240" w:lineRule="auto"/>
      </w:pPr>
    </w:p>
    <w:p w14:paraId="55B370EF" w14:textId="77777777" w:rsidR="00655396" w:rsidRDefault="00655396" w:rsidP="008B512B">
      <w:pPr>
        <w:pStyle w:val="AdditionalTopicsSectionHeadings"/>
        <w:spacing w:line="240" w:lineRule="auto"/>
      </w:pPr>
      <w:r>
        <w:t xml:space="preserve">Disciplinary Rule 2-108(A) of the Code of Professional </w:t>
      </w:r>
      <w:r>
        <w:br/>
        <w:t>Responsibility</w:t>
      </w:r>
    </w:p>
    <w:p w14:paraId="60005963" w14:textId="77777777" w:rsidR="00655396" w:rsidRDefault="00655396" w:rsidP="008B512B">
      <w:pPr>
        <w:pStyle w:val="BodyText"/>
        <w:spacing w:line="240" w:lineRule="auto"/>
      </w:pPr>
    </w:p>
    <w:p w14:paraId="08721FA2" w14:textId="429C8DE6" w:rsidR="00655396" w:rsidRDefault="00655396" w:rsidP="008B512B">
      <w:pPr>
        <w:pStyle w:val="BodyText"/>
        <w:spacing w:line="240" w:lineRule="auto"/>
      </w:pPr>
      <w:r>
        <w:tab/>
        <w:t>The successor rule to Rule 2-108 of the Illinois Code of Professional Responsibility is Rule 5.6(a) of the Illinois Rules of Professional Conduct.</w:t>
      </w:r>
      <w:r w:rsidR="00FB1D09">
        <w:t xml:space="preserve"> </w:t>
      </w:r>
      <w:r>
        <w:t>Rule 5.6 provides that a lawyer shall not participate in offering or making</w:t>
      </w:r>
    </w:p>
    <w:p w14:paraId="1D343636" w14:textId="77777777" w:rsidR="00655396" w:rsidRDefault="00655396" w:rsidP="008B512B">
      <w:pPr>
        <w:pStyle w:val="BodyText"/>
        <w:spacing w:line="240" w:lineRule="auto"/>
      </w:pPr>
    </w:p>
    <w:p w14:paraId="77107D78"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 partnership or employment agreement that restricts the rights of a lawyer to practice after termination of the relationship, except an agreement concerning benefits upon retirement[.]</w:t>
      </w:r>
    </w:p>
    <w:p w14:paraId="4EAA6C37" w14:textId="77777777" w:rsidR="00655396" w:rsidRDefault="00655396" w:rsidP="008B512B">
      <w:pPr>
        <w:pStyle w:val="BodyText"/>
        <w:spacing w:line="240" w:lineRule="auto"/>
      </w:pPr>
    </w:p>
    <w:p w14:paraId="7B064B20" w14:textId="77777777" w:rsidR="00655396" w:rsidRDefault="00655396" w:rsidP="008B512B">
      <w:pPr>
        <w:pStyle w:val="BodyText"/>
        <w:spacing w:line="240" w:lineRule="auto"/>
      </w:pPr>
      <w:r>
        <w:t>134 Ill. 2d R. 5.6(a) (effective on August 1, 1990).</w:t>
      </w:r>
    </w:p>
    <w:p w14:paraId="3B7CFFF7" w14:textId="1541F745" w:rsidR="00655396" w:rsidRDefault="00655396" w:rsidP="008B512B">
      <w:pPr>
        <w:pStyle w:val="BodyText"/>
        <w:spacing w:line="240" w:lineRule="auto"/>
      </w:pPr>
      <w:r>
        <w:tab/>
        <w:t>Rule 2-108 of the Illinois Code of Professional Responsibility did not contain a similar restriction.</w:t>
      </w:r>
      <w:r w:rsidR="00FB1D09">
        <w:t xml:space="preserve"> </w:t>
      </w:r>
      <w:r>
        <w:rPr>
          <w:i/>
          <w:iCs/>
        </w:rPr>
        <w:t>Dowd &amp; Dowd, Ltd. v. Gleason</w:t>
      </w:r>
      <w:r>
        <w:t>, 181 Ill. 2d 460, 481, 230 Ill. Dec. 229, 240, 693 N.E.2d 358, 369 (1998).</w:t>
      </w:r>
    </w:p>
    <w:p w14:paraId="45746B97" w14:textId="0171D81B" w:rsidR="00655396" w:rsidRDefault="00655396" w:rsidP="008B512B">
      <w:pPr>
        <w:pStyle w:val="BodyText"/>
        <w:spacing w:line="240" w:lineRule="auto"/>
      </w:pPr>
      <w:r>
        <w:tab/>
        <w:t>Rule 5.6(a) “is designed both to afford clients greater freedom in choosing counsel and to protect lawyers from onerous conditions that would unduly limit their mobility.”</w:t>
      </w:r>
      <w:r w:rsidR="00FB1D09">
        <w:t xml:space="preserve"> </w:t>
      </w:r>
      <w:r>
        <w:rPr>
          <w:i/>
          <w:iCs/>
        </w:rPr>
        <w:t>Id.</w:t>
      </w:r>
      <w:r>
        <w:t xml:space="preserve"> at 481, 230 Ill. Dec. at</w:t>
      </w:r>
      <w:r w:rsidR="00FB1D09">
        <w:t xml:space="preserve"> </w:t>
      </w:r>
      <w:r>
        <w:t xml:space="preserve">240, 693 N.E.2d at 369 (citing 2 </w:t>
      </w:r>
      <w:r>
        <w:rPr>
          <w:smallCaps/>
        </w:rPr>
        <w:t xml:space="preserve">G. Hazard &amp; W. Hodes, The Law of </w:t>
      </w:r>
      <w:r>
        <w:rPr>
          <w:smallCaps/>
        </w:rPr>
        <w:lastRenderedPageBreak/>
        <w:t>Lawyering</w:t>
      </w:r>
      <w:r w:rsidR="00D47546">
        <w:rPr>
          <w:smallCaps/>
        </w:rPr>
        <w:t xml:space="preserve">: </w:t>
      </w:r>
      <w:r>
        <w:rPr>
          <w:smallCaps/>
        </w:rPr>
        <w:t>A Handbook on the Model Rules of Professional Conduct</w:t>
      </w:r>
      <w:r>
        <w:t xml:space="preserve"> §5:6:201, at 824 (Supp. 1997)).</w:t>
      </w:r>
      <w:r w:rsidR="00FB1D09">
        <w:t xml:space="preserve"> </w:t>
      </w:r>
      <w:r>
        <w:rPr>
          <w:i/>
          <w:iCs/>
        </w:rPr>
        <w:t>See also</w:t>
      </w:r>
      <w:r>
        <w:t xml:space="preserve"> </w:t>
      </w:r>
      <w:r>
        <w:rPr>
          <w:smallCaps/>
        </w:rPr>
        <w:t>ABA-BNA Lawyers’ Manual on Professional Conduct</w:t>
      </w:r>
      <w:r>
        <w:t>, §51:1201 (</w:t>
      </w:r>
      <w:r>
        <w:rPr>
          <w:i/>
          <w:iCs/>
        </w:rPr>
        <w:t>Conflicts of Interest—Restrictions on the Right to Practice</w:t>
      </w:r>
      <w:r>
        <w:t>) et seq., and §91:710 (</w:t>
      </w:r>
      <w:r>
        <w:rPr>
          <w:i/>
          <w:iCs/>
        </w:rPr>
        <w:t>Types of Practice—Private Firms—Withdrawal and Termination—Restrictive Covenants</w:t>
      </w:r>
      <w:r>
        <w:t>) et seq.</w:t>
      </w:r>
    </w:p>
    <w:p w14:paraId="1E5056ED" w14:textId="77777777" w:rsidR="00655396" w:rsidRDefault="00655396" w:rsidP="008B512B">
      <w:pPr>
        <w:pStyle w:val="BodyText"/>
        <w:spacing w:line="240" w:lineRule="auto"/>
      </w:pPr>
    </w:p>
    <w:p w14:paraId="0B237820" w14:textId="1D48A37E" w:rsidR="00655396" w:rsidRDefault="00655396" w:rsidP="008B512B">
      <w:pPr>
        <w:pStyle w:val="BodyText"/>
        <w:spacing w:line="240" w:lineRule="auto"/>
      </w:pPr>
      <w:r>
        <w:tab/>
      </w:r>
      <w:r>
        <w:rPr>
          <w:b/>
          <w:bCs/>
        </w:rPr>
        <w:t>•</w:t>
      </w:r>
      <w:r>
        <w:t xml:space="preserve"> </w:t>
      </w:r>
      <w:r>
        <w:rPr>
          <w:i/>
          <w:iCs/>
        </w:rPr>
        <w:t>Retroactive effect of Rule 5.6(a)</w:t>
      </w:r>
      <w:r>
        <w:t>.</w:t>
      </w:r>
      <w:r w:rsidR="00FB1D09">
        <w:t xml:space="preserve"> </w:t>
      </w:r>
      <w:r>
        <w:t xml:space="preserve">Rule 5.6(a) has retroactive </w:t>
      </w:r>
      <w:r>
        <w:br/>
        <w:t>effect</w:t>
      </w:r>
      <w:r w:rsidR="00D47546">
        <w:t xml:space="preserve">; </w:t>
      </w:r>
      <w:r>
        <w:t>thus, except for agreements concerning benefits payable upon retirement, Rule 5.6 bars enforcement of covenants in partnership or employment agreements—executed on, before, or after the August 1, 1990 effective date of the rule—that restrict the rights of a lawyer to practice after termination of the relationship.</w:t>
      </w:r>
      <w:r w:rsidR="00FB1D09">
        <w:t xml:space="preserve"> </w:t>
      </w:r>
      <w:r>
        <w:rPr>
          <w:i/>
          <w:iCs/>
        </w:rPr>
        <w:t>Dowd &amp; Dowd, Ltd. v. Gleason</w:t>
      </w:r>
      <w:r>
        <w:t>, 181 Ill. 2d 460, 481, 230 Ill. Dec. 229, 240, 693 N.E.2d 358, 369 (1998).</w:t>
      </w:r>
      <w:r w:rsidR="00FB1D09">
        <w:t xml:space="preserve"> </w:t>
      </w:r>
      <w:r>
        <w:t xml:space="preserve">In </w:t>
      </w:r>
      <w:r>
        <w:rPr>
          <w:i/>
          <w:iCs/>
        </w:rPr>
        <w:t>Dowd &amp; Dowd</w:t>
      </w:r>
      <w:r>
        <w:t>, the Illinois Supreme Court explained:</w:t>
      </w:r>
    </w:p>
    <w:p w14:paraId="6AC415AD" w14:textId="77777777" w:rsidR="00655396" w:rsidRDefault="00655396" w:rsidP="008B512B">
      <w:pPr>
        <w:pStyle w:val="BodyText"/>
        <w:spacing w:line="240" w:lineRule="auto"/>
      </w:pPr>
    </w:p>
    <w:p w14:paraId="7F807492" w14:textId="7BE6E64E"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Contrary to the plaintiff’s argument, the prohibition of [Rule 5.6] is not expressed in the future tense and is not limited by its terms to contract provisions formed after its effective date.</w:t>
      </w:r>
      <w:r w:rsidR="00FB1D09">
        <w:rPr>
          <w:rFonts w:ascii="Baskerville" w:hAnsi="Baskerville" w:cs="Baskerville"/>
          <w:sz w:val="22"/>
          <w:szCs w:val="22"/>
        </w:rPr>
        <w:t xml:space="preserve"> </w:t>
      </w:r>
      <w:r>
        <w:rPr>
          <w:rFonts w:ascii="Baskerville" w:hAnsi="Baskerville" w:cs="Baskerville"/>
          <w:sz w:val="22"/>
          <w:szCs w:val="22"/>
        </w:rPr>
        <w:t>We recognize, of course, that Rule 2-108 of the Code of Professional Responsibility, the predecessor to Rule 5.6, did not contain a similar prohibition.</w:t>
      </w:r>
      <w:r w:rsidR="00FB1D09">
        <w:rPr>
          <w:rFonts w:ascii="Baskerville" w:hAnsi="Baskerville" w:cs="Baskerville"/>
          <w:sz w:val="22"/>
          <w:szCs w:val="22"/>
        </w:rPr>
        <w:t xml:space="preserve"> </w:t>
      </w:r>
      <w:r>
        <w:rPr>
          <w:rFonts w:ascii="Baskerville" w:hAnsi="Baskerville" w:cs="Baskerville"/>
          <w:sz w:val="22"/>
          <w:szCs w:val="22"/>
        </w:rPr>
        <w:t>Still, “the law cannot enforce a contract which it prohibits” (</w:t>
      </w:r>
      <w:r>
        <w:rPr>
          <w:rFonts w:ascii="Baskerville" w:hAnsi="Baskerville" w:cs="Baskerville"/>
          <w:i/>
          <w:iCs/>
          <w:sz w:val="22"/>
          <w:szCs w:val="22"/>
        </w:rPr>
        <w:t>Sibley v. Health &amp; Hospitals Governing Comm’n</w:t>
      </w:r>
      <w:r>
        <w:rPr>
          <w:rFonts w:ascii="Baskerville" w:hAnsi="Baskerville" w:cs="Baskerville"/>
          <w:sz w:val="22"/>
          <w:szCs w:val="22"/>
        </w:rPr>
        <w:t>, 22 Ill. App. 3d 632, 637, 317 N.E.2d 642 (1974)), and we believe that enforcement of the provisions at issue would violate the important considerations that [underlie] the prohibition found in Rule 5.6.</w:t>
      </w:r>
    </w:p>
    <w:p w14:paraId="7E05065D" w14:textId="77777777" w:rsidR="0036473D" w:rsidRDefault="0036473D" w:rsidP="008B512B">
      <w:pPr>
        <w:pStyle w:val="BodyText"/>
        <w:spacing w:line="240" w:lineRule="auto"/>
        <w:rPr>
          <w:i/>
          <w:iCs/>
        </w:rPr>
      </w:pPr>
    </w:p>
    <w:p w14:paraId="21D20B68" w14:textId="77777777" w:rsidR="00655396" w:rsidRDefault="00655396" w:rsidP="008B512B">
      <w:pPr>
        <w:pStyle w:val="BodyText"/>
        <w:spacing w:line="240" w:lineRule="auto"/>
      </w:pPr>
      <w:r>
        <w:rPr>
          <w:i/>
          <w:iCs/>
        </w:rPr>
        <w:t>Id.</w:t>
      </w:r>
      <w:r>
        <w:t>, 230 Ill. Dec. at 240, 693 N.E.2d at 369.</w:t>
      </w:r>
    </w:p>
    <w:p w14:paraId="120C64BC" w14:textId="77777777" w:rsidR="00655396" w:rsidRDefault="00655396" w:rsidP="008B512B">
      <w:pPr>
        <w:pStyle w:val="BodyText"/>
        <w:spacing w:line="240" w:lineRule="auto"/>
        <w:rPr>
          <w:sz w:val="20"/>
          <w:szCs w:val="20"/>
        </w:rPr>
      </w:pPr>
    </w:p>
    <w:p w14:paraId="00812C82" w14:textId="0177212D" w:rsidR="00655396" w:rsidRDefault="00655396" w:rsidP="008B512B">
      <w:pPr>
        <w:pStyle w:val="BodyText"/>
        <w:spacing w:line="240" w:lineRule="auto"/>
      </w:pPr>
      <w:r>
        <w:tab/>
      </w:r>
      <w:r>
        <w:rPr>
          <w:b/>
          <w:bCs/>
        </w:rPr>
        <w:t>••</w:t>
      </w:r>
      <w:r w:rsidR="00FB1D09">
        <w:t xml:space="preserve"> </w:t>
      </w:r>
      <w:r>
        <w:rPr>
          <w:i/>
          <w:iCs/>
        </w:rPr>
        <w:t>Retroactive effect of Rule 5.6(a); No unconstitutional impairment of contracts is wrought by retroactive application of Rule 5.6(a) to covenants executed prior to its August 1, 1990 effective date</w:t>
      </w:r>
      <w:r>
        <w:t>.</w:t>
      </w:r>
      <w:r w:rsidR="00FB1D09">
        <w:t xml:space="preserve"> </w:t>
      </w:r>
      <w:r>
        <w:t xml:space="preserve">In </w:t>
      </w:r>
      <w:r>
        <w:rPr>
          <w:i/>
          <w:iCs/>
        </w:rPr>
        <w:t>Dowd &amp; Dowd, Ltd. v. Gleason</w:t>
      </w:r>
      <w:r>
        <w:t>, 181 Ill. 2d 460, 230 Ill. Dec. 229, 693 N.E.2d 358 (1998), the Illinois Supreme Court observed:</w:t>
      </w:r>
    </w:p>
    <w:p w14:paraId="76953125" w14:textId="77777777" w:rsidR="00655396" w:rsidRDefault="00655396" w:rsidP="008B512B">
      <w:pPr>
        <w:pStyle w:val="BodyText"/>
        <w:spacing w:line="240" w:lineRule="auto"/>
      </w:pPr>
    </w:p>
    <w:p w14:paraId="548B41F1" w14:textId="03B951E0"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The plaintiff </w:t>
      </w:r>
      <w:r w:rsidR="00944F63">
        <w:rPr>
          <w:rFonts w:ascii="Baskerville" w:hAnsi="Baskerville" w:cs="Baskerville"/>
          <w:sz w:val="22"/>
          <w:szCs w:val="22"/>
        </w:rPr>
        <w:t>…</w:t>
      </w:r>
      <w:r>
        <w:rPr>
          <w:rFonts w:ascii="Baskerville" w:hAnsi="Baskerville" w:cs="Baskerville"/>
          <w:sz w:val="22"/>
          <w:szCs w:val="22"/>
        </w:rPr>
        <w:t xml:space="preserve"> contends that [retroactive] application of Rule 5.6 to the contract provisions at issue here would result in an unconstitutional impairment of contracts, in violation of the Illinois Consti</w:t>
      </w:r>
      <w:r>
        <w:rPr>
          <w:rFonts w:ascii="Baskerville" w:hAnsi="Baskerville" w:cs="Baskerville"/>
          <w:sz w:val="22"/>
          <w:szCs w:val="22"/>
        </w:rPr>
        <w:lastRenderedPageBreak/>
        <w:t>tution (Ill. Const. 1970, art. 1, §16 (“No * * * law impairing the obligation of contracts * * * shall be passed”)).</w:t>
      </w:r>
      <w:r w:rsidR="00FB1D09">
        <w:rPr>
          <w:rFonts w:ascii="Baskerville" w:hAnsi="Baskerville" w:cs="Baskerville"/>
          <w:sz w:val="22"/>
          <w:szCs w:val="22"/>
        </w:rPr>
        <w:t xml:space="preserve"> </w:t>
      </w:r>
      <w:r>
        <w:rPr>
          <w:rFonts w:ascii="Baskerville" w:hAnsi="Baskerville" w:cs="Baskerville"/>
          <w:sz w:val="22"/>
          <w:szCs w:val="22"/>
        </w:rPr>
        <w:t>As a general principle, however, judicial decisions are not subject to the prohibition against impairment of contracts.</w:t>
      </w:r>
      <w:r w:rsidR="00FB1D09">
        <w:rPr>
          <w:rFonts w:ascii="Baskerville" w:hAnsi="Baskerville" w:cs="Baskerville"/>
          <w:sz w:val="22"/>
          <w:szCs w:val="22"/>
        </w:rPr>
        <w:t xml:space="preserve"> </w:t>
      </w:r>
      <w:r>
        <w:rPr>
          <w:rFonts w:ascii="Baskerville" w:hAnsi="Baskerville" w:cs="Baskerville"/>
          <w:sz w:val="22"/>
          <w:szCs w:val="22"/>
        </w:rPr>
        <w:t>[Citation.]</w:t>
      </w:r>
      <w:r w:rsidR="00FB1D09">
        <w:rPr>
          <w:rFonts w:ascii="Baskerville" w:hAnsi="Baskerville" w:cs="Baskerville"/>
          <w:sz w:val="22"/>
          <w:szCs w:val="22"/>
        </w:rPr>
        <w:t xml:space="preserve"> </w:t>
      </w:r>
      <w:r>
        <w:rPr>
          <w:rFonts w:ascii="Baskerville" w:hAnsi="Baskerville" w:cs="Baskerville"/>
          <w:sz w:val="22"/>
          <w:szCs w:val="22"/>
        </w:rPr>
        <w:t>Thus, if the promulgation of Rule 5.6 is understood to be a judicial decision and not an act of legislation, then the plaintiff cannot be heard to argue that application of the rule to the contract provisions at issue here results in an unconstitutional impairment of contracts.</w:t>
      </w:r>
      <w:r w:rsidR="00FB1D09">
        <w:rPr>
          <w:rFonts w:ascii="Baskerville" w:hAnsi="Baskerville" w:cs="Baskerville"/>
          <w:sz w:val="22"/>
          <w:szCs w:val="22"/>
        </w:rPr>
        <w:t xml:space="preserve"> </w:t>
      </w:r>
      <w:r>
        <w:rPr>
          <w:rFonts w:ascii="Baskerville" w:hAnsi="Baskerville" w:cs="Baskerville"/>
          <w:sz w:val="22"/>
          <w:szCs w:val="22"/>
        </w:rPr>
        <w:t>Assuming, without deciding, that judicial action like the promulgation of a court rule may fall within the interdiction of the contracts clause, as the plaintiff suggests, we still do not believe that such an objection will lie here.</w:t>
      </w:r>
      <w:r w:rsidR="00FB1D09">
        <w:rPr>
          <w:rFonts w:ascii="Baskerville" w:hAnsi="Baskerville" w:cs="Baskerville"/>
          <w:sz w:val="22"/>
          <w:szCs w:val="22"/>
        </w:rPr>
        <w:t xml:space="preserve">  </w:t>
      </w:r>
      <w:r w:rsidR="00944F63">
        <w:rPr>
          <w:rFonts w:ascii="Baskerville" w:hAnsi="Baskerville" w:cs="Baskerville"/>
          <w:sz w:val="22"/>
          <w:szCs w:val="22"/>
        </w:rPr>
        <w:t>…</w:t>
      </w:r>
      <w:r>
        <w:rPr>
          <w:sz w:val="22"/>
          <w:szCs w:val="22"/>
        </w:rPr>
        <w:t> </w:t>
      </w:r>
      <w:r>
        <w:rPr>
          <w:rFonts w:ascii="Baskerville" w:hAnsi="Baskerville" w:cs="Baskerville"/>
          <w:sz w:val="22"/>
          <w:szCs w:val="22"/>
        </w:rPr>
        <w:t>.</w:t>
      </w:r>
      <w:r w:rsidR="00FB1D09">
        <w:rPr>
          <w:rFonts w:ascii="Baskerville" w:hAnsi="Baskerville" w:cs="Baskerville"/>
          <w:sz w:val="22"/>
          <w:szCs w:val="22"/>
        </w:rPr>
        <w:t xml:space="preserve"> </w:t>
      </w:r>
      <w:r>
        <w:rPr>
          <w:rFonts w:ascii="Baskerville" w:hAnsi="Baskerville" w:cs="Baskerville"/>
          <w:sz w:val="22"/>
          <w:szCs w:val="22"/>
        </w:rPr>
        <w:t>We do not believe that the change in law at issue here operated as a substantial impairment of the parties’ contract.</w:t>
      </w:r>
      <w:r w:rsidR="00FB1D09">
        <w:rPr>
          <w:rFonts w:ascii="Baskerville" w:hAnsi="Baskerville" w:cs="Baskerville"/>
          <w:sz w:val="22"/>
          <w:szCs w:val="22"/>
        </w:rPr>
        <w:t xml:space="preserve"> </w:t>
      </w:r>
      <w:r>
        <w:rPr>
          <w:rFonts w:ascii="Baskerville" w:hAnsi="Baskerville" w:cs="Baskerville"/>
          <w:sz w:val="22"/>
          <w:szCs w:val="22"/>
        </w:rPr>
        <w:t>The noncompetition provision[s] represented a small part of [each of the defendants’] contract[s], and [they] came into play only when an employee left the [employer] firm.</w:t>
      </w:r>
      <w:r w:rsidR="00CD7A12">
        <w:rPr>
          <w:rFonts w:ascii="Baskerville" w:hAnsi="Baskerville" w:cs="Baskerville"/>
          <w:sz w:val="22"/>
          <w:szCs w:val="22"/>
        </w:rPr>
        <w:t xml:space="preserve"> </w:t>
      </w:r>
      <w:r>
        <w:rPr>
          <w:rFonts w:ascii="Baskerville" w:hAnsi="Baskerville" w:cs="Baskerville"/>
          <w:sz w:val="22"/>
          <w:szCs w:val="22"/>
        </w:rPr>
        <w:t>Accordingly, we do not believe that the mandated elimination of that provision represented an invalid impairment of contract.</w:t>
      </w:r>
    </w:p>
    <w:p w14:paraId="7D6D9656" w14:textId="77777777" w:rsidR="00655396" w:rsidRDefault="00655396" w:rsidP="008B512B">
      <w:pPr>
        <w:pStyle w:val="BodyText"/>
        <w:spacing w:line="240" w:lineRule="auto"/>
        <w:rPr>
          <w:i/>
          <w:iCs/>
        </w:rPr>
      </w:pPr>
    </w:p>
    <w:p w14:paraId="702D4EA3" w14:textId="77777777" w:rsidR="00655396" w:rsidRDefault="00655396" w:rsidP="008B512B">
      <w:pPr>
        <w:pStyle w:val="BodyText"/>
        <w:spacing w:line="240" w:lineRule="auto"/>
      </w:pPr>
      <w:r>
        <w:rPr>
          <w:i/>
          <w:iCs/>
        </w:rPr>
        <w:t>Id.</w:t>
      </w:r>
      <w:r>
        <w:t xml:space="preserve"> at 481–82, 230 Ill. Dec. at 240–41, 693 N.E.2d at 369–70 (citation omitted as noted).</w:t>
      </w:r>
    </w:p>
    <w:p w14:paraId="152EA48D" w14:textId="77777777" w:rsidR="00655396" w:rsidRDefault="00655396" w:rsidP="008B512B">
      <w:pPr>
        <w:pStyle w:val="BodyText"/>
        <w:spacing w:line="240" w:lineRule="auto"/>
      </w:pPr>
    </w:p>
    <w:p w14:paraId="396B66E7" w14:textId="06572EAD" w:rsidR="00655396" w:rsidRDefault="00655396" w:rsidP="008B512B">
      <w:pPr>
        <w:pStyle w:val="BodyText"/>
        <w:spacing w:line="240" w:lineRule="auto"/>
      </w:pPr>
      <w:r>
        <w:tab/>
        <w:t xml:space="preserve">• </w:t>
      </w:r>
      <w:r>
        <w:rPr>
          <w:i/>
          <w:iCs/>
        </w:rPr>
        <w:t>No applicability to physicians.</w:t>
      </w:r>
      <w:r>
        <w:t xml:space="preserve"> Given the “considerable existing precedent” dealing specifically with restrictive covenants between </w:t>
      </w:r>
      <w:r>
        <w:rPr>
          <w:i/>
          <w:iCs/>
        </w:rPr>
        <w:t xml:space="preserve">medical </w:t>
      </w:r>
      <w:r>
        <w:t xml:space="preserve">professionals, reliance on cases involving restrictive covenants between </w:t>
      </w:r>
      <w:r>
        <w:rPr>
          <w:i/>
          <w:iCs/>
        </w:rPr>
        <w:t>attorneys</w:t>
      </w:r>
      <w:r>
        <w:t xml:space="preserve"> is “unwarranted” in a case involving a covenant between medical professionals.</w:t>
      </w:r>
      <w:r w:rsidR="00FB1D09">
        <w:t xml:space="preserve"> </w:t>
      </w:r>
      <w:r>
        <w:rPr>
          <w:i/>
          <w:iCs/>
        </w:rPr>
        <w:t>Prairie Eye Ctr., Ltd. v. Butler</w:t>
      </w:r>
      <w:r>
        <w:t>, 713 N.E.2d 610, 615 (Ill. Ct. App. 4th Dist. 1999).</w:t>
      </w:r>
    </w:p>
    <w:p w14:paraId="68576FCD" w14:textId="77777777" w:rsidR="00655396" w:rsidRDefault="00655396" w:rsidP="008B512B">
      <w:pPr>
        <w:pStyle w:val="BodyText"/>
        <w:spacing w:line="240" w:lineRule="auto"/>
      </w:pPr>
    </w:p>
    <w:p w14:paraId="7D68FB0A" w14:textId="77777777" w:rsidR="00655396" w:rsidRDefault="00655396" w:rsidP="008B512B">
      <w:pPr>
        <w:pStyle w:val="AdditionalTopicsSectionHeadings"/>
        <w:spacing w:line="240" w:lineRule="auto"/>
      </w:pPr>
      <w:r>
        <w:t>Dismiss, Motion to</w:t>
      </w:r>
    </w:p>
    <w:p w14:paraId="3F739A3B" w14:textId="77777777" w:rsidR="00655396" w:rsidRDefault="00655396" w:rsidP="008B512B">
      <w:pPr>
        <w:pStyle w:val="BodyText"/>
        <w:spacing w:line="240" w:lineRule="auto"/>
      </w:pPr>
    </w:p>
    <w:p w14:paraId="50F09CFA" w14:textId="5C140DCA" w:rsidR="00655396" w:rsidRDefault="005148C3" w:rsidP="008B512B">
      <w:pPr>
        <w:pStyle w:val="BodyText"/>
        <w:spacing w:line="240" w:lineRule="auto"/>
      </w:pPr>
      <w:r>
        <w:tab/>
        <w:t xml:space="preserve">• </w:t>
      </w:r>
      <w:r w:rsidRPr="005148C3">
        <w:rPr>
          <w:i/>
          <w:iCs/>
        </w:rPr>
        <w:t>State court actions</w:t>
      </w:r>
      <w:r>
        <w:t xml:space="preserve">. </w:t>
      </w:r>
      <w:r w:rsidR="00655396">
        <w:t xml:space="preserve">A motion to dismiss under </w:t>
      </w:r>
      <w:r w:rsidR="00655396">
        <w:rPr>
          <w:smallCaps/>
        </w:rPr>
        <w:t xml:space="preserve">Illinois Code of Civil Procedure </w:t>
      </w:r>
      <w:r w:rsidR="00655396">
        <w:t>§2-615, 735 ILCS 5/2-615 (2006), limits the court to the “four corners of the complaint.”</w:t>
      </w:r>
      <w:r w:rsidR="00FB1D09">
        <w:t xml:space="preserve"> </w:t>
      </w:r>
      <w:r w:rsidR="00655396">
        <w:rPr>
          <w:i/>
          <w:iCs/>
        </w:rPr>
        <w:t>Baird &amp; Warner Residential Sales, Inc. v. Mazzone</w:t>
      </w:r>
      <w:r w:rsidR="00655396">
        <w:t>, 384 Ill. App. 3d 586, 591, 893 N.E.2d 1010, 323 Ill. Dec. 536 (2008) (questioning whether a §2-615 motion to dismiss is an appropriate vehicle to decide the reasonableness of a postemployment restrictive, a question which involves “issues that are essentially very fact-intensive”).</w:t>
      </w:r>
    </w:p>
    <w:p w14:paraId="39C310F7" w14:textId="77777777" w:rsidR="00655396" w:rsidRDefault="00655396" w:rsidP="008B512B">
      <w:pPr>
        <w:pStyle w:val="BodyText"/>
        <w:spacing w:line="240" w:lineRule="auto"/>
      </w:pPr>
    </w:p>
    <w:p w14:paraId="0B6EAE06" w14:textId="3014ED53" w:rsidR="00655396" w:rsidRDefault="00655396" w:rsidP="005148C3">
      <w:pPr>
        <w:pStyle w:val="BodyText"/>
        <w:spacing w:line="240" w:lineRule="auto"/>
        <w:rPr>
          <w:b/>
          <w:bCs/>
        </w:rPr>
      </w:pPr>
      <w:r>
        <w:tab/>
        <w:t xml:space="preserve">• </w:t>
      </w:r>
      <w:r w:rsidR="005148C3" w:rsidRPr="005148C3">
        <w:rPr>
          <w:i/>
          <w:iCs/>
        </w:rPr>
        <w:t>State court actions</w:t>
      </w:r>
      <w:r w:rsidR="005148C3">
        <w:rPr>
          <w:i/>
          <w:iCs/>
        </w:rPr>
        <w:t>:</w:t>
      </w:r>
      <w:r w:rsidR="005148C3">
        <w:t xml:space="preserve"> </w:t>
      </w:r>
      <w:r>
        <w:rPr>
          <w:i/>
          <w:iCs/>
        </w:rPr>
        <w:t xml:space="preserve">Split among appellate courts as to whether </w:t>
      </w:r>
      <w:r>
        <w:rPr>
          <w:i/>
          <w:iCs/>
        </w:rPr>
        <w:lastRenderedPageBreak/>
        <w:t>reasonableness of restrictive covenant may be determined on motion to dismiss</w:t>
      </w:r>
      <w:r>
        <w:t xml:space="preserve">. “Under Illinois state law, there appears to be a split among the appellate districts regarding whether the reasonableness of a restrictive covenant may be determined on a motion to dismiss.” </w:t>
      </w:r>
      <w:r>
        <w:rPr>
          <w:i/>
          <w:iCs/>
        </w:rPr>
        <w:t>Integrated Genomics, Inc. v. Kyrpides</w:t>
      </w:r>
      <w:r>
        <w:t xml:space="preserve">, 2008 U.S. Dist. LEXIS 16838, at *20 (N.D. Ill. Mar. 4, 2008) (comparing, </w:t>
      </w:r>
      <w:r>
        <w:rPr>
          <w:i/>
          <w:iCs/>
        </w:rPr>
        <w:t>id.</w:t>
      </w:r>
      <w:r>
        <w:t xml:space="preserve"> at *20–21, </w:t>
      </w:r>
      <w:r>
        <w:rPr>
          <w:i/>
          <w:iCs/>
        </w:rPr>
        <w:t>Dryvit Sys., Inc. v. Rushing,</w:t>
      </w:r>
      <w:r>
        <w:t xml:space="preserve"> 132 Ill. App. 3d 9, 87 Ill. Dec. 434, 477 N.E.2d 35, 38–39 (1st Dist. 1985) (granting judgment on pleadings to defendant on finding covenant patently unreasonable), with </w:t>
      </w:r>
      <w:r>
        <w:rPr>
          <w:i/>
          <w:iCs/>
        </w:rPr>
        <w:t>Smith v. Burkitt</w:t>
      </w:r>
      <w:r>
        <w:t xml:space="preserve">, 342 Ill. App. 3d 365, 373, 277 Ill. Dec. 18, 795 N.E.2d 385 (5th Dist. 2003) (reversing trial court’s grant of motion to dismiss and stating, “because the agreement itself does not reveal the precise nature of the business purchased by the plaintiffs and what specific business activity the noncompetition clause sought to prohibit, we believe that this issue should not be determined by a motion to dismiss.”)). </w:t>
      </w:r>
      <w:r>
        <w:rPr>
          <w:i/>
          <w:iCs/>
        </w:rPr>
        <w:t>See also</w:t>
      </w:r>
      <w:r>
        <w:t xml:space="preserve"> </w:t>
      </w:r>
      <w:r>
        <w:rPr>
          <w:i/>
          <w:iCs/>
        </w:rPr>
        <w:t>Aspen Mktg. Servs., Inc. v. Russell</w:t>
      </w:r>
      <w:r>
        <w:t xml:space="preserve">, 2009 U.S. Dist. LEXIS 112982, at *10 (N.D. Ill. Dec. 3, 2009) (ruling that determining whether restrictive covenants are reasonable and enforceable is a proper determination to make on a motion to dismiss; noting that the U.S. District Court for the Northern District of Illinois, in ruling on a motion to dismiss, ruled on the reasonableness of restrictive covenants in </w:t>
      </w:r>
      <w:r>
        <w:rPr>
          <w:i/>
          <w:iCs/>
        </w:rPr>
        <w:t>Labor Ready, Inc. v. Williams Staffing, LLC,</w:t>
      </w:r>
      <w:r>
        <w:t xml:space="preserve"> 149 F. Supp. 2d 398, 407–09 (N.D. Ill. 2001)).</w:t>
      </w:r>
      <w:r w:rsidR="005148C3">
        <w:t xml:space="preserve"> </w:t>
      </w:r>
      <w:r>
        <w:rPr>
          <w:b/>
          <w:bCs/>
        </w:rPr>
        <w:t>[</w:t>
      </w:r>
      <w:r>
        <w:rPr>
          <w:i/>
          <w:iCs/>
        </w:rPr>
        <w:t>Editor’s note</w:t>
      </w:r>
      <w:r w:rsidR="00D47546">
        <w:t xml:space="preserve">: </w:t>
      </w:r>
      <w:r>
        <w:t xml:space="preserve">In </w:t>
      </w:r>
      <w:r>
        <w:rPr>
          <w:i/>
          <w:iCs/>
        </w:rPr>
        <w:t>Integrated Genomics</w:t>
      </w:r>
      <w:r>
        <w:t>, the U.S. District Court for the Northern District of Illinois declined to attempt to predict how the Illinois Supreme Court would resolve the split, “because ‘[i]n a diversity action, the adequacy of the pleadings is assessed in accordance with the federal, not state, rules of civil procedure.’</w:t>
      </w:r>
      <w:r>
        <w:rPr>
          <w:rFonts w:ascii="Times New Roman" w:hAnsi="Times New Roman" w:cs="Times New Roman"/>
        </w:rPr>
        <w:t> </w:t>
      </w:r>
      <w:r>
        <w:t>”</w:t>
      </w:r>
      <w:r w:rsidR="00FB1D09">
        <w:t xml:space="preserve"> </w:t>
      </w:r>
      <w:r>
        <w:t>2008 U.S. Dist. LEXIS</w:t>
      </w:r>
      <w:r>
        <w:rPr>
          <w:i/>
          <w:iCs/>
        </w:rPr>
        <w:t xml:space="preserve"> </w:t>
      </w:r>
      <w:r>
        <w:t>at *21 (citing, inter alia,</w:t>
      </w:r>
      <w:r>
        <w:rPr>
          <w:i/>
          <w:iCs/>
        </w:rPr>
        <w:t xml:space="preserve"> Zurich Am. Ins. Co. v. Pillsbury Co.,</w:t>
      </w:r>
      <w:r>
        <w:t xml:space="preserve"> 264 F. Supp. 2d 710, 711 (N.D. Ill. 2003) (not a covenant case</w:t>
      </w:r>
      <w:r w:rsidR="00D47546">
        <w:t xml:space="preserve">; </w:t>
      </w:r>
      <w:r>
        <w:t xml:space="preserve">stating that, “[a]s its lawyers must surely have been taught in Civil Procedure, a federal court sitting in diversity applies state substantive law, [citation,] but federal procedural law. </w:t>
      </w:r>
      <w:r>
        <w:rPr>
          <w:i/>
          <w:iCs/>
        </w:rPr>
        <w:t>See</w:t>
      </w:r>
      <w:r>
        <w:t xml:space="preserve"> Fed. R. Civ. P. 1 (stating that these rules “govern the procedure in the United States district courts in all suits of a civil nature.’)”)).</w:t>
      </w:r>
      <w:r>
        <w:rPr>
          <w:b/>
          <w:bCs/>
        </w:rPr>
        <w:t>]</w:t>
      </w:r>
    </w:p>
    <w:p w14:paraId="3016CAF0" w14:textId="77777777" w:rsidR="00655396" w:rsidRDefault="00655396" w:rsidP="008B512B">
      <w:pPr>
        <w:pStyle w:val="BodyText"/>
        <w:spacing w:line="240" w:lineRule="auto"/>
      </w:pPr>
    </w:p>
    <w:p w14:paraId="757419D9" w14:textId="380499F3" w:rsidR="00655396" w:rsidRDefault="00655396" w:rsidP="008B512B">
      <w:pPr>
        <w:pStyle w:val="BodyText"/>
        <w:spacing w:line="240" w:lineRule="auto"/>
        <w:rPr>
          <w:spacing w:val="-1"/>
        </w:rPr>
      </w:pPr>
      <w:r>
        <w:rPr>
          <w:spacing w:val="-1"/>
        </w:rPr>
        <w:tab/>
        <w:t xml:space="preserve">• </w:t>
      </w:r>
      <w:r w:rsidR="005148C3" w:rsidRPr="005148C3">
        <w:rPr>
          <w:i/>
          <w:iCs/>
          <w:spacing w:val="-1"/>
        </w:rPr>
        <w:t>State court actions:</w:t>
      </w:r>
      <w:r w:rsidR="005148C3">
        <w:rPr>
          <w:spacing w:val="-1"/>
        </w:rPr>
        <w:t xml:space="preserve"> </w:t>
      </w:r>
      <w:r>
        <w:rPr>
          <w:i/>
          <w:iCs/>
          <w:spacing w:val="-1"/>
        </w:rPr>
        <w:t>Failure to allege damages, effect of.</w:t>
      </w:r>
      <w:r w:rsidR="00FB1D09">
        <w:rPr>
          <w:spacing w:val="-1"/>
        </w:rPr>
        <w:t xml:space="preserve"> </w:t>
      </w:r>
      <w:r>
        <w:rPr>
          <w:spacing w:val="-1"/>
        </w:rPr>
        <w:t xml:space="preserve">Where a plaintiff’s claim contains allegations putting the defendant on notice of a claim for breach of an anti-employee-solicitation covenant and </w:t>
      </w:r>
      <w:r>
        <w:rPr>
          <w:spacing w:val="-1"/>
        </w:rPr>
        <w:lastRenderedPageBreak/>
        <w:t xml:space="preserve">stating a plausible claim for relief, the plaintiff’s failure to allege damages provides no basis for the defendant’s motion to dismiss the claim under </w:t>
      </w:r>
      <w:r>
        <w:rPr>
          <w:smallCaps/>
          <w:spacing w:val="-1"/>
        </w:rPr>
        <w:t xml:space="preserve">Illinois Code of Civil Procedure </w:t>
      </w:r>
      <w:r>
        <w:rPr>
          <w:spacing w:val="-1"/>
        </w:rPr>
        <w:t xml:space="preserve">§2-615, 735 ILCS 5/2-615. </w:t>
      </w:r>
      <w:r>
        <w:rPr>
          <w:i/>
          <w:iCs/>
          <w:spacing w:val="-1"/>
        </w:rPr>
        <w:t>Levy Rest. L.P. v. Williamson</w:t>
      </w:r>
      <w:r>
        <w:rPr>
          <w:spacing w:val="-1"/>
        </w:rPr>
        <w:t>, 2009 U.S. Dist. LEXIS 68398, at *16–17 (N.D. Ill. Aug. 5, 2009).</w:t>
      </w:r>
    </w:p>
    <w:p w14:paraId="021090AC" w14:textId="77777777" w:rsidR="00655396" w:rsidRDefault="00655396" w:rsidP="008B512B">
      <w:pPr>
        <w:pStyle w:val="BodyText"/>
        <w:spacing w:line="240" w:lineRule="auto"/>
      </w:pPr>
    </w:p>
    <w:p w14:paraId="508ACD42" w14:textId="77777777" w:rsidR="005148C3" w:rsidRDefault="00655396" w:rsidP="005148C3">
      <w:pPr>
        <w:pStyle w:val="BodyText"/>
        <w:spacing w:line="240" w:lineRule="auto"/>
        <w:rPr>
          <w:rFonts w:eastAsia="Times New Roman" w:cs="Arial"/>
        </w:rPr>
      </w:pPr>
      <w:r>
        <w:tab/>
        <w:t xml:space="preserve">• </w:t>
      </w:r>
      <w:r w:rsidR="005148C3" w:rsidRPr="005148C3">
        <w:rPr>
          <w:i/>
          <w:iCs/>
        </w:rPr>
        <w:t>Federal court actions:</w:t>
      </w:r>
      <w:r w:rsidR="005148C3">
        <w:t xml:space="preserve"> </w:t>
      </w:r>
      <w:r>
        <w:rPr>
          <w:i/>
          <w:iCs/>
        </w:rPr>
        <w:t>Motions to dismiss versus motions for preliminary injunctio</w:t>
      </w:r>
      <w:r w:rsidR="005148C3">
        <w:rPr>
          <w:i/>
          <w:iCs/>
        </w:rPr>
        <w:t>n</w:t>
      </w:r>
      <w:r w:rsidR="005148C3" w:rsidRPr="005148C3">
        <w:rPr>
          <w:i/>
          <w:iCs/>
        </w:rPr>
        <w:t>.</w:t>
      </w:r>
      <w:r w:rsidR="005148C3" w:rsidRPr="005148C3">
        <w:rPr>
          <w:rFonts w:eastAsia="Times New Roman" w:cs="Arial"/>
        </w:rPr>
        <w:t xml:space="preserve"> At the motion to dismiss stage, federal courts will find noncompetition covenants facially invalid “only … in extreme cases.” </w:t>
      </w:r>
      <w:r w:rsidR="005148C3" w:rsidRPr="005148C3">
        <w:rPr>
          <w:rFonts w:eastAsia="Times New Roman" w:cs="Arial"/>
          <w:i/>
          <w:iCs/>
        </w:rPr>
        <w:t>Spring (U.S.A.) Corp. v. Sikorski</w:t>
      </w:r>
      <w:r w:rsidR="005148C3" w:rsidRPr="005148C3">
        <w:rPr>
          <w:rFonts w:eastAsia="Times New Roman" w:cs="Arial"/>
        </w:rPr>
        <w:t xml:space="preserve">, 2019 BL 188838, at *3 (N.D. Ill. May 23, 2019) (quoting </w:t>
      </w:r>
      <w:r w:rsidR="005148C3" w:rsidRPr="005148C3">
        <w:rPr>
          <w:rFonts w:eastAsia="Times New Roman" w:cs="Arial"/>
          <w:i/>
          <w:iCs/>
        </w:rPr>
        <w:t>American Transp. Grp., LLC v. Power</w:t>
      </w:r>
      <w:r w:rsidR="005148C3" w:rsidRPr="005148C3">
        <w:rPr>
          <w:rFonts w:eastAsia="Times New Roman" w:cs="Arial"/>
        </w:rPr>
        <w:t>, 2018 BL 151274, 2018 U.S. Dist. LEXIS 71493, 2018 WL 1993204</w:t>
      </w:r>
      <w:r w:rsidR="00055D37">
        <w:rPr>
          <w:rFonts w:eastAsia="Times New Roman" w:cs="Arial"/>
        </w:rPr>
        <w:t>,</w:t>
      </w:r>
      <w:r w:rsidR="005148C3" w:rsidRPr="005148C3">
        <w:rPr>
          <w:rFonts w:eastAsia="Times New Roman" w:cs="Arial"/>
        </w:rPr>
        <w:t xml:space="preserve"> at *4 (N.D. Ill. 2018); finding covenant “not patently unreasonable” and case, thus, not an “extreme” one).</w:t>
      </w:r>
    </w:p>
    <w:p w14:paraId="77F12E59" w14:textId="531BEB85" w:rsidR="005148C3" w:rsidRDefault="00055D37" w:rsidP="005148C3">
      <w:pPr>
        <w:pStyle w:val="BodyText"/>
        <w:spacing w:line="240" w:lineRule="auto"/>
      </w:pPr>
      <w:r>
        <w:tab/>
      </w:r>
      <w:r w:rsidR="005148C3">
        <w:t>As pointed out by the U.S. District Court for the Northern District of Illinois, while a federal court deciding a motion to dismiss is limited to the facts presented in the complaint and must accept those facts as true, a court considering a preliminary injunction is permitted to conduct an evidentiary hearing and make determinations based on the evidence.</w:t>
      </w:r>
      <w:r w:rsidR="00FB1D09">
        <w:t xml:space="preserve"> </w:t>
      </w:r>
      <w:r w:rsidR="005148C3">
        <w:rPr>
          <w:i/>
          <w:iCs/>
        </w:rPr>
        <w:t>SKF USA, Inc. v. Bjerkness</w:t>
      </w:r>
      <w:r w:rsidR="005148C3">
        <w:t>, 636 F. Supp. 2d 696, 703 (N.D. Ill. 2009) (citing, inter alia, Fed. R. Civ. P. 65(a)).</w:t>
      </w:r>
    </w:p>
    <w:p w14:paraId="7A8C0736" w14:textId="77777777" w:rsidR="005148C3" w:rsidRDefault="005148C3" w:rsidP="008B512B">
      <w:pPr>
        <w:pStyle w:val="BodyText"/>
        <w:spacing w:line="240" w:lineRule="auto"/>
      </w:pPr>
    </w:p>
    <w:p w14:paraId="68FD9E9F" w14:textId="77777777" w:rsidR="00655396" w:rsidRDefault="00655396" w:rsidP="008B512B">
      <w:pPr>
        <w:pStyle w:val="BodyText"/>
        <w:spacing w:line="240" w:lineRule="auto"/>
      </w:pPr>
    </w:p>
    <w:p w14:paraId="64BB2B47" w14:textId="77777777" w:rsidR="00655396" w:rsidRDefault="00655396" w:rsidP="008B512B">
      <w:pPr>
        <w:pStyle w:val="AdditionalTopicsSectionHeadings"/>
        <w:spacing w:line="240" w:lineRule="auto"/>
      </w:pPr>
      <w:r>
        <w:t>Dissolution (Administrative) of Employer, Effect of</w:t>
      </w:r>
    </w:p>
    <w:p w14:paraId="7B7823BF" w14:textId="77777777" w:rsidR="00655396" w:rsidRDefault="00655396" w:rsidP="008B512B">
      <w:pPr>
        <w:pStyle w:val="BodyText"/>
        <w:spacing w:line="240" w:lineRule="auto"/>
      </w:pPr>
    </w:p>
    <w:p w14:paraId="4B00583D" w14:textId="77777777" w:rsidR="00655396" w:rsidRDefault="00655396" w:rsidP="008B512B">
      <w:pPr>
        <w:pStyle w:val="BodyText"/>
        <w:spacing w:line="240" w:lineRule="auto"/>
      </w:pPr>
      <w:r>
        <w:tab/>
        <w:t xml:space="preserve">The administrative dissolution of the employer corporation constitutes a material breach of the parties’ employment contract under Illinois law such as to release an employee, following the dissolution, from the restrictions of a postemployment covenant not to compete. </w:t>
      </w:r>
      <w:r>
        <w:rPr>
          <w:i/>
          <w:iCs/>
        </w:rPr>
        <w:t>Virendra S. Bisla, M.D., Ltd. v. Parvaiz</w:t>
      </w:r>
      <w:r>
        <w:t xml:space="preserve">, 379 Ill. App. 3d 567, 574, 318 Ill. Dec. 822, 884 N.E.2d 790, 796 (1st Dist. 2008) (noting, </w:t>
      </w:r>
      <w:r>
        <w:rPr>
          <w:i/>
          <w:iCs/>
        </w:rPr>
        <w:t>id.</w:t>
      </w:r>
      <w:r>
        <w:t xml:space="preserve"> at 572–73, 884 N.E.2d at 795, that “[w]hether a breach is material involves a determination of ‘whether the breach worked to defeat the bargained-for objective of the parties or caused disproportionate prejudice to the non-breaching party, whether custom and usage consider[] such a breach to be material, and whether the allowance of reciprocal non-performance by the non-breaching party will result in his accrual of an unreasonable or unfair advantage.’</w:t>
      </w:r>
      <w:r>
        <w:rPr>
          <w:rFonts w:ascii="Times New Roman" w:hAnsi="Times New Roman" w:cs="Times New Roman"/>
        </w:rPr>
        <w:t> </w:t>
      </w:r>
      <w:r>
        <w:t>” (Citation omitted)).</w:t>
      </w:r>
    </w:p>
    <w:p w14:paraId="6745EDC1" w14:textId="77777777" w:rsidR="00655396" w:rsidRDefault="00655396" w:rsidP="008B512B">
      <w:pPr>
        <w:pStyle w:val="BodyText"/>
        <w:spacing w:line="240" w:lineRule="auto"/>
      </w:pPr>
    </w:p>
    <w:p w14:paraId="00BEFDE7" w14:textId="77777777" w:rsidR="00655396" w:rsidRDefault="00655396" w:rsidP="008B512B">
      <w:pPr>
        <w:pStyle w:val="AdditionalTopicsSectionHeadings"/>
        <w:spacing w:line="240" w:lineRule="auto"/>
      </w:pPr>
      <w:r>
        <w:t>Election of Remedies</w:t>
      </w:r>
    </w:p>
    <w:p w14:paraId="3A1F32E7" w14:textId="77777777" w:rsidR="00655396" w:rsidRDefault="00655396" w:rsidP="008B512B">
      <w:pPr>
        <w:pStyle w:val="BodyText"/>
        <w:spacing w:line="240" w:lineRule="auto"/>
      </w:pPr>
    </w:p>
    <w:p w14:paraId="59F0934C" w14:textId="51CAB7D3" w:rsidR="00655396" w:rsidRDefault="00655396" w:rsidP="008B512B">
      <w:pPr>
        <w:pStyle w:val="BodyText"/>
        <w:spacing w:line="240" w:lineRule="auto"/>
      </w:pPr>
      <w:r>
        <w:tab/>
        <w:t xml:space="preserve">In </w:t>
      </w:r>
      <w:r>
        <w:rPr>
          <w:i/>
          <w:iCs/>
        </w:rPr>
        <w:t>Kel-Keef Enterprises, Inc. v. Quality Components Corp.,</w:t>
      </w:r>
      <w:r>
        <w:t xml:space="preserve"> 316 Ill. App. 3d 998, 250 Ill. Dec. 308, 738 N.E.2d 524 (1st Dist. 2000), the purchaser of the assets of a business engaged in sales of truck replacement parts argued that the trial court had erred in holding that the seller’s suit for damages against the purchaser for breach of the purchase agreement constituted an election of remedies and that the purchaser was therefore required to perform under the purchase agreement and noncompete covenants executed as a part thereof.</w:t>
      </w:r>
      <w:r w:rsidR="00FB1D09">
        <w:t xml:space="preserve"> </w:t>
      </w:r>
      <w:r>
        <w:t>Agreeing with the purchaser, the First District of the Illinois Court of Appeals reversed on finding that the seller’s bringing a suit at law for damages for breach of the asset purchase agreement did not constitute an election of remedies in the absence of the seller’s materially changing its position.</w:t>
      </w:r>
      <w:r w:rsidR="00FB1D09">
        <w:t xml:space="preserve"> </w:t>
      </w:r>
      <w:r>
        <w:rPr>
          <w:i/>
          <w:iCs/>
        </w:rPr>
        <w:t>Id.</w:t>
      </w:r>
      <w:r>
        <w:t xml:space="preserve">, 738 N.E.2d at 533 (following the rule enunciated in </w:t>
      </w:r>
      <w:r>
        <w:rPr>
          <w:smallCaps/>
        </w:rPr>
        <w:t xml:space="preserve">Restatement (Second) of Contracts </w:t>
      </w:r>
      <w:r>
        <w:t>§378 (1981)).</w:t>
      </w:r>
    </w:p>
    <w:p w14:paraId="7D4FA592" w14:textId="77777777" w:rsidR="00655396" w:rsidRDefault="00655396" w:rsidP="008B512B">
      <w:pPr>
        <w:pStyle w:val="BodyText"/>
        <w:spacing w:line="240" w:lineRule="auto"/>
      </w:pPr>
    </w:p>
    <w:p w14:paraId="738FBF82" w14:textId="77777777" w:rsidR="00655396" w:rsidRDefault="00655396" w:rsidP="008B512B">
      <w:pPr>
        <w:pStyle w:val="AdditionalTopicsSectionHeadings"/>
        <w:spacing w:line="240" w:lineRule="auto"/>
      </w:pPr>
      <w:r>
        <w:t>Employee Retirement Income Security Act</w:t>
      </w:r>
    </w:p>
    <w:p w14:paraId="6CB2C699" w14:textId="77777777" w:rsidR="00655396" w:rsidRDefault="00655396" w:rsidP="008B512B">
      <w:pPr>
        <w:pStyle w:val="BodyText"/>
        <w:spacing w:line="240" w:lineRule="auto"/>
      </w:pPr>
    </w:p>
    <w:p w14:paraId="2179DCD6" w14:textId="77777777" w:rsidR="00655396" w:rsidRDefault="00655396" w:rsidP="008B512B">
      <w:pPr>
        <w:pStyle w:val="BodyText"/>
        <w:spacing w:line="240" w:lineRule="auto"/>
      </w:pPr>
      <w:r>
        <w:tab/>
        <w:t>•</w:t>
      </w:r>
      <w:r>
        <w:rPr>
          <w:i/>
          <w:iCs/>
        </w:rPr>
        <w:t>Preemption of breach of contract claims</w:t>
      </w:r>
      <w:r>
        <w:t>. Breach of contract claims based on a letter relating to a corporate incentive plan are preempted by the Employee Retirement Income Security Act, 29 U.S.C. §1144(a).</w:t>
      </w:r>
      <w:r>
        <w:rPr>
          <w:i/>
          <w:iCs/>
        </w:rPr>
        <w:t xml:space="preserve"> Corbisiero v. Bank of Am. Corp</w:t>
      </w:r>
      <w:r>
        <w:t>., 2009 U.S. Dist. LEXIS 65470, at *4–11 (N.D. Ill. July 30, 2009).</w:t>
      </w:r>
    </w:p>
    <w:p w14:paraId="5B19BDF4" w14:textId="77777777" w:rsidR="00655396" w:rsidRDefault="00655396" w:rsidP="008B512B">
      <w:pPr>
        <w:pStyle w:val="BodyText"/>
        <w:spacing w:line="240" w:lineRule="auto"/>
      </w:pPr>
    </w:p>
    <w:p w14:paraId="05992D09" w14:textId="7CC3CCCE" w:rsidR="00655396" w:rsidRDefault="00655396" w:rsidP="008B512B">
      <w:pPr>
        <w:pStyle w:val="BodyText"/>
        <w:spacing w:line="240" w:lineRule="auto"/>
      </w:pPr>
      <w:r>
        <w:tab/>
        <w:t xml:space="preserve">• </w:t>
      </w:r>
      <w:r>
        <w:rPr>
          <w:i/>
          <w:iCs/>
        </w:rPr>
        <w:t>Unjust enrichment.</w:t>
      </w:r>
      <w:r w:rsidR="00FB1D09">
        <w:rPr>
          <w:i/>
          <w:iCs/>
        </w:rPr>
        <w:t xml:space="preserve"> </w:t>
      </w:r>
      <w:r>
        <w:rPr>
          <w:i/>
          <w:iCs/>
        </w:rPr>
        <w:t>See Fishman v. Zurich Am. Ins. Co.,</w:t>
      </w:r>
      <w:r>
        <w:t xml:space="preserve"> 539 F. Supp. 2d 1036, 1051–52 (N.D. Ill. 2008) (granting summary judgment on defendant’s unjust enrichment counterclaim against employee who left defendant-company to work for competitor and was paid approximately $62,000 pursuant to the defendant’s retirement plan where plan stated that benefit payable “will be forfeited” in the event the employee obtains employment with a competitor).</w:t>
      </w:r>
    </w:p>
    <w:p w14:paraId="60615B41" w14:textId="77777777" w:rsidR="00655396" w:rsidRDefault="00655396" w:rsidP="008B512B">
      <w:pPr>
        <w:pStyle w:val="BodyText"/>
        <w:spacing w:line="240" w:lineRule="auto"/>
      </w:pPr>
    </w:p>
    <w:p w14:paraId="11F6B42B" w14:textId="1BB415B4" w:rsidR="00655396" w:rsidRDefault="00655396" w:rsidP="008B512B">
      <w:pPr>
        <w:pStyle w:val="BodyText"/>
        <w:spacing w:line="240" w:lineRule="auto"/>
      </w:pPr>
      <w:r>
        <w:tab/>
        <w:t xml:space="preserve">• </w:t>
      </w:r>
      <w:r>
        <w:rPr>
          <w:i/>
          <w:iCs/>
        </w:rPr>
        <w:t>Other resources</w:t>
      </w:r>
      <w:r>
        <w:t xml:space="preserve">. </w:t>
      </w:r>
      <w:r>
        <w:rPr>
          <w:i/>
          <w:iCs/>
        </w:rPr>
        <w:t>See generally</w:t>
      </w:r>
      <w:r>
        <w:t xml:space="preserve"> William A. Drennan, </w:t>
      </w:r>
      <w:r>
        <w:rPr>
          <w:i/>
          <w:iCs/>
        </w:rPr>
        <w:t>Enron-Inspired Nonqualified Deferred Compensation Rules: “If You Don’t Know Where You’re Going, You Might Not Get There”,</w:t>
      </w:r>
      <w:r>
        <w:t xml:space="preserve"> 73 </w:t>
      </w:r>
      <w:r>
        <w:rPr>
          <w:smallCaps/>
        </w:rPr>
        <w:t xml:space="preserve">Tenn. L. Rev. </w:t>
      </w:r>
      <w:r>
        <w:t xml:space="preserve">415 (Spring 2006) (asserting, </w:t>
      </w:r>
      <w:r>
        <w:rPr>
          <w:i/>
          <w:iCs/>
        </w:rPr>
        <w:t xml:space="preserve">id. </w:t>
      </w:r>
      <w:r>
        <w:t xml:space="preserve">at 448, that a nonqualified </w:t>
      </w:r>
      <w:r>
        <w:lastRenderedPageBreak/>
        <w:t>deferred compensation plan “provides ‘teeth’ to non-compete arrangements that would otherwise be unenforceable.</w:t>
      </w:r>
      <w:r w:rsidR="00FB1D09">
        <w:t xml:space="preserve"> </w:t>
      </w:r>
      <w:r>
        <w:t>Employers frequently impose non-compete provisions on key employees who possess information that, if disclosed, could be very damaging to the employer and very valuable to its competitors;”</w:t>
      </w:r>
      <w:r w:rsidR="00FB1D09">
        <w:t xml:space="preserve"> </w:t>
      </w:r>
      <w:r>
        <w:t xml:space="preserve">quoting, </w:t>
      </w:r>
      <w:r>
        <w:rPr>
          <w:i/>
          <w:iCs/>
        </w:rPr>
        <w:t>id.</w:t>
      </w:r>
      <w:r>
        <w:t xml:space="preserve"> at 449 n.177, the Fourth Edition of the instant treatise (“Restrictions on postemployment activities designed to protect legitimate employer interests are relevant today more than ever.”)).</w:t>
      </w:r>
    </w:p>
    <w:p w14:paraId="406A8A25" w14:textId="77777777" w:rsidR="0036473D" w:rsidRDefault="0036473D" w:rsidP="008B512B">
      <w:pPr>
        <w:pStyle w:val="BodyText"/>
        <w:spacing w:line="240" w:lineRule="auto"/>
        <w:rPr>
          <w:b/>
          <w:bCs/>
        </w:rPr>
      </w:pPr>
    </w:p>
    <w:p w14:paraId="524293F1" w14:textId="77777777" w:rsidR="00655396" w:rsidRDefault="00655396" w:rsidP="008B512B">
      <w:pPr>
        <w:pStyle w:val="AdditionalTopicsSectionHeadings"/>
        <w:spacing w:line="240" w:lineRule="auto"/>
      </w:pPr>
      <w:r>
        <w:t>Employer’s/Partner’s Breach, Effect of</w:t>
      </w:r>
    </w:p>
    <w:p w14:paraId="5F3270F8" w14:textId="77777777" w:rsidR="00655396" w:rsidRDefault="00655396" w:rsidP="008B512B">
      <w:pPr>
        <w:pStyle w:val="BodyText"/>
        <w:spacing w:line="240" w:lineRule="auto"/>
      </w:pPr>
    </w:p>
    <w:p w14:paraId="2D24D3EE" w14:textId="3BE5453C" w:rsidR="00655396" w:rsidRDefault="00655396" w:rsidP="008B512B">
      <w:pPr>
        <w:pStyle w:val="BodyText"/>
        <w:spacing w:line="240" w:lineRule="auto"/>
      </w:pPr>
      <w:r>
        <w:tab/>
        <w:t xml:space="preserve">Under Illinois law, a material breach by the employer of the parties’ underlying employment contract (by, for example, failing to comply with contract terms requiring the employer to offer the employee the option to acquire a 50% equity interest in the employer firm at the end of three years of employment, as occurred in </w:t>
      </w:r>
      <w:r>
        <w:rPr>
          <w:i/>
          <w:iCs/>
        </w:rPr>
        <w:t>Virendra S. Bisla, M.D., Ltd. v. Parvaiz</w:t>
      </w:r>
      <w:r>
        <w:t>, 379 Ill. App. 3d 567, 318 Ill. Dec. 822, 884 N.E.2d 790 (1st Dist. 2008)) “operate[s] to discharge the duties of a covenant not to compete” contained in the employment agreement.</w:t>
      </w:r>
      <w:r w:rsidR="00FB1D09">
        <w:t xml:space="preserve"> </w:t>
      </w:r>
      <w:r>
        <w:rPr>
          <w:i/>
          <w:iCs/>
        </w:rPr>
        <w:t xml:space="preserve">Id. </w:t>
      </w:r>
      <w:r>
        <w:t>at 573, 884 N.E.2d at 795 (noting,</w:t>
      </w:r>
      <w:r>
        <w:rPr>
          <w:i/>
          <w:iCs/>
        </w:rPr>
        <w:t xml:space="preserve"> id</w:t>
      </w:r>
      <w:r>
        <w:t>. at 572–73, 884 N.E.2d at 795, that “[w]hether a breach is material involves a determination of ‘whether the breach worked to defeat the bargained-for objective of the parties or caused disproportionate prejudice to the non-breaching party, whether custom and usage consider[] such a breach to be material, and whether the allowance of reciprocal non-performance by the non-breaching party will result in his accrual of an unreasonable or unfair advantage.’” (Citation omitted)).</w:t>
      </w:r>
    </w:p>
    <w:p w14:paraId="78E31245" w14:textId="77777777" w:rsidR="00655396" w:rsidRDefault="00655396" w:rsidP="008B512B">
      <w:pPr>
        <w:pStyle w:val="BodyText"/>
        <w:spacing w:line="240" w:lineRule="auto"/>
      </w:pPr>
      <w:r>
        <w:tab/>
        <w:t xml:space="preserve">The administrative dissolution of the employer corporation also constitutes a material breach of the parties’ employment contract under Illinois law such as to release an employee, following the dissolution, from the restrictions of a postemployment covenant not to compete. </w:t>
      </w:r>
      <w:r>
        <w:rPr>
          <w:i/>
          <w:iCs/>
        </w:rPr>
        <w:t>Id.</w:t>
      </w:r>
      <w:r>
        <w:t xml:space="preserve"> at 574, 884 N.E.2d at 796.</w:t>
      </w:r>
    </w:p>
    <w:p w14:paraId="3A40E5D7" w14:textId="73B3A0C0" w:rsidR="00655396" w:rsidRDefault="00655396" w:rsidP="008B512B">
      <w:pPr>
        <w:pStyle w:val="BodyText"/>
        <w:spacing w:line="240" w:lineRule="auto"/>
      </w:pPr>
      <w:r>
        <w:tab/>
        <w:t>However, an employer’s minor delays in making bonus payments “do not constitute substantial nonperformance and a material breach of contract” such as to provide an employee with an affirmative defense to covenant enforcement.</w:t>
      </w:r>
      <w:r w:rsidR="00FB1D09">
        <w:t xml:space="preserve"> </w:t>
      </w:r>
      <w:r>
        <w:rPr>
          <w:i/>
          <w:iCs/>
        </w:rPr>
        <w:t>Midwest Tel., Inc. v. Oloffson</w:t>
      </w:r>
      <w:r>
        <w:t xml:space="preserve">, 298 Ill. App. 3d 548, 558, 232 Ill. Dec. 783, 789, 699 N.E.2d 230, 236 (3d Dist. 1998) (noting that contract did not specify payment dates for bonuses but, instead, simply stated that payments would be </w:t>
      </w:r>
      <w:r>
        <w:lastRenderedPageBreak/>
        <w:t xml:space="preserve">made “on customary payroll dates”; citing </w:t>
      </w:r>
      <w:r>
        <w:rPr>
          <w:i/>
          <w:iCs/>
        </w:rPr>
        <w:t>Wyatt v. Dishong</w:t>
      </w:r>
      <w:r>
        <w:t>, 127 Ill. App. 3d 716, 720, 83 Ill. Dec. 1, 469 N.E.2d 608, 611 (1984)).</w:t>
      </w:r>
    </w:p>
    <w:p w14:paraId="66BE3DD9" w14:textId="77777777" w:rsidR="00655396" w:rsidRDefault="00655396" w:rsidP="008B512B">
      <w:pPr>
        <w:pStyle w:val="BodyText"/>
        <w:spacing w:line="240" w:lineRule="auto"/>
      </w:pPr>
      <w:r>
        <w:tab/>
        <w:t xml:space="preserve">Likewise, where an employment contract specifically permits the employer to shift the employee’s job site between two facilities, the employer’s exercise of that right does not constitute a breach of contract such as to provide the former employee with an affirmative defense to covenant enforcement. </w:t>
      </w:r>
      <w:r>
        <w:rPr>
          <w:i/>
          <w:iCs/>
        </w:rPr>
        <w:t>Id.</w:t>
      </w:r>
      <w:r>
        <w:t>, 232 Ill. Dec. at 789, 699 N.E.2d at 236.</w:t>
      </w:r>
    </w:p>
    <w:p w14:paraId="2B579862" w14:textId="77777777" w:rsidR="00655396" w:rsidRDefault="00655396" w:rsidP="008B512B">
      <w:pPr>
        <w:pStyle w:val="BodyText"/>
        <w:spacing w:line="240" w:lineRule="auto"/>
        <w:rPr>
          <w:b/>
          <w:bCs/>
        </w:rPr>
      </w:pPr>
      <w:r>
        <w:tab/>
      </w:r>
      <w:r>
        <w:rPr>
          <w:i/>
          <w:iCs/>
        </w:rPr>
        <w:t>See generally</w:t>
      </w:r>
      <w:r>
        <w:t xml:space="preserve"> N. James Turner, </w:t>
      </w:r>
      <w:r>
        <w:rPr>
          <w:i/>
          <w:iCs/>
        </w:rPr>
        <w:t>Successfully Defending Employees in Noncompete and Trade Secret Litigation</w:t>
      </w:r>
      <w:r>
        <w:t xml:space="preserve">, 78 </w:t>
      </w:r>
      <w:r>
        <w:rPr>
          <w:smallCaps/>
        </w:rPr>
        <w:t>Fla. B.J.</w:t>
      </w:r>
      <w:r>
        <w:t xml:space="preserve"> 43 (Apr. 2004) (observing, </w:t>
      </w:r>
      <w:r>
        <w:rPr>
          <w:i/>
          <w:iCs/>
        </w:rPr>
        <w:t>id.</w:t>
      </w:r>
      <w:r>
        <w:t xml:space="preserve"> at 45, that “[o]ne area that is vastly overlooked in terms of establishing a material breach of contract as a defense to an action to enforce a noncompete agreement is a violation of the Fair Labor Standards Act (FLSA), [29 U.S.C. §§201–262].”).</w:t>
      </w:r>
    </w:p>
    <w:p w14:paraId="5A7DA651" w14:textId="77777777" w:rsidR="00655396" w:rsidRDefault="00655396" w:rsidP="008B512B">
      <w:pPr>
        <w:pStyle w:val="BodyText"/>
        <w:spacing w:line="240" w:lineRule="auto"/>
      </w:pPr>
    </w:p>
    <w:p w14:paraId="21624C8A" w14:textId="2FB60387" w:rsidR="00655396" w:rsidRDefault="00655396" w:rsidP="008B512B">
      <w:pPr>
        <w:pStyle w:val="BodyText"/>
        <w:spacing w:line="240" w:lineRule="auto"/>
      </w:pPr>
      <w:r>
        <w:rPr>
          <w:i/>
          <w:iCs/>
        </w:rPr>
        <w:tab/>
        <w:t>• Partnership context</w:t>
      </w:r>
      <w:r>
        <w:t>.</w:t>
      </w:r>
      <w:r w:rsidR="00FB1D09">
        <w:t xml:space="preserve"> </w:t>
      </w:r>
      <w:r>
        <w:t>In the partnership context, “a breach of a partnership agreement can operate to discharge the duties of a covenant not to compete where the breach is material.”</w:t>
      </w:r>
      <w:r w:rsidR="00FB1D09">
        <w:t xml:space="preserve"> </w:t>
      </w:r>
      <w:r>
        <w:rPr>
          <w:i/>
          <w:iCs/>
        </w:rPr>
        <w:t>Galesburg Clinic Ass’n v. West</w:t>
      </w:r>
      <w:r>
        <w:t xml:space="preserve">, 302 Ill. App. 3d 1016, 1018, 706 N.E.2d 1035, 1036–37 (3d Dist. 1999) (citing </w:t>
      </w:r>
      <w:r>
        <w:rPr>
          <w:i/>
          <w:iCs/>
        </w:rPr>
        <w:t>Wyatt v. Dishong</w:t>
      </w:r>
      <w:r>
        <w:t>, 127 Ill. App. 3d 716, 720, 83 Ill. Dec. 1, 469 N.E.2d 608, 611 (1984) (covenant case)).</w:t>
      </w:r>
      <w:r w:rsidR="00FB1D09">
        <w:t xml:space="preserve"> </w:t>
      </w:r>
      <w:r>
        <w:t>The test for materiality in such situations “is whether the breach is of such a nature and of such importance that, if anticipated in advance, the contract would not have been entered into.”</w:t>
      </w:r>
      <w:r w:rsidR="00FB1D09">
        <w:t xml:space="preserve"> </w:t>
      </w:r>
      <w:r>
        <w:rPr>
          <w:i/>
          <w:iCs/>
        </w:rPr>
        <w:t>Id.</w:t>
      </w:r>
      <w:r>
        <w:t xml:space="preserve"> at 1018, 706 N.E.2d at 1037 (citing </w:t>
      </w:r>
      <w:r>
        <w:rPr>
          <w:i/>
          <w:iCs/>
        </w:rPr>
        <w:t>Trapkus v. Edstrom’s, Inc.</w:t>
      </w:r>
      <w:r>
        <w:t>, 140 Ill. App. 3d 720, 725, 95 Ill. Dec. 119, 489 N.E.2d 340, 345 (1986) (not a covenant case)).</w:t>
      </w:r>
      <w:r w:rsidR="00FB1D09">
        <w:t xml:space="preserve"> </w:t>
      </w:r>
      <w:r>
        <w:t>In</w:t>
      </w:r>
      <w:r>
        <w:rPr>
          <w:i/>
          <w:iCs/>
        </w:rPr>
        <w:t xml:space="preserve"> Galesburg</w:t>
      </w:r>
      <w:r>
        <w:t xml:space="preserve">, the partnership agreement provided: </w:t>
      </w:r>
    </w:p>
    <w:p w14:paraId="531F1F2D" w14:textId="77777777" w:rsidR="00655396" w:rsidRDefault="00655396" w:rsidP="008B512B">
      <w:pPr>
        <w:pStyle w:val="BodyText"/>
        <w:spacing w:line="240" w:lineRule="auto"/>
      </w:pPr>
    </w:p>
    <w:p w14:paraId="6BFBE167" w14:textId="1994952C" w:rsidR="00655396" w:rsidRPr="0036473D" w:rsidRDefault="00655396" w:rsidP="008B512B">
      <w:pPr>
        <w:pStyle w:val="BQ"/>
        <w:spacing w:line="240" w:lineRule="auto"/>
        <w:rPr>
          <w:b/>
        </w:rPr>
      </w:pPr>
      <w:r w:rsidRPr="0036473D">
        <w:t>Conduct of Business</w:t>
      </w:r>
      <w:r w:rsidR="00D47546">
        <w:t xml:space="preserve">: </w:t>
      </w:r>
      <w:r w:rsidRPr="0036473D">
        <w:t>The business and affairs of the association shall be managed, controlled and governed by an Executive Committee which shall determine all questions of policy and shall exercise direction and control over the associates as employees of the association.</w:t>
      </w:r>
      <w:r w:rsidR="00FB1D09">
        <w:t xml:space="preserve"> </w:t>
      </w:r>
      <w:r w:rsidRPr="0036473D">
        <w:t>* * * The Executive Committee shall be composed of five associates elected by * * * ballot.</w:t>
      </w:r>
      <w:r w:rsidR="00FB1D09">
        <w:t xml:space="preserve"> </w:t>
      </w:r>
      <w:r w:rsidRPr="0036473D">
        <w:t>* * * A majority of the members of the Executive Committee shall constitute a quorum for the transaction of business at any meeting of said committee.</w:t>
      </w:r>
      <w:r w:rsidR="00FB1D09">
        <w:t xml:space="preserve"> </w:t>
      </w:r>
      <w:r w:rsidRPr="0036473D">
        <w:t>A majority vote of the entire membership of the committee shall be required to constitute action of the committee which shall be binding upon the association.</w:t>
      </w:r>
      <w:r w:rsidR="00FB1D09">
        <w:t xml:space="preserve"> </w:t>
      </w:r>
      <w:r w:rsidRPr="0036473D">
        <w:t xml:space="preserve">* * * Regular meetings of the Executive Committee shall be held in the offices of the association at 7:30 o’clock P.M. on the third Tuesday of each </w:t>
      </w:r>
      <w:r w:rsidRPr="0036473D">
        <w:lastRenderedPageBreak/>
        <w:t>month, or at a time and place determined by a majority of the Executive Committee.</w:t>
      </w:r>
    </w:p>
    <w:p w14:paraId="39032760" w14:textId="77777777" w:rsidR="00655396" w:rsidRPr="0036473D" w:rsidRDefault="00655396" w:rsidP="008B512B">
      <w:pPr>
        <w:pStyle w:val="BodyText"/>
        <w:spacing w:line="240" w:lineRule="auto"/>
        <w:rPr>
          <w:i/>
          <w:iCs/>
        </w:rPr>
      </w:pPr>
    </w:p>
    <w:p w14:paraId="490A6A90" w14:textId="12B63B9A" w:rsidR="00655396" w:rsidRDefault="00655396" w:rsidP="008B512B">
      <w:pPr>
        <w:pStyle w:val="BodyText"/>
        <w:spacing w:line="240" w:lineRule="auto"/>
      </w:pPr>
      <w:r>
        <w:rPr>
          <w:i/>
          <w:iCs/>
        </w:rPr>
        <w:t>Id.</w:t>
      </w:r>
      <w:r>
        <w:t xml:space="preserve"> at 1018–19, 706 N.E.2d at 1037.</w:t>
      </w:r>
      <w:r w:rsidR="00FB1D09">
        <w:t xml:space="preserve"> </w:t>
      </w:r>
      <w:r>
        <w:t>The circuit court found that the above-quoted provision (article X) was materially breached when</w:t>
      </w:r>
      <w:r w:rsidR="00D47546">
        <w:t xml:space="preserve">: </w:t>
      </w:r>
      <w:r>
        <w:t>(1) three members of the executive committee conducted secret meetings</w:t>
      </w:r>
      <w:r w:rsidR="00D47546">
        <w:t xml:space="preserve">; </w:t>
      </w:r>
      <w:r>
        <w:t>(2) the executive committee did not meet or vote on whether to fire the plaintiff’s chief executive officer</w:t>
      </w:r>
      <w:r w:rsidR="00D47546">
        <w:t xml:space="preserve">; </w:t>
      </w:r>
      <w:r>
        <w:t>(3) the executive committee did not approve the hiring of a named accountant</w:t>
      </w:r>
      <w:r w:rsidR="00D47546">
        <w:t xml:space="preserve">; </w:t>
      </w:r>
      <w:r>
        <w:t>(4) three members of the executive committee voted to compensate the named accountant for unsubstantiated bills</w:t>
      </w:r>
      <w:r w:rsidR="00D47546">
        <w:t xml:space="preserve">; </w:t>
      </w:r>
      <w:r>
        <w:t>and (5) the partnership changed its accounting method from a cash basis to an accrual basis without properly amending the articles.</w:t>
      </w:r>
      <w:r w:rsidR="00FB1D09">
        <w:t xml:space="preserve"> </w:t>
      </w:r>
      <w:r>
        <w:t xml:space="preserve">En route to concluding that the circuit court had acted within its sound discretion when it found that the secret meeting of the executive committee and the votes taken therein, all in contravention of the partnership agreement, were material breaches that discharged the exiting partners’ obligations under a covenant not to compete, the </w:t>
      </w:r>
      <w:r>
        <w:rPr>
          <w:i/>
          <w:iCs/>
        </w:rPr>
        <w:t xml:space="preserve">Galesburg </w:t>
      </w:r>
      <w:r>
        <w:t>court observed:</w:t>
      </w:r>
    </w:p>
    <w:p w14:paraId="2FA6E43D" w14:textId="77777777" w:rsidR="00655396" w:rsidRDefault="00655396" w:rsidP="008B512B">
      <w:pPr>
        <w:pStyle w:val="BodyText"/>
        <w:spacing w:line="240" w:lineRule="auto"/>
      </w:pPr>
    </w:p>
    <w:p w14:paraId="308ECE67" w14:textId="0A4EB09C" w:rsidR="00655396" w:rsidRPr="0036473D" w:rsidRDefault="00655396" w:rsidP="008B512B">
      <w:pPr>
        <w:pStyle w:val="BQ"/>
        <w:spacing w:line="240" w:lineRule="auto"/>
        <w:rPr>
          <w:b/>
        </w:rPr>
      </w:pPr>
      <w:r w:rsidRPr="0036473D">
        <w:t>The [exiting partners] testified that they relied on the articles of agreement when they joined the partnership, [that] they expected that the terms thereof would be complied with to protect their interests, and [that] they would not have joined the partnership without such articles.</w:t>
      </w:r>
      <w:r w:rsidR="00FB1D09">
        <w:t xml:space="preserve"> </w:t>
      </w:r>
      <w:r w:rsidRPr="0036473D">
        <w:t>[T]he secret meetings of the executive committee and the votes taken therein directly contradict article X and therefore were material breaches such that the [exiting partners’] obligations under the covenant not to compete clause were discharged.</w:t>
      </w:r>
    </w:p>
    <w:p w14:paraId="719121E0" w14:textId="77777777" w:rsidR="00655396" w:rsidRDefault="00655396" w:rsidP="008B512B">
      <w:pPr>
        <w:pStyle w:val="BodyText"/>
        <w:spacing w:line="240" w:lineRule="auto"/>
      </w:pPr>
    </w:p>
    <w:p w14:paraId="67CD941F" w14:textId="77777777" w:rsidR="00655396" w:rsidRDefault="00655396" w:rsidP="008B512B">
      <w:pPr>
        <w:pStyle w:val="BodyText"/>
        <w:spacing w:line="240" w:lineRule="auto"/>
      </w:pPr>
      <w:r>
        <w:rPr>
          <w:i/>
          <w:iCs/>
        </w:rPr>
        <w:t>Id.</w:t>
      </w:r>
      <w:r>
        <w:t xml:space="preserve"> at 1019, 706 N.E.2d at 1037.</w:t>
      </w:r>
    </w:p>
    <w:p w14:paraId="54B84BF1" w14:textId="77777777" w:rsidR="00655396" w:rsidRDefault="00655396" w:rsidP="008B512B">
      <w:pPr>
        <w:pStyle w:val="BodyText"/>
        <w:spacing w:line="240" w:lineRule="auto"/>
      </w:pPr>
    </w:p>
    <w:p w14:paraId="3D463EDB" w14:textId="77777777" w:rsidR="00655396" w:rsidRDefault="00655396" w:rsidP="008B512B">
      <w:pPr>
        <w:pStyle w:val="AdditionalTopicsSectionHeadings"/>
        <w:spacing w:line="240" w:lineRule="auto"/>
      </w:pPr>
      <w:r>
        <w:t>Employer’s Termination, Effect of</w:t>
      </w:r>
    </w:p>
    <w:p w14:paraId="4AE63D63"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i/>
          <w:iCs/>
          <w:sz w:val="20"/>
          <w:szCs w:val="20"/>
        </w:rPr>
      </w:pPr>
    </w:p>
    <w:p w14:paraId="7DCDD308" w14:textId="54EBD44D" w:rsidR="00655396" w:rsidRDefault="00655396" w:rsidP="008B512B">
      <w:pPr>
        <w:pStyle w:val="BodyText"/>
        <w:spacing w:line="240" w:lineRule="auto"/>
      </w:pPr>
      <w:r>
        <w:tab/>
      </w:r>
      <w:r>
        <w:rPr>
          <w:b/>
          <w:bCs/>
        </w:rPr>
        <w:t>•</w:t>
      </w:r>
      <w:r>
        <w:t xml:space="preserve"> </w:t>
      </w:r>
      <w:r>
        <w:rPr>
          <w:i/>
          <w:iCs/>
        </w:rPr>
        <w:t>Determination of consideration supplied by continued employment is not limited to numerical formula</w:t>
      </w:r>
      <w:r w:rsidR="00D47546">
        <w:rPr>
          <w:i/>
          <w:iCs/>
        </w:rPr>
        <w:t xml:space="preserve">; </w:t>
      </w:r>
      <w:r>
        <w:rPr>
          <w:i/>
          <w:iCs/>
        </w:rPr>
        <w:t>Whether employee was involuntarily terminated by employer may need to be considered</w:t>
      </w:r>
      <w:r>
        <w:t>.</w:t>
      </w:r>
      <w:r w:rsidR="00FB1D09">
        <w:t xml:space="preserve"> </w:t>
      </w:r>
      <w:r>
        <w:t>In dicta, the First District of the Illinois Court of Appeals has stated:</w:t>
      </w:r>
    </w:p>
    <w:p w14:paraId="5C25D277" w14:textId="77777777" w:rsidR="00655396" w:rsidRDefault="00655396" w:rsidP="008B512B">
      <w:pPr>
        <w:pStyle w:val="BodyText"/>
        <w:spacing w:line="240" w:lineRule="auto"/>
      </w:pPr>
    </w:p>
    <w:p w14:paraId="3208031C" w14:textId="05143780"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 xml:space="preserve">We do not believe case law limits the courts’ review [of the question whether substantial continued employment supplies the necessary consideration for a covenant entered into after the inception of the </w:t>
      </w:r>
      <w:r>
        <w:rPr>
          <w:rFonts w:ascii="Baskerville" w:hAnsi="Baskerville" w:cs="Baskerville"/>
          <w:sz w:val="22"/>
          <w:szCs w:val="22"/>
        </w:rPr>
        <w:lastRenderedPageBreak/>
        <w:t>employment] to a numerical formula for what constitutes substantial continued employment.</w:t>
      </w:r>
      <w:r w:rsidR="00FB1D09">
        <w:rPr>
          <w:rFonts w:ascii="Baskerville" w:hAnsi="Baskerville" w:cs="Baskerville"/>
          <w:sz w:val="22"/>
          <w:szCs w:val="22"/>
        </w:rPr>
        <w:t xml:space="preserve"> </w:t>
      </w:r>
      <w:r>
        <w:rPr>
          <w:rFonts w:ascii="Baskerville" w:hAnsi="Baskerville" w:cs="Baskerville"/>
          <w:sz w:val="22"/>
          <w:szCs w:val="22"/>
        </w:rPr>
        <w:t>Factors other than the time period of the continued employment, such as whether the employee or the employer terminated [the] employment, may need to be considered to properly review the issue of consideration.</w:t>
      </w:r>
    </w:p>
    <w:p w14:paraId="786C27E1" w14:textId="77777777" w:rsidR="00655396" w:rsidRDefault="00655396" w:rsidP="008B512B">
      <w:pPr>
        <w:pStyle w:val="BodyText"/>
        <w:spacing w:line="240" w:lineRule="auto"/>
        <w:rPr>
          <w:i/>
          <w:iCs/>
        </w:rPr>
      </w:pPr>
    </w:p>
    <w:p w14:paraId="6842D35A" w14:textId="77777777" w:rsidR="00655396" w:rsidRDefault="00655396" w:rsidP="008B512B">
      <w:pPr>
        <w:pStyle w:val="BodyText"/>
        <w:spacing w:line="240" w:lineRule="auto"/>
      </w:pPr>
      <w:r>
        <w:rPr>
          <w:i/>
          <w:iCs/>
        </w:rPr>
        <w:t>Woodfield Grp., Inc. v. DeLisle</w:t>
      </w:r>
      <w:r>
        <w:t>, 295 Ill. App. 3d 935, 943, 230 Ill. Dec. 335, 340, 693 N.E.2d 464, 469, 13 IER Cases 1646 (1st Dist. 1998).</w:t>
      </w:r>
    </w:p>
    <w:p w14:paraId="66B32432" w14:textId="77777777" w:rsidR="00A05A11" w:rsidRDefault="00A05A11" w:rsidP="008B512B">
      <w:pPr>
        <w:pStyle w:val="BodyText"/>
        <w:spacing w:line="240" w:lineRule="auto"/>
      </w:pPr>
    </w:p>
    <w:p w14:paraId="01807FB7" w14:textId="77777777" w:rsidR="00A05A11" w:rsidRPr="00A05A11" w:rsidRDefault="00A05A11" w:rsidP="00A05A11">
      <w:pPr>
        <w:pStyle w:val="BodyText"/>
        <w:rPr>
          <w:b/>
          <w:bCs/>
        </w:rPr>
      </w:pPr>
      <w:r w:rsidRPr="00A05A11">
        <w:rPr>
          <w:b/>
          <w:bCs/>
        </w:rPr>
        <w:t xml:space="preserve">Employer’s Termination or Abandonment of Business, </w:t>
      </w:r>
      <w:r w:rsidRPr="00A05A11">
        <w:rPr>
          <w:b/>
          <w:bCs/>
        </w:rPr>
        <w:br/>
        <w:t>Effect of</w:t>
      </w:r>
    </w:p>
    <w:p w14:paraId="39B03206" w14:textId="77777777" w:rsidR="00A05A11" w:rsidRDefault="00A05A11" w:rsidP="00A05A11">
      <w:pPr>
        <w:pStyle w:val="BodyText"/>
        <w:spacing w:line="240" w:lineRule="auto"/>
      </w:pPr>
    </w:p>
    <w:p w14:paraId="377BDFE8" w14:textId="01F19E40" w:rsidR="00A05A11" w:rsidRDefault="00A05A11" w:rsidP="00A05A11">
      <w:pPr>
        <w:pStyle w:val="BodyText"/>
        <w:spacing w:line="240" w:lineRule="auto"/>
      </w:pPr>
      <w:r>
        <w:tab/>
      </w:r>
      <w:r w:rsidRPr="00A05A11">
        <w:t xml:space="preserve">Where an employer has abandoned or terminated its business, a very good argument could be made that no covenant-protectable interest continues to exist, but the closing of the business does not deprive the employer of any relief to which it is entitled for breaches occurring </w:t>
      </w:r>
      <w:r w:rsidRPr="00A05A11">
        <w:rPr>
          <w:i/>
          <w:iCs/>
        </w:rPr>
        <w:t>prior to</w:t>
      </w:r>
      <w:r w:rsidRPr="00A05A11">
        <w:t xml:space="preserve"> closure.</w:t>
      </w:r>
      <w:r w:rsidRPr="00A05A11">
        <w:rPr>
          <w:i/>
          <w:iCs/>
        </w:rPr>
        <w:t xml:space="preserve"> Act II Jewelry, LLC v. Wooten</w:t>
      </w:r>
      <w:r w:rsidRPr="00A05A11">
        <w:t>, 318 F. Supp. 3d 1073, 1093 (N.D. Ill. 2018) (“[Former employer] Act II is not litigating whether the Agreement is currently in effect, but rather a claim for damages based on [former employee’s] breach of the Agreement while Act II was still in business and winding up its affairs.</w:t>
      </w:r>
      <w:r w:rsidR="00944F63">
        <w:t>…</w:t>
      </w:r>
      <w:r w:rsidRPr="00A05A11">
        <w:t xml:space="preserve"> [Citation.] Act II legitimately may seek to protect the financial outcome of its wind-up process and the value of its assets which it was in the midst of selling. Furthermore, Act II transferred its assets to KEC, which is still operating, and KEC has a legitimate business interest in protecting its alleged trade secrets. The Release and Waiver attached to the Incentive Agreement required Wooten to ‘refrain</w:t>
      </w:r>
      <w:r w:rsidRPr="00A05A11">
        <w:rPr>
          <w:rFonts w:ascii="Times New Roman" w:hAnsi="Times New Roman" w:cs="Times New Roman"/>
        </w:rPr>
        <w:t> </w:t>
      </w:r>
      <w:r w:rsidR="00944F63">
        <w:t>…</w:t>
      </w:r>
      <w:r w:rsidRPr="00A05A11">
        <w:rPr>
          <w:rFonts w:ascii="Times New Roman" w:hAnsi="Times New Roman" w:cs="Times New Roman"/>
        </w:rPr>
        <w:t> </w:t>
      </w:r>
      <w:r w:rsidRPr="00A05A11">
        <w:t>from disclosing any trade secret of [KEC] or Act II or other confidential and proprietary business information and material.</w:t>
      </w:r>
      <w:r w:rsidRPr="00A05A11">
        <w:rPr>
          <w:rFonts w:ascii="Goudy Old Style" w:hAnsi="Goudy Old Style" w:cs="Goudy Old Style"/>
        </w:rPr>
        <w:t>’</w:t>
      </w:r>
      <w:r w:rsidRPr="00A05A11">
        <w:t xml:space="preserve"> (Dkt. No. 294, </w:t>
      </w:r>
      <w:r w:rsidRPr="00A05A11">
        <w:rPr>
          <w:rFonts w:ascii="Goudy Old Style" w:hAnsi="Goudy Old Style" w:cs="Goudy Old Style"/>
        </w:rPr>
        <w:t>¶</w:t>
      </w:r>
      <w:r w:rsidRPr="00A05A11">
        <w:t xml:space="preserve"> 61.) Thus, KEC may enforce any breach under the Incentive Agreement, because Act II’s rights were assigned and the agreement specifically contemplated protecting KEC’s assets as well. </w:t>
      </w:r>
      <w:r w:rsidRPr="00A05A11">
        <w:rPr>
          <w:i/>
          <w:iCs/>
        </w:rPr>
        <w:t>See, id.; see also</w:t>
      </w:r>
      <w:r w:rsidRPr="00A05A11">
        <w:t xml:space="preserve"> Memorandum and Opinion Order, Dkt. No. 90 at 17 (rejecting argument that agreement was unenforceable where agreement specifically contemplated Act II winding down).”</w:t>
      </w:r>
    </w:p>
    <w:p w14:paraId="2649906A" w14:textId="77777777" w:rsidR="00655396" w:rsidRDefault="00655396" w:rsidP="008B512B">
      <w:pPr>
        <w:pStyle w:val="BodyText"/>
        <w:spacing w:line="240" w:lineRule="auto"/>
      </w:pPr>
    </w:p>
    <w:p w14:paraId="6F35F0C5" w14:textId="77777777" w:rsidR="00655396" w:rsidRDefault="00655396" w:rsidP="008B512B">
      <w:pPr>
        <w:pStyle w:val="AdditionalTopicsSectionHeadings"/>
        <w:spacing w:line="240" w:lineRule="auto"/>
      </w:pPr>
      <w:r>
        <w:t>Employment at Will</w:t>
      </w:r>
    </w:p>
    <w:p w14:paraId="0362B39A" w14:textId="77777777" w:rsidR="00655396" w:rsidRDefault="00655396" w:rsidP="008B512B">
      <w:pPr>
        <w:pStyle w:val="BodyText"/>
        <w:spacing w:line="240" w:lineRule="auto"/>
      </w:pPr>
    </w:p>
    <w:p w14:paraId="7C90BC23" w14:textId="06568868"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lastRenderedPageBreak/>
        <w:tab/>
        <w:t xml:space="preserve">There is a “clear </w:t>
      </w:r>
      <w:r w:rsidR="00944F63">
        <w:rPr>
          <w:rFonts w:ascii="Baskerville" w:hAnsi="Baskerville" w:cs="Baskerville"/>
        </w:rPr>
        <w:t>…</w:t>
      </w:r>
      <w:r>
        <w:rPr>
          <w:rFonts w:ascii="Baskerville" w:hAnsi="Baskerville" w:cs="Baskerville"/>
        </w:rPr>
        <w:t xml:space="preserve"> split between [the First and Fourth District Courts of Appeal] over what kind of employment relationship is a valid foundation for a covenant not to compete.”</w:t>
      </w:r>
      <w:r w:rsidR="00FB1D09">
        <w:rPr>
          <w:rFonts w:ascii="Baskerville" w:hAnsi="Baskerville" w:cs="Baskerville"/>
        </w:rPr>
        <w:t xml:space="preserve"> </w:t>
      </w:r>
      <w:r>
        <w:rPr>
          <w:rFonts w:ascii="Baskerville" w:hAnsi="Baskerville" w:cs="Baskerville"/>
          <w:i/>
          <w:iCs/>
        </w:rPr>
        <w:t>Applied Micro, Inc. v. SJI Fulfillment, Inc.</w:t>
      </w:r>
      <w:r>
        <w:rPr>
          <w:rFonts w:ascii="Baskerville" w:hAnsi="Baskerville" w:cs="Baskerville"/>
        </w:rPr>
        <w:t>, 941 F. Supp. 750, 754 (N.D. Ill. 1996).</w:t>
      </w:r>
      <w:r w:rsidR="00FB1D09">
        <w:rPr>
          <w:rFonts w:ascii="Baskerville" w:hAnsi="Baskerville" w:cs="Baskerville"/>
        </w:rPr>
        <w:t xml:space="preserve"> </w:t>
      </w:r>
      <w:r>
        <w:rPr>
          <w:rFonts w:ascii="Baskerville" w:hAnsi="Baskerville" w:cs="Baskerville"/>
        </w:rPr>
        <w:t>That is, there is a split among the district courts of appeal as to whether a covenant need be ancillary to an employment agreement, as opposed to an at-will employment relationship.</w:t>
      </w:r>
      <w:r w:rsidR="00FB1D09">
        <w:rPr>
          <w:rFonts w:ascii="Baskerville" w:hAnsi="Baskerville" w:cs="Baskerville"/>
        </w:rPr>
        <w:t xml:space="preserve"> </w:t>
      </w:r>
      <w:r>
        <w:rPr>
          <w:rFonts w:ascii="Baskerville" w:hAnsi="Baskerville" w:cs="Baskerville"/>
        </w:rPr>
        <w:t xml:space="preserve">The </w:t>
      </w:r>
      <w:r>
        <w:rPr>
          <w:rFonts w:ascii="Baskerville" w:hAnsi="Baskerville" w:cs="Baskerville"/>
          <w:i/>
          <w:iCs/>
        </w:rPr>
        <w:t>Applied Micro</w:t>
      </w:r>
      <w:r>
        <w:rPr>
          <w:rFonts w:ascii="Baskerville" w:hAnsi="Baskerville" w:cs="Baskerville"/>
        </w:rPr>
        <w:t xml:space="preserve"> court explained:</w:t>
      </w:r>
    </w:p>
    <w:p w14:paraId="578E7676" w14:textId="77777777" w:rsidR="00655396" w:rsidRDefault="00655396" w:rsidP="008B512B">
      <w:pPr>
        <w:pStyle w:val="BodyText"/>
        <w:spacing w:line="240" w:lineRule="auto"/>
      </w:pPr>
    </w:p>
    <w:p w14:paraId="0F636E81" w14:textId="6E05E1B9"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In </w:t>
      </w:r>
      <w:r>
        <w:rPr>
          <w:rFonts w:ascii="Baskerville" w:hAnsi="Baskerville" w:cs="Baskerville"/>
          <w:i/>
          <w:iCs/>
          <w:sz w:val="22"/>
          <w:szCs w:val="22"/>
        </w:rPr>
        <w:t>Creative Entertainment</w:t>
      </w:r>
      <w:r>
        <w:rPr>
          <w:rFonts w:ascii="Baskerville" w:hAnsi="Baskerville" w:cs="Baskerville"/>
          <w:sz w:val="22"/>
          <w:szCs w:val="22"/>
        </w:rPr>
        <w:t>[</w:t>
      </w:r>
      <w:r>
        <w:rPr>
          <w:rFonts w:ascii="Baskerville" w:hAnsi="Baskerville" w:cs="Baskerville"/>
          <w:i/>
          <w:iCs/>
          <w:sz w:val="22"/>
          <w:szCs w:val="22"/>
        </w:rPr>
        <w:t>, Inc. v. Lorenz</w:t>
      </w:r>
      <w:r>
        <w:rPr>
          <w:rFonts w:ascii="Baskerville" w:hAnsi="Baskerville" w:cs="Baskerville"/>
          <w:sz w:val="22"/>
          <w:szCs w:val="22"/>
        </w:rPr>
        <w:t>, 265 Ill. App. 3d 343, 202 Ill. Dec. 571, 638 N.E.2d 217 (1st Dist. 1994)], the First District struck down a noncompete on ancillarity grounds, and dismissed the count on which it was based, because no written contract specified the defendant’s terms and conditions of employment.</w:t>
      </w:r>
      <w:r w:rsidR="00FB1D09">
        <w:rPr>
          <w:rFonts w:ascii="Baskerville" w:hAnsi="Baskerville" w:cs="Baskerville"/>
          <w:sz w:val="22"/>
          <w:szCs w:val="22"/>
        </w:rPr>
        <w:t xml:space="preserve"> </w:t>
      </w:r>
      <w:r>
        <w:rPr>
          <w:rFonts w:ascii="Baskerville" w:hAnsi="Baskerville" w:cs="Baskerville"/>
          <w:sz w:val="22"/>
          <w:szCs w:val="22"/>
        </w:rPr>
        <w:t>Defendant Lorenz had been employed at will, and the only written agreement he executed was a noncompete signed eight months after he began working.</w:t>
      </w:r>
      <w:r w:rsidR="00FB1D09">
        <w:rPr>
          <w:rFonts w:ascii="Baskerville" w:hAnsi="Baskerville" w:cs="Baskerville"/>
          <w:sz w:val="22"/>
          <w:szCs w:val="22"/>
        </w:rPr>
        <w:t xml:space="preserve"> </w:t>
      </w:r>
      <w:r>
        <w:rPr>
          <w:rFonts w:ascii="Baskerville" w:hAnsi="Baskerville" w:cs="Baskerville"/>
          <w:sz w:val="22"/>
          <w:szCs w:val="22"/>
        </w:rPr>
        <w:t>When Lorenz left to form his own business, and began contacting his former employer’s customers in violation of the agreement’s provisions, the employer sued to enforce the covenant.</w:t>
      </w:r>
      <w:r w:rsidR="00FB1D09">
        <w:rPr>
          <w:rFonts w:ascii="Baskerville" w:hAnsi="Baskerville" w:cs="Baskerville"/>
          <w:sz w:val="22"/>
          <w:szCs w:val="22"/>
        </w:rPr>
        <w:t xml:space="preserve"> </w:t>
      </w:r>
      <w:r>
        <w:rPr>
          <w:rFonts w:ascii="Baskerville" w:hAnsi="Baskerville" w:cs="Baskerville"/>
          <w:sz w:val="22"/>
          <w:szCs w:val="22"/>
        </w:rPr>
        <w:t>Finding the noncompete unenforceable as a matter of law, the court stated that to be ancillary to a valid employment contract, the covenant had to be “subordinate to the contract’s main purpose.”</w:t>
      </w:r>
      <w:r w:rsidR="00FB1D09">
        <w:rPr>
          <w:rFonts w:ascii="Baskerville" w:hAnsi="Baskerville" w:cs="Baskerville"/>
          <w:sz w:val="22"/>
          <w:szCs w:val="22"/>
        </w:rPr>
        <w:t xml:space="preserve"> </w:t>
      </w:r>
      <w:r w:rsidRPr="006F7AED">
        <w:rPr>
          <w:rFonts w:ascii="Baskerville" w:hAnsi="Baskerville" w:cs="Baskerville"/>
          <w:sz w:val="22"/>
          <w:szCs w:val="22"/>
          <w:lang w:val="nb-NO"/>
        </w:rPr>
        <w:t>265 Ill. App. 3d at 346, 202 Ill. Dec. at 573, 638 N.E.2d at 219.</w:t>
      </w:r>
      <w:r w:rsidR="00FB1D09">
        <w:rPr>
          <w:rFonts w:ascii="Baskerville" w:hAnsi="Baskerville" w:cs="Baskerville"/>
          <w:sz w:val="22"/>
          <w:szCs w:val="22"/>
          <w:lang w:val="nb-NO"/>
        </w:rPr>
        <w:t xml:space="preserve"> </w:t>
      </w:r>
      <w:r>
        <w:rPr>
          <w:rFonts w:ascii="Baskerville" w:hAnsi="Baskerville" w:cs="Baskerville"/>
          <w:sz w:val="22"/>
          <w:szCs w:val="22"/>
        </w:rPr>
        <w:t>An at-will arrangement, subject to change at the whim of the employer, was not itself a valid employment contract.</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at 348, 202 Ill. Dec. at 575, 638 N.E.2d at 221.</w:t>
      </w:r>
      <w:r w:rsidR="00FB1D09">
        <w:rPr>
          <w:rFonts w:ascii="Baskerville" w:hAnsi="Baskerville" w:cs="Baskerville"/>
          <w:sz w:val="22"/>
          <w:szCs w:val="22"/>
        </w:rPr>
        <w:t xml:space="preserve"> </w:t>
      </w:r>
      <w:r>
        <w:rPr>
          <w:rFonts w:ascii="Baskerville" w:hAnsi="Baskerville" w:cs="Baskerville"/>
          <w:sz w:val="22"/>
          <w:szCs w:val="22"/>
        </w:rPr>
        <w:t>And no separate written provisions covered the grounds for termination, or promised a definite term of employment in exchange for not competing against the company.</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at 348, 202 Ill. Dec. at 574, 638 N.E.2d at 220.</w:t>
      </w:r>
      <w:r w:rsidR="00FB1D09">
        <w:rPr>
          <w:rFonts w:ascii="Baskerville" w:hAnsi="Baskerville" w:cs="Baskerville"/>
          <w:sz w:val="22"/>
          <w:szCs w:val="22"/>
        </w:rPr>
        <w:t xml:space="preserve"> </w:t>
      </w:r>
      <w:r>
        <w:rPr>
          <w:rFonts w:ascii="Baskerville" w:hAnsi="Baskerville" w:cs="Baskerville"/>
          <w:sz w:val="22"/>
          <w:szCs w:val="22"/>
        </w:rPr>
        <w:t>From this, the court concluded, “Clearly, the covenant was not ancillary to an employment contract”; rather, it was a “naked agreement” to restrain trade.</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at 348–49, 202 Ill. Dec. at 575, 638 N.E.2d at 221.</w:t>
      </w:r>
    </w:p>
    <w:p w14:paraId="7492F1F9" w14:textId="54FB5438"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In contrast, [the Fourth District in] </w:t>
      </w:r>
      <w:r>
        <w:rPr>
          <w:rFonts w:ascii="Baskerville" w:hAnsi="Baskerville" w:cs="Baskerville"/>
          <w:i/>
          <w:iCs/>
          <w:sz w:val="22"/>
          <w:szCs w:val="22"/>
        </w:rPr>
        <w:t>Abel v. Fox</w:t>
      </w:r>
      <w:r>
        <w:rPr>
          <w:rFonts w:ascii="Baskerville" w:hAnsi="Baskerville" w:cs="Baskerville"/>
          <w:sz w:val="22"/>
          <w:szCs w:val="22"/>
        </w:rPr>
        <w:t>[, 274 Ill. App. 3d 811, 211 Ill. Dec. 129, 654 N.E.2d 591 (4th Dist. 1995),] held that an oral at-will arrangement is a valid contract or “relationship” that satisfies the ancillarity requirement.</w:t>
      </w:r>
      <w:r w:rsidR="00FB1D09">
        <w:rPr>
          <w:rFonts w:ascii="Baskerville" w:hAnsi="Baskerville" w:cs="Baskerville"/>
          <w:sz w:val="22"/>
          <w:szCs w:val="22"/>
        </w:rPr>
        <w:t xml:space="preserve"> </w:t>
      </w:r>
      <w:r w:rsidRPr="006F7AED">
        <w:rPr>
          <w:rFonts w:ascii="Baskerville" w:hAnsi="Baskerville" w:cs="Baskerville"/>
          <w:sz w:val="22"/>
          <w:szCs w:val="22"/>
          <w:lang w:val="nb-NO"/>
        </w:rPr>
        <w:t>274 Ill. App. 3d at 820, 21 Ill. Dec. at 135, 654 N.E.2d at 597.</w:t>
      </w:r>
      <w:r w:rsidR="00FB1D09">
        <w:rPr>
          <w:rFonts w:ascii="Baskerville" w:hAnsi="Baskerville" w:cs="Baskerville"/>
          <w:sz w:val="22"/>
          <w:szCs w:val="22"/>
          <w:lang w:val="nb-NO"/>
        </w:rPr>
        <w:t xml:space="preserve"> </w:t>
      </w:r>
      <w:r>
        <w:rPr>
          <w:rFonts w:ascii="Baskerville" w:hAnsi="Baskerville" w:cs="Baskerville"/>
          <w:sz w:val="22"/>
          <w:szCs w:val="22"/>
        </w:rPr>
        <w:t>Like Lorenz, defendant Fox was employed at will, and signed a covenant not to compete “sometime during her employment.”</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at 812, 211 Ill. Dec. at 130, 654 N.E.2d at 592.</w:t>
      </w:r>
      <w:r w:rsidR="00FB1D09">
        <w:rPr>
          <w:rFonts w:ascii="Baskerville" w:hAnsi="Baskerville" w:cs="Baskerville"/>
          <w:sz w:val="22"/>
          <w:szCs w:val="22"/>
        </w:rPr>
        <w:t xml:space="preserve"> </w:t>
      </w:r>
      <w:r>
        <w:rPr>
          <w:rFonts w:ascii="Baskerville" w:hAnsi="Baskerville" w:cs="Baskerville"/>
          <w:sz w:val="22"/>
          <w:szCs w:val="22"/>
        </w:rPr>
        <w:t xml:space="preserve">After she left that job, Fox began soliciting her former employer’s customers to patronize her newly formed business, even though the </w:t>
      </w:r>
      <w:r>
        <w:rPr>
          <w:rFonts w:ascii="Baskerville" w:hAnsi="Baskerville" w:cs="Baskerville"/>
          <w:sz w:val="22"/>
          <w:szCs w:val="22"/>
        </w:rPr>
        <w:lastRenderedPageBreak/>
        <w:t>noncompete forbade her from doing so.</w:t>
      </w:r>
      <w:r w:rsidR="00FB1D09">
        <w:rPr>
          <w:rFonts w:ascii="Baskerville" w:hAnsi="Baskerville" w:cs="Baskerville"/>
          <w:sz w:val="22"/>
          <w:szCs w:val="22"/>
        </w:rPr>
        <w:t xml:space="preserve"> </w:t>
      </w:r>
      <w:r>
        <w:rPr>
          <w:rFonts w:ascii="Baskerville" w:hAnsi="Baskerville" w:cs="Baskerville"/>
          <w:sz w:val="22"/>
          <w:szCs w:val="22"/>
        </w:rPr>
        <w:t>Reversing the trial court’s dismissal of the employer’s breach of contract claim, the appellate court relied on persuasive authority and older state supreme court precedent to support its holding that courts may enforce noncompetition agreements in at-will relationships.</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at 816–21, 211 Ill. Dec. at 133–36, 654 N.E.2d at 595–98.</w:t>
      </w:r>
      <w:r w:rsidR="00FB1D09">
        <w:rPr>
          <w:rFonts w:ascii="Baskerville" w:hAnsi="Baskerville" w:cs="Baskerville"/>
          <w:sz w:val="22"/>
          <w:szCs w:val="22"/>
        </w:rPr>
        <w:t xml:space="preserve"> </w:t>
      </w:r>
      <w:r>
        <w:rPr>
          <w:rFonts w:ascii="Baskerville" w:hAnsi="Baskerville" w:cs="Baskerville"/>
          <w:sz w:val="22"/>
          <w:szCs w:val="22"/>
        </w:rPr>
        <w:t xml:space="preserve">The court roundly criticized </w:t>
      </w:r>
      <w:r>
        <w:rPr>
          <w:rFonts w:ascii="Baskerville" w:hAnsi="Baskerville" w:cs="Baskerville"/>
          <w:i/>
          <w:iCs/>
          <w:sz w:val="22"/>
          <w:szCs w:val="22"/>
        </w:rPr>
        <w:t>Creative Entertainment</w:t>
      </w:r>
      <w:r>
        <w:rPr>
          <w:rFonts w:ascii="Baskerville" w:hAnsi="Baskerville" w:cs="Baskerville"/>
          <w:sz w:val="22"/>
          <w:szCs w:val="22"/>
        </w:rPr>
        <w:t xml:space="preserve"> as contrary to this authority and without basis in law or public policy.</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at 818, 820, 211 Ill. Dec. at 134–35, 654 N.E.2d at 596–97.</w:t>
      </w:r>
      <w:r w:rsidR="00FB1D09">
        <w:rPr>
          <w:rFonts w:ascii="Baskerville" w:hAnsi="Baskerville" w:cs="Baskerville"/>
          <w:sz w:val="22"/>
          <w:szCs w:val="22"/>
        </w:rPr>
        <w:t xml:space="preserve"> </w:t>
      </w:r>
      <w:r>
        <w:rPr>
          <w:rFonts w:ascii="Baskerville" w:hAnsi="Baskerville" w:cs="Baskerville"/>
          <w:sz w:val="22"/>
          <w:szCs w:val="22"/>
        </w:rPr>
        <w:t>Whether written or oral, an at-will arrangement “is nonetheless an agreement and relationship with numerous consequences, imposing rights and obligations on both parties.”</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at 820, 211 Ill. Dec. at 135, 654 N.E.2d at 597.</w:t>
      </w:r>
      <w:r w:rsidR="00FB1D09">
        <w:rPr>
          <w:rFonts w:ascii="Baskerville" w:hAnsi="Baskerville" w:cs="Baskerville"/>
          <w:sz w:val="22"/>
          <w:szCs w:val="22"/>
        </w:rPr>
        <w:t xml:space="preserve"> </w:t>
      </w:r>
      <w:r>
        <w:rPr>
          <w:rFonts w:ascii="Baskerville" w:hAnsi="Baskerville" w:cs="Baskerville"/>
          <w:sz w:val="22"/>
          <w:szCs w:val="22"/>
        </w:rPr>
        <w:t>Even when supplemented by a noncompete, the primary purpose remains, as in term employment, establishing an employee-employer relationship.</w:t>
      </w:r>
      <w:r w:rsidR="00FB1D09">
        <w:rPr>
          <w:rFonts w:ascii="Baskerville" w:hAnsi="Baskerville" w:cs="Baskerville"/>
          <w:sz w:val="22"/>
          <w:szCs w:val="22"/>
        </w:rPr>
        <w:t xml:space="preserve"> </w:t>
      </w:r>
      <w:r>
        <w:rPr>
          <w:rFonts w:ascii="Baskerville" w:hAnsi="Baskerville" w:cs="Baskerville"/>
          <w:i/>
          <w:iCs/>
          <w:sz w:val="22"/>
          <w:szCs w:val="22"/>
        </w:rPr>
        <w:t>Id.</w:t>
      </w:r>
    </w:p>
    <w:p w14:paraId="4459D69E" w14:textId="77777777" w:rsidR="00655396" w:rsidRDefault="00655396" w:rsidP="008B512B">
      <w:pPr>
        <w:pStyle w:val="BodyText"/>
        <w:spacing w:line="240" w:lineRule="auto"/>
      </w:pPr>
    </w:p>
    <w:p w14:paraId="458B3A4C"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w:t>
      </w:r>
    </w:p>
    <w:p w14:paraId="094859B8" w14:textId="41CB8B85"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Because “[t]he Illinois Supreme Court has never addressed” the issue of whether a covenant must be ancillary to an employment </w:t>
      </w:r>
      <w:r>
        <w:rPr>
          <w:rFonts w:ascii="Baskerville" w:hAnsi="Baskerville" w:cs="Baskerville"/>
          <w:i/>
          <w:iCs/>
        </w:rPr>
        <w:t>agreement</w:t>
      </w:r>
      <w:r>
        <w:rPr>
          <w:rFonts w:ascii="Baskerville" w:hAnsi="Baskerville" w:cs="Baskerville"/>
        </w:rPr>
        <w:t xml:space="preserve"> as opposed to merely an at-will employment </w:t>
      </w:r>
      <w:r>
        <w:rPr>
          <w:rFonts w:ascii="Baskerville" w:hAnsi="Baskerville" w:cs="Baskerville"/>
          <w:i/>
          <w:iCs/>
        </w:rPr>
        <w:t>relationship</w:t>
      </w:r>
      <w:r>
        <w:rPr>
          <w:rFonts w:ascii="Baskerville" w:hAnsi="Baskerville" w:cs="Baskerville"/>
        </w:rPr>
        <w:t xml:space="preserve"> (</w:t>
      </w:r>
      <w:r>
        <w:rPr>
          <w:rFonts w:ascii="Baskerville" w:hAnsi="Baskerville" w:cs="Baskerville"/>
          <w:i/>
          <w:iCs/>
        </w:rPr>
        <w:t>id.</w:t>
      </w:r>
      <w:r>
        <w:rPr>
          <w:rFonts w:ascii="Baskerville" w:hAnsi="Baskerville" w:cs="Baskerville"/>
        </w:rPr>
        <w:t xml:space="preserve">), the </w:t>
      </w:r>
      <w:r>
        <w:rPr>
          <w:rFonts w:ascii="Baskerville" w:hAnsi="Baskerville" w:cs="Baskerville"/>
          <w:i/>
          <w:iCs/>
        </w:rPr>
        <w:t>Applied Micro</w:t>
      </w:r>
      <w:r>
        <w:rPr>
          <w:rFonts w:ascii="Baskerville" w:hAnsi="Baskerville" w:cs="Baskerville"/>
        </w:rPr>
        <w:t xml:space="preserve"> court was compelled to choose between </w:t>
      </w:r>
      <w:r>
        <w:rPr>
          <w:rFonts w:ascii="Baskerville" w:hAnsi="Baskerville" w:cs="Baskerville"/>
          <w:i/>
          <w:iCs/>
        </w:rPr>
        <w:t>Creative Entertainment</w:t>
      </w:r>
      <w:r>
        <w:rPr>
          <w:rFonts w:ascii="Baskerville" w:hAnsi="Baskerville" w:cs="Baskerville"/>
        </w:rPr>
        <w:t xml:space="preserve"> (agreement required) and </w:t>
      </w:r>
      <w:r>
        <w:rPr>
          <w:rFonts w:ascii="Baskerville" w:hAnsi="Baskerville" w:cs="Baskerville"/>
          <w:i/>
          <w:iCs/>
        </w:rPr>
        <w:t>Abel</w:t>
      </w:r>
      <w:r>
        <w:rPr>
          <w:rFonts w:ascii="Baskerville" w:hAnsi="Baskerville" w:cs="Baskerville"/>
        </w:rPr>
        <w:t xml:space="preserve"> (at-will relationship suffices).</w:t>
      </w:r>
      <w:r w:rsidR="00FB1D09">
        <w:rPr>
          <w:rFonts w:ascii="Baskerville" w:hAnsi="Baskerville" w:cs="Baskerville"/>
        </w:rPr>
        <w:t xml:space="preserve"> </w:t>
      </w:r>
      <w:r>
        <w:rPr>
          <w:rFonts w:ascii="Baskerville" w:hAnsi="Baskerville" w:cs="Baskerville"/>
          <w:i/>
          <w:iCs/>
        </w:rPr>
        <w:t>Id.</w:t>
      </w:r>
      <w:r w:rsidR="00FB1D09">
        <w:rPr>
          <w:rFonts w:ascii="Baskerville" w:hAnsi="Baskerville" w:cs="Baskerville"/>
        </w:rPr>
        <w:t xml:space="preserve"> </w:t>
      </w:r>
      <w:r>
        <w:rPr>
          <w:rFonts w:ascii="Baskerville" w:hAnsi="Baskerville" w:cs="Baskerville"/>
        </w:rPr>
        <w:t xml:space="preserve">The </w:t>
      </w:r>
      <w:r>
        <w:rPr>
          <w:rFonts w:ascii="Baskerville" w:hAnsi="Baskerville" w:cs="Baskerville"/>
          <w:i/>
          <w:iCs/>
        </w:rPr>
        <w:t>Applied Micro</w:t>
      </w:r>
      <w:r>
        <w:rPr>
          <w:rFonts w:ascii="Baskerville" w:hAnsi="Baskerville" w:cs="Baskerville"/>
        </w:rPr>
        <w:t xml:space="preserve"> court predicted that the Illinois Supreme Court would follow </w:t>
      </w:r>
      <w:r>
        <w:rPr>
          <w:rFonts w:ascii="Baskerville" w:hAnsi="Baskerville" w:cs="Baskerville"/>
          <w:i/>
          <w:iCs/>
        </w:rPr>
        <w:t>Abel</w:t>
      </w:r>
      <w:r>
        <w:rPr>
          <w:rFonts w:ascii="Baskerville" w:hAnsi="Baskerville" w:cs="Baskerville"/>
        </w:rPr>
        <w:t xml:space="preserve"> and its holding that an at-will relationship can serve as the basis for a covenant not to compete.</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756.</w:t>
      </w:r>
      <w:r w:rsidR="00FB1D09">
        <w:rPr>
          <w:rFonts w:ascii="Baskerville" w:hAnsi="Baskerville" w:cs="Baskerville"/>
        </w:rPr>
        <w:t xml:space="preserve"> </w:t>
      </w:r>
      <w:r>
        <w:rPr>
          <w:rFonts w:ascii="Baskerville" w:hAnsi="Baskerville" w:cs="Baskerville"/>
        </w:rPr>
        <w:t xml:space="preserve">On so ruling, the court insisted that covenants need only be ancillary to “employment </w:t>
      </w:r>
      <w:r>
        <w:rPr>
          <w:rFonts w:ascii="Baskerville" w:hAnsi="Baskerville" w:cs="Baskerville"/>
          <w:i/>
          <w:iCs/>
        </w:rPr>
        <w:t>relationships</w:t>
      </w:r>
      <w:r>
        <w:rPr>
          <w:rFonts w:ascii="Baskerville" w:hAnsi="Baskerville" w:cs="Baskerville"/>
        </w:rPr>
        <w:t>, no matter how configured,” in order to satisfy the ancillarity requirement.</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757 (emphasis added).</w:t>
      </w:r>
      <w:r w:rsidR="00FB1D09">
        <w:rPr>
          <w:rFonts w:ascii="Baskerville" w:hAnsi="Baskerville" w:cs="Baskerville"/>
        </w:rPr>
        <w:t xml:space="preserve"> </w:t>
      </w:r>
      <w:r>
        <w:rPr>
          <w:rFonts w:ascii="Baskerville" w:hAnsi="Baskerville" w:cs="Baskerville"/>
        </w:rPr>
        <w:t>The court explained:</w:t>
      </w:r>
    </w:p>
    <w:p w14:paraId="37A68EBB" w14:textId="77777777" w:rsidR="00655396" w:rsidRDefault="00655396" w:rsidP="008B512B">
      <w:pPr>
        <w:pStyle w:val="BodyText"/>
        <w:spacing w:line="240" w:lineRule="auto"/>
      </w:pPr>
    </w:p>
    <w:p w14:paraId="0BBE8031" w14:textId="29B9E49E"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Guidelines do exist to aid the Court in predicting how the state supreme court would rule in this case.</w:t>
      </w:r>
      <w:r w:rsidR="00FB1D09">
        <w:rPr>
          <w:rFonts w:ascii="Baskerville" w:hAnsi="Baskerville" w:cs="Baskerville"/>
          <w:sz w:val="22"/>
          <w:szCs w:val="22"/>
        </w:rPr>
        <w:t xml:space="preserve"> </w:t>
      </w:r>
      <w:r>
        <w:rPr>
          <w:rFonts w:ascii="Baskerville" w:hAnsi="Baskerville" w:cs="Baskerville"/>
          <w:sz w:val="22"/>
          <w:szCs w:val="22"/>
        </w:rPr>
        <w:t>We begin with supreme court precedent, and examine authorities on point, analogous cases, the policies and doctrinal trends that influenced those decisions, and the court’s “considered dicta,” in that order.</w:t>
      </w:r>
      <w:r w:rsidR="00FB1D09">
        <w:rPr>
          <w:rFonts w:ascii="Baskerville" w:hAnsi="Baskerville" w:cs="Baskerville"/>
          <w:sz w:val="22"/>
          <w:szCs w:val="22"/>
        </w:rPr>
        <w:t xml:space="preserve"> </w:t>
      </w:r>
      <w:r>
        <w:rPr>
          <w:rFonts w:ascii="Baskerville" w:hAnsi="Baskerville" w:cs="Baskerville"/>
          <w:i/>
          <w:iCs/>
          <w:sz w:val="22"/>
          <w:szCs w:val="22"/>
        </w:rPr>
        <w:t>Roberts</w:t>
      </w:r>
      <w:r>
        <w:rPr>
          <w:rFonts w:ascii="Baskerville" w:hAnsi="Baskerville" w:cs="Baskerville"/>
          <w:sz w:val="22"/>
          <w:szCs w:val="22"/>
        </w:rPr>
        <w:t xml:space="preserve"> [</w:t>
      </w:r>
      <w:r>
        <w:rPr>
          <w:rFonts w:ascii="Baskerville" w:hAnsi="Baskerville" w:cs="Baskerville"/>
          <w:i/>
          <w:iCs/>
          <w:sz w:val="22"/>
          <w:szCs w:val="22"/>
        </w:rPr>
        <w:t>v. Western-Southern Life Ins. Co.</w:t>
      </w:r>
      <w:r>
        <w:rPr>
          <w:rFonts w:ascii="Baskerville" w:hAnsi="Baskerville" w:cs="Baskerville"/>
          <w:sz w:val="22"/>
          <w:szCs w:val="22"/>
        </w:rPr>
        <w:t xml:space="preserve">, 568 F. Supp. 536, 544 (N.D. Ill. 1983)] (quoting </w:t>
      </w:r>
      <w:r>
        <w:rPr>
          <w:rFonts w:ascii="Baskerville" w:hAnsi="Baskerville" w:cs="Baskerville"/>
          <w:i/>
          <w:iCs/>
          <w:sz w:val="22"/>
          <w:szCs w:val="22"/>
        </w:rPr>
        <w:t>McKenna v. Ortho Pharmaceutical Corp.</w:t>
      </w:r>
      <w:r>
        <w:rPr>
          <w:rFonts w:ascii="Baskerville" w:hAnsi="Baskerville" w:cs="Baskerville"/>
          <w:sz w:val="22"/>
          <w:szCs w:val="22"/>
        </w:rPr>
        <w:t>, 622 F.2d 657, 662 (2d Cir. 1980)).</w:t>
      </w:r>
      <w:r w:rsidR="00FB1D09">
        <w:rPr>
          <w:rFonts w:ascii="Baskerville" w:hAnsi="Baskerville" w:cs="Baskerville"/>
          <w:sz w:val="22"/>
          <w:szCs w:val="22"/>
        </w:rPr>
        <w:t xml:space="preserve"> </w:t>
      </w:r>
      <w:r>
        <w:rPr>
          <w:rFonts w:ascii="Baskerville" w:hAnsi="Baskerville" w:cs="Baskerville"/>
          <w:sz w:val="22"/>
          <w:szCs w:val="22"/>
        </w:rPr>
        <w:t>“Of somewhat less importance” are decisions of lower state courts and other federal courts, which “should be accorded proper regard, of course, but not conclusive effect.”</w:t>
      </w:r>
      <w:r w:rsidR="00FB1D09">
        <w:rPr>
          <w:rFonts w:ascii="Baskerville" w:hAnsi="Baskerville" w:cs="Baskerville"/>
          <w:sz w:val="22"/>
          <w:szCs w:val="22"/>
        </w:rPr>
        <w:t xml:space="preserve"> </w:t>
      </w:r>
      <w:r>
        <w:rPr>
          <w:rFonts w:ascii="Baskerville" w:hAnsi="Baskerville" w:cs="Baskerville"/>
          <w:i/>
          <w:iCs/>
          <w:sz w:val="22"/>
          <w:szCs w:val="22"/>
        </w:rPr>
        <w:t>Id.</w:t>
      </w:r>
      <w:r>
        <w:rPr>
          <w:rFonts w:ascii="Baskerville" w:hAnsi="Baskerville" w:cs="Baskerville"/>
          <w:sz w:val="22"/>
          <w:szCs w:val="22"/>
        </w:rPr>
        <w:t xml:space="preserve"> (internal quotations omitted).</w:t>
      </w:r>
      <w:r w:rsidR="00FB1D09">
        <w:rPr>
          <w:rFonts w:ascii="Baskerville" w:hAnsi="Baskerville" w:cs="Baskerville"/>
          <w:sz w:val="22"/>
          <w:szCs w:val="22"/>
        </w:rPr>
        <w:t xml:space="preserve"> </w:t>
      </w:r>
      <w:r>
        <w:rPr>
          <w:rFonts w:ascii="Baskerville" w:hAnsi="Baskerville" w:cs="Baskerville"/>
          <w:sz w:val="22"/>
          <w:szCs w:val="22"/>
        </w:rPr>
        <w:t xml:space="preserve">Research has revealed no supreme court decisions on point, but a number of cases evincing policy and doctrine that would inform </w:t>
      </w:r>
      <w:r>
        <w:rPr>
          <w:rFonts w:ascii="Baskerville" w:hAnsi="Baskerville" w:cs="Baskerville"/>
          <w:sz w:val="22"/>
          <w:szCs w:val="22"/>
        </w:rPr>
        <w:lastRenderedPageBreak/>
        <w:t>the court’s decision if faced with the issue before us.</w:t>
      </w:r>
      <w:r w:rsidR="00FB1D09">
        <w:rPr>
          <w:rFonts w:ascii="Baskerville" w:hAnsi="Baskerville" w:cs="Baskerville"/>
          <w:sz w:val="22"/>
          <w:szCs w:val="22"/>
        </w:rPr>
        <w:t xml:space="preserve"> </w:t>
      </w:r>
      <w:r>
        <w:rPr>
          <w:rFonts w:ascii="Baskerville" w:hAnsi="Baskerville" w:cs="Baskerville"/>
          <w:sz w:val="22"/>
          <w:szCs w:val="22"/>
        </w:rPr>
        <w:t xml:space="preserve">Moreover, the [Fourth District’s] opinion in </w:t>
      </w:r>
      <w:r>
        <w:rPr>
          <w:rFonts w:ascii="Baskerville" w:hAnsi="Baskerville" w:cs="Baskerville"/>
          <w:i/>
          <w:iCs/>
          <w:sz w:val="22"/>
          <w:szCs w:val="22"/>
        </w:rPr>
        <w:t>Abel</w:t>
      </w:r>
      <w:r>
        <w:rPr>
          <w:rFonts w:ascii="Baskerville" w:hAnsi="Baskerville" w:cs="Baskerville"/>
          <w:sz w:val="22"/>
          <w:szCs w:val="22"/>
        </w:rPr>
        <w:t xml:space="preserve"> provides a compelling analysis grounded in this precedent and in persuasive authority.</w:t>
      </w:r>
    </w:p>
    <w:p w14:paraId="26488CA1" w14:textId="487E073D"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As discussed in </w:t>
      </w:r>
      <w:r>
        <w:rPr>
          <w:rFonts w:ascii="Baskerville" w:hAnsi="Baskerville" w:cs="Baskerville"/>
          <w:i/>
          <w:iCs/>
          <w:sz w:val="22"/>
          <w:szCs w:val="22"/>
        </w:rPr>
        <w:t>Abel</w:t>
      </w:r>
      <w:r>
        <w:rPr>
          <w:rFonts w:ascii="Baskerville" w:hAnsi="Baskerville" w:cs="Baskerville"/>
          <w:sz w:val="22"/>
          <w:szCs w:val="22"/>
        </w:rPr>
        <w:t>, the Illinois Supreme Court has expressed its approval of restrictive covenants that protect the fruits of one party’s efforts from unjust use by the other party.</w:t>
      </w:r>
      <w:r w:rsidR="00FB1D09">
        <w:rPr>
          <w:rFonts w:ascii="Baskerville" w:hAnsi="Baskerville" w:cs="Baskerville"/>
          <w:sz w:val="22"/>
          <w:szCs w:val="22"/>
        </w:rPr>
        <w:t xml:space="preserve"> </w:t>
      </w:r>
      <w:r w:rsidR="00944F63">
        <w:rPr>
          <w:rFonts w:ascii="Baskerville" w:hAnsi="Baskerville" w:cs="Baskerville"/>
          <w:sz w:val="22"/>
          <w:szCs w:val="22"/>
        </w:rPr>
        <w:t xml:space="preserve"> …</w:t>
      </w:r>
      <w:r>
        <w:rPr>
          <w:sz w:val="22"/>
          <w:szCs w:val="22"/>
        </w:rPr>
        <w:t> </w:t>
      </w:r>
      <w:r>
        <w:rPr>
          <w:rFonts w:ascii="Baskerville" w:hAnsi="Baskerville" w:cs="Baskerville"/>
          <w:sz w:val="22"/>
          <w:szCs w:val="22"/>
        </w:rPr>
        <w:t xml:space="preserve">. [B]road language [in </w:t>
      </w:r>
      <w:r>
        <w:rPr>
          <w:rFonts w:ascii="Baskerville" w:hAnsi="Baskerville" w:cs="Baskerville"/>
          <w:i/>
          <w:iCs/>
          <w:sz w:val="22"/>
          <w:szCs w:val="22"/>
        </w:rPr>
        <w:t>Union Trust &amp; Sav. Bank v. Kinloch Long-Distance Tel. Co.</w:t>
      </w:r>
      <w:r>
        <w:rPr>
          <w:rFonts w:ascii="Baskerville" w:hAnsi="Baskerville" w:cs="Baskerville"/>
          <w:sz w:val="22"/>
          <w:szCs w:val="22"/>
        </w:rPr>
        <w:t xml:space="preserve">, 258 Ill. 202, 207, 101 N.E.2d 535, 537 (1913),] indicates that the supreme court will uphold restrictive covenants to protect an employer’s investments, </w:t>
      </w:r>
      <w:r>
        <w:rPr>
          <w:rFonts w:ascii="Baskerville" w:hAnsi="Baskerville" w:cs="Baskerville"/>
          <w:i/>
          <w:iCs/>
          <w:sz w:val="22"/>
          <w:szCs w:val="22"/>
        </w:rPr>
        <w:t>without regard to the nature of the employer-employee relationship</w:t>
      </w:r>
      <w:r>
        <w:rPr>
          <w:rFonts w:ascii="Baskerville" w:hAnsi="Baskerville" w:cs="Baskerville"/>
          <w:sz w:val="22"/>
          <w:szCs w:val="22"/>
        </w:rPr>
        <w:t>.</w:t>
      </w:r>
    </w:p>
    <w:p w14:paraId="4847B223" w14:textId="77777777" w:rsidR="00655396" w:rsidRDefault="00655396" w:rsidP="008B512B">
      <w:pPr>
        <w:pStyle w:val="NoParagraphStyle"/>
        <w:tabs>
          <w:tab w:val="left" w:pos="960"/>
          <w:tab w:val="left" w:pos="1440"/>
        </w:tabs>
        <w:spacing w:line="240" w:lineRule="auto"/>
        <w:ind w:left="480"/>
        <w:jc w:val="center"/>
        <w:rPr>
          <w:rFonts w:ascii="Baskerville" w:hAnsi="Baskerville" w:cs="Baskerville"/>
          <w:sz w:val="22"/>
          <w:szCs w:val="22"/>
        </w:rPr>
      </w:pPr>
    </w:p>
    <w:p w14:paraId="0189C4A8" w14:textId="77777777" w:rsidR="00655396" w:rsidRDefault="00655396" w:rsidP="008B512B">
      <w:pPr>
        <w:pStyle w:val="NoParagraphStyle"/>
        <w:tabs>
          <w:tab w:val="left" w:pos="960"/>
          <w:tab w:val="left" w:pos="1440"/>
        </w:tabs>
        <w:spacing w:line="240" w:lineRule="auto"/>
        <w:ind w:left="480"/>
        <w:jc w:val="center"/>
        <w:rPr>
          <w:rFonts w:ascii="Baskerville" w:hAnsi="Baskerville" w:cs="Baskerville"/>
          <w:sz w:val="22"/>
          <w:szCs w:val="22"/>
        </w:rPr>
      </w:pPr>
      <w:r>
        <w:rPr>
          <w:rFonts w:ascii="Baskerville" w:hAnsi="Baskerville" w:cs="Baskerville"/>
          <w:sz w:val="22"/>
          <w:szCs w:val="22"/>
        </w:rPr>
        <w:t>* * * *</w:t>
      </w:r>
    </w:p>
    <w:p w14:paraId="1D4A0FA4" w14:textId="7BF2EBB1"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Not only does supreme court precedent support </w:t>
      </w:r>
      <w:r>
        <w:rPr>
          <w:rFonts w:ascii="Baskerville" w:hAnsi="Baskerville" w:cs="Baskerville"/>
          <w:i/>
          <w:iCs/>
          <w:sz w:val="22"/>
          <w:szCs w:val="22"/>
        </w:rPr>
        <w:t>Abel’s</w:t>
      </w:r>
      <w:r>
        <w:rPr>
          <w:rFonts w:ascii="Baskerville" w:hAnsi="Baskerville" w:cs="Baskerville"/>
          <w:sz w:val="22"/>
          <w:szCs w:val="22"/>
        </w:rPr>
        <w:t xml:space="preserve"> conclusion that </w:t>
      </w:r>
      <w:r>
        <w:rPr>
          <w:rFonts w:ascii="Baskerville" w:hAnsi="Baskerville" w:cs="Baskerville"/>
          <w:i/>
          <w:iCs/>
          <w:sz w:val="22"/>
          <w:szCs w:val="22"/>
        </w:rPr>
        <w:t>employment relationships, no matter how configured, may be supplemented by noncompetes</w:t>
      </w:r>
      <w:r>
        <w:rPr>
          <w:rFonts w:ascii="Baskerville" w:hAnsi="Baskerville" w:cs="Baskerville"/>
          <w:sz w:val="22"/>
          <w:szCs w:val="22"/>
        </w:rPr>
        <w:t>, but persuasive authority solidifies it.</w:t>
      </w:r>
      <w:r w:rsidR="00FB1D09">
        <w:rPr>
          <w:rFonts w:ascii="Baskerville" w:hAnsi="Baskerville" w:cs="Baskerville"/>
          <w:sz w:val="22"/>
          <w:szCs w:val="22"/>
        </w:rPr>
        <w:t xml:space="preserve"> </w:t>
      </w:r>
      <w:r>
        <w:rPr>
          <w:rFonts w:ascii="Baskerville" w:hAnsi="Baskerville" w:cs="Baskerville"/>
          <w:sz w:val="22"/>
          <w:szCs w:val="22"/>
        </w:rPr>
        <w:t xml:space="preserve">As </w:t>
      </w:r>
      <w:r>
        <w:rPr>
          <w:rFonts w:ascii="Baskerville" w:hAnsi="Baskerville" w:cs="Baskerville"/>
          <w:i/>
          <w:iCs/>
          <w:sz w:val="22"/>
          <w:szCs w:val="22"/>
        </w:rPr>
        <w:t>Abel</w:t>
      </w:r>
      <w:r>
        <w:rPr>
          <w:rFonts w:ascii="Baskerville" w:hAnsi="Baskerville" w:cs="Baskerville"/>
          <w:sz w:val="22"/>
          <w:szCs w:val="22"/>
        </w:rPr>
        <w:t xml:space="preserve"> points out, section 187 of the Restatement (Second) of Contracts directly supports allowing noncompetes despite the absence of a written contract: “A promise to refrain from competition that imposes a restraint that is not ancillary to an otherwise valid transaction </w:t>
      </w:r>
      <w:r>
        <w:rPr>
          <w:rFonts w:ascii="Baskerville" w:hAnsi="Baskerville" w:cs="Baskerville"/>
          <w:i/>
          <w:iCs/>
          <w:sz w:val="22"/>
          <w:szCs w:val="22"/>
        </w:rPr>
        <w:t>or relationship</w:t>
      </w:r>
      <w:r>
        <w:rPr>
          <w:rFonts w:ascii="Baskerville" w:hAnsi="Baskerville" w:cs="Baskerville"/>
          <w:sz w:val="22"/>
          <w:szCs w:val="22"/>
        </w:rPr>
        <w:t xml:space="preserve"> is unreasonably in restraint of trade.”</w:t>
      </w:r>
      <w:r w:rsidR="00FB1D09">
        <w:rPr>
          <w:rFonts w:ascii="Baskerville" w:hAnsi="Baskerville" w:cs="Baskerville"/>
          <w:sz w:val="22"/>
          <w:szCs w:val="22"/>
        </w:rPr>
        <w:t xml:space="preserve"> </w:t>
      </w:r>
      <w:r>
        <w:rPr>
          <w:rFonts w:ascii="Baskerville" w:hAnsi="Baskerville" w:cs="Baskerville"/>
          <w:smallCaps/>
          <w:sz w:val="22"/>
          <w:szCs w:val="22"/>
        </w:rPr>
        <w:t>Restatement (Second) of Contracts</w:t>
      </w:r>
      <w:r>
        <w:rPr>
          <w:rFonts w:ascii="Baskerville" w:hAnsi="Baskerville" w:cs="Baskerville"/>
          <w:sz w:val="22"/>
          <w:szCs w:val="22"/>
        </w:rPr>
        <w:t xml:space="preserve"> §187, at 38 (1979) (emphasis added).</w:t>
      </w:r>
      <w:r w:rsidR="00FB1D09">
        <w:rPr>
          <w:rFonts w:ascii="Baskerville" w:hAnsi="Baskerville" w:cs="Baskerville"/>
          <w:sz w:val="22"/>
          <w:szCs w:val="22"/>
        </w:rPr>
        <w:t xml:space="preserve"> </w:t>
      </w:r>
      <w:r>
        <w:rPr>
          <w:rFonts w:ascii="Baskerville" w:hAnsi="Baskerville" w:cs="Baskerville"/>
          <w:sz w:val="22"/>
          <w:szCs w:val="22"/>
        </w:rPr>
        <w:t>Comment b to section 187 explains that the promisee’s interest may arise out of “a relationship between himself as employer or principal and the promisor as employee or agent,” and says nothing about the need for an employment contract setting forth specific terms of employment.</w:t>
      </w:r>
      <w:r w:rsidR="00FB1D09">
        <w:rPr>
          <w:rFonts w:ascii="Baskerville" w:hAnsi="Baskerville" w:cs="Baskerville"/>
          <w:sz w:val="22"/>
          <w:szCs w:val="22"/>
        </w:rPr>
        <w:t xml:space="preserve"> </w:t>
      </w:r>
      <w:r>
        <w:rPr>
          <w:rFonts w:ascii="Baskerville" w:hAnsi="Baskerville" w:cs="Baskerville"/>
          <w:sz w:val="22"/>
          <w:szCs w:val="22"/>
        </w:rPr>
        <w:t>Finally, comment g to section 188 is right on point: “A restraint may be ancillary to a relationship although, as in the case of an employment at will, no contract of employment is involved.”</w:t>
      </w:r>
      <w:r w:rsidR="00FB1D09">
        <w:rPr>
          <w:rFonts w:ascii="Baskerville" w:hAnsi="Baskerville" w:cs="Baskerville"/>
          <w:sz w:val="22"/>
          <w:szCs w:val="22"/>
        </w:rPr>
        <w:t xml:space="preserve"> </w:t>
      </w:r>
      <w:r>
        <w:rPr>
          <w:rFonts w:ascii="Baskerville" w:hAnsi="Baskerville" w:cs="Baskerville"/>
          <w:smallCaps/>
          <w:sz w:val="22"/>
          <w:szCs w:val="22"/>
        </w:rPr>
        <w:t>Restatement (Second) of Contracts</w:t>
      </w:r>
      <w:r>
        <w:rPr>
          <w:rFonts w:ascii="Baskerville" w:hAnsi="Baskerville" w:cs="Baskerville"/>
          <w:sz w:val="22"/>
          <w:szCs w:val="22"/>
        </w:rPr>
        <w:t xml:space="preserve"> §188 comment g, at 45 (1979).</w:t>
      </w:r>
    </w:p>
    <w:p w14:paraId="3D46B94E" w14:textId="402FDDB6" w:rsidR="00655396" w:rsidRPr="0089491F" w:rsidRDefault="00655396" w:rsidP="008B512B">
      <w:pPr>
        <w:pStyle w:val="NoParagraphStyle"/>
        <w:tabs>
          <w:tab w:val="left" w:pos="960"/>
          <w:tab w:val="left" w:pos="1440"/>
        </w:tabs>
        <w:spacing w:line="240" w:lineRule="auto"/>
        <w:ind w:left="480"/>
        <w:jc w:val="both"/>
        <w:rPr>
          <w:rFonts w:ascii="Baskerville" w:hAnsi="Baskerville" w:cs="Baskerville"/>
          <w:sz w:val="22"/>
          <w:szCs w:val="22"/>
          <w:lang w:val="nb-NO"/>
        </w:rPr>
      </w:pPr>
      <w:r>
        <w:rPr>
          <w:rFonts w:ascii="Baskerville" w:hAnsi="Baskerville" w:cs="Baskerville"/>
          <w:sz w:val="22"/>
          <w:szCs w:val="22"/>
        </w:rPr>
        <w:tab/>
        <w:t xml:space="preserve">These authorities, compiled in the </w:t>
      </w:r>
      <w:r>
        <w:rPr>
          <w:rFonts w:ascii="Baskerville" w:hAnsi="Baskerville" w:cs="Baskerville"/>
          <w:i/>
          <w:iCs/>
          <w:sz w:val="22"/>
          <w:szCs w:val="22"/>
        </w:rPr>
        <w:t>Abel</w:t>
      </w:r>
      <w:r>
        <w:rPr>
          <w:rFonts w:ascii="Baskerville" w:hAnsi="Baskerville" w:cs="Baskerville"/>
          <w:sz w:val="22"/>
          <w:szCs w:val="22"/>
        </w:rPr>
        <w:t xml:space="preserve"> decision, recognize that pitting employment by contract against employment at will makes a distinction without a difference.</w:t>
      </w:r>
      <w:r w:rsidR="00FB1D09">
        <w:rPr>
          <w:rFonts w:ascii="Baskerville" w:hAnsi="Baskerville" w:cs="Baskerville"/>
          <w:sz w:val="22"/>
          <w:szCs w:val="22"/>
        </w:rPr>
        <w:t xml:space="preserve"> </w:t>
      </w:r>
      <w:r>
        <w:rPr>
          <w:rFonts w:ascii="Baskerville" w:hAnsi="Baskerville" w:cs="Baskerville"/>
          <w:sz w:val="22"/>
          <w:szCs w:val="22"/>
        </w:rPr>
        <w:t>The Seventh Circuit has said as much, noting that “[e]mployment at will is of course a valid contractual relationship.”</w:t>
      </w:r>
      <w:r w:rsidR="00CD7A12">
        <w:rPr>
          <w:rFonts w:ascii="Baskerville" w:hAnsi="Baskerville" w:cs="Baskerville"/>
          <w:sz w:val="22"/>
          <w:szCs w:val="22"/>
        </w:rPr>
        <w:t xml:space="preserve"> </w:t>
      </w:r>
      <w:r>
        <w:rPr>
          <w:rFonts w:ascii="Baskerville" w:hAnsi="Baskerville" w:cs="Baskerville"/>
          <w:i/>
          <w:iCs/>
          <w:sz w:val="22"/>
          <w:szCs w:val="22"/>
        </w:rPr>
        <w:t>Curtis</w:t>
      </w:r>
      <w:r>
        <w:rPr>
          <w:rFonts w:ascii="Baskerville" w:hAnsi="Baskerville" w:cs="Baskerville"/>
          <w:sz w:val="22"/>
          <w:szCs w:val="22"/>
        </w:rPr>
        <w:t xml:space="preserve"> [</w:t>
      </w:r>
      <w:r>
        <w:rPr>
          <w:rFonts w:ascii="Baskerville" w:hAnsi="Baskerville" w:cs="Baskerville"/>
          <w:i/>
          <w:iCs/>
          <w:sz w:val="22"/>
          <w:szCs w:val="22"/>
        </w:rPr>
        <w:t>1000, Inc. v. Suess</w:t>
      </w:r>
      <w:r>
        <w:rPr>
          <w:rFonts w:ascii="Baskerville" w:hAnsi="Baskerville" w:cs="Baskerville"/>
          <w:sz w:val="22"/>
          <w:szCs w:val="22"/>
        </w:rPr>
        <w:t>, 24 F.3d 941, 943 (7th Cir. 1994)].</w:t>
      </w:r>
      <w:r w:rsidR="00FB1D09">
        <w:rPr>
          <w:rFonts w:ascii="Baskerville" w:hAnsi="Baskerville" w:cs="Baskerville"/>
          <w:sz w:val="22"/>
          <w:szCs w:val="22"/>
        </w:rPr>
        <w:t xml:space="preserve"> </w:t>
      </w:r>
      <w:r>
        <w:rPr>
          <w:rFonts w:ascii="Baskerville" w:hAnsi="Baskerville" w:cs="Baskerville"/>
          <w:i/>
          <w:iCs/>
          <w:sz w:val="22"/>
          <w:szCs w:val="22"/>
        </w:rPr>
        <w:t>What matters in the ancillarity analysis is that</w:t>
      </w:r>
      <w:r>
        <w:rPr>
          <w:rFonts w:ascii="Baskerville" w:hAnsi="Baskerville" w:cs="Baskerville"/>
          <w:sz w:val="22"/>
          <w:szCs w:val="22"/>
        </w:rPr>
        <w:t xml:space="preserve"> [</w:t>
      </w:r>
      <w:r>
        <w:rPr>
          <w:rFonts w:ascii="Baskerville" w:hAnsi="Baskerville" w:cs="Baskerville"/>
          <w:i/>
          <w:iCs/>
          <w:sz w:val="22"/>
          <w:szCs w:val="22"/>
        </w:rPr>
        <w:t>the</w:t>
      </w:r>
      <w:r>
        <w:rPr>
          <w:rFonts w:ascii="Baskerville" w:hAnsi="Baskerville" w:cs="Baskerville"/>
          <w:sz w:val="22"/>
          <w:szCs w:val="22"/>
        </w:rPr>
        <w:t xml:space="preserve">] </w:t>
      </w:r>
      <w:r>
        <w:rPr>
          <w:rFonts w:ascii="Baskerville" w:hAnsi="Baskerville" w:cs="Baskerville"/>
          <w:i/>
          <w:iCs/>
          <w:sz w:val="22"/>
          <w:szCs w:val="22"/>
        </w:rPr>
        <w:t>noncompete be subordinate to the employer-employee relationship, which is no less valid or meaningful simply because it is at-will.</w:t>
      </w:r>
      <w:r w:rsidR="00FB1D09">
        <w:rPr>
          <w:rFonts w:ascii="Baskerville" w:hAnsi="Baskerville" w:cs="Baskerville"/>
          <w:sz w:val="22"/>
          <w:szCs w:val="22"/>
        </w:rPr>
        <w:t xml:space="preserve"> </w:t>
      </w:r>
      <w:r>
        <w:rPr>
          <w:rFonts w:ascii="Baskerville" w:hAnsi="Baskerville" w:cs="Baskerville"/>
          <w:sz w:val="22"/>
          <w:szCs w:val="22"/>
        </w:rPr>
        <w:t xml:space="preserve">As the </w:t>
      </w:r>
      <w:r>
        <w:rPr>
          <w:rFonts w:ascii="Baskerville" w:hAnsi="Baskerville" w:cs="Baskerville"/>
          <w:i/>
          <w:iCs/>
          <w:sz w:val="22"/>
          <w:szCs w:val="22"/>
        </w:rPr>
        <w:t>Abel</w:t>
      </w:r>
      <w:r>
        <w:rPr>
          <w:rFonts w:ascii="Baskerville" w:hAnsi="Baskerville" w:cs="Baskerville"/>
          <w:sz w:val="22"/>
          <w:szCs w:val="22"/>
        </w:rPr>
        <w:t xml:space="preserve"> court correctly observes, at-will employment is a “relationship with numerous legal consequences, imposing rights and obligations on both parties.”</w:t>
      </w:r>
      <w:r w:rsidR="00FB1D09">
        <w:rPr>
          <w:rFonts w:ascii="Baskerville" w:hAnsi="Baskerville" w:cs="Baskerville"/>
          <w:sz w:val="22"/>
          <w:szCs w:val="22"/>
        </w:rPr>
        <w:t xml:space="preserve"> </w:t>
      </w:r>
      <w:r w:rsidRPr="0089491F">
        <w:rPr>
          <w:rFonts w:ascii="Baskerville" w:hAnsi="Baskerville" w:cs="Baskerville"/>
          <w:sz w:val="22"/>
          <w:szCs w:val="22"/>
          <w:lang w:val="nb-NO"/>
        </w:rPr>
        <w:t xml:space="preserve">274 Ill. App. 3d at 820, 221 Ill. Dec. at 135, 654 N.E.2d at </w:t>
      </w:r>
      <w:r w:rsidRPr="0089491F">
        <w:rPr>
          <w:rFonts w:ascii="Baskerville" w:hAnsi="Baskerville" w:cs="Baskerville"/>
          <w:sz w:val="22"/>
          <w:szCs w:val="22"/>
          <w:lang w:val="nb-NO"/>
        </w:rPr>
        <w:lastRenderedPageBreak/>
        <w:t>597.</w:t>
      </w:r>
    </w:p>
    <w:p w14:paraId="5D3FC98D" w14:textId="77777777" w:rsidR="00655396" w:rsidRPr="0089491F" w:rsidRDefault="00655396" w:rsidP="008B512B">
      <w:pPr>
        <w:pStyle w:val="NoParagraphStyle"/>
        <w:tabs>
          <w:tab w:val="left" w:pos="960"/>
          <w:tab w:val="left" w:pos="1440"/>
        </w:tabs>
        <w:spacing w:line="240" w:lineRule="auto"/>
        <w:ind w:left="480"/>
        <w:jc w:val="center"/>
        <w:rPr>
          <w:rFonts w:ascii="Baskerville" w:hAnsi="Baskerville" w:cs="Baskerville"/>
          <w:sz w:val="22"/>
          <w:szCs w:val="22"/>
          <w:lang w:val="nb-NO"/>
        </w:rPr>
      </w:pPr>
    </w:p>
    <w:p w14:paraId="73241111" w14:textId="77777777" w:rsidR="00655396" w:rsidRDefault="00655396" w:rsidP="008B512B">
      <w:pPr>
        <w:pStyle w:val="NoParagraphStyle"/>
        <w:tabs>
          <w:tab w:val="left" w:pos="960"/>
          <w:tab w:val="left" w:pos="1440"/>
        </w:tabs>
        <w:spacing w:line="240" w:lineRule="auto"/>
        <w:ind w:left="480"/>
        <w:jc w:val="center"/>
        <w:rPr>
          <w:rFonts w:ascii="Baskerville" w:hAnsi="Baskerville" w:cs="Baskerville"/>
          <w:sz w:val="22"/>
          <w:szCs w:val="22"/>
        </w:rPr>
      </w:pPr>
      <w:r>
        <w:rPr>
          <w:rFonts w:ascii="Baskerville" w:hAnsi="Baskerville" w:cs="Baskerville"/>
          <w:sz w:val="22"/>
          <w:szCs w:val="22"/>
        </w:rPr>
        <w:t>* * * *</w:t>
      </w:r>
    </w:p>
    <w:p w14:paraId="49AFBA21" w14:textId="61847ED4"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[The former employee in the instant case] argues that if we decline to follow </w:t>
      </w:r>
      <w:r>
        <w:rPr>
          <w:rFonts w:ascii="Baskerville" w:hAnsi="Baskerville" w:cs="Baskerville"/>
          <w:i/>
          <w:iCs/>
          <w:sz w:val="22"/>
          <w:szCs w:val="22"/>
        </w:rPr>
        <w:t>Creative Entertainment</w:t>
      </w:r>
      <w:r>
        <w:rPr>
          <w:rFonts w:ascii="Baskerville" w:hAnsi="Baskerville" w:cs="Baskerville"/>
          <w:sz w:val="22"/>
          <w:szCs w:val="22"/>
        </w:rPr>
        <w:t xml:space="preserve"> and uphold her noncompete, we will be ignoring the “underlying evil” that the case attempts to cure.</w:t>
      </w:r>
      <w:r w:rsidR="00FB1D09">
        <w:rPr>
          <w:rFonts w:ascii="Baskerville" w:hAnsi="Baskerville" w:cs="Baskerville"/>
          <w:sz w:val="22"/>
          <w:szCs w:val="22"/>
        </w:rPr>
        <w:t xml:space="preserve"> </w:t>
      </w:r>
      <w:r>
        <w:rPr>
          <w:rFonts w:ascii="Baskerville" w:hAnsi="Baskerville" w:cs="Baskerville"/>
          <w:sz w:val="22"/>
          <w:szCs w:val="22"/>
        </w:rPr>
        <w:t>Def. Reply at 7.</w:t>
      </w:r>
      <w:r w:rsidR="00FB1D09">
        <w:rPr>
          <w:rFonts w:ascii="Baskerville" w:hAnsi="Baskerville" w:cs="Baskerville"/>
          <w:sz w:val="22"/>
          <w:szCs w:val="22"/>
        </w:rPr>
        <w:t xml:space="preserve"> </w:t>
      </w:r>
      <w:r>
        <w:rPr>
          <w:rFonts w:ascii="Baskerville" w:hAnsi="Baskerville" w:cs="Baskerville"/>
          <w:sz w:val="22"/>
          <w:szCs w:val="22"/>
        </w:rPr>
        <w:t>Specifically, such a decision would purportedly enable employers to ask an existing at-will employee to sign a restrictive covenant, fire the at-will employee right afterward, and still enforce the restrictive covenant.</w:t>
      </w:r>
      <w:r w:rsidR="00FB1D09">
        <w:rPr>
          <w:rFonts w:ascii="Baskerville" w:hAnsi="Baskerville" w:cs="Baskerville"/>
          <w:sz w:val="22"/>
          <w:szCs w:val="22"/>
        </w:rPr>
        <w:t xml:space="preserve"> </w:t>
      </w:r>
      <w:r>
        <w:rPr>
          <w:rFonts w:ascii="Baskerville" w:hAnsi="Baskerville" w:cs="Baskerville"/>
          <w:i/>
          <w:iCs/>
          <w:sz w:val="22"/>
          <w:szCs w:val="22"/>
        </w:rPr>
        <w:t>Id.</w:t>
      </w:r>
      <w:r w:rsidR="00FB1D09">
        <w:rPr>
          <w:rFonts w:ascii="Baskerville" w:hAnsi="Baskerville" w:cs="Baskerville"/>
          <w:sz w:val="22"/>
          <w:szCs w:val="22"/>
        </w:rPr>
        <w:t xml:space="preserve"> </w:t>
      </w:r>
      <w:r>
        <w:rPr>
          <w:rFonts w:ascii="Baskerville" w:hAnsi="Baskerville" w:cs="Baskerville"/>
          <w:sz w:val="22"/>
          <w:szCs w:val="22"/>
        </w:rPr>
        <w:t>This argument is without merit.</w:t>
      </w:r>
      <w:r w:rsidR="00FB1D09">
        <w:rPr>
          <w:rFonts w:ascii="Baskerville" w:hAnsi="Baskerville" w:cs="Baskerville"/>
          <w:sz w:val="22"/>
          <w:szCs w:val="22"/>
        </w:rPr>
        <w:t xml:space="preserve"> </w:t>
      </w:r>
      <w:r>
        <w:rPr>
          <w:rFonts w:ascii="Baskerville" w:hAnsi="Baskerville" w:cs="Baskerville"/>
          <w:sz w:val="22"/>
          <w:szCs w:val="22"/>
        </w:rPr>
        <w:t>It ignores the long line of cases, which our decision does not disturb, requiring continued employment for a substantial period after the employee signs the noncompete.</w:t>
      </w:r>
      <w:r w:rsidR="00FB1D09">
        <w:rPr>
          <w:rFonts w:ascii="Baskerville" w:hAnsi="Baskerville" w:cs="Baskerville"/>
          <w:sz w:val="22"/>
          <w:szCs w:val="22"/>
        </w:rPr>
        <w:t xml:space="preserve"> </w:t>
      </w:r>
      <w:r>
        <w:rPr>
          <w:rFonts w:ascii="Baskerville" w:hAnsi="Baskerville" w:cs="Baskerville"/>
          <w:sz w:val="22"/>
          <w:szCs w:val="22"/>
        </w:rPr>
        <w:t>An employer in the situation posited by [the former employee in the instant case] would clearly be unable to enforce the restrictive covenant for lack of consideration.</w:t>
      </w:r>
    </w:p>
    <w:p w14:paraId="75844EB0" w14:textId="49565F0E"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Our decision that the supreme court would favor the reasoning and result in </w:t>
      </w:r>
      <w:r>
        <w:rPr>
          <w:rFonts w:ascii="Baskerville" w:hAnsi="Baskerville" w:cs="Baskerville"/>
          <w:i/>
          <w:iCs/>
          <w:sz w:val="22"/>
          <w:szCs w:val="22"/>
        </w:rPr>
        <w:t>Abel</w:t>
      </w:r>
      <w:r>
        <w:rPr>
          <w:rFonts w:ascii="Baskerville" w:hAnsi="Baskerville" w:cs="Baskerville"/>
          <w:sz w:val="22"/>
          <w:szCs w:val="22"/>
        </w:rPr>
        <w:t xml:space="preserve"> over </w:t>
      </w:r>
      <w:r>
        <w:rPr>
          <w:rFonts w:ascii="Baskerville" w:hAnsi="Baskerville" w:cs="Baskerville"/>
          <w:i/>
          <w:iCs/>
          <w:sz w:val="22"/>
          <w:szCs w:val="22"/>
        </w:rPr>
        <w:t>Creative Entertainment</w:t>
      </w:r>
      <w:r>
        <w:rPr>
          <w:rFonts w:ascii="Baskerville" w:hAnsi="Baskerville" w:cs="Baskerville"/>
          <w:sz w:val="22"/>
          <w:szCs w:val="22"/>
        </w:rPr>
        <w:t xml:space="preserve"> is strengthened by the fact that </w:t>
      </w:r>
      <w:r>
        <w:rPr>
          <w:rFonts w:ascii="Baskerville" w:hAnsi="Baskerville" w:cs="Baskerville"/>
          <w:i/>
          <w:iCs/>
          <w:sz w:val="22"/>
          <w:szCs w:val="22"/>
        </w:rPr>
        <w:t>Creative Entertainment</w:t>
      </w:r>
      <w:r>
        <w:rPr>
          <w:rFonts w:ascii="Baskerville" w:hAnsi="Baskerville" w:cs="Baskerville"/>
          <w:sz w:val="22"/>
          <w:szCs w:val="22"/>
        </w:rPr>
        <w:t xml:space="preserve"> cites no supreme court cases or persuasive authority for its conclusion, and is even inconsistent with one of its own earlier decisions.</w:t>
      </w:r>
      <w:r w:rsidR="00FB1D09">
        <w:rPr>
          <w:rFonts w:ascii="Baskerville" w:hAnsi="Baskerville" w:cs="Baskerville"/>
          <w:sz w:val="22"/>
          <w:szCs w:val="22"/>
        </w:rPr>
        <w:t xml:space="preserve"> </w:t>
      </w:r>
      <w:r>
        <w:rPr>
          <w:rFonts w:ascii="Baskerville" w:hAnsi="Baskerville" w:cs="Baskerville"/>
          <w:sz w:val="22"/>
          <w:szCs w:val="22"/>
        </w:rPr>
        <w:t xml:space="preserve">In </w:t>
      </w:r>
      <w:r>
        <w:rPr>
          <w:rFonts w:ascii="Baskerville" w:hAnsi="Baskerville" w:cs="Baskerville"/>
          <w:i/>
          <w:iCs/>
          <w:sz w:val="22"/>
          <w:szCs w:val="22"/>
        </w:rPr>
        <w:t>Agrimerica, Inc. v. Mathes</w:t>
      </w:r>
      <w:r>
        <w:rPr>
          <w:rFonts w:ascii="Baskerville" w:hAnsi="Baskerville" w:cs="Baskerville"/>
          <w:sz w:val="22"/>
          <w:szCs w:val="22"/>
        </w:rPr>
        <w:t>[, 199 Ill. App. 3d 435, 145 Ill. Dec. 587, 557 N.E.2d 357 (1st Dist. 1990)], the First District rebuffed challenges to a noncompete’s consideration and ancillarity despite the fact that the challenger was an at-will employee.</w:t>
      </w:r>
      <w:r w:rsidR="00FB1D09">
        <w:rPr>
          <w:rFonts w:ascii="Baskerville" w:hAnsi="Baskerville" w:cs="Baskerville"/>
          <w:sz w:val="22"/>
          <w:szCs w:val="22"/>
        </w:rPr>
        <w:t xml:space="preserve"> </w:t>
      </w:r>
      <w:r w:rsidRPr="0089491F">
        <w:rPr>
          <w:rFonts w:ascii="Baskerville" w:hAnsi="Baskerville" w:cs="Baskerville"/>
          <w:sz w:val="22"/>
          <w:szCs w:val="22"/>
          <w:lang w:val="nb-NO"/>
        </w:rPr>
        <w:t>199 Ill. App. 3d at 439, 442, 145 Ill. Dec. at 590, 592, 557 N.E.2d at 360, 362, 366.</w:t>
      </w:r>
      <w:r w:rsidR="00FB1D09">
        <w:rPr>
          <w:rFonts w:ascii="Baskerville" w:hAnsi="Baskerville" w:cs="Baskerville"/>
          <w:sz w:val="22"/>
          <w:szCs w:val="22"/>
          <w:lang w:val="nb-NO"/>
        </w:rPr>
        <w:t xml:space="preserve"> </w:t>
      </w:r>
      <w:r>
        <w:rPr>
          <w:rFonts w:ascii="Baskerville" w:hAnsi="Baskerville" w:cs="Baskerville"/>
          <w:sz w:val="22"/>
          <w:szCs w:val="22"/>
        </w:rPr>
        <w:t xml:space="preserve">The court made no issue of the fact, as it did in </w:t>
      </w:r>
      <w:r>
        <w:rPr>
          <w:rFonts w:ascii="Baskerville" w:hAnsi="Baskerville" w:cs="Baskerville"/>
          <w:i/>
          <w:iCs/>
          <w:sz w:val="22"/>
          <w:szCs w:val="22"/>
        </w:rPr>
        <w:t>Creative Entertainment</w:t>
      </w:r>
      <w:r>
        <w:rPr>
          <w:rFonts w:ascii="Baskerville" w:hAnsi="Baskerville" w:cs="Baskerville"/>
          <w:sz w:val="22"/>
          <w:szCs w:val="22"/>
        </w:rPr>
        <w:t>, that the relationship was at-will, did not promise a specific period of employment, and was not embodied in a contract setting forth other employment terms and conditions.</w:t>
      </w:r>
    </w:p>
    <w:p w14:paraId="6FCBB9CF" w14:textId="402CE709" w:rsidR="00655396" w:rsidRPr="0089491F" w:rsidRDefault="00655396" w:rsidP="008B512B">
      <w:pPr>
        <w:pStyle w:val="NoParagraphStyle"/>
        <w:tabs>
          <w:tab w:val="left" w:pos="960"/>
          <w:tab w:val="left" w:pos="1440"/>
        </w:tabs>
        <w:spacing w:line="240" w:lineRule="auto"/>
        <w:ind w:left="480"/>
        <w:jc w:val="both"/>
        <w:rPr>
          <w:rFonts w:ascii="Baskerville" w:hAnsi="Baskerville" w:cs="Baskerville"/>
          <w:lang w:val="nb-NO"/>
        </w:rPr>
      </w:pPr>
      <w:r>
        <w:rPr>
          <w:rFonts w:ascii="Baskerville" w:hAnsi="Baskerville" w:cs="Baskerville"/>
          <w:sz w:val="22"/>
          <w:szCs w:val="22"/>
        </w:rPr>
        <w:tab/>
        <w:t xml:space="preserve">In sum, </w:t>
      </w:r>
      <w:r>
        <w:rPr>
          <w:rFonts w:ascii="Baskerville" w:hAnsi="Baskerville" w:cs="Baskerville"/>
          <w:i/>
          <w:iCs/>
          <w:sz w:val="22"/>
          <w:szCs w:val="22"/>
        </w:rPr>
        <w:t>Creative Entertainment</w:t>
      </w:r>
      <w:r>
        <w:rPr>
          <w:rFonts w:ascii="Baskerville" w:hAnsi="Baskerville" w:cs="Baskerville"/>
          <w:sz w:val="22"/>
          <w:szCs w:val="22"/>
        </w:rPr>
        <w:t xml:space="preserve"> is out of step with precedent, persuasive authority, and policy.</w:t>
      </w:r>
      <w:r w:rsidR="00FB1D09">
        <w:rPr>
          <w:rFonts w:ascii="Baskerville" w:hAnsi="Baskerville" w:cs="Baskerville"/>
          <w:sz w:val="22"/>
          <w:szCs w:val="22"/>
        </w:rPr>
        <w:t xml:space="preserve"> </w:t>
      </w:r>
      <w:r>
        <w:rPr>
          <w:rFonts w:ascii="Baskerville" w:hAnsi="Baskerville" w:cs="Baskerville"/>
          <w:sz w:val="22"/>
          <w:szCs w:val="22"/>
        </w:rPr>
        <w:t xml:space="preserve">Because we have determined that the supreme court would in all likelihood share our view, we decline to accept </w:t>
      </w:r>
      <w:r>
        <w:rPr>
          <w:rFonts w:ascii="Baskerville" w:hAnsi="Baskerville" w:cs="Baskerville"/>
          <w:i/>
          <w:iCs/>
          <w:sz w:val="22"/>
          <w:szCs w:val="22"/>
        </w:rPr>
        <w:t>Creative Entertainment’s</w:t>
      </w:r>
      <w:r>
        <w:rPr>
          <w:rFonts w:ascii="Baskerville" w:hAnsi="Baskerville" w:cs="Baskerville"/>
          <w:sz w:val="22"/>
          <w:szCs w:val="22"/>
        </w:rPr>
        <w:t xml:space="preserve"> invitation to adopt a legal perspective that would strike down all noncompetes in at-will employment relationships.</w:t>
      </w:r>
      <w:r w:rsidR="00FB1D09">
        <w:rPr>
          <w:rFonts w:ascii="Baskerville" w:hAnsi="Baskerville" w:cs="Baskerville"/>
          <w:sz w:val="22"/>
          <w:szCs w:val="22"/>
        </w:rPr>
        <w:t xml:space="preserve"> </w:t>
      </w:r>
      <w:r>
        <w:rPr>
          <w:rFonts w:ascii="Baskerville" w:hAnsi="Baskerville" w:cs="Baskerville"/>
          <w:sz w:val="22"/>
          <w:szCs w:val="22"/>
        </w:rPr>
        <w:t>Rather, the enforceability of covenants not to compete in at-will arrangements is “based on the same rules which apply to any other post-employment noncompetition covenant made during an employment relationship.”</w:t>
      </w:r>
      <w:r w:rsidR="00FB1D09">
        <w:rPr>
          <w:rFonts w:ascii="Baskerville" w:hAnsi="Baskerville" w:cs="Baskerville"/>
          <w:sz w:val="22"/>
          <w:szCs w:val="22"/>
        </w:rPr>
        <w:t xml:space="preserve"> </w:t>
      </w:r>
      <w:r w:rsidRPr="0089491F">
        <w:rPr>
          <w:rFonts w:ascii="Baskerville" w:hAnsi="Baskerville" w:cs="Baskerville"/>
          <w:i/>
          <w:iCs/>
          <w:sz w:val="22"/>
          <w:szCs w:val="22"/>
          <w:lang w:val="nb-NO"/>
        </w:rPr>
        <w:t>Abel</w:t>
      </w:r>
      <w:r w:rsidRPr="0089491F">
        <w:rPr>
          <w:rFonts w:ascii="Baskerville" w:hAnsi="Baskerville" w:cs="Baskerville"/>
          <w:sz w:val="22"/>
          <w:szCs w:val="22"/>
          <w:lang w:val="nb-NO"/>
        </w:rPr>
        <w:t>, 274 Ill. App. 3d at 820, 211 Ill. Dec. at 135, 654 N.E.2d at 597.</w:t>
      </w:r>
    </w:p>
    <w:p w14:paraId="75A42E69" w14:textId="77777777" w:rsidR="00655396" w:rsidRPr="0089491F" w:rsidRDefault="00655396" w:rsidP="008B512B">
      <w:pPr>
        <w:pStyle w:val="NoParagraphStyle"/>
        <w:tabs>
          <w:tab w:val="left" w:pos="480"/>
          <w:tab w:val="left" w:pos="960"/>
          <w:tab w:val="left" w:pos="1440"/>
        </w:tabs>
        <w:spacing w:line="240" w:lineRule="auto"/>
        <w:ind w:left="480"/>
        <w:jc w:val="both"/>
        <w:rPr>
          <w:rFonts w:ascii="Baskerville" w:hAnsi="Baskerville" w:cs="Baskerville"/>
          <w:lang w:val="nb-NO"/>
        </w:rPr>
      </w:pPr>
    </w:p>
    <w:p w14:paraId="369567DC"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941 F. Supp. at 756–58 (emphasis added</w:t>
      </w:r>
      <w:r w:rsidR="000A454A">
        <w:rPr>
          <w:rFonts w:ascii="Baskerville" w:hAnsi="Baskerville" w:cs="Baskerville"/>
        </w:rPr>
        <w:t>).</w:t>
      </w:r>
    </w:p>
    <w:p w14:paraId="1CBE2430" w14:textId="1CD531DA"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In a case decided earlier in 1996 and not mentioned by the </w:t>
      </w:r>
      <w:r>
        <w:rPr>
          <w:rFonts w:ascii="Baskerville" w:hAnsi="Baskerville" w:cs="Baskerville"/>
          <w:i/>
          <w:iCs/>
        </w:rPr>
        <w:t>Applied Micro</w:t>
      </w:r>
      <w:r>
        <w:rPr>
          <w:rFonts w:ascii="Baskerville" w:hAnsi="Baskerville" w:cs="Baskerville"/>
        </w:rPr>
        <w:t xml:space="preserve"> court, the U.S. District Court for the Northern District </w:t>
      </w:r>
      <w:r>
        <w:rPr>
          <w:rFonts w:ascii="Baskerville" w:hAnsi="Baskerville" w:cs="Baskerville"/>
        </w:rPr>
        <w:lastRenderedPageBreak/>
        <w:t xml:space="preserve">of Illinois had observed that “to be enforceable, a restrictive covenant must be ancillary to either a sales agreement or an employment </w:t>
      </w:r>
      <w:r>
        <w:rPr>
          <w:rFonts w:ascii="Baskerville" w:hAnsi="Baskerville" w:cs="Baskerville"/>
          <w:i/>
          <w:iCs/>
        </w:rPr>
        <w:t>agreement</w:t>
      </w:r>
      <w:r>
        <w:rPr>
          <w:rFonts w:ascii="Baskerville" w:hAnsi="Baskerville" w:cs="Baskerville"/>
        </w:rPr>
        <w:t>.”</w:t>
      </w:r>
      <w:r w:rsidR="00FB1D09">
        <w:rPr>
          <w:rFonts w:ascii="Baskerville" w:hAnsi="Baskerville" w:cs="Baskerville"/>
        </w:rPr>
        <w:t xml:space="preserve"> </w:t>
      </w:r>
      <w:r>
        <w:rPr>
          <w:rFonts w:ascii="Baskerville" w:hAnsi="Baskerville" w:cs="Baskerville"/>
          <w:i/>
          <w:iCs/>
        </w:rPr>
        <w:t>Loewen Grp. Int’l, Inc. v. Haberichter</w:t>
      </w:r>
      <w:r>
        <w:rPr>
          <w:rFonts w:ascii="Baskerville" w:hAnsi="Baskerville" w:cs="Baskerville"/>
        </w:rPr>
        <w:t xml:space="preserve">, 912 F. Supp. 388, 392 (N.D. Ill. 1996) (emphasis added; agreement versus relationship question not addressed; covenant was part of agreement; citing </w:t>
      </w:r>
      <w:r>
        <w:rPr>
          <w:rFonts w:ascii="Baskerville" w:hAnsi="Baskerville" w:cs="Baskerville"/>
          <w:i/>
          <w:iCs/>
        </w:rPr>
        <w:t>Business Records Corp. v. Lueth</w:t>
      </w:r>
      <w:r>
        <w:rPr>
          <w:rFonts w:ascii="Baskerville" w:hAnsi="Baskerville" w:cs="Baskerville"/>
        </w:rPr>
        <w:t xml:space="preserve">, 981 F.2d 957, 959 (7th Cir. 1992); </w:t>
      </w:r>
      <w:r>
        <w:rPr>
          <w:rFonts w:ascii="Baskerville" w:hAnsi="Baskerville" w:cs="Baskerville"/>
          <w:i/>
          <w:iCs/>
        </w:rPr>
        <w:t>Hamer Holding Grp., Inc. v. Elmore</w:t>
      </w:r>
      <w:r>
        <w:rPr>
          <w:rFonts w:ascii="Baskerville" w:hAnsi="Baskerville" w:cs="Baskerville"/>
        </w:rPr>
        <w:t xml:space="preserve"> (</w:t>
      </w:r>
      <w:r>
        <w:rPr>
          <w:rFonts w:ascii="Baskerville" w:hAnsi="Baskerville" w:cs="Baskerville"/>
          <w:i/>
          <w:iCs/>
        </w:rPr>
        <w:t>Hamer I</w:t>
      </w:r>
      <w:r>
        <w:rPr>
          <w:rFonts w:ascii="Baskerville" w:hAnsi="Baskerville" w:cs="Baskerville"/>
        </w:rPr>
        <w:t>), 202 Ill. App. 3d 994, 148 Ill. Dec. 310, 318, 560 N.E.2d 907, 915 (1st Dist. 1990)).</w:t>
      </w:r>
      <w:r w:rsidR="00FB1D09">
        <w:rPr>
          <w:rFonts w:ascii="Baskerville" w:hAnsi="Baskerville" w:cs="Baskerville"/>
        </w:rPr>
        <w:t xml:space="preserve"> </w:t>
      </w:r>
      <w:r>
        <w:rPr>
          <w:rFonts w:ascii="Baskerville" w:hAnsi="Baskerville" w:cs="Baskerville"/>
        </w:rPr>
        <w:t xml:space="preserve">[Note that, in </w:t>
      </w:r>
      <w:r>
        <w:rPr>
          <w:rFonts w:ascii="Baskerville" w:hAnsi="Baskerville" w:cs="Baskerville"/>
          <w:i/>
          <w:iCs/>
        </w:rPr>
        <w:t>Loewen</w:t>
      </w:r>
      <w:r>
        <w:rPr>
          <w:rFonts w:ascii="Baskerville" w:hAnsi="Baskerville" w:cs="Baskerville"/>
        </w:rPr>
        <w:t>, the U.S. District Court for the Northern District of Illinois had previously granted summary judgment to the former employee based on its conclusion that the employer’s suit was preempted by the Labor Management Relations Act.</w:t>
      </w:r>
      <w:r w:rsidR="00FB1D09">
        <w:rPr>
          <w:rFonts w:ascii="Baskerville" w:hAnsi="Baskerville" w:cs="Baskerville"/>
        </w:rPr>
        <w:t xml:space="preserve"> </w:t>
      </w:r>
      <w:r>
        <w:rPr>
          <w:rFonts w:ascii="Baskerville" w:hAnsi="Baskerville" w:cs="Baskerville"/>
        </w:rPr>
        <w:t>863 F. Supp. 629.</w:t>
      </w:r>
      <w:r w:rsidR="00FB1D09">
        <w:rPr>
          <w:rFonts w:ascii="Baskerville" w:hAnsi="Baskerville" w:cs="Baskerville"/>
        </w:rPr>
        <w:t xml:space="preserve"> </w:t>
      </w:r>
      <w:r>
        <w:rPr>
          <w:rFonts w:ascii="Baskerville" w:hAnsi="Baskerville" w:cs="Baskerville"/>
        </w:rPr>
        <w:t>However, the U.S. Court of Appeals for the Seventh Circuit reversed and ordered Loewen’s claims reinstated.</w:t>
      </w:r>
      <w:r w:rsidR="00FB1D09">
        <w:rPr>
          <w:rFonts w:ascii="Baskerville" w:hAnsi="Baskerville" w:cs="Baskerville"/>
        </w:rPr>
        <w:t xml:space="preserve"> </w:t>
      </w:r>
      <w:r>
        <w:rPr>
          <w:rFonts w:ascii="Baskerville" w:hAnsi="Baskerville" w:cs="Baskerville"/>
        </w:rPr>
        <w:t>65 F.3d 1417 (7th Cir. 1995).]</w:t>
      </w:r>
    </w:p>
    <w:p w14:paraId="457F00EE" w14:textId="4FF7E234" w:rsidR="00655396" w:rsidRDefault="00655396" w:rsidP="008B512B">
      <w:pPr>
        <w:pStyle w:val="BodyText"/>
        <w:spacing w:line="240" w:lineRule="auto"/>
      </w:pPr>
      <w:r>
        <w:tab/>
        <w:t xml:space="preserve">In 1997, the Second District adopted the Fourth District position that a covenant need not be ancillary to an employment </w:t>
      </w:r>
      <w:r>
        <w:rPr>
          <w:i/>
          <w:iCs/>
        </w:rPr>
        <w:t>agreement</w:t>
      </w:r>
      <w:r>
        <w:t xml:space="preserve">—and need only be ancillary to an employment </w:t>
      </w:r>
      <w:r>
        <w:rPr>
          <w:i/>
          <w:iCs/>
        </w:rPr>
        <w:t>relationship</w:t>
      </w:r>
      <w:r>
        <w:t>— in order to satisfy the ancillarity requirement.</w:t>
      </w:r>
      <w:r w:rsidR="00FB1D09">
        <w:t xml:space="preserve"> </w:t>
      </w:r>
      <w:r>
        <w:rPr>
          <w:i/>
          <w:iCs/>
        </w:rPr>
        <w:t>Lawrence &amp; Allen, Inc. v. Cambridge Human Res. Grp., Inc.</w:t>
      </w:r>
      <w:r>
        <w:t>, 226 Ill. Dec. 331, 337, 685 N.E.2d 434, 440 (Ill. Ct. App. 2d Dist. 1997).</w:t>
      </w:r>
    </w:p>
    <w:p w14:paraId="34538CD8" w14:textId="6ED936CE" w:rsidR="00655396" w:rsidRDefault="00655396" w:rsidP="008B512B">
      <w:pPr>
        <w:pStyle w:val="BodyText"/>
        <w:spacing w:line="240" w:lineRule="auto"/>
      </w:pPr>
      <w:r>
        <w:tab/>
        <w:t xml:space="preserve">In 1998, the Sixth Division of the First District registered its agreement with the Second and Fourth Districts and declined to follow </w:t>
      </w:r>
      <w:r>
        <w:rPr>
          <w:i/>
          <w:iCs/>
        </w:rPr>
        <w:t>Creative Entertainment</w:t>
      </w:r>
      <w:r>
        <w:t>.</w:t>
      </w:r>
      <w:r w:rsidR="00FB1D09">
        <w:t xml:space="preserve"> </w:t>
      </w:r>
      <w:r>
        <w:rPr>
          <w:i/>
          <w:iCs/>
        </w:rPr>
        <w:t>Woodfield Grp., Inc. v. DeLisle</w:t>
      </w:r>
      <w:r>
        <w:t>, 295 Ill. App. 3d 935, 941, 230 Ill. Dec. 335, 339, 693 N.E.2d 464, 468, 13 IER Cases 1646 (1st Dist. 1998) (“A restrictive covenant agreement may meet the requirements for ancillarity if it is ancillary to an employment relationship even though the employment may lack a written agreement and remain at will.”).</w:t>
      </w:r>
    </w:p>
    <w:p w14:paraId="044F00E8" w14:textId="77777777" w:rsidR="00655396" w:rsidRDefault="00655396" w:rsidP="008B512B">
      <w:pPr>
        <w:pStyle w:val="BodyText"/>
        <w:spacing w:line="240" w:lineRule="auto"/>
      </w:pPr>
    </w:p>
    <w:p w14:paraId="65E26DDD" w14:textId="77777777" w:rsidR="00655396" w:rsidRDefault="00655396" w:rsidP="008B512B">
      <w:pPr>
        <w:pStyle w:val="AdditionalTopicsSectionHeadings"/>
        <w:spacing w:line="240" w:lineRule="auto"/>
      </w:pPr>
      <w:r>
        <w:t>Equitable Restitution</w:t>
      </w:r>
    </w:p>
    <w:p w14:paraId="3A9DB038" w14:textId="77777777" w:rsidR="00655396" w:rsidRDefault="00655396" w:rsidP="008B512B">
      <w:pPr>
        <w:pStyle w:val="BodyText"/>
        <w:spacing w:line="240" w:lineRule="auto"/>
      </w:pPr>
    </w:p>
    <w:p w14:paraId="4E7E34A0" w14:textId="2B28C9E6" w:rsidR="00655396" w:rsidRDefault="00655396" w:rsidP="008B512B">
      <w:pPr>
        <w:pStyle w:val="BodyText"/>
        <w:spacing w:line="240" w:lineRule="auto"/>
      </w:pPr>
      <w:r>
        <w:tab/>
        <w:t>For restitution to lie in equity, “‘the action generally must seek not to impose personal liability on the defendant, but to restore to the plaintiff particular funds or property in the defendant’s possession.’”</w:t>
      </w:r>
      <w:r w:rsidR="00FB1D09">
        <w:t xml:space="preserve"> </w:t>
      </w:r>
      <w:r>
        <w:rPr>
          <w:i/>
          <w:iCs/>
        </w:rPr>
        <w:t>Levy Rest. L.P. v. Williamson</w:t>
      </w:r>
      <w:r>
        <w:t xml:space="preserve">, 2009 U.S. Dist. LEXIS 68398, at *18 (N.D. Ill. Aug. 5, 2009) (quoting </w:t>
      </w:r>
      <w:r>
        <w:rPr>
          <w:i/>
          <w:iCs/>
        </w:rPr>
        <w:t>Fregeau v. Life Ins. Co. of N. Am.,</w:t>
      </w:r>
      <w:r>
        <w:t xml:space="preserve"> 490 F. Supp. 2d 928, 930 (N.D. Ill. 2007) (not a covenant case)).</w:t>
      </w:r>
    </w:p>
    <w:p w14:paraId="5AB5C79F" w14:textId="78164E5A" w:rsidR="00655396" w:rsidRDefault="00655396" w:rsidP="008B512B">
      <w:pPr>
        <w:pStyle w:val="BodyText"/>
        <w:spacing w:line="240" w:lineRule="auto"/>
      </w:pPr>
      <w:r>
        <w:tab/>
        <w:t xml:space="preserve">Moreover, “a claim for equitable restitution may be pled in the </w:t>
      </w:r>
      <w:r>
        <w:lastRenderedPageBreak/>
        <w:t>alternative to a breach of contract claim.”</w:t>
      </w:r>
      <w:r w:rsidR="00FB1D09">
        <w:t xml:space="preserve"> </w:t>
      </w:r>
      <w:r>
        <w:rPr>
          <w:i/>
          <w:iCs/>
        </w:rPr>
        <w:t xml:space="preserve">Id. </w:t>
      </w:r>
      <w:r>
        <w:t>(citing Fed. R. Civ. P. 8(d)(2) (providing that a party “may set out two or more statements of a claim or defense alternatively or hypothetically, either in a single count or defense or in separate ones. If a party makes alternative statements, the pleading is sufficient if any one of them is sufficient.”)).</w:t>
      </w:r>
    </w:p>
    <w:p w14:paraId="0AB81560" w14:textId="77777777" w:rsidR="00655396" w:rsidRDefault="00655396" w:rsidP="008B512B">
      <w:pPr>
        <w:pStyle w:val="BodyText"/>
        <w:spacing w:line="240" w:lineRule="auto"/>
      </w:pPr>
    </w:p>
    <w:p w14:paraId="5318CBF5" w14:textId="77777777" w:rsidR="00655396" w:rsidRDefault="00655396" w:rsidP="008B512B">
      <w:pPr>
        <w:pStyle w:val="AdditionalTopicsSectionHeadings"/>
        <w:spacing w:line="240" w:lineRule="auto"/>
      </w:pPr>
      <w:r>
        <w:t>Establishing Breach</w:t>
      </w:r>
    </w:p>
    <w:p w14:paraId="2DE5176D" w14:textId="77777777" w:rsidR="00102180" w:rsidRDefault="00102180" w:rsidP="00102180">
      <w:pPr>
        <w:shd w:val="clear" w:color="auto" w:fill="FFFFFF"/>
        <w:rPr>
          <w:rFonts w:ascii="Open Sans" w:hAnsi="Open Sans" w:cs="Open Sans"/>
          <w:color w:val="505558"/>
        </w:rPr>
      </w:pPr>
    </w:p>
    <w:p w14:paraId="795545CD" w14:textId="0E90CAE2" w:rsidR="00655396" w:rsidRPr="00102180" w:rsidRDefault="00102180" w:rsidP="00713726">
      <w:pPr>
        <w:shd w:val="clear" w:color="auto" w:fill="FFFFFF"/>
        <w:rPr>
          <w:rFonts w:ascii="Baskerville" w:hAnsi="Baskerville" w:cs="Open Sans"/>
          <w:color w:val="000000" w:themeColor="text1"/>
        </w:rPr>
      </w:pPr>
      <w:r>
        <w:rPr>
          <w:rFonts w:ascii="Open Sans" w:hAnsi="Open Sans" w:cs="Open Sans"/>
          <w:color w:val="505558"/>
        </w:rPr>
        <w:tab/>
      </w:r>
      <w:r w:rsidRPr="00876D21">
        <w:rPr>
          <w:rFonts w:ascii="Baskerville" w:hAnsi="Baskerville" w:cs="Open Sans"/>
          <w:color w:val="000000" w:themeColor="text1"/>
        </w:rPr>
        <w:t xml:space="preserve">“The elements of a breach of contract claim under Illinois law include: (1) a valid contract existed; (2) plaintiff performed the conditions required by the contract; (3) defendant </w:t>
      </w:r>
      <w:r w:rsidRPr="00876D21">
        <w:rPr>
          <w:rFonts w:ascii="Baskerville" w:hAnsi="Baskerville" w:cs="Open Sans"/>
          <w:i/>
          <w:iCs/>
          <w:color w:val="000000" w:themeColor="text1"/>
        </w:rPr>
        <w:t>breached</w:t>
      </w:r>
      <w:r w:rsidRPr="00876D21">
        <w:rPr>
          <w:rFonts w:ascii="Baskerville" w:hAnsi="Baskerville" w:cs="Open Sans"/>
          <w:color w:val="000000" w:themeColor="text1"/>
        </w:rPr>
        <w:t xml:space="preserve"> the contract; and (4) damages.” </w:t>
      </w:r>
      <w:r w:rsidRPr="00876D21">
        <w:rPr>
          <w:rFonts w:ascii="Baskerville" w:hAnsi="Baskerville" w:cs="Open Sans"/>
          <w:i/>
          <w:iCs/>
          <w:color w:val="000000" w:themeColor="text1"/>
        </w:rPr>
        <w:t>Sirius Comput. Sols., Inc. v. Sachs</w:t>
      </w:r>
      <w:r w:rsidRPr="00876D21">
        <w:rPr>
          <w:rFonts w:ascii="Baskerville" w:hAnsi="Baskerville" w:cs="Open Sans"/>
          <w:color w:val="000000" w:themeColor="text1"/>
        </w:rPr>
        <w:t>, 2021 BL 149059, at *2 (N.D. Ill. Apr. 22, 2021) (emphasis added; citing </w:t>
      </w:r>
      <w:r w:rsidRPr="00876D21">
        <w:rPr>
          <w:rFonts w:ascii="Baskerville" w:hAnsi="Baskerville" w:cs="Open Sans"/>
          <w:i/>
          <w:iCs/>
          <w:color w:val="000000" w:themeColor="text1"/>
        </w:rPr>
        <w:t>Smart Oil, LLC v. DW Mazel, LLC</w:t>
      </w:r>
      <w:r w:rsidRPr="00876D21">
        <w:rPr>
          <w:rFonts w:ascii="Baskerville" w:hAnsi="Baskerville" w:cs="Open Sans"/>
          <w:color w:val="000000" w:themeColor="text1"/>
        </w:rPr>
        <w:t>, 970 F.3d 856, 861 (7th Cir. 2020)</w:t>
      </w:r>
      <w:r w:rsidR="00713726" w:rsidRPr="00876D21">
        <w:rPr>
          <w:rFonts w:ascii="Baskerville" w:hAnsi="Baskerville" w:cs="Open Sans"/>
          <w:color w:val="000000" w:themeColor="text1"/>
        </w:rPr>
        <w:t xml:space="preserve"> (not a covenant case);</w:t>
      </w:r>
      <w:r w:rsidRPr="00876D21">
        <w:rPr>
          <w:rFonts w:ascii="Baskerville" w:hAnsi="Baskerville" w:cs="Open Sans"/>
          <w:color w:val="000000" w:themeColor="text1"/>
        </w:rPr>
        <w:t xml:space="preserve"> adding, </w:t>
      </w:r>
      <w:r w:rsidRPr="00876D21">
        <w:rPr>
          <w:rFonts w:ascii="Baskerville" w:hAnsi="Baskerville" w:cs="Open Sans"/>
          <w:i/>
          <w:iCs/>
          <w:color w:val="000000" w:themeColor="text1"/>
        </w:rPr>
        <w:t>id</w:t>
      </w:r>
      <w:r w:rsidRPr="00876D21">
        <w:rPr>
          <w:rFonts w:ascii="Baskerville" w:hAnsi="Baskerville" w:cs="Open Sans"/>
          <w:color w:val="000000" w:themeColor="text1"/>
        </w:rPr>
        <w:t xml:space="preserve">, at *2–3, that not only are damages an element of a breach of contract claim under Illinois law, </w:t>
      </w:r>
      <w:r w:rsidR="00876D21" w:rsidRPr="00876D21">
        <w:rPr>
          <w:rFonts w:ascii="Baskerville" w:hAnsi="Baskerville" w:cs="Open Sans"/>
          <w:color w:val="000000" w:themeColor="text1"/>
        </w:rPr>
        <w:t>“</w:t>
      </w:r>
      <w:r w:rsidRPr="00876D21">
        <w:rPr>
          <w:rFonts w:ascii="Baskerville" w:hAnsi="Baskerville" w:cs="Open Sans"/>
          <w:color w:val="000000" w:themeColor="text1"/>
        </w:rPr>
        <w:t xml:space="preserve">but ‘the basic theory of damages for breach of contract’ requires the plaintiff to ‘establish an actual loss or measurable damages resulting from the breach in order to recover;’” quoting </w:t>
      </w:r>
      <w:r w:rsidRPr="00876D21">
        <w:rPr>
          <w:rFonts w:ascii="Baskerville" w:hAnsi="Baskerville" w:cs="Open Sans"/>
          <w:i/>
          <w:iCs/>
          <w:color w:val="000000" w:themeColor="text1"/>
        </w:rPr>
        <w:t>Avery v. State Farm Mut</w:t>
      </w:r>
      <w:r w:rsidR="00B22766" w:rsidRPr="00876D21">
        <w:rPr>
          <w:rFonts w:ascii="Baskerville" w:hAnsi="Baskerville" w:cs="Open Sans"/>
          <w:i/>
          <w:iCs/>
          <w:color w:val="000000" w:themeColor="text1"/>
        </w:rPr>
        <w:t>.</w:t>
      </w:r>
      <w:r w:rsidRPr="00876D21">
        <w:rPr>
          <w:rFonts w:ascii="Baskerville" w:hAnsi="Baskerville" w:cs="Open Sans"/>
          <w:i/>
          <w:iCs/>
          <w:color w:val="000000" w:themeColor="text1"/>
        </w:rPr>
        <w:t xml:space="preserve"> Auto. Ins. Co.</w:t>
      </w:r>
      <w:r w:rsidRPr="00876D21">
        <w:rPr>
          <w:rFonts w:ascii="Baskerville" w:hAnsi="Baskerville" w:cs="Open Sans"/>
          <w:color w:val="000000" w:themeColor="text1"/>
        </w:rPr>
        <w:t>, 216 Ill.</w:t>
      </w:r>
      <w:r w:rsidR="00386DE5">
        <w:rPr>
          <w:rFonts w:ascii="Baskerville" w:hAnsi="Baskerville" w:cs="Open Sans"/>
          <w:color w:val="000000" w:themeColor="text1"/>
        </w:rPr>
        <w:t xml:space="preserve"> </w:t>
      </w:r>
      <w:r w:rsidRPr="00876D21">
        <w:rPr>
          <w:rFonts w:ascii="Baskerville" w:hAnsi="Baskerville" w:cs="Open Sans"/>
          <w:color w:val="000000" w:themeColor="text1"/>
        </w:rPr>
        <w:t>2d 100, 149, 296 Ill. Dec. 448, 835 N.E.2d 801 (2005)</w:t>
      </w:r>
      <w:r w:rsidR="00713726" w:rsidRPr="00876D21">
        <w:rPr>
          <w:rFonts w:ascii="Baskerville" w:hAnsi="Baskerville" w:cs="Open Sans"/>
          <w:color w:val="000000" w:themeColor="text1"/>
        </w:rPr>
        <w:t xml:space="preserve"> (not a covenant case)</w:t>
      </w:r>
      <w:r w:rsidRPr="00876D21">
        <w:rPr>
          <w:rFonts w:ascii="Baskerville" w:hAnsi="Baskerville" w:cs="Open Sans"/>
          <w:color w:val="000000" w:themeColor="text1"/>
        </w:rPr>
        <w:t>).</w:t>
      </w:r>
    </w:p>
    <w:p w14:paraId="5C5CC3CD" w14:textId="6DD08854" w:rsidR="00102180" w:rsidRDefault="00102180" w:rsidP="00102180">
      <w:pPr>
        <w:pStyle w:val="BodyText"/>
        <w:spacing w:line="240" w:lineRule="auto"/>
        <w:rPr>
          <w:rFonts w:ascii="Open Sans" w:hAnsi="Open Sans" w:cs="Open Sans"/>
          <w:color w:val="505558"/>
        </w:rPr>
      </w:pPr>
    </w:p>
    <w:p w14:paraId="5763B478" w14:textId="5DE53873" w:rsidR="006532A6" w:rsidRDefault="00102180" w:rsidP="00102180">
      <w:pPr>
        <w:pStyle w:val="BodyText"/>
        <w:spacing w:line="240" w:lineRule="auto"/>
      </w:pPr>
      <w:r>
        <w:tab/>
      </w:r>
      <w:r w:rsidRPr="00A05A11">
        <w:t xml:space="preserve">• </w:t>
      </w:r>
      <w:r w:rsidRPr="00102180">
        <w:rPr>
          <w:i/>
          <w:iCs/>
        </w:rPr>
        <w:t>Affirmative/express requests for business</w:t>
      </w:r>
      <w:r>
        <w:t>.</w:t>
      </w:r>
      <w:r w:rsidRPr="00A05A11">
        <w:t xml:space="preserve"> </w:t>
      </w:r>
      <w:r w:rsidR="00A05A11" w:rsidRPr="00A05A11">
        <w:t xml:space="preserve">“Illinois law does not require an express request for business in order for a solicitation to occur.” </w:t>
      </w:r>
      <w:r w:rsidR="00A05A11" w:rsidRPr="00A05A11">
        <w:rPr>
          <w:i/>
          <w:iCs/>
        </w:rPr>
        <w:t>E*Trade Fin. Corp. v. Pospisil</w:t>
      </w:r>
      <w:r w:rsidR="00A05A11" w:rsidRPr="00A05A11">
        <w:t xml:space="preserve">, 2018 BL 318961, at *4 (N.D. Ill. Sept. 4, 2018) (citing </w:t>
      </w:r>
      <w:r w:rsidR="00A05A11" w:rsidRPr="00A05A11">
        <w:rPr>
          <w:i/>
          <w:iCs/>
        </w:rPr>
        <w:t>Henry v. O’Keefe</w:t>
      </w:r>
      <w:r w:rsidR="00A05A11" w:rsidRPr="00A05A11">
        <w:t>, 2002 U.S. Dist. LEXIS 20028, 2002 WL 31324049, at *5 (N.D. Ill. Oct. 18, 2002)).</w:t>
      </w:r>
    </w:p>
    <w:p w14:paraId="270F481F" w14:textId="77777777" w:rsidR="00A05A11" w:rsidRPr="00A05A11" w:rsidRDefault="00A05A11" w:rsidP="00A05A11">
      <w:pPr>
        <w:pStyle w:val="BodyText"/>
        <w:spacing w:line="240" w:lineRule="auto"/>
      </w:pPr>
      <w:r w:rsidRPr="00A05A11">
        <w:t xml:space="preserve"> </w:t>
      </w:r>
    </w:p>
    <w:p w14:paraId="104E8FA7" w14:textId="77777777" w:rsidR="00A05A11" w:rsidRDefault="00A05A11" w:rsidP="00A05A11">
      <w:pPr>
        <w:pStyle w:val="BodyText"/>
      </w:pPr>
      <w:r>
        <w:tab/>
      </w:r>
      <w:r w:rsidRPr="00A05A11">
        <w:t xml:space="preserve">• </w:t>
      </w:r>
      <w:r w:rsidRPr="00A05A11">
        <w:rPr>
          <w:i/>
          <w:iCs/>
        </w:rPr>
        <w:t>Sending LinkedIn invitations directing former coworkers to a job posting as solicitation</w:t>
      </w:r>
      <w:r w:rsidRPr="00A05A11">
        <w:t xml:space="preserve">. As to the question whether LinkedIn communications or postings can violate a nonsolicitation or noncompetition requirement under Illinois law, see </w:t>
      </w:r>
      <w:r w:rsidRPr="00A05A11">
        <w:rPr>
          <w:i/>
          <w:iCs/>
        </w:rPr>
        <w:t>Bankers Life &amp; Casualty Co. v. American Senior Benefits LLC,</w:t>
      </w:r>
      <w:r w:rsidRPr="00A05A11">
        <w:t xml:space="preserve"> 416 Ill. Dec. 248, 253–56, 83 N.E.3d 1085, 1090–93 (Ill. 1st Dist. Ct. App. 2017) (citing cases from other jurisdictions).</w:t>
      </w:r>
    </w:p>
    <w:p w14:paraId="30E9AA99" w14:textId="77777777" w:rsidR="006532A6" w:rsidRPr="00A05A11" w:rsidRDefault="006532A6" w:rsidP="00A05A11">
      <w:pPr>
        <w:pStyle w:val="BodyText"/>
      </w:pPr>
    </w:p>
    <w:p w14:paraId="0F427A83" w14:textId="77777777" w:rsidR="00A05A11" w:rsidRDefault="00A05A11" w:rsidP="00A05A11">
      <w:pPr>
        <w:pStyle w:val="BodyText"/>
      </w:pPr>
      <w:r>
        <w:tab/>
      </w:r>
      <w:r w:rsidRPr="00A05A11">
        <w:t xml:space="preserve">• </w:t>
      </w:r>
      <w:r w:rsidRPr="00A05A11">
        <w:rPr>
          <w:i/>
          <w:iCs/>
        </w:rPr>
        <w:t xml:space="preserve">Nontargeted advertising emanating from one county does not constitute breach of a covenant not to compete restricted to a different </w:t>
      </w:r>
      <w:r w:rsidRPr="00A05A11">
        <w:rPr>
          <w:i/>
          <w:iCs/>
        </w:rPr>
        <w:lastRenderedPageBreak/>
        <w:t>county</w:t>
      </w:r>
      <w:r w:rsidRPr="00A05A11">
        <w:t xml:space="preserve">. Although advertising </w:t>
      </w:r>
      <w:r w:rsidRPr="00A05A11">
        <w:rPr>
          <w:i/>
          <w:iCs/>
        </w:rPr>
        <w:t>targeted to</w:t>
      </w:r>
      <w:r w:rsidRPr="00A05A11">
        <w:t xml:space="preserve"> potential customers located in a county covered by a reasonably limited covenant not to compete may constitute a breach of such a covenant</w:t>
      </w:r>
      <w:r w:rsidRPr="00A05A11">
        <w:rPr>
          <w:i/>
          <w:iCs/>
        </w:rPr>
        <w:t xml:space="preserve">, general </w:t>
      </w:r>
      <w:r w:rsidRPr="00A05A11">
        <w:t xml:space="preserve">advertising has been found not to constitute a breach of such a covenant. </w:t>
      </w:r>
      <w:r w:rsidRPr="00A05A11">
        <w:rPr>
          <w:i/>
          <w:iCs/>
        </w:rPr>
        <w:t>Bosley Med. Grp., S.C. v. Yates</w:t>
      </w:r>
      <w:r w:rsidRPr="00A05A11">
        <w:t>, 2012 WL 5894339 (Ill. Cir. Ct. Oct. 30, 2012).</w:t>
      </w:r>
    </w:p>
    <w:p w14:paraId="0462BFA5" w14:textId="77777777" w:rsidR="006532A6" w:rsidRPr="00A05A11" w:rsidRDefault="006532A6" w:rsidP="00A05A11">
      <w:pPr>
        <w:pStyle w:val="BodyText"/>
      </w:pPr>
    </w:p>
    <w:p w14:paraId="5B5EDE6D" w14:textId="77777777" w:rsidR="00A05A11" w:rsidRDefault="00A05A11" w:rsidP="00A05A11">
      <w:pPr>
        <w:pStyle w:val="BodyText"/>
      </w:pPr>
      <w:r>
        <w:tab/>
      </w:r>
      <w:r w:rsidRPr="00A05A11">
        <w:t xml:space="preserve">• </w:t>
      </w:r>
      <w:r w:rsidRPr="00A05A11">
        <w:rPr>
          <w:i/>
          <w:iCs/>
        </w:rPr>
        <w:t>No breach established where no “competition” can occur</w:t>
      </w:r>
      <w:r w:rsidRPr="00A05A11">
        <w:t xml:space="preserve">. In </w:t>
      </w:r>
      <w:r w:rsidRPr="00A05A11">
        <w:rPr>
          <w:i/>
          <w:iCs/>
        </w:rPr>
        <w:t>Taimoorazy v. Bloomington Anesthesiology Service, Ltd.</w:t>
      </w:r>
      <w:r w:rsidRPr="00A05A11">
        <w:t>, 122 F. Supp. 2d 967 (C.D. Ill. 2000), an anesthesiology service provider unsuccessfully charged that two former employee anesthesiologists had breached covenants not to compete within McLean County (one of the employees was also barred from competing in Livingston County) when they began working at a hospital located in McLean County, but at which the employer was itself precluded from providing services. Focusing on the word “compete,” the court observed:</w:t>
      </w:r>
    </w:p>
    <w:p w14:paraId="6187F25B" w14:textId="77777777" w:rsidR="006532A6" w:rsidRPr="00A05A11" w:rsidRDefault="006532A6" w:rsidP="00A05A11">
      <w:pPr>
        <w:pStyle w:val="BodyText"/>
      </w:pPr>
    </w:p>
    <w:p w14:paraId="37698971" w14:textId="63E54230" w:rsidR="00A05A11" w:rsidRPr="006532A6" w:rsidRDefault="00A05A11" w:rsidP="006532A6">
      <w:pPr>
        <w:pStyle w:val="BodyText"/>
        <w:ind w:left="480"/>
        <w:rPr>
          <w:sz w:val="20"/>
          <w:szCs w:val="20"/>
        </w:rPr>
      </w:pPr>
      <w:r>
        <w:tab/>
      </w:r>
      <w:r w:rsidRPr="006532A6">
        <w:rPr>
          <w:sz w:val="20"/>
          <w:szCs w:val="20"/>
        </w:rPr>
        <w:t xml:space="preserve">Contrary to the interpretation that has sometimes been offered by [former employer] Bloomington Anesthesiology in its letters and pleadings, the plain language of the restrictive covenant in Article 20 of the Employment Agreement does not preclude [the former employees] from doing business or practicing medicine in McLean County; rather, it only prohibits [them] from participating in or associating with a practice which competes with Bloomington Anesthesiology. “Competition” is commonly defined as “[t]he efforts or action of two or more commercial interests to obtain the same business from third parties.” Black’s Law Dictionary, 7th Edition ([added emphasis omitted]). Similarly, Illinois courts have defined the term as follows: “‘Compete’ means to seek or strive for something for which others are contending or to vie with another for a prize </w:t>
      </w:r>
      <w:r w:rsidRPr="006532A6">
        <w:rPr>
          <w:rFonts w:ascii="Times New Roman" w:hAnsi="Times New Roman" w:cs="Times New Roman"/>
          <w:sz w:val="20"/>
          <w:szCs w:val="20"/>
        </w:rPr>
        <w:t> </w:t>
      </w:r>
      <w:r w:rsidR="00944F63">
        <w:rPr>
          <w:sz w:val="20"/>
          <w:szCs w:val="20"/>
        </w:rPr>
        <w:t>…</w:t>
      </w:r>
      <w:r w:rsidRPr="006532A6">
        <w:rPr>
          <w:rFonts w:ascii="Times New Roman" w:hAnsi="Times New Roman" w:cs="Times New Roman"/>
          <w:sz w:val="20"/>
          <w:szCs w:val="20"/>
        </w:rPr>
        <w:t> </w:t>
      </w:r>
      <w:r w:rsidRPr="006532A6">
        <w:rPr>
          <w:sz w:val="20"/>
          <w:szCs w:val="20"/>
        </w:rPr>
        <w:t>to strive for a position, reward, profit or goal for which another is striving; to contend in rivalry.</w:t>
      </w:r>
      <w:r w:rsidRPr="006532A6">
        <w:rPr>
          <w:rFonts w:ascii="Goudy Old Style" w:hAnsi="Goudy Old Style" w:cs="Goudy Old Style"/>
          <w:sz w:val="20"/>
          <w:szCs w:val="20"/>
        </w:rPr>
        <w:t>”</w:t>
      </w:r>
      <w:r w:rsidRPr="006532A6">
        <w:rPr>
          <w:sz w:val="20"/>
          <w:szCs w:val="20"/>
        </w:rPr>
        <w:t xml:space="preserve"> </w:t>
      </w:r>
      <w:r w:rsidRPr="006532A6">
        <w:rPr>
          <w:i/>
          <w:iCs/>
          <w:sz w:val="20"/>
          <w:szCs w:val="20"/>
        </w:rPr>
        <w:t>Hagerty, Lockenvitz, Ginzkey, etc. v. Ginzkey</w:t>
      </w:r>
      <w:r w:rsidRPr="006532A6">
        <w:rPr>
          <w:sz w:val="20"/>
          <w:szCs w:val="20"/>
        </w:rPr>
        <w:t xml:space="preserve">, 85 Ill. App. 3d 640, 40 Ill. Dec. 778, 406 N.E.2d 1145, 1146 (4th Dist. 1980) ([added </w:t>
      </w:r>
      <w:r w:rsidRPr="006532A6">
        <w:rPr>
          <w:sz w:val="20"/>
          <w:szCs w:val="20"/>
        </w:rPr>
        <w:br/>
        <w:t xml:space="preserve">emphasis omitted]). An individual who is merely present and available to provide services, but who has not actively solicited business, has not engaged in competition. </w:t>
      </w:r>
      <w:r w:rsidRPr="006532A6">
        <w:rPr>
          <w:i/>
          <w:iCs/>
          <w:sz w:val="20"/>
          <w:szCs w:val="20"/>
        </w:rPr>
        <w:t>Id.</w:t>
      </w:r>
      <w:r w:rsidRPr="006532A6">
        <w:rPr>
          <w:sz w:val="20"/>
          <w:szCs w:val="20"/>
        </w:rPr>
        <w:t xml:space="preserve"> at 1147, 40 Ill. Dec. 778.</w:t>
      </w:r>
    </w:p>
    <w:p w14:paraId="66CA7B9B" w14:textId="77777777" w:rsidR="00A05A11" w:rsidRPr="006532A6" w:rsidRDefault="00A05A11" w:rsidP="006532A6">
      <w:pPr>
        <w:pStyle w:val="BodyText"/>
        <w:ind w:left="480"/>
        <w:rPr>
          <w:sz w:val="20"/>
          <w:szCs w:val="20"/>
        </w:rPr>
      </w:pPr>
      <w:r w:rsidRPr="006532A6">
        <w:rPr>
          <w:sz w:val="20"/>
          <w:szCs w:val="20"/>
        </w:rPr>
        <w:tab/>
      </w:r>
      <w:r w:rsidRPr="006532A6">
        <w:rPr>
          <w:sz w:val="20"/>
          <w:szCs w:val="20"/>
        </w:rPr>
        <w:tab/>
        <w:t xml:space="preserve">Here, [the former employees] sought positions with the anesthesia group that provided services to BroMenn Hospital and ultimately obtained staff privileges at BroMenn Hospital. The record is devoid of any evidence suggesting that [the former employees] have actively solicited any of the patients or hospitals served by Bloomington Anesthesiology or that </w:t>
      </w:r>
      <w:r w:rsidRPr="006532A6">
        <w:rPr>
          <w:sz w:val="20"/>
          <w:szCs w:val="20"/>
        </w:rPr>
        <w:lastRenderedPageBreak/>
        <w:t>Bloomington Anesthesiology is either seeking or has any interest in developing an anesthesiology practice at BroMenn Hospital. To the contrary, Bloomington Anesthesiology admits that as part of its agreement with OSF Healthcare System to provide exclusive anesthesia services at St. Joseph[, which is located in McLean County], it agreed not to provide any anesthesia services at BroMenn Hospital. In fact, the contract specifically provides that Bloomington Anesthesiology “shall not participate in or maintain an interest, either directly or indirectly, in any anesthesiology services which are in competition in any manner with the [St. Joseph] MEDICAL CENTER or the SURGICAL CENTER within McLean County, Illinois.”</w:t>
      </w:r>
    </w:p>
    <w:p w14:paraId="00F4D50F" w14:textId="77777777" w:rsidR="00A05A11" w:rsidRPr="006532A6" w:rsidRDefault="00A05A11" w:rsidP="006532A6">
      <w:pPr>
        <w:pStyle w:val="BodyText"/>
        <w:ind w:left="480"/>
        <w:rPr>
          <w:sz w:val="20"/>
          <w:szCs w:val="20"/>
        </w:rPr>
      </w:pPr>
      <w:r w:rsidRPr="006532A6">
        <w:rPr>
          <w:sz w:val="20"/>
          <w:szCs w:val="20"/>
        </w:rPr>
        <w:tab/>
      </w:r>
      <w:r w:rsidRPr="006532A6">
        <w:rPr>
          <w:sz w:val="20"/>
          <w:szCs w:val="20"/>
        </w:rPr>
        <w:tab/>
        <w:t xml:space="preserve">[The former employer] argues that there has been competition in violation of Article 20, because BroMenn Hospital in some sense competes with St. Joseph for patients. However, the Court rejects this argument, as there has been no demonstration that [the former employees] have “actively solicited business” as opposed to being “merely present and available” to provide services when requested at a facility in which [doctors still associated with the former employer] are precluded from offering services. </w:t>
      </w:r>
      <w:r w:rsidRPr="006532A6">
        <w:rPr>
          <w:i/>
          <w:iCs/>
          <w:sz w:val="20"/>
          <w:szCs w:val="20"/>
        </w:rPr>
        <w:t>See Hagerty, et al.</w:t>
      </w:r>
      <w:r w:rsidRPr="006532A6">
        <w:rPr>
          <w:sz w:val="20"/>
          <w:szCs w:val="20"/>
        </w:rPr>
        <w:t xml:space="preserve">, 40 Ill. Dec. 778, 406 N.E.2d at 1147. The concept of theoretical or conceptual competition proposed by [the former </w:t>
      </w:r>
      <w:r w:rsidRPr="006532A6">
        <w:rPr>
          <w:sz w:val="20"/>
          <w:szCs w:val="20"/>
        </w:rPr>
        <w:br/>
        <w:t>employer] is contrary to Illinois law.</w:t>
      </w:r>
    </w:p>
    <w:p w14:paraId="4B9E5B91" w14:textId="77777777" w:rsidR="00A05A11" w:rsidRPr="006532A6" w:rsidRDefault="00A05A11" w:rsidP="006532A6">
      <w:pPr>
        <w:pStyle w:val="BodyText"/>
        <w:ind w:left="480"/>
        <w:rPr>
          <w:sz w:val="20"/>
          <w:szCs w:val="20"/>
        </w:rPr>
      </w:pPr>
      <w:r w:rsidRPr="006532A6">
        <w:rPr>
          <w:sz w:val="20"/>
          <w:szCs w:val="20"/>
        </w:rPr>
        <w:tab/>
      </w:r>
      <w:r w:rsidRPr="006532A6">
        <w:rPr>
          <w:sz w:val="20"/>
          <w:szCs w:val="20"/>
        </w:rPr>
        <w:tab/>
        <w:t xml:space="preserve">Moreover, “the meaning to be given to the plain words of a written instrument is a question of law for the court’s determination where the parties have attached no unusual or peculiar meaning to the words.” </w:t>
      </w:r>
      <w:r w:rsidRPr="006532A6">
        <w:rPr>
          <w:i/>
          <w:iCs/>
          <w:sz w:val="20"/>
          <w:szCs w:val="20"/>
        </w:rPr>
        <w:t>Id.</w:t>
      </w:r>
      <w:r w:rsidRPr="006532A6">
        <w:rPr>
          <w:sz w:val="20"/>
          <w:szCs w:val="20"/>
        </w:rPr>
        <w:t xml:space="preserve"> at 1146, 40 Ill. Dec. 778. The plain language of the restrictive covenant at issue in this case prohibits [the former employees] from competing with Bloomington Anesthesiology and the business that it conducts but does not prohibit them from engaging in any services offered by St. Joseph or practicing medicine in a location within McLean County that does not infringe on the business conducted by Bloomington Anesthesiology. The fact that the hospitals themselves may compete for patients is not included within the plain language of the restrictive covenant and is simply irrelevant to any legitimate interest that Bloomington Anesthesiology has in protecting its medical practice at St. Joseph. In drafting the Employment Agreement, Bloomington Anesthesiology did not include language indicating an intent to bar [the former employees] from practicing medicine at any hospital that can be said to compete with the hospital(s) at which [the former employer] provides exclusive services, and it cannot now seek to enforce an aspect of a covenant that does not exist.</w:t>
      </w:r>
    </w:p>
    <w:p w14:paraId="152BAF95" w14:textId="13B6B13B" w:rsidR="00A05A11" w:rsidRPr="006532A6" w:rsidRDefault="00A05A11" w:rsidP="006532A6">
      <w:pPr>
        <w:pStyle w:val="BodyText"/>
        <w:ind w:left="480"/>
        <w:rPr>
          <w:sz w:val="20"/>
          <w:szCs w:val="20"/>
        </w:rPr>
      </w:pPr>
      <w:r w:rsidRPr="006532A6">
        <w:rPr>
          <w:sz w:val="20"/>
          <w:szCs w:val="20"/>
        </w:rPr>
        <w:tab/>
      </w:r>
      <w:r w:rsidRPr="006532A6">
        <w:rPr>
          <w:sz w:val="20"/>
          <w:szCs w:val="20"/>
        </w:rPr>
        <w:tab/>
        <w:t xml:space="preserve">Thus, under the particular and somewhat unique circumstances of this case, Bloomington Anesthesiology is contractually prohibited from providing any anesthesia services at BroMenn Hospital and can therefore have no legitimate business interest in preventing [the former employees] </w:t>
      </w:r>
      <w:r w:rsidRPr="006532A6">
        <w:rPr>
          <w:sz w:val="20"/>
          <w:szCs w:val="20"/>
        </w:rPr>
        <w:lastRenderedPageBreak/>
        <w:t>from providing such services. In light of the facts of record in this case, [the former employees] cannot reasonably be said to have associated with or participated in a practice which competes with the business conducted by Bloomington Anesthesiology or to have actively solicited its clients. Accordingly, even assuming that the restrictive covenant was generally valid and enforceable, the Court finds that [the former employees have] not violated Article 20 of [the] Employment Agreement as written.</w:t>
      </w:r>
      <w:r w:rsidRPr="006532A6">
        <w:rPr>
          <w:rFonts w:ascii="Times New Roman" w:hAnsi="Times New Roman" w:cs="Times New Roman"/>
          <w:sz w:val="20"/>
          <w:szCs w:val="20"/>
        </w:rPr>
        <w:t> </w:t>
      </w:r>
      <w:r w:rsidR="00944F63">
        <w:rPr>
          <w:sz w:val="20"/>
          <w:szCs w:val="20"/>
        </w:rPr>
        <w:t>…</w:t>
      </w:r>
      <w:r w:rsidRPr="006532A6">
        <w:rPr>
          <w:rFonts w:ascii="Times New Roman" w:hAnsi="Times New Roman" w:cs="Times New Roman"/>
          <w:sz w:val="20"/>
          <w:szCs w:val="20"/>
        </w:rPr>
        <w:t> </w:t>
      </w:r>
    </w:p>
    <w:p w14:paraId="47FBA744" w14:textId="77777777" w:rsidR="00A05A11" w:rsidRPr="00A05A11" w:rsidRDefault="00A05A11" w:rsidP="00A05A11">
      <w:pPr>
        <w:pStyle w:val="BodyText"/>
      </w:pPr>
      <w:r w:rsidRPr="00A05A11">
        <w:rPr>
          <w:i/>
          <w:iCs/>
        </w:rPr>
        <w:t>Id.</w:t>
      </w:r>
      <w:r w:rsidRPr="00A05A11">
        <w:t xml:space="preserve"> at 979–80.</w:t>
      </w:r>
    </w:p>
    <w:p w14:paraId="1C4CC820" w14:textId="77777777" w:rsidR="00655396" w:rsidRDefault="00A05A11" w:rsidP="00A05A11">
      <w:pPr>
        <w:pStyle w:val="BodyText"/>
        <w:spacing w:line="240" w:lineRule="auto"/>
      </w:pPr>
      <w:r>
        <w:tab/>
      </w:r>
      <w:r w:rsidRPr="00A05A11">
        <w:t xml:space="preserve">• </w:t>
      </w:r>
      <w:r w:rsidRPr="00A05A11">
        <w:rPr>
          <w:i/>
          <w:iCs/>
        </w:rPr>
        <w:t>De minimis or technical breaches</w:t>
      </w:r>
      <w:r w:rsidRPr="00A05A11">
        <w:t xml:space="preserve">. Attendance at continuing education classes and business meetings of a subsequent competing employer at branch offices—at which the employee does not actually work—within a covenant-proscribed area does not constitute anything more than a de minimis or technical breach of a covenant against engaging in the relevant business within the proscribed area. </w:t>
      </w:r>
      <w:r w:rsidRPr="00A05A11">
        <w:rPr>
          <w:i/>
          <w:iCs/>
        </w:rPr>
        <w:t>Sheehy v. Sheehy</w:t>
      </w:r>
      <w:r w:rsidRPr="00A05A11">
        <w:t>, 299 Ill. App. 3d 996, 1001–03, 234 Ill. Dec. 34, 38–39, 702 N.E.2d 200, 204–05, 14 IER Cases 833 (1st Dist. 1998).</w:t>
      </w:r>
    </w:p>
    <w:p w14:paraId="48A64718" w14:textId="77777777" w:rsidR="00655396" w:rsidRDefault="00655396" w:rsidP="008B512B">
      <w:pPr>
        <w:pStyle w:val="BodyText"/>
        <w:spacing w:line="240" w:lineRule="auto"/>
      </w:pPr>
    </w:p>
    <w:p w14:paraId="2E024AE5" w14:textId="77777777" w:rsidR="00655396" w:rsidRDefault="00655396" w:rsidP="008B512B">
      <w:pPr>
        <w:pStyle w:val="AdditionalTopicsSectionHeadings"/>
        <w:spacing w:line="240" w:lineRule="auto"/>
      </w:pPr>
      <w:r>
        <w:t>Estoppel</w:t>
      </w:r>
    </w:p>
    <w:p w14:paraId="2900119A" w14:textId="77777777" w:rsidR="00655396" w:rsidRDefault="00655396" w:rsidP="008B512B">
      <w:pPr>
        <w:pStyle w:val="BodyText"/>
        <w:spacing w:line="240" w:lineRule="auto"/>
      </w:pPr>
    </w:p>
    <w:p w14:paraId="02B015B1" w14:textId="535889DC" w:rsidR="00655396" w:rsidRPr="006A121F" w:rsidRDefault="00655396" w:rsidP="008B512B">
      <w:pPr>
        <w:pStyle w:val="BodyText"/>
        <w:spacing w:line="240" w:lineRule="auto"/>
      </w:pPr>
      <w:r>
        <w:tab/>
        <w:t>The doctrine of estoppel precluded sellers, who filed a Chapter 7 bankruptcy petition, from recovering the balance of the purchase price for their business where the bankruptcy petition disclosed that one of the sellers received $25,000 as consideration for a covenant not to compete, that seller had signed a statement of affairs indicating that the remaining payments belonged to the estate, the trustee in bankruptcy had relied upon this representation in spending time and money pursuing recovery from the buyers, and the buyers had relied upon the representation in making payments to the trustee.</w:t>
      </w:r>
      <w:r w:rsidR="00FB1D09">
        <w:t xml:space="preserve"> </w:t>
      </w:r>
      <w:r w:rsidRPr="006A121F">
        <w:rPr>
          <w:i/>
        </w:rPr>
        <w:t>T&amp;M Enters., Inc. v. Muller</w:t>
      </w:r>
      <w:r w:rsidRPr="006A121F">
        <w:t>, 284 B.R. 256, 260–61 (Bankr. N.D. Ill. 2002).</w:t>
      </w:r>
    </w:p>
    <w:p w14:paraId="383CEB7D" w14:textId="77777777" w:rsidR="00655396" w:rsidRPr="006A121F" w:rsidRDefault="00655396" w:rsidP="008B512B">
      <w:pPr>
        <w:pStyle w:val="BodyText"/>
        <w:spacing w:line="240" w:lineRule="auto"/>
      </w:pPr>
    </w:p>
    <w:p w14:paraId="1422D921" w14:textId="77777777" w:rsidR="00655396" w:rsidRDefault="00655396" w:rsidP="008B512B">
      <w:pPr>
        <w:pStyle w:val="AdditionalTopicsSectionHeadings"/>
        <w:spacing w:line="240" w:lineRule="auto"/>
      </w:pPr>
      <w:r>
        <w:t>Evidence (Sufficiency)</w:t>
      </w:r>
    </w:p>
    <w:p w14:paraId="17F092BE" w14:textId="77777777" w:rsidR="00655396" w:rsidRDefault="00655396" w:rsidP="008B512B">
      <w:pPr>
        <w:pStyle w:val="BodyText"/>
        <w:spacing w:line="240" w:lineRule="auto"/>
      </w:pPr>
    </w:p>
    <w:p w14:paraId="033A4F01" w14:textId="77777777" w:rsidR="00655396" w:rsidRDefault="00655396" w:rsidP="008B512B">
      <w:pPr>
        <w:pStyle w:val="BodyText"/>
        <w:spacing w:line="240" w:lineRule="auto"/>
      </w:pPr>
      <w:r>
        <w:tab/>
        <w:t xml:space="preserve">In </w:t>
      </w:r>
      <w:r>
        <w:rPr>
          <w:i/>
          <w:iCs/>
        </w:rPr>
        <w:t>InsureOne Independent Insurance Agency LLC v. Hallberg</w:t>
      </w:r>
      <w:r>
        <w:t>, 976 N.E.2d 1014 (Ill. 1st Dist. Ct. App. 2012), an Illinois court of appeals determined that the evidence there was sufficient to establish that the anti-employee-raiding covenant negotiated by the sellers of an insurance business was enforceable.</w:t>
      </w:r>
    </w:p>
    <w:p w14:paraId="6EF593E1" w14:textId="77777777" w:rsidR="0036473D" w:rsidRDefault="0036473D" w:rsidP="008B512B">
      <w:pPr>
        <w:pStyle w:val="BodyText"/>
        <w:spacing w:line="240" w:lineRule="auto"/>
      </w:pPr>
    </w:p>
    <w:p w14:paraId="5E37199F" w14:textId="4B44369C" w:rsidR="00655396" w:rsidRDefault="00655396" w:rsidP="008B512B">
      <w:pPr>
        <w:pStyle w:val="BodyText"/>
        <w:spacing w:line="240" w:lineRule="auto"/>
      </w:pPr>
      <w:r>
        <w:tab/>
        <w:t xml:space="preserve">• </w:t>
      </w:r>
      <w:r>
        <w:rPr>
          <w:i/>
          <w:iCs/>
        </w:rPr>
        <w:t>Confidentiality of process</w:t>
      </w:r>
      <w:r>
        <w:t>.</w:t>
      </w:r>
      <w:r w:rsidR="00FB1D09">
        <w:t xml:space="preserve"> </w:t>
      </w:r>
      <w:r>
        <w:t xml:space="preserve">In challenging the confidentiality of </w:t>
      </w:r>
      <w:r>
        <w:lastRenderedPageBreak/>
        <w:t xml:space="preserve">a process for producing zirconium and demonstrating the process was publicly disclosed and, therefore, not properly subject to a confidentiality clause, an unauthenticated document is properly excluded under Fed. R. Evid. 901, the U.S. Court of Appeals for the Seventh Circuit decided in a case emanating from the U.S. District Court for the Northern District of Illinois. </w:t>
      </w:r>
      <w:r>
        <w:rPr>
          <w:i/>
          <w:iCs/>
        </w:rPr>
        <w:t>Chemetall GMBH v. ZR Energy, Inc.</w:t>
      </w:r>
      <w:r>
        <w:t>, 320 F.3d 714 (7th Cir. 2003).</w:t>
      </w:r>
    </w:p>
    <w:p w14:paraId="02DED57D" w14:textId="77777777" w:rsidR="00655396" w:rsidRDefault="00655396" w:rsidP="008B512B">
      <w:pPr>
        <w:pStyle w:val="BodyText"/>
        <w:spacing w:line="240" w:lineRule="auto"/>
      </w:pPr>
    </w:p>
    <w:p w14:paraId="39B0BF07" w14:textId="77777777" w:rsidR="00655396" w:rsidRDefault="00655396" w:rsidP="008B512B">
      <w:pPr>
        <w:pStyle w:val="AdditionalTopicsSectionHeadings"/>
        <w:spacing w:line="240" w:lineRule="auto"/>
      </w:pPr>
      <w:r>
        <w:t>Expiration of Contract, Effect of</w:t>
      </w:r>
    </w:p>
    <w:p w14:paraId="4C9D463D" w14:textId="77777777" w:rsidR="00655396" w:rsidRDefault="00655396" w:rsidP="008B512B">
      <w:pPr>
        <w:pStyle w:val="BodyText"/>
        <w:spacing w:line="240" w:lineRule="auto"/>
      </w:pPr>
    </w:p>
    <w:p w14:paraId="489C62B5" w14:textId="0E9DAB43" w:rsidR="00655396" w:rsidRDefault="00655396" w:rsidP="008B512B">
      <w:pPr>
        <w:pStyle w:val="BodyText"/>
        <w:spacing w:line="240" w:lineRule="auto"/>
      </w:pPr>
      <w:r>
        <w:tab/>
        <w:t xml:space="preserve">In </w:t>
      </w:r>
      <w:r>
        <w:rPr>
          <w:i/>
          <w:iCs/>
        </w:rPr>
        <w:t>Marwaha v. Woodridge Clinic, S.C.</w:t>
      </w:r>
      <w:r>
        <w:t xml:space="preserve">, 339 Ill. App. 3d 291 (2d Dist. 2003), </w:t>
      </w:r>
      <w:r>
        <w:rPr>
          <w:i/>
          <w:iCs/>
        </w:rPr>
        <w:t>appeal denied</w:t>
      </w:r>
      <w:r>
        <w:t>, 205 Ill. 2d 587, 803 N.E.2d 484 (2003) (table), the plaintiff, a medical doctor, was employed by the defendant medical clinic pursuant to an agreement providing for employment from July 1, 1993 through June 30, 1996.</w:t>
      </w:r>
      <w:r w:rsidR="00FB1D09">
        <w:t xml:space="preserve"> </w:t>
      </w:r>
      <w:r>
        <w:t xml:space="preserve">The employment agreement contained no provision for automatic extension or continuation beyond June 30, 1996, and contained a covenant not to compete providing that “upon termination of the Doctor’s </w:t>
      </w:r>
      <w:r>
        <w:rPr>
          <w:i/>
          <w:iCs/>
        </w:rPr>
        <w:t>employment</w:t>
      </w:r>
      <w:r>
        <w:t xml:space="preserve"> for any reason, the Doctor shall not [engage in various forms of competitive activity].”</w:t>
      </w:r>
      <w:r w:rsidR="00FB1D09">
        <w:t xml:space="preserve"> </w:t>
      </w:r>
      <w:r>
        <w:rPr>
          <w:i/>
          <w:iCs/>
        </w:rPr>
        <w:t>Id.</w:t>
      </w:r>
      <w:r>
        <w:t xml:space="preserve"> at 292 (emphasis added).</w:t>
      </w:r>
      <w:r w:rsidR="00FB1D09">
        <w:t xml:space="preserve"> </w:t>
      </w:r>
      <w:r>
        <w:t>After the expiration of the employment agreement on June 30, 1996, plaintiff continued to work for defendant.</w:t>
      </w:r>
      <w:r w:rsidR="00FB1D09">
        <w:t xml:space="preserve"> </w:t>
      </w:r>
      <w:r>
        <w:t xml:space="preserve">He finally received a </w:t>
      </w:r>
      <w:r>
        <w:br/>
        <w:t>notice of termination on November 24, 2001. The plaintiff sought a declaratory judgment that the covenant was unenforceable, and the clinic countersued for injunctive relief, claiming that the noncompete clause was triggered by the November 24, 2001, termination.</w:t>
      </w:r>
      <w:r w:rsidR="00FB1D09">
        <w:t xml:space="preserve"> </w:t>
      </w:r>
      <w:r>
        <w:t xml:space="preserve">The court interpreted the word “employment” in the noncompete to govern the relationship between the parties through June 30, 1996, relying upon the fact that the employment agreement provided in other sections employment through that period as well, the well settled rule in Illinois that words used in one part of a contract were deemed of like significance in anther, and the fact that noncompetes do not exist in perpetuity governing non-existent employment contracts. </w:t>
      </w:r>
      <w:r>
        <w:rPr>
          <w:i/>
          <w:iCs/>
        </w:rPr>
        <w:t>Id.</w:t>
      </w:r>
      <w:r>
        <w:t xml:space="preserve"> at 293–94.</w:t>
      </w:r>
      <w:r w:rsidR="00FB1D09">
        <w:t xml:space="preserve"> </w:t>
      </w:r>
      <w:r>
        <w:rPr>
          <w:i/>
          <w:iCs/>
        </w:rPr>
        <w:t>See generally</w:t>
      </w:r>
      <w:r>
        <w:t xml:space="preserve"> </w:t>
      </w:r>
      <w:r>
        <w:rPr>
          <w:i/>
          <w:iCs/>
        </w:rPr>
        <w:t>Virendra S. Bisla, M.D., Ltd. v. Parvaiz</w:t>
      </w:r>
      <w:r>
        <w:t xml:space="preserve">, 379 Ill. App. 3d 567, 572, 318 Ill. Dec. 822, 884 N.E.2d 790, 795 (1st Dist. 2008) (finding that postemployment covenant not to compete expired upon termination of parties’ 3-year, fixed-term employment contract); </w:t>
      </w:r>
      <w:r>
        <w:rPr>
          <w:i/>
          <w:iCs/>
        </w:rPr>
        <w:t>Benjamin v. Thompson</w:t>
      </w:r>
      <w:r>
        <w:t xml:space="preserve">, 2017 BL 287099, at *2 (N.D. Ill. Aug. 16, 2017) (ruling that former employer could not pursue claim </w:t>
      </w:r>
      <w:r>
        <w:lastRenderedPageBreak/>
        <w:t>that former employee had violated employment contract by soliciting former employer’s customers after contract had ended; reasoning that clause that former employee allegedly had violated clearly stated that it did not extend beyond term of underlying contract).</w:t>
      </w:r>
    </w:p>
    <w:p w14:paraId="32839DB6" w14:textId="77777777" w:rsidR="00655396" w:rsidRDefault="00655396" w:rsidP="008B512B">
      <w:pPr>
        <w:pStyle w:val="BodyText"/>
        <w:spacing w:line="240" w:lineRule="auto"/>
      </w:pPr>
    </w:p>
    <w:p w14:paraId="7E460E6E" w14:textId="77777777" w:rsidR="00655396" w:rsidRDefault="00655396" w:rsidP="008B512B">
      <w:pPr>
        <w:pStyle w:val="AdditionalTopicsSectionHeadings"/>
        <w:spacing w:line="240" w:lineRule="auto"/>
      </w:pPr>
      <w:r>
        <w:t>Expiration of Covenant’s Temporal Term, Effect of</w:t>
      </w:r>
    </w:p>
    <w:p w14:paraId="60A47E75"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219428F2" w14:textId="481CB462" w:rsidR="00655396" w:rsidRDefault="00655396" w:rsidP="008B512B">
      <w:pPr>
        <w:pStyle w:val="BodyText"/>
        <w:spacing w:line="240" w:lineRule="auto"/>
      </w:pPr>
      <w:r>
        <w:tab/>
        <w:t>Where the temporal term of a putative covenant not to compete would have expired before a hearing on a former employee’s declaratory judgment action to have the covenant declared unenforceable, the action is moot.</w:t>
      </w:r>
      <w:r w:rsidR="00FB1D09">
        <w:t xml:space="preserve"> </w:t>
      </w:r>
      <w:r>
        <w:rPr>
          <w:i/>
          <w:iCs/>
        </w:rPr>
        <w:t>Baker v. Daniel S. Berger, Ltd.</w:t>
      </w:r>
      <w:r>
        <w:t>, 323 Ill. App. 3d 956, 966–67, 257 Ill. Dec. 268, 277, 753 N.E.2d 463, 472 (1st Dist. 2001).</w:t>
      </w:r>
    </w:p>
    <w:p w14:paraId="4BF3889B" w14:textId="25AB3C2F" w:rsidR="00655396" w:rsidRDefault="00655396" w:rsidP="008B512B">
      <w:pPr>
        <w:pStyle w:val="BodyText"/>
        <w:spacing w:line="240" w:lineRule="auto"/>
      </w:pPr>
      <w:r>
        <w:tab/>
        <w:t>However, claims for damages, as opposed to those for injunctive relief, as to potential violations of a postemployment noncompetition covenant are not rendered moot in the Seventh Circuit by the expiration of the covenant’s temporal term.</w:t>
      </w:r>
      <w:r w:rsidR="00FB1D09">
        <w:t xml:space="preserve"> </w:t>
      </w:r>
      <w:r>
        <w:rPr>
          <w:i/>
          <w:iCs/>
        </w:rPr>
        <w:t>Cintas Corp. v. Perry</w:t>
      </w:r>
      <w:r>
        <w:t>, 517 F.3d 459, 466 n.3 (7th Cir. 2008) (on appeal from a federal district court sitting in Illinois</w:t>
      </w:r>
      <w:r w:rsidR="00D47546">
        <w:t xml:space="preserve">; </w:t>
      </w:r>
      <w:r>
        <w:t>applying Ohio substantive law).</w:t>
      </w:r>
    </w:p>
    <w:p w14:paraId="58CC8117" w14:textId="77777777" w:rsidR="00655396" w:rsidRDefault="00655396" w:rsidP="008B512B">
      <w:pPr>
        <w:pStyle w:val="BodyText"/>
        <w:spacing w:line="240" w:lineRule="auto"/>
      </w:pPr>
    </w:p>
    <w:p w14:paraId="388146F1" w14:textId="77777777" w:rsidR="00655396" w:rsidRDefault="00655396" w:rsidP="008B512B">
      <w:pPr>
        <w:pStyle w:val="AdditionalTopicsSectionHeadings"/>
        <w:spacing w:line="240" w:lineRule="auto"/>
      </w:pPr>
      <w:r>
        <w:t>Extension-of-Time Provisions</w:t>
      </w:r>
    </w:p>
    <w:p w14:paraId="528B617E"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482805BA"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A covenant provision calling for an extension of the temporal term in the event the former employee has violated the covenant has been held to make the covenant unreasonable in at least one employment-context case. </w:t>
      </w:r>
      <w:r>
        <w:rPr>
          <w:rFonts w:ascii="Baskerville" w:hAnsi="Baskerville" w:cs="Baskerville"/>
          <w:i/>
          <w:iCs/>
        </w:rPr>
        <w:t>Jefco Labs., Inc. v. Carroo,</w:t>
      </w:r>
      <w:r>
        <w:rPr>
          <w:rFonts w:ascii="Baskerville" w:hAnsi="Baskerville" w:cs="Baskerville"/>
        </w:rPr>
        <w:t xml:space="preserve"> 136 Ill. App. 3d 793, 799, 91 Ill. Dec. 513, 517, 483 N.E.2d 999, 1003 (1985) (cited in </w:t>
      </w:r>
      <w:r>
        <w:rPr>
          <w:rFonts w:ascii="Baskerville" w:hAnsi="Baskerville" w:cs="Baskerville"/>
          <w:i/>
          <w:iCs/>
        </w:rPr>
        <w:t>Howard Johnson &amp; Co. v. Feinstein,</w:t>
      </w:r>
      <w:r>
        <w:rPr>
          <w:rFonts w:ascii="Baskerville" w:hAnsi="Baskerville" w:cs="Baskerville"/>
        </w:rPr>
        <w:t xml:space="preserve"> 241 Ill. App. 3d 828, 837, 182 Ill. Dec. 396, 402, 609 N.E.2d 930, 935 (1st Dist. 1993) (sale-of-business covenant, no such provision at issue)).</w:t>
      </w:r>
    </w:p>
    <w:p w14:paraId="42707A13" w14:textId="77777777" w:rsidR="00655396" w:rsidRDefault="00655396" w:rsidP="008B512B">
      <w:pPr>
        <w:pStyle w:val="BodyText"/>
        <w:spacing w:line="240" w:lineRule="auto"/>
      </w:pPr>
    </w:p>
    <w:p w14:paraId="70080C02" w14:textId="77777777" w:rsidR="00655396" w:rsidRDefault="00655396" w:rsidP="008B512B">
      <w:pPr>
        <w:pStyle w:val="AdditionalTopicsSectionHeadings"/>
        <w:spacing w:line="240" w:lineRule="auto"/>
      </w:pPr>
      <w:r>
        <w:t>Fair Labor Standards Act</w:t>
      </w:r>
    </w:p>
    <w:p w14:paraId="7FC19226"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4010AB86" w14:textId="77777777" w:rsidR="00655396" w:rsidRDefault="00655396" w:rsidP="008B512B">
      <w:pPr>
        <w:pStyle w:val="BodyText"/>
        <w:spacing w:line="240" w:lineRule="auto"/>
      </w:pPr>
      <w:r>
        <w:tab/>
      </w:r>
      <w:r>
        <w:rPr>
          <w:i/>
          <w:iCs/>
        </w:rPr>
        <w:t>See</w:t>
      </w:r>
      <w:r>
        <w:t xml:space="preserve"> N. James Turner, </w:t>
      </w:r>
      <w:r>
        <w:rPr>
          <w:i/>
          <w:iCs/>
        </w:rPr>
        <w:t>Successfully Defending Employees in Noncompete and Trade Secret Litigation</w:t>
      </w:r>
      <w:r>
        <w:t xml:space="preserve">, 78 </w:t>
      </w:r>
      <w:r>
        <w:rPr>
          <w:smallCaps/>
        </w:rPr>
        <w:t>Fla. B.J.</w:t>
      </w:r>
      <w:r>
        <w:t xml:space="preserve"> 43 (Apr. 2004) (observing, </w:t>
      </w:r>
      <w:r>
        <w:rPr>
          <w:i/>
          <w:iCs/>
        </w:rPr>
        <w:t>id.</w:t>
      </w:r>
      <w:r>
        <w:t xml:space="preserve"> at 45, that “[o]ne area that is vastly overlooked in terms of establishing a material breach of contract as a defense to an action to enforce a noncompete agreement is a violation of the Fair Labor Standards Act (FLSA), [29 U.S.C. §§201–262].”).</w:t>
      </w:r>
    </w:p>
    <w:p w14:paraId="5A9106EC"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08C3845F" w14:textId="77777777" w:rsidR="00655396" w:rsidRDefault="00655396" w:rsidP="008B512B">
      <w:pPr>
        <w:pStyle w:val="AdditionalTopicsSectionHeadings"/>
        <w:spacing w:line="240" w:lineRule="auto"/>
      </w:pPr>
      <w:r>
        <w:t>Federal Antitrust Law, Interplay With State Law (Lack of)</w:t>
      </w:r>
    </w:p>
    <w:p w14:paraId="4FB9F4EC"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2BF5D55B"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The enforceability of a postemployment noncompete agreement is determined under Illinois law without any requirement for a review of reasonableness under federal antitrust law. </w:t>
      </w:r>
      <w:r>
        <w:rPr>
          <w:rFonts w:ascii="Baskerville" w:hAnsi="Baskerville" w:cs="Baskerville"/>
          <w:i/>
          <w:iCs/>
        </w:rPr>
        <w:t>Vascular &amp; Gen. Surgical Assocs. v. Loiterman</w:t>
      </w:r>
      <w:r>
        <w:rPr>
          <w:rFonts w:ascii="Baskerville" w:hAnsi="Baskerville" w:cs="Baskerville"/>
        </w:rPr>
        <w:t>, 234 Ill. App. 3d 1, 175 Ill. Dec. 232, 599 N.E.2d 1246, 1251 (1st Dist. 1992).</w:t>
      </w:r>
    </w:p>
    <w:p w14:paraId="1106D2D0" w14:textId="77777777" w:rsidR="00655396" w:rsidRDefault="00655396" w:rsidP="008B512B">
      <w:pPr>
        <w:pStyle w:val="BodyText"/>
        <w:spacing w:line="240" w:lineRule="auto"/>
      </w:pPr>
    </w:p>
    <w:p w14:paraId="4DD2255E" w14:textId="77777777" w:rsidR="00655396" w:rsidRDefault="00655396" w:rsidP="008B512B">
      <w:pPr>
        <w:pStyle w:val="AdditionalTopicsSectionHeadings"/>
        <w:spacing w:line="240" w:lineRule="auto"/>
      </w:pPr>
      <w:r>
        <w:t>Fiduciary Duty</w:t>
      </w:r>
    </w:p>
    <w:p w14:paraId="11F05CA5" w14:textId="77777777" w:rsidR="00655396" w:rsidRDefault="00655396" w:rsidP="008B512B">
      <w:pPr>
        <w:pStyle w:val="BodyText"/>
        <w:spacing w:line="240" w:lineRule="auto"/>
      </w:pPr>
    </w:p>
    <w:p w14:paraId="4D1EE315" w14:textId="77777777" w:rsidR="00A05A11" w:rsidRPr="00A05A11" w:rsidRDefault="00655396" w:rsidP="00A05A11">
      <w:pPr>
        <w:pStyle w:val="BodyText"/>
        <w:spacing w:line="240" w:lineRule="auto"/>
      </w:pPr>
      <w:r>
        <w:tab/>
      </w:r>
    </w:p>
    <w:p w14:paraId="34FA7EDC" w14:textId="10B65F23" w:rsidR="00A05A11" w:rsidRDefault="00A05A11" w:rsidP="009060B6">
      <w:pPr>
        <w:pStyle w:val="BodyText"/>
        <w:spacing w:line="240" w:lineRule="auto"/>
      </w:pPr>
      <w:r>
        <w:tab/>
      </w:r>
      <w:r w:rsidRPr="00A05A11">
        <w:t xml:space="preserve">• </w:t>
      </w:r>
      <w:r w:rsidRPr="00A05A11">
        <w:rPr>
          <w:i/>
          <w:iCs/>
        </w:rPr>
        <w:t>Employee duty of loyalty</w:t>
      </w:r>
      <w:r w:rsidRPr="00A05A11">
        <w:t xml:space="preserve">. For an extensive discussion of the employee duty of loyalty under Illinois law, see this state’s chapter in </w:t>
      </w:r>
      <w:r w:rsidRPr="000C462B">
        <w:rPr>
          <w:smallCaps/>
        </w:rPr>
        <w:t>Brian M. Malsberger, Employee Duty of Loyalty: A State-by-State Survey</w:t>
      </w:r>
      <w:r w:rsidRPr="00A05A11">
        <w:t xml:space="preserve"> (Arlington, Va.: Bloomberg Law, </w:t>
      </w:r>
      <w:r w:rsidR="004A3D31">
        <w:t>2023</w:t>
      </w:r>
      <w:r w:rsidR="009060B6">
        <w:t xml:space="preserve"> ed.) </w:t>
      </w:r>
      <w:r w:rsidR="003207CE">
        <w:t>(ebook)</w:t>
      </w:r>
      <w:r w:rsidR="009060B6">
        <w:t>.</w:t>
      </w:r>
    </w:p>
    <w:p w14:paraId="08E19CC9" w14:textId="77777777" w:rsidR="006532A6" w:rsidRPr="00A05A11" w:rsidRDefault="006532A6" w:rsidP="00A05A11">
      <w:pPr>
        <w:pStyle w:val="BodyText"/>
        <w:spacing w:line="240" w:lineRule="auto"/>
      </w:pPr>
    </w:p>
    <w:p w14:paraId="52487CD9" w14:textId="77777777" w:rsidR="00655396" w:rsidRDefault="00A05A11" w:rsidP="00A05A11">
      <w:pPr>
        <w:pStyle w:val="BodyText"/>
        <w:spacing w:line="240" w:lineRule="auto"/>
      </w:pPr>
      <w:r>
        <w:tab/>
      </w:r>
      <w:r w:rsidRPr="00A05A11">
        <w:t xml:space="preserve">• </w:t>
      </w:r>
      <w:r w:rsidRPr="00A05A11">
        <w:rPr>
          <w:i/>
          <w:iCs/>
        </w:rPr>
        <w:t>Fiduciary duty of partners; Law firm context.</w:t>
      </w:r>
      <w:r w:rsidRPr="00A05A11">
        <w:t xml:space="preserve"> Rule of Professional Conduct 5.6 governing attorneys was addressed by an Illinois court of appeals in </w:t>
      </w:r>
      <w:r w:rsidRPr="00A05A11">
        <w:rPr>
          <w:i/>
          <w:iCs/>
        </w:rPr>
        <w:t>Dowd &amp;</w:t>
      </w:r>
      <w:r w:rsidRPr="00A05A11">
        <w:t xml:space="preserve"> </w:t>
      </w:r>
      <w:r w:rsidRPr="00A05A11">
        <w:rPr>
          <w:i/>
          <w:iCs/>
        </w:rPr>
        <w:t>Dowd, Ltd. v. Gleason</w:t>
      </w:r>
      <w:r w:rsidRPr="00A05A11">
        <w:t>, 352 Ill. App. 3d 365, 816 N.E.2d 754 (1st Dist. 2004). On appeal from a judgment entered in favor of a law firm (and against former partners who had moved business to their new firm) for breach of fiduciary duty, breach of employment contracts, tortious interference with prospective economic advantage, and civil conspiracy, the court addressed the question of the enforceability of noncompetition covenants in employment agreements in light of Rule 5.6 of the Rules of Professional Conduct. The court affirmed the finding of breach of fiduciary duty, finding a similarity of the principles of fiduciary duties of lawyers, on one hand, and those of nonlawyer corporate officers and directors, on the other. Secretly attempting to lure firm clients to a new law firm, lying to partners about plans to leave on short notice, and taking files and clients are all inconsistent with a partner’s fiduciary duties, according to the court.</w:t>
      </w:r>
    </w:p>
    <w:p w14:paraId="41EA62A7" w14:textId="77777777" w:rsidR="00655396" w:rsidRDefault="00655396" w:rsidP="008B512B">
      <w:pPr>
        <w:pStyle w:val="BodyText"/>
        <w:spacing w:line="240" w:lineRule="auto"/>
      </w:pPr>
    </w:p>
    <w:p w14:paraId="57D787FE" w14:textId="77777777" w:rsidR="00655396" w:rsidRDefault="00655396" w:rsidP="008B512B">
      <w:pPr>
        <w:pStyle w:val="AdditionalTopicsSectionHeadings"/>
        <w:spacing w:line="240" w:lineRule="auto"/>
      </w:pPr>
      <w:r>
        <w:t>Forfeiture-for-Competition Clauses (Deferred Compensation/Incentive Plans)</w:t>
      </w:r>
    </w:p>
    <w:p w14:paraId="028907A0" w14:textId="77777777" w:rsidR="00655396" w:rsidRDefault="00655396" w:rsidP="008B512B">
      <w:pPr>
        <w:pStyle w:val="BodyText"/>
        <w:spacing w:line="240" w:lineRule="auto"/>
      </w:pPr>
    </w:p>
    <w:p w14:paraId="5DF62B43" w14:textId="226B32F5" w:rsidR="00655396" w:rsidRDefault="00655396" w:rsidP="008B512B">
      <w:pPr>
        <w:pStyle w:val="BodyText"/>
        <w:spacing w:line="240" w:lineRule="auto"/>
      </w:pPr>
      <w:r>
        <w:lastRenderedPageBreak/>
        <w:tab/>
        <w:t xml:space="preserve">In </w:t>
      </w:r>
      <w:r>
        <w:rPr>
          <w:i/>
          <w:iCs/>
        </w:rPr>
        <w:t>Scheffel &amp; Co., P.C. v. Fessler</w:t>
      </w:r>
      <w:r>
        <w:t>, 356 Ill. App. 3d 308, 292 Ill. Dec. 854, 827 N.E.2d 1 (5th Dist. 2005), an Illinois court of appeals upheld a shareholder-agreement-context noncompetition covenant executed by a certified public accountant, involuntarily retired from the accounting firm in which he had been both a shareholder and an officer.</w:t>
      </w:r>
      <w:r w:rsidR="00FB1D09">
        <w:t xml:space="preserve"> </w:t>
      </w:r>
      <w:r>
        <w:t xml:space="preserve">As geographically reduced by the court, the covenant covered any county in which the firm maintains an office and lasted (as judicially modified) </w:t>
      </w:r>
      <w:r>
        <w:rPr>
          <w:i/>
          <w:iCs/>
        </w:rPr>
        <w:t xml:space="preserve">as long as the retired shareholder receives deferred compensation </w:t>
      </w:r>
      <w:r>
        <w:t>from his former firm.</w:t>
      </w:r>
    </w:p>
    <w:p w14:paraId="47E694A4" w14:textId="4C0DCB65" w:rsidR="00655396" w:rsidRDefault="00655396" w:rsidP="008B512B">
      <w:pPr>
        <w:pStyle w:val="BodyText"/>
        <w:spacing w:line="240" w:lineRule="auto"/>
      </w:pPr>
      <w:r>
        <w:tab/>
        <w:t>Where a retirement plan contains a provision providing for the forfeiture of “[t]he benefit payable under the [p]lan” if the employee engages in postemployment competition with the employer,</w:t>
      </w:r>
      <w:r w:rsidR="00FB1D09">
        <w:t xml:space="preserve"> </w:t>
      </w:r>
      <w:r>
        <w:t xml:space="preserve">an employee must not only forfeit </w:t>
      </w:r>
      <w:r>
        <w:rPr>
          <w:i/>
          <w:iCs/>
        </w:rPr>
        <w:t>all</w:t>
      </w:r>
      <w:r>
        <w:t xml:space="preserve"> of the benefit if he breaches a reasonably limited covenant not to compete—and accordingly has no right to retain any plan distribution he received even prior to his covenant-breaching competition. </w:t>
      </w:r>
      <w:r>
        <w:rPr>
          <w:i/>
          <w:iCs/>
        </w:rPr>
        <w:t>Fishman v. Zurich Am. Ins. Co.</w:t>
      </w:r>
      <w:r>
        <w:t xml:space="preserve">, 539 F. Supp. 2d 1036, 1051 (N.D. Ill. 2008) (noting, </w:t>
      </w:r>
      <w:r>
        <w:rPr>
          <w:i/>
          <w:iCs/>
        </w:rPr>
        <w:t>id.</w:t>
      </w:r>
      <w:r>
        <w:t>, that “restrictive covenant jurisprudence regularly holds [a 2-year covenant against accepting employment with the employer’s rivals, as was involved in the instant case,] reasonable”).</w:t>
      </w:r>
    </w:p>
    <w:p w14:paraId="73E12640" w14:textId="77777777" w:rsidR="00585C30" w:rsidRDefault="00585C30" w:rsidP="008B512B">
      <w:pPr>
        <w:pStyle w:val="BodyText"/>
        <w:spacing w:line="240" w:lineRule="auto"/>
      </w:pPr>
    </w:p>
    <w:p w14:paraId="1F855AD1" w14:textId="77777777" w:rsidR="00585C30" w:rsidRDefault="0003011E" w:rsidP="008B512B">
      <w:pPr>
        <w:pStyle w:val="BodyText"/>
        <w:spacing w:line="240" w:lineRule="auto"/>
      </w:pPr>
      <w:r>
        <w:rPr>
          <w:b/>
          <w:bCs/>
        </w:rPr>
        <w:tab/>
      </w:r>
      <w:r w:rsidR="00585C30" w:rsidRPr="00585C30">
        <w:rPr>
          <w:b/>
          <w:bCs/>
        </w:rPr>
        <w:t>•</w:t>
      </w:r>
      <w:r w:rsidR="00585C30" w:rsidRPr="00585C30">
        <w:t xml:space="preserve"> </w:t>
      </w:r>
      <w:r w:rsidR="00585C30" w:rsidRPr="00585C30">
        <w:rPr>
          <w:i/>
          <w:iCs/>
        </w:rPr>
        <w:t>Key employee incentive bonus agreements</w:t>
      </w:r>
      <w:r w:rsidR="00585C30" w:rsidRPr="00585C30">
        <w:t>. The standard of enforceability for a noncompete agreement is the same standard for “</w:t>
      </w:r>
      <w:r w:rsidR="00585C30" w:rsidRPr="00585C30">
        <w:rPr>
          <w:i/>
          <w:iCs/>
        </w:rPr>
        <w:t>all</w:t>
      </w:r>
      <w:r w:rsidR="00585C30" w:rsidRPr="00585C30">
        <w:t xml:space="preserve"> post-employment restrictive covenants,” including one contained in a key employee incentive bonus agreement. </w:t>
      </w:r>
      <w:r w:rsidR="00585C30" w:rsidRPr="00585C30">
        <w:rPr>
          <w:i/>
          <w:iCs/>
        </w:rPr>
        <w:t>Act II Jewelry, LLC v. Wooten</w:t>
      </w:r>
      <w:r w:rsidR="00585C30" w:rsidRPr="00585C30">
        <w:t>, 318 F. Supp. 3d 1073, 1092 (N.D. Ill. 2018) (emphasis added; citing, inter alia</w:t>
      </w:r>
      <w:r w:rsidR="00585C30" w:rsidRPr="00585C30">
        <w:rPr>
          <w:i/>
          <w:iCs/>
        </w:rPr>
        <w:t>, Carlson Grp., Inc. v. Davenport</w:t>
      </w:r>
      <w:r w:rsidR="00585C30" w:rsidRPr="00585C30">
        <w:t>, 2016 BL 413648, 2016 U.S. Dist. LEXIS 171915, at *9 (N.D. Ill. Dec. 13, 2016) (analyzing nondisclosure and nonsolicitation covenant as a noncompetition covenant)).</w:t>
      </w:r>
    </w:p>
    <w:p w14:paraId="59F9B740" w14:textId="77777777" w:rsidR="00655396" w:rsidRDefault="00655396" w:rsidP="008B512B">
      <w:pPr>
        <w:pStyle w:val="BodyText"/>
        <w:spacing w:line="240" w:lineRule="auto"/>
      </w:pPr>
    </w:p>
    <w:p w14:paraId="5BF7FC59" w14:textId="77777777" w:rsidR="00655396" w:rsidRDefault="00655396" w:rsidP="008B512B">
      <w:pPr>
        <w:pStyle w:val="AdditionalTopicsSectionHeadings"/>
        <w:spacing w:line="240" w:lineRule="auto"/>
      </w:pPr>
      <w:r>
        <w:t>Franchise Agreements</w:t>
      </w:r>
    </w:p>
    <w:p w14:paraId="5398C3F6" w14:textId="77777777" w:rsidR="00655396" w:rsidRDefault="00655396" w:rsidP="008B512B">
      <w:pPr>
        <w:pStyle w:val="BodyText"/>
        <w:spacing w:line="240" w:lineRule="auto"/>
      </w:pPr>
    </w:p>
    <w:p w14:paraId="26A2A835" w14:textId="77DFB122" w:rsidR="00655396" w:rsidRDefault="00655396" w:rsidP="008B512B">
      <w:pPr>
        <w:pStyle w:val="BodyText"/>
        <w:spacing w:line="240" w:lineRule="auto"/>
      </w:pPr>
      <w:r>
        <w:tab/>
      </w:r>
      <w:r>
        <w:rPr>
          <w:i/>
          <w:iCs/>
        </w:rPr>
        <w:t>See</w:t>
      </w:r>
      <w:r>
        <w:t xml:space="preserve"> Paul Steinberg &amp; Gerald Lescatre, </w:t>
      </w:r>
      <w:r>
        <w:rPr>
          <w:i/>
          <w:iCs/>
        </w:rPr>
        <w:t>Beguiling Heresy</w:t>
      </w:r>
      <w:r w:rsidR="00D47546">
        <w:rPr>
          <w:i/>
          <w:iCs/>
        </w:rPr>
        <w:t xml:space="preserve">: </w:t>
      </w:r>
      <w:r>
        <w:rPr>
          <w:i/>
          <w:iCs/>
        </w:rPr>
        <w:t>Regulating the Franchise Relationship</w:t>
      </w:r>
      <w:r>
        <w:t xml:space="preserve">, 109 </w:t>
      </w:r>
      <w:r>
        <w:rPr>
          <w:smallCaps/>
        </w:rPr>
        <w:t>Penn St. L. Rev.</w:t>
      </w:r>
      <w:r>
        <w:t xml:space="preserve"> 105 (Summer 2004) (noting, </w:t>
      </w:r>
      <w:r>
        <w:rPr>
          <w:i/>
          <w:iCs/>
        </w:rPr>
        <w:t xml:space="preserve">id. </w:t>
      </w:r>
      <w:r>
        <w:t xml:space="preserve">at 170, that terminated franchisees “may find themselves unable to earn a living in their chosen field due to non-compete covenants;” observing, </w:t>
      </w:r>
      <w:r>
        <w:rPr>
          <w:i/>
          <w:iCs/>
        </w:rPr>
        <w:t>id.</w:t>
      </w:r>
      <w:r>
        <w:t xml:space="preserve"> at 222–23, that even if a franchisee is a lessee or owner of the property where the franchise is located, </w:t>
      </w:r>
      <w:r>
        <w:lastRenderedPageBreak/>
        <w:t>“non-compete covenants will prevent the franchisee from retaining the goodwill the franchisee has built;”</w:t>
      </w:r>
      <w:r w:rsidR="00FB1D09">
        <w:t xml:space="preserve"> </w:t>
      </w:r>
      <w:r>
        <w:t xml:space="preserve">adding, </w:t>
      </w:r>
      <w:r>
        <w:rPr>
          <w:i/>
          <w:iCs/>
        </w:rPr>
        <w:t xml:space="preserve">id. </w:t>
      </w:r>
      <w:r>
        <w:t>at 232, that “[a] franchisee may remain bound post-bankruptcy by the non-compete covenant—the courts are split on the issue.” (Footnote omitted)).</w:t>
      </w:r>
    </w:p>
    <w:p w14:paraId="491BCC0D" w14:textId="77777777" w:rsidR="00655396" w:rsidRDefault="00655396" w:rsidP="008B512B">
      <w:pPr>
        <w:pStyle w:val="BodyText"/>
        <w:spacing w:line="240" w:lineRule="auto"/>
      </w:pPr>
    </w:p>
    <w:p w14:paraId="4A6FDD8C" w14:textId="77777777" w:rsidR="00655396" w:rsidRDefault="00655396" w:rsidP="008B512B">
      <w:pPr>
        <w:pStyle w:val="AdditionalTopicsSectionHeadings"/>
        <w:spacing w:line="240" w:lineRule="auto"/>
      </w:pPr>
      <w:r>
        <w:t>Fraud</w:t>
      </w:r>
    </w:p>
    <w:p w14:paraId="409320FF" w14:textId="77777777" w:rsidR="00655396" w:rsidRDefault="00655396" w:rsidP="008B512B">
      <w:pPr>
        <w:pStyle w:val="BodyText"/>
        <w:spacing w:line="240" w:lineRule="auto"/>
        <w:rPr>
          <w:b/>
          <w:bCs/>
        </w:rPr>
      </w:pPr>
    </w:p>
    <w:p w14:paraId="6765A802" w14:textId="73182FD1" w:rsidR="00655396" w:rsidRDefault="00655396" w:rsidP="008B512B">
      <w:pPr>
        <w:pStyle w:val="BodyText"/>
        <w:spacing w:line="240" w:lineRule="auto"/>
        <w:rPr>
          <w:b/>
          <w:bCs/>
        </w:rPr>
      </w:pPr>
      <w:r>
        <w:tab/>
        <w:t>“Illinois courts have found as few as two broken promises enough to establish a scheme to defraud.”</w:t>
      </w:r>
      <w:r w:rsidR="00FB1D09">
        <w:t xml:space="preserve"> </w:t>
      </w:r>
      <w:r>
        <w:rPr>
          <w:i/>
          <w:iCs/>
        </w:rPr>
        <w:t>Wigod v. Wells Fargo Bank, N.A.,</w:t>
      </w:r>
      <w:r>
        <w:t xml:space="preserve"> 673 F.3d 547, 570 (7th Cir. 2012) (not a covenant case; citing, inter alia, </w:t>
      </w:r>
      <w:r>
        <w:rPr>
          <w:i/>
          <w:iCs/>
        </w:rPr>
        <w:t>Stamatakis Indus., Inc. v. King</w:t>
      </w:r>
      <w:r>
        <w:t>, 520 N.E.2d 770, 772–74 (Ill. Dist. Ct. App. 1987) (holding that plaintiff properly pled scheme to defraud by alleging that defendant had broken his promises to (1) make good on a contract for the purchase of equipment; and (2) enter into an employment contract for five years with a covenant not to compete)).</w:t>
      </w:r>
    </w:p>
    <w:p w14:paraId="41EB389B" w14:textId="77777777" w:rsidR="00655396" w:rsidRDefault="00655396" w:rsidP="008B512B">
      <w:pPr>
        <w:pStyle w:val="AdditionalTopicsSectionHeadings"/>
        <w:spacing w:line="240" w:lineRule="auto"/>
      </w:pPr>
      <w:r>
        <w:t xml:space="preserve">Fraudulent Conveyances </w:t>
      </w:r>
    </w:p>
    <w:p w14:paraId="77E77104" w14:textId="77777777" w:rsidR="00655396" w:rsidRDefault="00655396" w:rsidP="008B512B">
      <w:pPr>
        <w:pStyle w:val="BodyText"/>
        <w:spacing w:line="240" w:lineRule="auto"/>
      </w:pPr>
    </w:p>
    <w:p w14:paraId="04E79713" w14:textId="55C5AECE" w:rsidR="00655396" w:rsidRDefault="00655396" w:rsidP="008B512B">
      <w:pPr>
        <w:pStyle w:val="BodyText"/>
        <w:spacing w:line="240" w:lineRule="auto"/>
      </w:pPr>
      <w:r>
        <w:tab/>
      </w:r>
      <w:r>
        <w:rPr>
          <w:i/>
          <w:iCs/>
        </w:rPr>
        <w:t>See</w:t>
      </w:r>
      <w:r>
        <w:t xml:space="preserve"> Michael L. Cook, Alesia Ranney-Marinelli &amp; Kayalyn A. Marafioti, </w:t>
      </w:r>
      <w:r>
        <w:rPr>
          <w:i/>
          <w:iCs/>
        </w:rPr>
        <w:t>Fraudulent Transfers</w:t>
      </w:r>
      <w:r>
        <w:t>, available in</w:t>
      </w:r>
      <w:r>
        <w:rPr>
          <w:smallCaps/>
        </w:rPr>
        <w:t xml:space="preserve"> 25th Annual Current Developments in Bankruptcy &amp; Reorganization</w:t>
      </w:r>
      <w:r>
        <w:t xml:space="preserve"> at 659 (PLI, Commercial Law and Practice Course Handbook Series, Apr. 2003) (citing, </w:t>
      </w:r>
      <w:r>
        <w:rPr>
          <w:i/>
          <w:iCs/>
        </w:rPr>
        <w:t>id.</w:t>
      </w:r>
      <w:r>
        <w:t xml:space="preserve"> at 666,</w:t>
      </w:r>
      <w:r w:rsidR="00FB1D09">
        <w:t xml:space="preserve"> </w:t>
      </w:r>
      <w:r>
        <w:t xml:space="preserve">as an example of fraudulent transfers in the bankruptcy context, </w:t>
      </w:r>
      <w:r>
        <w:rPr>
          <w:i/>
          <w:iCs/>
        </w:rPr>
        <w:t>Limperis v. Kolacny (In re Chicago Music Corp.)</w:t>
      </w:r>
      <w:r>
        <w:t xml:space="preserve">, 36 B.R. 626 (Bankr. N.D. Ill. 1984) (debtor paid $55,000 to outgoing president for purported noncompetition covenant)). </w:t>
      </w:r>
    </w:p>
    <w:p w14:paraId="439B67AE" w14:textId="77777777" w:rsidR="00655396" w:rsidRDefault="00655396" w:rsidP="008B512B">
      <w:pPr>
        <w:pStyle w:val="BodyText"/>
        <w:spacing w:line="240" w:lineRule="auto"/>
      </w:pPr>
    </w:p>
    <w:p w14:paraId="3BE54565" w14:textId="77777777" w:rsidR="00655396" w:rsidRDefault="00655396" w:rsidP="008B512B">
      <w:pPr>
        <w:pStyle w:val="AdditionalTopicsSectionHeadings"/>
        <w:spacing w:line="240" w:lineRule="auto"/>
      </w:pPr>
      <w:r>
        <w:t>Freedom of Contract</w:t>
      </w:r>
    </w:p>
    <w:p w14:paraId="65A3FC98" w14:textId="77777777" w:rsidR="00655396" w:rsidRDefault="00655396" w:rsidP="008B512B">
      <w:pPr>
        <w:pStyle w:val="BodyText"/>
        <w:spacing w:line="240" w:lineRule="auto"/>
      </w:pPr>
    </w:p>
    <w:p w14:paraId="5F1E494E" w14:textId="12B0EF47" w:rsidR="00655396" w:rsidRDefault="00655396" w:rsidP="008B512B">
      <w:pPr>
        <w:pStyle w:val="BodyText"/>
        <w:spacing w:line="240" w:lineRule="auto"/>
      </w:pPr>
      <w:r>
        <w:tab/>
        <w:t xml:space="preserve">En route to enforcing a postemployment covenant in </w:t>
      </w:r>
      <w:r>
        <w:rPr>
          <w:i/>
          <w:iCs/>
        </w:rPr>
        <w:t>Prairie Eye Center, Ltd. v. Butler</w:t>
      </w:r>
      <w:r>
        <w:t>, 713 N.E.2d 610 (Ill. Ct. App. 4th Dist. 1999), an Illinois court of appeals stressed that “the freedom to contract” is just as important a public policy in Illinois as is the public policy in Illinois against unreasonable restraints of trade.</w:t>
      </w:r>
      <w:r w:rsidR="00FB1D09">
        <w:t xml:space="preserve"> </w:t>
      </w:r>
      <w:r>
        <w:rPr>
          <w:i/>
          <w:iCs/>
        </w:rPr>
        <w:t>Id.</w:t>
      </w:r>
      <w:r>
        <w:t xml:space="preserve"> at 615 (citing </w:t>
      </w:r>
      <w:r>
        <w:rPr>
          <w:i/>
          <w:iCs/>
        </w:rPr>
        <w:t>McClure Eng’g Assocs., Inc. v. Reuben H. Donnelly Corp.</w:t>
      </w:r>
      <w:r>
        <w:t>, 95 Ill. 2d 68, 72, 69 Ill. Dec. 183, 447 N.E.2d 400, 402 (1983)).</w:t>
      </w:r>
    </w:p>
    <w:p w14:paraId="27EF195E" w14:textId="77777777" w:rsidR="00655396" w:rsidRDefault="00655396" w:rsidP="008B512B">
      <w:pPr>
        <w:pStyle w:val="BodyText"/>
        <w:spacing w:line="240" w:lineRule="auto"/>
      </w:pPr>
      <w:r>
        <w:tab/>
      </w:r>
      <w:r>
        <w:rPr>
          <w:i/>
          <w:iCs/>
        </w:rPr>
        <w:t>See also</w:t>
      </w:r>
      <w:r>
        <w:t xml:space="preserve"> the discussion in the </w:t>
      </w:r>
      <w:r>
        <w:rPr>
          <w:i/>
          <w:iCs/>
        </w:rPr>
        <w:t>Physicians and Public Policy</w:t>
      </w:r>
      <w:r>
        <w:t xml:space="preserve"> entry, </w:t>
      </w:r>
      <w:r>
        <w:rPr>
          <w:i/>
          <w:iCs/>
        </w:rPr>
        <w:t>infra</w:t>
      </w:r>
      <w:r>
        <w:t xml:space="preserve"> in this </w:t>
      </w:r>
      <w:r>
        <w:rPr>
          <w:i/>
          <w:iCs/>
        </w:rPr>
        <w:t>Additional Topics</w:t>
      </w:r>
      <w:r>
        <w:t xml:space="preserve"> section.</w:t>
      </w:r>
    </w:p>
    <w:p w14:paraId="1AACF16F" w14:textId="77777777" w:rsidR="00655396" w:rsidRDefault="00655396" w:rsidP="008B512B">
      <w:pPr>
        <w:pStyle w:val="BodyText"/>
        <w:spacing w:line="240" w:lineRule="auto"/>
      </w:pPr>
    </w:p>
    <w:p w14:paraId="77B6F155" w14:textId="77777777" w:rsidR="00655396" w:rsidRDefault="00655396" w:rsidP="008B512B">
      <w:pPr>
        <w:pStyle w:val="AdditionalTopicsSectionHeadings"/>
        <w:spacing w:line="240" w:lineRule="auto"/>
      </w:pPr>
      <w:r>
        <w:lastRenderedPageBreak/>
        <w:t>Hospital Staffing Contracts</w:t>
      </w:r>
    </w:p>
    <w:p w14:paraId="40554B0E"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232D379F" w14:textId="280D015F"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In </w:t>
      </w:r>
      <w:r>
        <w:rPr>
          <w:rFonts w:ascii="Baskerville" w:hAnsi="Baskerville" w:cs="Baskerville"/>
          <w:i/>
          <w:iCs/>
        </w:rPr>
        <w:t>Emergency Medical Care, Inc. v. Marion Memorial Hospital</w:t>
      </w:r>
      <w:r>
        <w:rPr>
          <w:rFonts w:ascii="Baskerville" w:hAnsi="Baskerville" w:cs="Baskerville"/>
        </w:rPr>
        <w:t>, 94 F.3d 1059 (7th Cir. 1996), the Seventh Circuit was called upon to construe under Illinois law an anti-raiding/liquidated damages clause (Paragraph J) in an emergency room physician-staffing contract between Marion Memorial Hospital and Emergency Medical Care, Inc. (EMC), a medical organization that once supplied the hospital with physicians to staff its emergency room.</w:t>
      </w:r>
      <w:r w:rsidR="00FB1D09">
        <w:rPr>
          <w:rFonts w:ascii="Baskerville" w:hAnsi="Baskerville" w:cs="Baskerville"/>
        </w:rPr>
        <w:t xml:space="preserve"> </w:t>
      </w:r>
      <w:r>
        <w:rPr>
          <w:rFonts w:ascii="Baskerville" w:hAnsi="Baskerville" w:cs="Baskerville"/>
        </w:rPr>
        <w:t>Paragraph J provided that the Hospital would not “</w:t>
      </w:r>
      <w:r>
        <w:rPr>
          <w:rFonts w:ascii="Baskerville" w:hAnsi="Baskerville" w:cs="Baskerville"/>
          <w:i/>
          <w:iCs/>
        </w:rPr>
        <w:t>directly or indirectly enter into any agreement</w:t>
      </w:r>
      <w:r>
        <w:rPr>
          <w:rFonts w:ascii="Baskerville" w:hAnsi="Baskerville" w:cs="Baskerville"/>
        </w:rPr>
        <w:t xml:space="preserve"> covering the same or similar services as are provided herein </w:t>
      </w:r>
      <w:r>
        <w:rPr>
          <w:rFonts w:ascii="Baskerville" w:hAnsi="Baskerville" w:cs="Baskerville"/>
          <w:i/>
          <w:iCs/>
        </w:rPr>
        <w:t>with</w:t>
      </w:r>
      <w:r>
        <w:rPr>
          <w:rFonts w:ascii="Baskerville" w:hAnsi="Baskerville" w:cs="Baskerville"/>
        </w:rPr>
        <w:t xml:space="preserve"> any physician introduced to it by EMC or with whom it came into a business or professional relationship as a result of this Agreement.”</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1060 (emphasis added).</w:t>
      </w:r>
      <w:r w:rsidR="00FB1D09">
        <w:rPr>
          <w:rFonts w:ascii="Baskerville" w:hAnsi="Baskerville" w:cs="Baskerville"/>
        </w:rPr>
        <w:t xml:space="preserve"> </w:t>
      </w:r>
      <w:r>
        <w:rPr>
          <w:rFonts w:ascii="Baskerville" w:hAnsi="Baskerville" w:cs="Baskerville"/>
        </w:rPr>
        <w:t>The hospital’s contract with EMC was properly terminated, and it subsequently entered into a contract with a third party, Healthline Management, Inc. (HMI), to supply it with physicians to staff the hospital’s emergency room.</w:t>
      </w:r>
      <w:r w:rsidR="00FB1D09">
        <w:rPr>
          <w:rFonts w:ascii="Baskerville" w:hAnsi="Baskerville" w:cs="Baskerville"/>
        </w:rPr>
        <w:t xml:space="preserve"> </w:t>
      </w:r>
      <w:r>
        <w:rPr>
          <w:rFonts w:ascii="Baskerville" w:hAnsi="Baskerville" w:cs="Baskerville"/>
        </w:rPr>
        <w:t>When HMI scheduled a number of physicians who had previously been affiliated with EMC to staff the hospital’s emergency room, EMC filed suit charging that the hospital had breached Paragraph J.</w:t>
      </w:r>
    </w:p>
    <w:p w14:paraId="18BB98F2" w14:textId="425F09EE"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On the parties’ cross-motions for summary judgment, the U.S. District Court for the Southern District of Illinois entered summary judgment in favor of the hospital on finding that the hospital had not itself hired the physicians about whom EMC complained.</w:t>
      </w:r>
      <w:r w:rsidR="00FB1D09">
        <w:rPr>
          <w:rFonts w:ascii="Baskerville" w:hAnsi="Baskerville" w:cs="Baskerville"/>
        </w:rPr>
        <w:t xml:space="preserve"> </w:t>
      </w:r>
      <w:r>
        <w:rPr>
          <w:rFonts w:ascii="Baskerville" w:hAnsi="Baskerville" w:cs="Baskerville"/>
          <w:i/>
          <w:iCs/>
        </w:rPr>
        <w:t>Id.</w:t>
      </w:r>
    </w:p>
    <w:p w14:paraId="6FE728A5" w14:textId="374D02D1"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On appeal, the Seventh Circuit affirmed, insisting that the clause phrase “directly or indirectly” would not be construed to mean “use or utilize.”</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1061.</w:t>
      </w:r>
      <w:r w:rsidR="00FB1D09">
        <w:rPr>
          <w:rFonts w:ascii="Baskerville" w:hAnsi="Baskerville" w:cs="Baskerville"/>
        </w:rPr>
        <w:t xml:space="preserve"> </w:t>
      </w:r>
      <w:r>
        <w:rPr>
          <w:rFonts w:ascii="Baskerville" w:hAnsi="Baskerville" w:cs="Baskerville"/>
        </w:rPr>
        <w:t>The Seventh Circuit also determined that the hospital’s agreement to credential physicians associated with HMI was not a “direct agreement” with the physicians at issue such as to violate the agreement with EMC.</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1061 n.1.</w:t>
      </w:r>
      <w:r w:rsidR="00FB1D09">
        <w:rPr>
          <w:rFonts w:ascii="Baskerville" w:hAnsi="Baskerville" w:cs="Baskerville"/>
        </w:rPr>
        <w:t xml:space="preserve"> </w:t>
      </w:r>
      <w:r>
        <w:rPr>
          <w:rFonts w:ascii="Baskerville" w:hAnsi="Baskerville" w:cs="Baskerville"/>
        </w:rPr>
        <w:t>The court explained:</w:t>
      </w:r>
    </w:p>
    <w:p w14:paraId="120F2CA4"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6B305C3A" w14:textId="0F9BCAE3"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r>
      <w:r w:rsidR="00944F63">
        <w:rPr>
          <w:rFonts w:ascii="Baskerville" w:hAnsi="Baskerville" w:cs="Baskerville"/>
          <w:sz w:val="22"/>
          <w:szCs w:val="22"/>
        </w:rPr>
        <w:t>…</w:t>
      </w:r>
      <w:r>
        <w:rPr>
          <w:sz w:val="22"/>
          <w:szCs w:val="22"/>
        </w:rPr>
        <w:t> </w:t>
      </w:r>
      <w:r>
        <w:rPr>
          <w:rFonts w:ascii="Baskerville" w:hAnsi="Baskerville" w:cs="Baskerville"/>
          <w:sz w:val="22"/>
          <w:szCs w:val="22"/>
        </w:rPr>
        <w:t>. [B]ecause Illinois courts favor fair competition and disfavor restraints of trade, we must strictly construe noncompetition agreements against the party seeking restriction.</w:t>
      </w:r>
      <w:r w:rsidR="00FB1D09">
        <w:rPr>
          <w:rFonts w:ascii="Baskerville" w:hAnsi="Baskerville" w:cs="Baskerville"/>
          <w:sz w:val="22"/>
          <w:szCs w:val="22"/>
        </w:rPr>
        <w:t xml:space="preserve"> </w:t>
      </w:r>
      <w:r>
        <w:rPr>
          <w:rFonts w:ascii="Baskerville" w:hAnsi="Baskerville" w:cs="Baskerville"/>
          <w:i/>
          <w:iCs/>
          <w:sz w:val="22"/>
          <w:szCs w:val="22"/>
        </w:rPr>
        <w:t>Diepholz v. Rutledge</w:t>
      </w:r>
      <w:r>
        <w:rPr>
          <w:rFonts w:ascii="Baskerville" w:hAnsi="Baskerville" w:cs="Baskerville"/>
          <w:sz w:val="22"/>
          <w:szCs w:val="22"/>
        </w:rPr>
        <w:t>, 276 Ill. App. 3d 1013, 213, Ill. Dec. 643, 645, 659 N.E.2d 989, 991 (1995).</w:t>
      </w:r>
    </w:p>
    <w:p w14:paraId="394F164E"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p>
    <w:p w14:paraId="2A178448" w14:textId="77777777" w:rsidR="00655396" w:rsidRDefault="00655396" w:rsidP="008B512B">
      <w:pPr>
        <w:pStyle w:val="NoParagraphStyle"/>
        <w:tabs>
          <w:tab w:val="left" w:pos="960"/>
          <w:tab w:val="left" w:pos="1440"/>
        </w:tabs>
        <w:spacing w:line="240" w:lineRule="auto"/>
        <w:ind w:left="480"/>
        <w:jc w:val="center"/>
        <w:rPr>
          <w:rFonts w:ascii="Baskerville" w:hAnsi="Baskerville" w:cs="Baskerville"/>
          <w:sz w:val="22"/>
          <w:szCs w:val="22"/>
        </w:rPr>
      </w:pPr>
      <w:r>
        <w:rPr>
          <w:rFonts w:ascii="Baskerville" w:hAnsi="Baskerville" w:cs="Baskerville"/>
          <w:sz w:val="22"/>
          <w:szCs w:val="22"/>
        </w:rPr>
        <w:t>* * * *</w:t>
      </w:r>
    </w:p>
    <w:p w14:paraId="633A7EBE" w14:textId="3DB9E95B"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This case comes down to the meaning of the phrase “directly or </w:t>
      </w:r>
      <w:r>
        <w:rPr>
          <w:rFonts w:ascii="Baskerville" w:hAnsi="Baskerville" w:cs="Baskerville"/>
          <w:sz w:val="22"/>
          <w:szCs w:val="22"/>
        </w:rPr>
        <w:lastRenderedPageBreak/>
        <w:t xml:space="preserve">indirectly enter into any agreement </w:t>
      </w:r>
      <w:r w:rsidR="00944F63">
        <w:rPr>
          <w:rFonts w:ascii="Baskerville" w:hAnsi="Baskerville" w:cs="Baskerville"/>
          <w:sz w:val="22"/>
          <w:szCs w:val="22"/>
        </w:rPr>
        <w:t>…</w:t>
      </w:r>
      <w:r>
        <w:rPr>
          <w:rFonts w:ascii="Baskerville" w:hAnsi="Baskerville" w:cs="Baskerville"/>
          <w:sz w:val="22"/>
          <w:szCs w:val="22"/>
        </w:rPr>
        <w:t xml:space="preserve"> with [a former EMC-affiliated] physician.</w:t>
      </w:r>
      <w:r w:rsidR="00FB1D09">
        <w:rPr>
          <w:rFonts w:ascii="Baskerville" w:hAnsi="Baskerville" w:cs="Baskerville"/>
          <w:sz w:val="22"/>
          <w:szCs w:val="22"/>
        </w:rPr>
        <w:t xml:space="preserve"> </w:t>
      </w:r>
      <w:r>
        <w:rPr>
          <w:rFonts w:ascii="Baskerville" w:hAnsi="Baskerville" w:cs="Baskerville"/>
          <w:sz w:val="22"/>
          <w:szCs w:val="22"/>
        </w:rPr>
        <w:t>Because these terms are not defined in the agreement, we look to their common and ordinary meaning.</w:t>
      </w:r>
      <w:r w:rsidR="00FB1D09">
        <w:rPr>
          <w:rFonts w:ascii="Baskerville" w:hAnsi="Baskerville" w:cs="Baskerville"/>
          <w:sz w:val="22"/>
          <w:szCs w:val="22"/>
        </w:rPr>
        <w:t xml:space="preserve"> </w:t>
      </w:r>
      <w:r>
        <w:rPr>
          <w:rFonts w:ascii="Baskerville" w:hAnsi="Baskerville" w:cs="Baskerville"/>
          <w:i/>
          <w:iCs/>
          <w:sz w:val="22"/>
          <w:szCs w:val="22"/>
        </w:rPr>
        <w:t>Church</w:t>
      </w:r>
      <w:r>
        <w:rPr>
          <w:rFonts w:ascii="Baskerville" w:hAnsi="Baskerville" w:cs="Baskerville"/>
          <w:sz w:val="22"/>
          <w:szCs w:val="22"/>
        </w:rPr>
        <w:t xml:space="preserve"> [</w:t>
      </w:r>
      <w:r>
        <w:rPr>
          <w:rFonts w:ascii="Baskerville" w:hAnsi="Baskerville" w:cs="Baskerville"/>
          <w:i/>
          <w:iCs/>
          <w:sz w:val="22"/>
          <w:szCs w:val="22"/>
        </w:rPr>
        <w:t>v. General Motors Corp.</w:t>
      </w:r>
      <w:r>
        <w:rPr>
          <w:rFonts w:ascii="Baskerville" w:hAnsi="Baskerville" w:cs="Baskerville"/>
          <w:sz w:val="22"/>
          <w:szCs w:val="22"/>
        </w:rPr>
        <w:t>, 74 F.3d 795, 799 (7th Cir. 1996)].</w:t>
      </w:r>
      <w:r w:rsidR="00FB1D09">
        <w:rPr>
          <w:rFonts w:ascii="Baskerville" w:hAnsi="Baskerville" w:cs="Baskerville"/>
          <w:sz w:val="22"/>
          <w:szCs w:val="22"/>
        </w:rPr>
        <w:t xml:space="preserve"> </w:t>
      </w:r>
      <w:r>
        <w:rPr>
          <w:rFonts w:ascii="Baskerville" w:hAnsi="Baskerville" w:cs="Baskerville"/>
          <w:sz w:val="22"/>
          <w:szCs w:val="22"/>
        </w:rPr>
        <w:t>Both parties agree with this principle, but disagree with its application.</w:t>
      </w:r>
      <w:r w:rsidR="00FB1D09">
        <w:rPr>
          <w:rFonts w:ascii="Baskerville" w:hAnsi="Baskerville" w:cs="Baskerville"/>
          <w:sz w:val="22"/>
          <w:szCs w:val="22"/>
        </w:rPr>
        <w:t xml:space="preserve"> </w:t>
      </w:r>
      <w:r>
        <w:rPr>
          <w:rFonts w:ascii="Baskerville" w:hAnsi="Baskerville" w:cs="Baskerville"/>
          <w:sz w:val="22"/>
          <w:szCs w:val="22"/>
        </w:rPr>
        <w:t>The Hospital asserts that it did not breach the agreement because it did not enter into any agreement “with” the physicians in question.</w:t>
      </w:r>
      <w:r w:rsidR="00FB1D09">
        <w:rPr>
          <w:rFonts w:ascii="Baskerville" w:hAnsi="Baskerville" w:cs="Baskerville"/>
          <w:sz w:val="22"/>
          <w:szCs w:val="22"/>
        </w:rPr>
        <w:t xml:space="preserve"> </w:t>
      </w:r>
      <w:r>
        <w:rPr>
          <w:rFonts w:ascii="Baskerville" w:hAnsi="Baskerville" w:cs="Baskerville"/>
          <w:sz w:val="22"/>
          <w:szCs w:val="22"/>
        </w:rPr>
        <w:t>In its complaint and before the district court, EMC argued that the language in question prohibited the Hospital from “using or utilizing” these physicians.</w:t>
      </w:r>
      <w:r w:rsidR="00FB1D09">
        <w:rPr>
          <w:rFonts w:ascii="Baskerville" w:hAnsi="Baskerville" w:cs="Baskerville"/>
          <w:sz w:val="22"/>
          <w:szCs w:val="22"/>
        </w:rPr>
        <w:t xml:space="preserve"> </w:t>
      </w:r>
      <w:r>
        <w:rPr>
          <w:rFonts w:ascii="Baskerville" w:hAnsi="Baskerville" w:cs="Baskerville"/>
          <w:sz w:val="22"/>
          <w:szCs w:val="22"/>
        </w:rPr>
        <w:t>In this court, EMC continues to argue that “directly or indirectly” means “use or utilize.”</w:t>
      </w:r>
    </w:p>
    <w:p w14:paraId="561D2EE4" w14:textId="5D9CB5EA"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After considering both parties’ arguments, we come down on the side of the Hospital.</w:t>
      </w:r>
      <w:r w:rsidR="00FB1D09">
        <w:rPr>
          <w:rFonts w:ascii="Baskerville" w:hAnsi="Baskerville" w:cs="Baskerville"/>
          <w:sz w:val="22"/>
          <w:szCs w:val="22"/>
        </w:rPr>
        <w:t xml:space="preserve"> </w:t>
      </w:r>
      <w:r>
        <w:rPr>
          <w:rFonts w:ascii="Baskerville" w:hAnsi="Baskerville" w:cs="Baskerville"/>
          <w:sz w:val="22"/>
          <w:szCs w:val="22"/>
        </w:rPr>
        <w:t>Given our mandate to look to the precise language of Paragraph J, we simply do not see how the Hospital’s arrangement with HMI constitutes an agreement between the Hospital and the physicians.</w:t>
      </w:r>
      <w:r w:rsidR="00FB1D09">
        <w:rPr>
          <w:rFonts w:ascii="Baskerville" w:hAnsi="Baskerville" w:cs="Baskerville"/>
          <w:sz w:val="22"/>
          <w:szCs w:val="22"/>
        </w:rPr>
        <w:t xml:space="preserve"> </w:t>
      </w:r>
      <w:r>
        <w:rPr>
          <w:rFonts w:ascii="Baskerville" w:hAnsi="Baskerville" w:cs="Baskerville"/>
          <w:sz w:val="22"/>
          <w:szCs w:val="22"/>
        </w:rPr>
        <w:t>EMC concedes that it is not a “direct” agreement, but insists that it falls squarely within the “indirect” clause of Paragraph J.</w:t>
      </w:r>
      <w:r w:rsidR="00FB1D09">
        <w:rPr>
          <w:rFonts w:ascii="Baskerville" w:hAnsi="Baskerville" w:cs="Baskerville"/>
          <w:sz w:val="22"/>
          <w:szCs w:val="22"/>
        </w:rPr>
        <w:t xml:space="preserve"> </w:t>
      </w:r>
      <w:r>
        <w:rPr>
          <w:rFonts w:ascii="Baskerville" w:hAnsi="Baskerville" w:cs="Baskerville"/>
          <w:sz w:val="22"/>
          <w:szCs w:val="22"/>
        </w:rPr>
        <w:t xml:space="preserve">We have a hard time divining what might constitute an indirect agreement </w:t>
      </w:r>
      <w:r>
        <w:rPr>
          <w:rFonts w:ascii="Baskerville" w:hAnsi="Baskerville" w:cs="Baskerville"/>
          <w:i/>
          <w:iCs/>
          <w:sz w:val="22"/>
          <w:szCs w:val="22"/>
        </w:rPr>
        <w:t>with</w:t>
      </w:r>
      <w:r>
        <w:rPr>
          <w:rFonts w:ascii="Baskerville" w:hAnsi="Baskerville" w:cs="Baskerville"/>
          <w:sz w:val="22"/>
          <w:szCs w:val="22"/>
        </w:rPr>
        <w:t xml:space="preserve"> the physicians.</w:t>
      </w:r>
      <w:r w:rsidR="00FB1D09">
        <w:rPr>
          <w:rFonts w:ascii="Baskerville" w:hAnsi="Baskerville" w:cs="Baskerville"/>
          <w:sz w:val="22"/>
          <w:szCs w:val="22"/>
        </w:rPr>
        <w:t xml:space="preserve"> </w:t>
      </w:r>
      <w:r>
        <w:rPr>
          <w:rFonts w:ascii="Baskerville" w:hAnsi="Baskerville" w:cs="Baskerville"/>
          <w:sz w:val="22"/>
          <w:szCs w:val="22"/>
        </w:rPr>
        <w:t>Of course, this is not to say that the “indirectly” language is meaningless.</w:t>
      </w:r>
      <w:r w:rsidR="00FB1D09">
        <w:rPr>
          <w:rFonts w:ascii="Baskerville" w:hAnsi="Baskerville" w:cs="Baskerville"/>
          <w:sz w:val="22"/>
          <w:szCs w:val="22"/>
        </w:rPr>
        <w:t xml:space="preserve"> </w:t>
      </w:r>
      <w:r>
        <w:rPr>
          <w:rFonts w:ascii="Baskerville" w:hAnsi="Baskerville" w:cs="Baskerville"/>
          <w:sz w:val="22"/>
          <w:szCs w:val="22"/>
        </w:rPr>
        <w:t>While we are unsure what it might encompass, we are sure that it does not cover the HMI agreement.</w:t>
      </w:r>
      <w:r w:rsidR="00FB1D09">
        <w:rPr>
          <w:rFonts w:ascii="Baskerville" w:hAnsi="Baskerville" w:cs="Baskerville"/>
          <w:sz w:val="22"/>
          <w:szCs w:val="22"/>
        </w:rPr>
        <w:t xml:space="preserve"> </w:t>
      </w:r>
      <w:r>
        <w:rPr>
          <w:rFonts w:ascii="Baskerville" w:hAnsi="Baskerville" w:cs="Baskerville"/>
          <w:sz w:val="22"/>
          <w:szCs w:val="22"/>
        </w:rPr>
        <w:t>EMC has not provided any examples, relying instead on its argument that the provision really means :use and utilize.”</w:t>
      </w:r>
    </w:p>
    <w:p w14:paraId="389CC1F0" w14:textId="4B3E319E"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EMC quotes a dictionary definition of “indirect” in an effort to demonstrate that the Hospital’s agreement with HMI constitutes am “indirect” agreement with the physicians.</w:t>
      </w:r>
      <w:r w:rsidR="00FB1D09">
        <w:rPr>
          <w:rFonts w:ascii="Baskerville" w:hAnsi="Baskerville" w:cs="Baskerville"/>
          <w:sz w:val="22"/>
          <w:szCs w:val="22"/>
        </w:rPr>
        <w:t xml:space="preserve"> </w:t>
      </w:r>
      <w:r>
        <w:rPr>
          <w:rFonts w:ascii="Baskerville" w:hAnsi="Baskerville" w:cs="Baskerville"/>
          <w:sz w:val="22"/>
          <w:szCs w:val="22"/>
        </w:rPr>
        <w:t xml:space="preserve">It then extrapolates from the definitions, which include “not straightforward and open,” to argue that “the parties intended to prevent the Hospital from utilizing the EMC[-]provided physicians by </w:t>
      </w:r>
      <w:r>
        <w:rPr>
          <w:rFonts w:ascii="Baskerville" w:hAnsi="Baskerville" w:cs="Baskerville"/>
          <w:i/>
          <w:iCs/>
          <w:sz w:val="22"/>
          <w:szCs w:val="22"/>
        </w:rPr>
        <w:t>any</w:t>
      </w:r>
      <w:r>
        <w:rPr>
          <w:rFonts w:ascii="Baskerville" w:hAnsi="Baskerville" w:cs="Baskerville"/>
          <w:sz w:val="22"/>
          <w:szCs w:val="22"/>
        </w:rPr>
        <w:t xml:space="preserve"> means within the agreement period.”</w:t>
      </w:r>
      <w:r w:rsidR="00FB1D09">
        <w:rPr>
          <w:rFonts w:ascii="Baskerville" w:hAnsi="Baskerville" w:cs="Baskerville"/>
          <w:sz w:val="22"/>
          <w:szCs w:val="22"/>
        </w:rPr>
        <w:t xml:space="preserve"> </w:t>
      </w:r>
      <w:r>
        <w:rPr>
          <w:rFonts w:ascii="Baskerville" w:hAnsi="Baskerville" w:cs="Baskerville"/>
          <w:sz w:val="22"/>
          <w:szCs w:val="22"/>
        </w:rPr>
        <w:t>This interpretation fails a common sense rule of contract interpretation because, had the parties intended to prevent the [H]ospital from “using or utilizing” any of the doctors formerly on EMC’s roster, the contract should have said so.</w:t>
      </w:r>
      <w:r w:rsidR="00FB1D09">
        <w:rPr>
          <w:rFonts w:ascii="Baskerville" w:hAnsi="Baskerville" w:cs="Baskerville"/>
          <w:sz w:val="22"/>
          <w:szCs w:val="22"/>
        </w:rPr>
        <w:t xml:space="preserve"> </w:t>
      </w:r>
      <w:r>
        <w:rPr>
          <w:rFonts w:ascii="Baskerville" w:hAnsi="Baskerville" w:cs="Baskerville"/>
          <w:i/>
          <w:iCs/>
          <w:sz w:val="22"/>
          <w:szCs w:val="22"/>
        </w:rPr>
        <w:t>See Diepholz</w:t>
      </w:r>
      <w:r>
        <w:rPr>
          <w:rFonts w:ascii="Baskerville" w:hAnsi="Baskerville" w:cs="Baskerville"/>
          <w:sz w:val="22"/>
          <w:szCs w:val="22"/>
        </w:rPr>
        <w:t xml:space="preserve">, 213 Ill. Dec. at 645, 659 N.E.2d at 991. </w:t>
      </w:r>
    </w:p>
    <w:p w14:paraId="70C8D73F" w14:textId="7BB07B35"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To summarize: we conclude that Paragraph J is unambiguous and that the Hospital did not breach the provision by utilizing HMI doctors who previously had affiliated with EMC.</w:t>
      </w:r>
      <w:r w:rsidR="00FB1D09">
        <w:rPr>
          <w:rFonts w:ascii="Baskerville" w:hAnsi="Baskerville" w:cs="Baskerville"/>
          <w:sz w:val="22"/>
          <w:szCs w:val="22"/>
        </w:rPr>
        <w:t xml:space="preserve"> </w:t>
      </w:r>
      <w:r>
        <w:rPr>
          <w:rFonts w:ascii="Baskerville" w:hAnsi="Baskerville" w:cs="Baskerville"/>
          <w:sz w:val="22"/>
          <w:szCs w:val="22"/>
        </w:rPr>
        <w:t>The hospital’s agreement was “with” HMI and not the physicians.</w:t>
      </w:r>
      <w:r w:rsidR="00FB1D09">
        <w:rPr>
          <w:rFonts w:ascii="Baskerville" w:hAnsi="Baskerville" w:cs="Baskerville"/>
          <w:sz w:val="22"/>
          <w:szCs w:val="22"/>
        </w:rPr>
        <w:t xml:space="preserve"> </w:t>
      </w:r>
      <w:r>
        <w:rPr>
          <w:rFonts w:ascii="Baskerville" w:hAnsi="Baskerville" w:cs="Baskerville"/>
          <w:sz w:val="22"/>
          <w:szCs w:val="22"/>
        </w:rPr>
        <w:t xml:space="preserve">End of subject. </w:t>
      </w:r>
    </w:p>
    <w:p w14:paraId="63F67B87" w14:textId="77777777" w:rsidR="00655396" w:rsidRDefault="00655396" w:rsidP="008B512B">
      <w:pPr>
        <w:pStyle w:val="BodyText"/>
        <w:spacing w:line="240" w:lineRule="auto"/>
      </w:pPr>
    </w:p>
    <w:p w14:paraId="01EDDCC3"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xml:space="preserve"> at 1061–62 (court’s emphasis; footnote omitted).</w:t>
      </w:r>
    </w:p>
    <w:p w14:paraId="1D3ADBD7" w14:textId="1DCD7A3F"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The Seventh Circuit also rejected EMC’s argument that the Hospital’s agreement to credential the HMI doctors constituted a direct </w:t>
      </w:r>
      <w:r>
        <w:rPr>
          <w:rFonts w:ascii="Baskerville" w:hAnsi="Baskerville" w:cs="Baskerville"/>
        </w:rPr>
        <w:lastRenderedPageBreak/>
        <w:t>agreement violative of Paragraph J.</w:t>
      </w:r>
      <w:r w:rsidR="00FB1D09">
        <w:rPr>
          <w:rFonts w:ascii="Baskerville" w:hAnsi="Baskerville" w:cs="Baskerville"/>
        </w:rPr>
        <w:t xml:space="preserve"> </w:t>
      </w:r>
      <w:r>
        <w:rPr>
          <w:rFonts w:ascii="Baskerville" w:hAnsi="Baskerville" w:cs="Baskerville"/>
        </w:rPr>
        <w:t>The court reasoned that credentialing “involves merely the Hospital’s acknowledgment of a physician’s qualifications.”</w:t>
      </w:r>
      <w:r w:rsidR="00FB1D09">
        <w:rPr>
          <w:rFonts w:ascii="Baskerville" w:hAnsi="Baskerville" w:cs="Baskerville"/>
        </w:rPr>
        <w:t xml:space="preserve"> </w:t>
      </w:r>
      <w:r>
        <w:rPr>
          <w:rFonts w:ascii="Baskerville" w:hAnsi="Baskerville" w:cs="Baskerville"/>
          <w:i/>
          <w:iCs/>
        </w:rPr>
        <w:t>Id.</w:t>
      </w:r>
      <w:r>
        <w:rPr>
          <w:rFonts w:ascii="Baskerville" w:hAnsi="Baskerville" w:cs="Baskerville"/>
        </w:rPr>
        <w:t xml:space="preserve"> at 1061 n.1.</w:t>
      </w:r>
    </w:p>
    <w:p w14:paraId="76108705"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7318B955" w14:textId="77777777" w:rsidR="00655396" w:rsidRDefault="00655396" w:rsidP="008B512B">
      <w:pPr>
        <w:pStyle w:val="AdditionalTopicsSectionHeadings"/>
        <w:spacing w:line="240" w:lineRule="auto"/>
      </w:pPr>
      <w:r>
        <w:t>Incorporation by Reference</w:t>
      </w:r>
    </w:p>
    <w:p w14:paraId="168AEF16" w14:textId="77777777" w:rsidR="00655396" w:rsidRDefault="00655396" w:rsidP="008B512B">
      <w:pPr>
        <w:pStyle w:val="BodyText"/>
        <w:spacing w:line="240" w:lineRule="auto"/>
      </w:pPr>
    </w:p>
    <w:p w14:paraId="6B02E68C" w14:textId="0BA72EAA" w:rsidR="00655396" w:rsidRDefault="00655396" w:rsidP="008B512B">
      <w:pPr>
        <w:pStyle w:val="BodyText"/>
        <w:spacing w:line="240" w:lineRule="auto"/>
      </w:pPr>
      <w:r>
        <w:tab/>
        <w:t xml:space="preserve">An employment agreement’s arbitration clause does not govern a dispute arising out of a related acquisition agreement, despite the fact that both agreements contain merger clauses, where the employment agreement covers aspects of employment and the </w:t>
      </w:r>
      <w:r>
        <w:br/>
        <w:t>acquisition agreement covers rights and duties with respect to the sale of a business.</w:t>
      </w:r>
      <w:r w:rsidR="00FB1D09">
        <w:t xml:space="preserve"> </w:t>
      </w:r>
      <w:r>
        <w:rPr>
          <w:i/>
          <w:iCs/>
        </w:rPr>
        <w:t>Rosenblum v. Travelbuys.com Ltd.</w:t>
      </w:r>
      <w:r>
        <w:t>, 299 F.3d 657, 663, 665</w:t>
      </w:r>
      <w:r w:rsidR="00FB1D09">
        <w:t xml:space="preserve"> </w:t>
      </w:r>
      <w:r>
        <w:t>(7th Cir. 2002) (reversing district court’s ruling that employment agreement was incorporated by reference into acquisition agreement by virtue of merger provisions in both agreements</w:t>
      </w:r>
      <w:r w:rsidR="00D47546">
        <w:t xml:space="preserve">; </w:t>
      </w:r>
      <w:r>
        <w:t>both agreements were self-contained, each one delineated rights and duties independent of the other, each agreement pertained to a particular subject matter, neither agreement had missing terms, and both were supported by consideration</w:t>
      </w:r>
      <w:r w:rsidR="00D47546">
        <w:t xml:space="preserve">; </w:t>
      </w:r>
      <w:r>
        <w:t>court determined that merger clauses do not incorporate other contracts by reference, but instead, negate impact of earlier negotiations and contract drafts).</w:t>
      </w:r>
    </w:p>
    <w:p w14:paraId="6953749B" w14:textId="77777777" w:rsidR="00655396" w:rsidRDefault="00655396" w:rsidP="008B512B">
      <w:pPr>
        <w:pStyle w:val="BodyText"/>
        <w:spacing w:line="240" w:lineRule="auto"/>
        <w:rPr>
          <w:b/>
          <w:bCs/>
        </w:rPr>
      </w:pPr>
    </w:p>
    <w:p w14:paraId="41AD3FF1" w14:textId="77777777" w:rsidR="00655396" w:rsidRDefault="00655396" w:rsidP="008B512B">
      <w:pPr>
        <w:pStyle w:val="AdditionalTopicsSectionHeadings"/>
        <w:spacing w:line="240" w:lineRule="auto"/>
      </w:pPr>
      <w:r>
        <w:t>Irreparable Harm and Entitlement to Injunctive Relief (Clauses Acknowledging), Effect of</w:t>
      </w:r>
    </w:p>
    <w:p w14:paraId="2E7ACE07" w14:textId="77777777" w:rsidR="00655396" w:rsidRDefault="00655396" w:rsidP="008B512B">
      <w:pPr>
        <w:pStyle w:val="BodyText"/>
        <w:spacing w:line="240" w:lineRule="auto"/>
      </w:pPr>
    </w:p>
    <w:p w14:paraId="383EB557" w14:textId="09B87101" w:rsidR="00655396" w:rsidRDefault="00655396" w:rsidP="008B512B">
      <w:pPr>
        <w:pStyle w:val="BodyText"/>
        <w:spacing w:line="240" w:lineRule="auto"/>
      </w:pPr>
      <w:r>
        <w:tab/>
        <w:t xml:space="preserve">“Because the nature of [an] alleged [covenant] breach and its consequences are unknown when a contract is executed, a question exists as to whether the parties can effectively waive a judicial determination on this crucial element” under Illinois law. </w:t>
      </w:r>
      <w:r>
        <w:rPr>
          <w:i/>
          <w:iCs/>
        </w:rPr>
        <w:t>First Health Grp. Corp. v. National Prescription Adm’rs, Inc.</w:t>
      </w:r>
      <w:r>
        <w:t>, 155 F. Supp. 2d 194, 234–35 (M.D. Pa. 2001) (applying Illinois law to covenant issues</w:t>
      </w:r>
      <w:r w:rsidR="00D47546">
        <w:t xml:space="preserve">; </w:t>
      </w:r>
      <w:r>
        <w:t xml:space="preserve">finding ineffective an irreparable harm clause providing that employer shall be entitled to injunctive relief enjoining any actual or threatened covenant breach, and also providing that employee </w:t>
      </w:r>
      <w:r>
        <w:br/>
        <w:t>“acknowledges that [employer’s] remedy at law is inadequate and that [employer] will suffer irreparable injury if such conduct is not prohibited;” noting that former employer cited no authority, and court had found no authority,</w:t>
      </w:r>
      <w:r w:rsidR="00FB1D09">
        <w:t xml:space="preserve"> </w:t>
      </w:r>
      <w:r>
        <w:t xml:space="preserve">in support of proposition that parties may contractually bind themselves and court to injunctive relief before any </w:t>
      </w:r>
      <w:r>
        <w:lastRenderedPageBreak/>
        <w:t>breach has occurred).</w:t>
      </w:r>
    </w:p>
    <w:p w14:paraId="58BF996E" w14:textId="74318D6E" w:rsidR="00655396" w:rsidRDefault="00655396" w:rsidP="008B512B">
      <w:pPr>
        <w:pStyle w:val="BodyText"/>
        <w:spacing w:line="240" w:lineRule="auto"/>
      </w:pPr>
      <w:r>
        <w:tab/>
      </w:r>
      <w:r>
        <w:rPr>
          <w:i/>
          <w:iCs/>
        </w:rPr>
        <w:t>See</w:t>
      </w:r>
      <w:r>
        <w:t xml:space="preserve"> Deborah S. Coldwell, Michael J. Lockerby &amp; James R. Sims III, </w:t>
      </w:r>
      <w:r>
        <w:rPr>
          <w:i/>
          <w:iCs/>
        </w:rPr>
        <w:t>The More, The Merrier?</w:t>
      </w:r>
      <w:r w:rsidR="00FB1D09">
        <w:rPr>
          <w:i/>
          <w:iCs/>
        </w:rPr>
        <w:t xml:space="preserve"> </w:t>
      </w:r>
      <w:r>
        <w:rPr>
          <w:i/>
          <w:iCs/>
        </w:rPr>
        <w:t>N.Y. Federal Court Refuses to Dismiss Replacement Dealers Named as Co-Defendants</w:t>
      </w:r>
      <w:r>
        <w:t xml:space="preserve">, 23 </w:t>
      </w:r>
      <w:r>
        <w:rPr>
          <w:smallCaps/>
        </w:rPr>
        <w:t>Franchise L.J.</w:t>
      </w:r>
      <w:r>
        <w:t xml:space="preserve"> 120 (Fall 2003) (citing, </w:t>
      </w:r>
      <w:r>
        <w:rPr>
          <w:i/>
          <w:iCs/>
        </w:rPr>
        <w:t>id.</w:t>
      </w:r>
      <w:r>
        <w:t xml:space="preserve"> at 129, </w:t>
      </w:r>
      <w:r>
        <w:rPr>
          <w:i/>
          <w:iCs/>
        </w:rPr>
        <w:t>Baskin-Robbins Inc. v. Patel</w:t>
      </w:r>
      <w:r>
        <w:t>, 264 F. Supp. 2d 607 (N.D. Ill. 2003) (franchise-context covenant; ice cream store franchise), as demonstrating “the need for a party seeking preliminary injunctive relief to make an actual showing of irreparable harm rather than relying upon statutory or contractual presumptions or conclusory statements.”).</w:t>
      </w:r>
    </w:p>
    <w:p w14:paraId="496DEE19" w14:textId="77777777" w:rsidR="00655396" w:rsidRDefault="00655396" w:rsidP="008B512B">
      <w:pPr>
        <w:pStyle w:val="BodyText"/>
        <w:spacing w:line="240" w:lineRule="auto"/>
      </w:pPr>
    </w:p>
    <w:p w14:paraId="19540675" w14:textId="77777777" w:rsidR="00655396" w:rsidRDefault="00655396" w:rsidP="008B512B">
      <w:pPr>
        <w:pStyle w:val="BodyText"/>
        <w:spacing w:line="240" w:lineRule="auto"/>
        <w:rPr>
          <w:b/>
          <w:bCs/>
        </w:rPr>
      </w:pPr>
      <w:r>
        <w:rPr>
          <w:b/>
          <w:bCs/>
        </w:rPr>
        <w:t>Judgment on the Pleadings</w:t>
      </w:r>
    </w:p>
    <w:p w14:paraId="47887405" w14:textId="77777777" w:rsidR="00655396" w:rsidRDefault="00655396" w:rsidP="008B512B">
      <w:pPr>
        <w:pStyle w:val="BodyText"/>
        <w:spacing w:line="240" w:lineRule="auto"/>
        <w:rPr>
          <w:b/>
          <w:bCs/>
          <w:u w:val="thick" w:color="000000"/>
        </w:rPr>
      </w:pPr>
    </w:p>
    <w:p w14:paraId="58D7C286" w14:textId="77777777" w:rsidR="00655396" w:rsidRDefault="00655396" w:rsidP="008B512B">
      <w:pPr>
        <w:pStyle w:val="BodyText"/>
        <w:spacing w:line="240" w:lineRule="auto"/>
        <w:rPr>
          <w:u w:color="000000"/>
        </w:rPr>
      </w:pPr>
      <w:r>
        <w:rPr>
          <w:u w:color="000000"/>
        </w:rPr>
        <w:tab/>
        <w:t>In</w:t>
      </w:r>
      <w:r>
        <w:rPr>
          <w:i/>
          <w:iCs/>
          <w:u w:color="000000"/>
        </w:rPr>
        <w:t xml:space="preserve"> TLS Management &amp; Marketing Services, LLC v. Mardis Financial Services, Inc</w:t>
      </w:r>
      <w:r>
        <w:rPr>
          <w:u w:color="000000"/>
        </w:rPr>
        <w:t xml:space="preserve">., 2016 BL 400327 (S.D. Miss. Nov. 30, 2016), a federal district court sitting in Mississippi, but applying Illinois law, refused to assess the reasonableness of a noncompetition covenant </w:t>
      </w:r>
      <w:r>
        <w:rPr>
          <w:i/>
          <w:iCs/>
          <w:u w:color="000000"/>
        </w:rPr>
        <w:t>on the pleadings alone</w:t>
      </w:r>
      <w:r>
        <w:rPr>
          <w:u w:color="000000"/>
        </w:rPr>
        <w:t xml:space="preserve">. “[T]he more accepted and prudent practice is to wait until the factual context surrounding such covenants is fully developed before assessing reasonableness.” </w:t>
      </w:r>
      <w:r>
        <w:rPr>
          <w:i/>
          <w:iCs/>
          <w:u w:color="000000"/>
        </w:rPr>
        <w:t>Id</w:t>
      </w:r>
      <w:r>
        <w:rPr>
          <w:u w:color="000000"/>
        </w:rPr>
        <w:t xml:space="preserve">. at *7. </w:t>
      </w:r>
    </w:p>
    <w:p w14:paraId="684E7F4B" w14:textId="77777777" w:rsidR="00655396" w:rsidRDefault="00655396" w:rsidP="008B512B">
      <w:pPr>
        <w:pStyle w:val="BodyText"/>
        <w:spacing w:line="240" w:lineRule="auto"/>
      </w:pPr>
    </w:p>
    <w:p w14:paraId="267660AD" w14:textId="77777777" w:rsidR="00655396" w:rsidRDefault="00655396" w:rsidP="008B512B">
      <w:pPr>
        <w:pStyle w:val="AdditionalTopicsSectionHeadings"/>
        <w:spacing w:line="240" w:lineRule="auto"/>
      </w:pPr>
      <w:r>
        <w:t>Jurisdiction (Diversity)</w:t>
      </w:r>
    </w:p>
    <w:p w14:paraId="26678D10" w14:textId="77777777" w:rsidR="00655396" w:rsidRDefault="00655396" w:rsidP="008B512B">
      <w:pPr>
        <w:pStyle w:val="BodyText"/>
        <w:spacing w:line="240" w:lineRule="auto"/>
      </w:pPr>
    </w:p>
    <w:p w14:paraId="6D9B6BD6" w14:textId="37585647" w:rsidR="00655396" w:rsidRDefault="00655396" w:rsidP="008B512B">
      <w:pPr>
        <w:pStyle w:val="BodyText"/>
        <w:spacing w:line="240" w:lineRule="auto"/>
      </w:pPr>
      <w:r>
        <w:tab/>
        <w:t xml:space="preserve">• </w:t>
      </w:r>
      <w:r>
        <w:rPr>
          <w:i/>
          <w:iCs/>
        </w:rPr>
        <w:t>Determining whether amount-in-controversy requirement has been met for purposes of subject matter jurisdiction in diversity cases involving covenants not to compete</w:t>
      </w:r>
      <w:r>
        <w:t>.</w:t>
      </w:r>
      <w:r w:rsidR="00FB1D09">
        <w:t xml:space="preserve"> </w:t>
      </w:r>
      <w:r>
        <w:t>In the Seventh Circuit, evidence of a settlement offer is admissible and may be taken into account in determining whether the amount-in-controversy requirement has been met for purposes of establishing subject matter jurisdiction in a diversity case involving a covenant not to compete, according to a federal district court sitting in Illinois.</w:t>
      </w:r>
      <w:r w:rsidR="00FB1D09">
        <w:t xml:space="preserve"> </w:t>
      </w:r>
      <w:r>
        <w:rPr>
          <w:i/>
          <w:iCs/>
        </w:rPr>
        <w:t>Integrated Genomics, Inc. v. Kyrpides</w:t>
      </w:r>
      <w:r>
        <w:t>, 2008 U.S. Dist. LEXIS 16838, at *15 (N.D. Ill. Mar. 4, 2008).</w:t>
      </w:r>
      <w:r w:rsidR="00FB1D09">
        <w:t xml:space="preserve"> </w:t>
      </w:r>
      <w:r>
        <w:t>In order to determine the value of the settlement offer where the party seeking to enforce the covenant seeks injunctive relief, “the court would need to determine the value of the injunction to [the party seeking enforcement] (or the cost of enforcing it to [the party against whom enforcement is sought]).”</w:t>
      </w:r>
      <w:r w:rsidR="00FB1D09">
        <w:t xml:space="preserve"> </w:t>
      </w:r>
      <w:r>
        <w:rPr>
          <w:i/>
          <w:iCs/>
        </w:rPr>
        <w:t>Id.</w:t>
      </w:r>
      <w:r>
        <w:t xml:space="preserve"> (citing, inter alia, </w:t>
      </w:r>
      <w:r>
        <w:rPr>
          <w:i/>
          <w:iCs/>
        </w:rPr>
        <w:t>MAILwaukee Mailing, Shipment &amp; Equip., Inc. v. Neopost, Inc.,</w:t>
      </w:r>
      <w:r>
        <w:t xml:space="preserve"> 259 F. Supp. 2d 769, 773 (E.D. Wis. 2003) (discussing proper way to show </w:t>
      </w:r>
      <w:r>
        <w:lastRenderedPageBreak/>
        <w:t>value of injunctive relief in noncompetition covenant case)).</w:t>
      </w:r>
    </w:p>
    <w:p w14:paraId="7E84E673" w14:textId="44CA4AE3" w:rsidR="00655396" w:rsidRDefault="00655396" w:rsidP="008B512B">
      <w:pPr>
        <w:pStyle w:val="BodyText"/>
        <w:spacing w:line="240" w:lineRule="auto"/>
      </w:pPr>
      <w:r>
        <w:tab/>
        <w:t>However, the amount it would cost the former employer to hire and train someone to replace a former employee allegedly bound by a covenant not to compete “cannot establish the amount in controversy,” according to the U.S. District Court for the Northern District of Illinois.</w:t>
      </w:r>
      <w:r w:rsidR="00FB1D09">
        <w:t xml:space="preserve"> </w:t>
      </w:r>
      <w:r>
        <w:rPr>
          <w:i/>
          <w:iCs/>
        </w:rPr>
        <w:t>Id.</w:t>
      </w:r>
      <w:r>
        <w:t xml:space="preserve"> at *16.</w:t>
      </w:r>
    </w:p>
    <w:p w14:paraId="4B89D7C4" w14:textId="77777777" w:rsidR="00655396" w:rsidRDefault="00655396" w:rsidP="008B512B">
      <w:pPr>
        <w:pStyle w:val="BodyText"/>
        <w:spacing w:line="240" w:lineRule="auto"/>
      </w:pPr>
    </w:p>
    <w:p w14:paraId="02275C23" w14:textId="3550E6DD" w:rsidR="00655396" w:rsidRDefault="00655396" w:rsidP="008B512B">
      <w:pPr>
        <w:pStyle w:val="BodyText"/>
        <w:spacing w:line="240" w:lineRule="auto"/>
      </w:pPr>
      <w:r>
        <w:tab/>
        <w:t xml:space="preserve">• </w:t>
      </w:r>
      <w:r>
        <w:rPr>
          <w:i/>
          <w:iCs/>
        </w:rPr>
        <w:t>No retroactive effect of 1996 amendment increasing amount-in-controversy requirement</w:t>
      </w:r>
      <w:r>
        <w:t>.</w:t>
      </w:r>
      <w:r w:rsidR="00FB1D09">
        <w:t xml:space="preserve"> </w:t>
      </w:r>
      <w:r>
        <w:t>In a diversity case applying Illinois law to determine the enforceability of a covenant not to compete, the U.S. Court of Appeals for the Seventh Circuit observed that the October 19, 1996, amendment of the amount-in-controversy requirement under 28 U.S.C. §1332 (rising from in excess of $50,000 to in excess of $75,000) does not apply retroactively.</w:t>
      </w:r>
      <w:r w:rsidR="00FB1D09">
        <w:t xml:space="preserve"> </w:t>
      </w:r>
      <w:r>
        <w:rPr>
          <w:i/>
          <w:iCs/>
        </w:rPr>
        <w:t>Liautaud v. Liautaud</w:t>
      </w:r>
      <w:r>
        <w:t>, 221 F.3d 981, 984 n.1 (7th Cir. 2000) (applying the in excess of $50,000 figure in effect at the time of the filing of suit).</w:t>
      </w:r>
      <w:r w:rsidR="00FB1D09">
        <w:t xml:space="preserve"> </w:t>
      </w:r>
      <w:r>
        <w:t>The amendment took effect 90 days after its enactment.</w:t>
      </w:r>
    </w:p>
    <w:p w14:paraId="3B066DB4" w14:textId="77777777" w:rsidR="00655396" w:rsidRDefault="00655396" w:rsidP="008B512B">
      <w:pPr>
        <w:pStyle w:val="BodyText"/>
        <w:spacing w:line="240" w:lineRule="auto"/>
      </w:pPr>
    </w:p>
    <w:p w14:paraId="00AB54B5" w14:textId="77777777" w:rsidR="00655396" w:rsidRDefault="00655396" w:rsidP="008B512B">
      <w:pPr>
        <w:pStyle w:val="AdditionalTopicsSectionHeadings"/>
        <w:spacing w:line="240" w:lineRule="auto"/>
      </w:pPr>
      <w:r>
        <w:t>Liquidated Damages</w:t>
      </w:r>
    </w:p>
    <w:p w14:paraId="47DD64B7" w14:textId="77777777" w:rsidR="00655396" w:rsidRDefault="00655396" w:rsidP="008B512B">
      <w:pPr>
        <w:pStyle w:val="BodyText"/>
        <w:spacing w:line="240" w:lineRule="auto"/>
      </w:pPr>
    </w:p>
    <w:p w14:paraId="136DACD5" w14:textId="7E6B8558" w:rsidR="00655396" w:rsidRDefault="00655396" w:rsidP="008B512B">
      <w:pPr>
        <w:pStyle w:val="BodyText"/>
        <w:spacing w:line="240" w:lineRule="auto"/>
      </w:pPr>
      <w:r>
        <w:tab/>
        <w:t>In determining whether an amount specified as damages qualifies as liquidated damages, as opposed to a prohibited penalty, “the idea of the courts is to ascertain, if possible, the actual damages sustained and if it is possible to ascertain the actual damages, or if the amount of liquidated damages mentioned in the contract is exorbitant, the court will construe the amount as a penalty, rather than as liquidated damages.”</w:t>
      </w:r>
      <w:r w:rsidR="00FB1D09">
        <w:t xml:space="preserve"> </w:t>
      </w:r>
      <w:r>
        <w:rPr>
          <w:i/>
          <w:iCs/>
        </w:rPr>
        <w:t>Radloff v. Haase</w:t>
      </w:r>
      <w:r>
        <w:t>, 196 Ill. 365, 63 N.E. 729 (1902) (sale-of-business context; ruling that it would be absurd and oppressive to construe provision at issue as liquidated damages clause on facts of case).</w:t>
      </w:r>
    </w:p>
    <w:p w14:paraId="718C18FB" w14:textId="023EAC20" w:rsidR="00655396" w:rsidRDefault="00655396" w:rsidP="00C62F54">
      <w:pPr>
        <w:pStyle w:val="BodyText"/>
        <w:spacing w:line="240" w:lineRule="auto"/>
        <w:rPr>
          <w:spacing w:val="-1"/>
        </w:rPr>
      </w:pPr>
      <w:r>
        <w:rPr>
          <w:spacing w:val="-1"/>
        </w:rPr>
        <w:tab/>
      </w:r>
      <w:r>
        <w:rPr>
          <w:i/>
          <w:iCs/>
          <w:spacing w:val="-1"/>
        </w:rPr>
        <w:t xml:space="preserve">See generally </w:t>
      </w:r>
      <w:r w:rsidR="00C62F54" w:rsidRPr="00C62F54">
        <w:rPr>
          <w:i/>
          <w:iCs/>
        </w:rPr>
        <w:t>Brown &amp; Brown, Inc. v. Ali</w:t>
      </w:r>
      <w:r w:rsidR="00C62F54">
        <w:t>, 592 F. Supp. 2d 1009, 1048 (N.D. Ill. 2009);</w:t>
      </w:r>
      <w:r w:rsidR="00C62F54" w:rsidRPr="006A121F">
        <w:t xml:space="preserve"> </w:t>
      </w:r>
      <w:r>
        <w:rPr>
          <w:spacing w:val="-1"/>
        </w:rPr>
        <w:t xml:space="preserve">Ann Morales Olazabal, </w:t>
      </w:r>
      <w:r>
        <w:rPr>
          <w:i/>
          <w:iCs/>
          <w:spacing w:val="-1"/>
        </w:rPr>
        <w:t>Formal and Operative Rules in Overliquidation Per Se Cases</w:t>
      </w:r>
      <w:r>
        <w:rPr>
          <w:spacing w:val="-1"/>
        </w:rPr>
        <w:t xml:space="preserve">, 41 </w:t>
      </w:r>
      <w:r>
        <w:rPr>
          <w:smallCaps/>
          <w:spacing w:val="-1"/>
        </w:rPr>
        <w:t>Am. Bus. L.J.</w:t>
      </w:r>
      <w:r>
        <w:rPr>
          <w:spacing w:val="-1"/>
        </w:rPr>
        <w:t xml:space="preserve"> 503 (Summer 2004) (citing, </w:t>
      </w:r>
      <w:r>
        <w:rPr>
          <w:i/>
          <w:iCs/>
          <w:spacing w:val="-1"/>
        </w:rPr>
        <w:t xml:space="preserve">id. </w:t>
      </w:r>
      <w:r>
        <w:rPr>
          <w:spacing w:val="-1"/>
        </w:rPr>
        <w:t>at 504 n.4, Larry A. DiMatteo,</w:t>
      </w:r>
      <w:r>
        <w:rPr>
          <w:i/>
          <w:iCs/>
          <w:spacing w:val="-1"/>
        </w:rPr>
        <w:t xml:space="preserve"> The Norms of Contract</w:t>
      </w:r>
      <w:r w:rsidR="00D47546">
        <w:rPr>
          <w:i/>
          <w:iCs/>
          <w:spacing w:val="-1"/>
        </w:rPr>
        <w:t xml:space="preserve">: </w:t>
      </w:r>
      <w:r>
        <w:rPr>
          <w:i/>
          <w:iCs/>
          <w:spacing w:val="-1"/>
        </w:rPr>
        <w:t>The Fairness Inquiry and the “Law of Satisfaction”—A Nonunified Theory</w:t>
      </w:r>
      <w:r>
        <w:rPr>
          <w:spacing w:val="-1"/>
        </w:rPr>
        <w:t xml:space="preserve">, 24 </w:t>
      </w:r>
      <w:r>
        <w:rPr>
          <w:smallCaps/>
          <w:spacing w:val="-1"/>
        </w:rPr>
        <w:t>Hofstra L. Rev.</w:t>
      </w:r>
      <w:r>
        <w:rPr>
          <w:spacing w:val="-1"/>
        </w:rPr>
        <w:t xml:space="preserve"> 349 (1995)</w:t>
      </w:r>
      <w:r w:rsidR="00D47546">
        <w:rPr>
          <w:spacing w:val="-1"/>
        </w:rPr>
        <w:t xml:space="preserve">; </w:t>
      </w:r>
      <w:r>
        <w:rPr>
          <w:spacing w:val="-1"/>
        </w:rPr>
        <w:t xml:space="preserve">noting, </w:t>
      </w:r>
      <w:r>
        <w:rPr>
          <w:i/>
          <w:iCs/>
          <w:spacing w:val="-1"/>
        </w:rPr>
        <w:t xml:space="preserve">id. </w:t>
      </w:r>
      <w:r>
        <w:rPr>
          <w:spacing w:val="-1"/>
        </w:rPr>
        <w:t xml:space="preserve">at 517, that “agreed damage clauses often accompany noncompetition clauses;” citing, </w:t>
      </w:r>
      <w:r>
        <w:rPr>
          <w:i/>
          <w:iCs/>
          <w:spacing w:val="-1"/>
        </w:rPr>
        <w:t>id.</w:t>
      </w:r>
      <w:r>
        <w:rPr>
          <w:spacing w:val="-1"/>
        </w:rPr>
        <w:t xml:space="preserve"> at n.63, Michael R. Sullivan, Note, </w:t>
      </w:r>
      <w:r>
        <w:rPr>
          <w:i/>
          <w:iCs/>
          <w:spacing w:val="-1"/>
        </w:rPr>
        <w:t>Covenants Not to Compete and Liquidated Damages Clauses</w:t>
      </w:r>
      <w:r w:rsidR="00D47546">
        <w:rPr>
          <w:i/>
          <w:iCs/>
          <w:spacing w:val="-1"/>
        </w:rPr>
        <w:t xml:space="preserve">: </w:t>
      </w:r>
      <w:r>
        <w:rPr>
          <w:i/>
          <w:iCs/>
          <w:spacing w:val="-1"/>
        </w:rPr>
        <w:t xml:space="preserve">Diagnosis and Treatment for </w:t>
      </w:r>
      <w:r>
        <w:rPr>
          <w:i/>
          <w:iCs/>
          <w:spacing w:val="-1"/>
        </w:rPr>
        <w:lastRenderedPageBreak/>
        <w:t>Physicians</w:t>
      </w:r>
      <w:r>
        <w:rPr>
          <w:spacing w:val="-1"/>
        </w:rPr>
        <w:t xml:space="preserve">, 46 S.C. L. </w:t>
      </w:r>
      <w:r>
        <w:rPr>
          <w:smallCaps/>
          <w:spacing w:val="-1"/>
        </w:rPr>
        <w:t>Rev.</w:t>
      </w:r>
      <w:r>
        <w:rPr>
          <w:spacing w:val="-1"/>
        </w:rPr>
        <w:t xml:space="preserve"> 505 (1995)</w:t>
      </w:r>
      <w:r w:rsidR="00D47546">
        <w:rPr>
          <w:spacing w:val="-1"/>
        </w:rPr>
        <w:t xml:space="preserve">; </w:t>
      </w:r>
      <w:r>
        <w:rPr>
          <w:spacing w:val="-1"/>
        </w:rPr>
        <w:t xml:space="preserve">adding, </w:t>
      </w:r>
      <w:r>
        <w:rPr>
          <w:i/>
          <w:iCs/>
          <w:spacing w:val="-1"/>
        </w:rPr>
        <w:t>id.</w:t>
      </w:r>
      <w:r>
        <w:rPr>
          <w:spacing w:val="-1"/>
        </w:rPr>
        <w:t xml:space="preserve"> at 517–18, that “the precise damages suffered as a result of the breach of such a restrictive covenant are usually difficult to quantify and/or prove with any degree of certainty, and therefore assuming the contract also calls for a reasonable sum of damages, such a stipulation stands a good chance of being upheld.”</w:t>
      </w:r>
      <w:r w:rsidR="00FB1D09">
        <w:rPr>
          <w:spacing w:val="-1"/>
        </w:rPr>
        <w:t xml:space="preserve"> </w:t>
      </w:r>
      <w:r>
        <w:rPr>
          <w:spacing w:val="-1"/>
        </w:rPr>
        <w:t>(Footnotes omitted)).</w:t>
      </w:r>
    </w:p>
    <w:p w14:paraId="26A73877"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782DFAA1" w14:textId="77777777" w:rsidR="00655396" w:rsidRDefault="00655396" w:rsidP="008B512B">
      <w:pPr>
        <w:pStyle w:val="AdditionalTopicsSectionHeadings"/>
        <w:spacing w:line="240" w:lineRule="auto"/>
      </w:pPr>
      <w:r>
        <w:t>Malpractice in Drafting Sales Agreement</w:t>
      </w:r>
    </w:p>
    <w:p w14:paraId="16F4E4AF"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4BF5BA28" w14:textId="55F15D07" w:rsidR="00655396" w:rsidRDefault="00655396" w:rsidP="008B512B">
      <w:pPr>
        <w:pStyle w:val="NoParagraphStyle"/>
        <w:tabs>
          <w:tab w:val="left" w:pos="480"/>
          <w:tab w:val="left" w:pos="960"/>
          <w:tab w:val="left" w:pos="1440"/>
        </w:tabs>
        <w:spacing w:line="240" w:lineRule="auto"/>
        <w:jc w:val="both"/>
        <w:rPr>
          <w:rFonts w:ascii="Baskerville" w:hAnsi="Baskerville" w:cs="Baskerville"/>
          <w:spacing w:val="-1"/>
        </w:rPr>
      </w:pPr>
      <w:r>
        <w:rPr>
          <w:rFonts w:ascii="Baskerville" w:hAnsi="Baskerville" w:cs="Baskerville"/>
          <w:spacing w:val="-1"/>
        </w:rPr>
        <w:tab/>
      </w:r>
      <w:r>
        <w:rPr>
          <w:rFonts w:ascii="Baskerville" w:hAnsi="Baskerville" w:cs="Baskerville"/>
          <w:i/>
          <w:iCs/>
          <w:spacing w:val="-1"/>
        </w:rPr>
        <w:t>Gavery v. McMahon &amp; Elliott</w:t>
      </w:r>
      <w:r>
        <w:rPr>
          <w:rFonts w:ascii="Baskerville" w:hAnsi="Baskerville" w:cs="Baskerville"/>
          <w:spacing w:val="-1"/>
        </w:rPr>
        <w:t>, 670 N.E.2d 822 (Ill. Ct. App. 1st Dist. 1996), involves legal malpractice claims against two separate law firms.</w:t>
      </w:r>
      <w:r w:rsidR="00FB1D09">
        <w:rPr>
          <w:rFonts w:ascii="Baskerville" w:hAnsi="Baskerville" w:cs="Baskerville"/>
          <w:spacing w:val="-1"/>
        </w:rPr>
        <w:t xml:space="preserve"> </w:t>
      </w:r>
      <w:r>
        <w:rPr>
          <w:rFonts w:ascii="Baskerville" w:hAnsi="Baskerville" w:cs="Baskerville"/>
          <w:i/>
          <w:iCs/>
          <w:spacing w:val="-1"/>
        </w:rPr>
        <w:t>Id.</w:t>
      </w:r>
      <w:r>
        <w:rPr>
          <w:rFonts w:ascii="Baskerville" w:hAnsi="Baskerville" w:cs="Baskerville"/>
          <w:spacing w:val="-1"/>
        </w:rPr>
        <w:t xml:space="preserve"> at 824.</w:t>
      </w:r>
      <w:r w:rsidR="00FB1D09">
        <w:rPr>
          <w:rFonts w:ascii="Baskerville" w:hAnsi="Baskerville" w:cs="Baskerville"/>
          <w:spacing w:val="-1"/>
        </w:rPr>
        <w:t xml:space="preserve"> </w:t>
      </w:r>
      <w:r>
        <w:rPr>
          <w:rFonts w:ascii="Baskerville" w:hAnsi="Baskerville" w:cs="Baskerville"/>
          <w:spacing w:val="-1"/>
        </w:rPr>
        <w:t>The first firm, McMahon &amp; Elliot, had advised the plaintiff in this action, physician G. Raymond Gavery, in connection with the April 1989 sale of the assets and good will of his medical practice to the Primary Care Family Center (PCFC).</w:t>
      </w:r>
      <w:r w:rsidR="00FB1D09">
        <w:rPr>
          <w:rFonts w:ascii="Baskerville" w:hAnsi="Baskerville" w:cs="Baskerville"/>
          <w:spacing w:val="-1"/>
        </w:rPr>
        <w:t xml:space="preserve"> </w:t>
      </w:r>
      <w:r>
        <w:rPr>
          <w:rFonts w:ascii="Baskerville" w:hAnsi="Baskerville" w:cs="Baskerville"/>
          <w:i/>
          <w:iCs/>
          <w:spacing w:val="-1"/>
        </w:rPr>
        <w:t>Id.</w:t>
      </w:r>
      <w:r w:rsidR="00FB1D09">
        <w:rPr>
          <w:rFonts w:ascii="Baskerville" w:hAnsi="Baskerville" w:cs="Baskerville"/>
          <w:spacing w:val="-1"/>
        </w:rPr>
        <w:t xml:space="preserve"> </w:t>
      </w:r>
      <w:r>
        <w:rPr>
          <w:rFonts w:ascii="Baskerville" w:hAnsi="Baskerville" w:cs="Baskerville"/>
          <w:spacing w:val="-1"/>
        </w:rPr>
        <w:t>As part of the sale, Gavery had covenanted not to compete with PCFC in exchange for 10 percent of PCFC’s gross revenues for 10 years.</w:t>
      </w:r>
      <w:r w:rsidR="00FB1D09">
        <w:rPr>
          <w:rFonts w:ascii="Baskerville" w:hAnsi="Baskerville" w:cs="Baskerville"/>
          <w:spacing w:val="-1"/>
        </w:rPr>
        <w:t xml:space="preserve"> </w:t>
      </w:r>
      <w:r>
        <w:rPr>
          <w:rFonts w:ascii="Baskerville" w:hAnsi="Baskerville" w:cs="Baskerville"/>
          <w:i/>
          <w:iCs/>
          <w:spacing w:val="-1"/>
        </w:rPr>
        <w:t>Id.</w:t>
      </w:r>
      <w:r w:rsidR="00FB1D09">
        <w:rPr>
          <w:rFonts w:ascii="Baskerville" w:hAnsi="Baskerville" w:cs="Baskerville"/>
          <w:spacing w:val="-1"/>
        </w:rPr>
        <w:t xml:space="preserve"> </w:t>
      </w:r>
      <w:r>
        <w:rPr>
          <w:rFonts w:ascii="Baskerville" w:hAnsi="Baskerville" w:cs="Baskerville"/>
          <w:spacing w:val="-1"/>
        </w:rPr>
        <w:t>In March 1990, a dispute arose between PCFC and Gavery as to whether certain credits were to be applied against the purchase price.</w:t>
      </w:r>
      <w:r w:rsidR="00FB1D09">
        <w:rPr>
          <w:rFonts w:ascii="Baskerville" w:hAnsi="Baskerville" w:cs="Baskerville"/>
          <w:spacing w:val="-1"/>
        </w:rPr>
        <w:t xml:space="preserve"> </w:t>
      </w:r>
      <w:r>
        <w:rPr>
          <w:rFonts w:ascii="Baskerville" w:hAnsi="Baskerville" w:cs="Baskerville"/>
          <w:i/>
          <w:iCs/>
          <w:spacing w:val="-1"/>
        </w:rPr>
        <w:t>Id.</w:t>
      </w:r>
      <w:r w:rsidR="00FB1D09">
        <w:rPr>
          <w:rFonts w:ascii="Baskerville" w:hAnsi="Baskerville" w:cs="Baskerville"/>
          <w:spacing w:val="-1"/>
        </w:rPr>
        <w:t xml:space="preserve"> </w:t>
      </w:r>
      <w:r>
        <w:rPr>
          <w:rFonts w:ascii="Baskerville" w:hAnsi="Baskerville" w:cs="Baskerville"/>
          <w:spacing w:val="-1"/>
        </w:rPr>
        <w:t>Gavery was at that time represented by the law firm of Rooks, Pitts &amp; Poust.</w:t>
      </w:r>
      <w:r w:rsidR="00FB1D09">
        <w:rPr>
          <w:rFonts w:ascii="Baskerville" w:hAnsi="Baskerville" w:cs="Baskerville"/>
          <w:spacing w:val="-1"/>
        </w:rPr>
        <w:t xml:space="preserve"> </w:t>
      </w:r>
      <w:r>
        <w:rPr>
          <w:rFonts w:ascii="Baskerville" w:hAnsi="Baskerville" w:cs="Baskerville"/>
          <w:i/>
          <w:iCs/>
          <w:spacing w:val="-1"/>
        </w:rPr>
        <w:t>Id.</w:t>
      </w:r>
      <w:r w:rsidR="00FB1D09">
        <w:rPr>
          <w:rFonts w:ascii="Baskerville" w:hAnsi="Baskerville" w:cs="Baskerville"/>
          <w:spacing w:val="-1"/>
        </w:rPr>
        <w:t xml:space="preserve"> </w:t>
      </w:r>
      <w:r>
        <w:rPr>
          <w:rFonts w:ascii="Baskerville" w:hAnsi="Baskerville" w:cs="Baskerville"/>
          <w:spacing w:val="-1"/>
        </w:rPr>
        <w:t>McMahon &amp; Elliott refused to cooperate with Gavery’s new law firm unless Gavery released McMahon &amp; Elliott from any claims he might have against it.</w:t>
      </w:r>
      <w:r w:rsidR="00FB1D09">
        <w:rPr>
          <w:rFonts w:ascii="Baskerville" w:hAnsi="Baskerville" w:cs="Baskerville"/>
          <w:spacing w:val="-1"/>
        </w:rPr>
        <w:t xml:space="preserve"> </w:t>
      </w:r>
      <w:r>
        <w:rPr>
          <w:rFonts w:ascii="Baskerville" w:hAnsi="Baskerville" w:cs="Baskerville"/>
          <w:i/>
          <w:iCs/>
          <w:spacing w:val="-1"/>
        </w:rPr>
        <w:t>Id.</w:t>
      </w:r>
      <w:r w:rsidR="00FB1D09">
        <w:rPr>
          <w:rFonts w:ascii="Baskerville" w:hAnsi="Baskerville" w:cs="Baskerville"/>
          <w:spacing w:val="-1"/>
        </w:rPr>
        <w:t xml:space="preserve"> </w:t>
      </w:r>
      <w:r>
        <w:rPr>
          <w:rFonts w:ascii="Baskerville" w:hAnsi="Baskerville" w:cs="Baskerville"/>
          <w:spacing w:val="-1"/>
        </w:rPr>
        <w:t>Although Rooks, Pitts &amp; Poust advised him that he might have “certain claims” against McMahon &amp; Elliott for failing to advise him properly regarding the drafting of the sale of business agreement with PCFC, he wanted McMahon &amp; Elliott’s assistance and executed a release waiving all claims against that firm “</w:t>
      </w:r>
      <w:r>
        <w:rPr>
          <w:spacing w:val="-1"/>
        </w:rPr>
        <w:t> </w:t>
      </w:r>
      <w:r>
        <w:rPr>
          <w:rFonts w:ascii="Baskerville" w:hAnsi="Baskerville" w:cs="Baskerville"/>
          <w:spacing w:val="-1"/>
        </w:rPr>
        <w:t>‘</w:t>
      </w:r>
      <w:r>
        <w:rPr>
          <w:rFonts w:ascii="Baskerville" w:hAnsi="Baskerville" w:cs="Baskerville"/>
          <w:i/>
          <w:iCs/>
          <w:spacing w:val="-1"/>
        </w:rPr>
        <w:t>including but without limitation, any injury or damage sustained by Gavery by virtue of entering into the Asset Purchase Agreement and/or the Noncompetition Agreement</w:t>
      </w:r>
      <w:r>
        <w:rPr>
          <w:rFonts w:ascii="Baskerville" w:hAnsi="Baskerville" w:cs="Baskerville"/>
          <w:spacing w:val="-1"/>
        </w:rPr>
        <w:t>.’</w:t>
      </w:r>
      <w:r>
        <w:rPr>
          <w:spacing w:val="-1"/>
        </w:rPr>
        <w:t> </w:t>
      </w:r>
      <w:r>
        <w:rPr>
          <w:rFonts w:ascii="Baskerville" w:hAnsi="Baskerville" w:cs="Baskerville"/>
          <w:spacing w:val="-1"/>
        </w:rPr>
        <w:t>”</w:t>
      </w:r>
      <w:r w:rsidR="00FB1D09">
        <w:rPr>
          <w:rFonts w:ascii="Baskerville" w:hAnsi="Baskerville" w:cs="Baskerville"/>
          <w:spacing w:val="-1"/>
        </w:rPr>
        <w:t xml:space="preserve"> </w:t>
      </w:r>
      <w:r>
        <w:rPr>
          <w:rFonts w:ascii="Baskerville" w:hAnsi="Baskerville" w:cs="Baskerville"/>
          <w:i/>
          <w:iCs/>
          <w:spacing w:val="-1"/>
        </w:rPr>
        <w:t>Id.</w:t>
      </w:r>
      <w:r>
        <w:rPr>
          <w:rFonts w:ascii="Baskerville" w:hAnsi="Baskerville" w:cs="Baskerville"/>
          <w:spacing w:val="-1"/>
        </w:rPr>
        <w:t xml:space="preserve"> at 825 (court’s emphasis).</w:t>
      </w:r>
      <w:r w:rsidR="00FB1D09">
        <w:rPr>
          <w:rFonts w:ascii="Baskerville" w:hAnsi="Baskerville" w:cs="Baskerville"/>
          <w:spacing w:val="-1"/>
        </w:rPr>
        <w:t xml:space="preserve"> </w:t>
      </w:r>
      <w:r>
        <w:rPr>
          <w:rFonts w:ascii="Baskerville" w:hAnsi="Baskerville" w:cs="Baskerville"/>
          <w:spacing w:val="-1"/>
        </w:rPr>
        <w:t>In May 1993, PCFC filed suit against Gavery, seeking to void the noncompetition covenant (and the payments it called for PCFC to make to Gavery) as violative of the Illinois Medical Practice Act of 1987 (IMPA),</w:t>
      </w:r>
      <w:r w:rsidR="00FB1D09">
        <w:rPr>
          <w:rFonts w:ascii="Baskerville" w:hAnsi="Baskerville" w:cs="Baskerville"/>
          <w:spacing w:val="-1"/>
        </w:rPr>
        <w:t xml:space="preserve"> </w:t>
      </w:r>
      <w:r>
        <w:rPr>
          <w:rFonts w:ascii="Baskerville" w:hAnsi="Baskerville" w:cs="Baskerville"/>
          <w:smallCaps/>
          <w:spacing w:val="-1"/>
        </w:rPr>
        <w:t>Ill. Rev. Stat.</w:t>
      </w:r>
      <w:r>
        <w:rPr>
          <w:rFonts w:ascii="Baskerville" w:hAnsi="Baskerville" w:cs="Baskerville"/>
          <w:spacing w:val="-1"/>
        </w:rPr>
        <w:t xml:space="preserve"> ch. 225, ¶ 60/1 et seq. (West 1992).</w:t>
      </w:r>
      <w:r w:rsidR="00FB1D09">
        <w:rPr>
          <w:rFonts w:ascii="Baskerville" w:hAnsi="Baskerville" w:cs="Baskerville"/>
          <w:spacing w:val="-1"/>
        </w:rPr>
        <w:t xml:space="preserve"> </w:t>
      </w:r>
      <w:r>
        <w:rPr>
          <w:rFonts w:ascii="Baskerville" w:hAnsi="Baskerville" w:cs="Baskerville"/>
          <w:i/>
          <w:iCs/>
          <w:spacing w:val="-1"/>
        </w:rPr>
        <w:t>Id.</w:t>
      </w:r>
      <w:r w:rsidR="00FB1D09">
        <w:rPr>
          <w:rFonts w:ascii="Baskerville" w:hAnsi="Baskerville" w:cs="Baskerville"/>
          <w:spacing w:val="-1"/>
        </w:rPr>
        <w:t xml:space="preserve"> </w:t>
      </w:r>
      <w:r>
        <w:rPr>
          <w:rFonts w:ascii="Baskerville" w:hAnsi="Baskerville" w:cs="Baskerville"/>
          <w:spacing w:val="-1"/>
        </w:rPr>
        <w:t>Due to the conflict between the covenant and the IMPA, Gavery settled that claim.</w:t>
      </w:r>
      <w:r w:rsidR="00FB1D09">
        <w:rPr>
          <w:rFonts w:ascii="Baskerville" w:hAnsi="Baskerville" w:cs="Baskerville"/>
          <w:spacing w:val="-1"/>
        </w:rPr>
        <w:t xml:space="preserve"> </w:t>
      </w:r>
      <w:r>
        <w:rPr>
          <w:rFonts w:ascii="Baskerville" w:hAnsi="Baskerville" w:cs="Baskerville"/>
          <w:i/>
          <w:iCs/>
          <w:spacing w:val="-1"/>
        </w:rPr>
        <w:t>Id.</w:t>
      </w:r>
      <w:r w:rsidR="00FB1D09">
        <w:rPr>
          <w:rFonts w:ascii="Baskerville" w:hAnsi="Baskerville" w:cs="Baskerville"/>
          <w:spacing w:val="-1"/>
        </w:rPr>
        <w:t xml:space="preserve"> </w:t>
      </w:r>
      <w:r>
        <w:rPr>
          <w:rFonts w:ascii="Baskerville" w:hAnsi="Baskerville" w:cs="Baskerville"/>
          <w:spacing w:val="-1"/>
        </w:rPr>
        <w:t>He then brought suit against both law firms for legal malpractice, asserting that they had failed to advise him properly about whether the noncompetition agreement with PCFC violated the IMPA.</w:t>
      </w:r>
      <w:r w:rsidR="00FB1D09">
        <w:rPr>
          <w:rFonts w:ascii="Baskerville" w:hAnsi="Baskerville" w:cs="Baskerville"/>
          <w:spacing w:val="-1"/>
        </w:rPr>
        <w:t xml:space="preserve"> </w:t>
      </w:r>
      <w:r>
        <w:rPr>
          <w:rFonts w:ascii="Baskerville" w:hAnsi="Baskerville" w:cs="Baskerville"/>
          <w:i/>
          <w:iCs/>
          <w:spacing w:val="-1"/>
        </w:rPr>
        <w:t>Id.</w:t>
      </w:r>
      <w:r w:rsidR="00FB1D09">
        <w:rPr>
          <w:rFonts w:ascii="Baskerville" w:hAnsi="Baskerville" w:cs="Baskerville"/>
          <w:spacing w:val="-1"/>
        </w:rPr>
        <w:t xml:space="preserve"> </w:t>
      </w:r>
      <w:r>
        <w:rPr>
          <w:rFonts w:ascii="Baskerville" w:hAnsi="Baskerville" w:cs="Baskerville"/>
          <w:spacing w:val="-1"/>
        </w:rPr>
        <w:t>McMahon &amp; Elliott successfully moved to dismiss the claim on the basis of the release.</w:t>
      </w:r>
      <w:r w:rsidR="00FB1D09">
        <w:rPr>
          <w:rFonts w:ascii="Baskerville" w:hAnsi="Baskerville" w:cs="Baskerville"/>
          <w:spacing w:val="-1"/>
        </w:rPr>
        <w:t xml:space="preserve"> </w:t>
      </w:r>
      <w:r>
        <w:rPr>
          <w:rFonts w:ascii="Baskerville" w:hAnsi="Baskerville" w:cs="Baskerville"/>
          <w:i/>
          <w:iCs/>
          <w:spacing w:val="-1"/>
        </w:rPr>
        <w:lastRenderedPageBreak/>
        <w:t>Id.</w:t>
      </w:r>
      <w:r w:rsidR="00FB1D09">
        <w:rPr>
          <w:rFonts w:ascii="Baskerville" w:hAnsi="Baskerville" w:cs="Baskerville"/>
          <w:spacing w:val="-1"/>
        </w:rPr>
        <w:t xml:space="preserve"> </w:t>
      </w:r>
      <w:r>
        <w:rPr>
          <w:rFonts w:ascii="Baskerville" w:hAnsi="Baskerville" w:cs="Baskerville"/>
          <w:spacing w:val="-1"/>
        </w:rPr>
        <w:t xml:space="preserve">In granting that motion, the circuit court noted that the release Gavery executed with McMahon &amp; Elliott was very specific and not ambiguous. </w:t>
      </w:r>
      <w:r>
        <w:rPr>
          <w:rFonts w:ascii="Baskerville" w:hAnsi="Baskerville" w:cs="Baskerville"/>
          <w:i/>
          <w:iCs/>
          <w:spacing w:val="-1"/>
        </w:rPr>
        <w:t>Id.</w:t>
      </w:r>
      <w:r w:rsidR="00FB1D09">
        <w:rPr>
          <w:rFonts w:ascii="Baskerville" w:hAnsi="Baskerville" w:cs="Baskerville"/>
          <w:i/>
          <w:iCs/>
          <w:spacing w:val="-1"/>
        </w:rPr>
        <w:t xml:space="preserve"> </w:t>
      </w:r>
      <w:r>
        <w:rPr>
          <w:rFonts w:ascii="Baskerville" w:hAnsi="Baskerville" w:cs="Baskerville"/>
          <w:spacing w:val="-1"/>
        </w:rPr>
        <w:t>On appeal, the court of appeals affirmed dismissal. It reasoned that the release unambiguously applied to Gavery’s claims and was supported by adequate consideration.</w:t>
      </w:r>
      <w:r w:rsidR="00FB1D09">
        <w:rPr>
          <w:rFonts w:ascii="Baskerville" w:hAnsi="Baskerville" w:cs="Baskerville"/>
          <w:spacing w:val="-1"/>
        </w:rPr>
        <w:t xml:space="preserve"> </w:t>
      </w:r>
      <w:r>
        <w:rPr>
          <w:rFonts w:ascii="Baskerville" w:hAnsi="Baskerville" w:cs="Baskerville"/>
          <w:i/>
          <w:iCs/>
          <w:spacing w:val="-1"/>
        </w:rPr>
        <w:t>Id.</w:t>
      </w:r>
      <w:r>
        <w:rPr>
          <w:rFonts w:ascii="Baskerville" w:hAnsi="Baskerville" w:cs="Baskerville"/>
          <w:spacing w:val="-1"/>
        </w:rPr>
        <w:t xml:space="preserve"> at 825–27.</w:t>
      </w:r>
    </w:p>
    <w:p w14:paraId="2CF36D4B" w14:textId="19E1C7F2" w:rsidR="00655396" w:rsidRDefault="00655396" w:rsidP="008B512B">
      <w:pPr>
        <w:pStyle w:val="BodyText"/>
        <w:spacing w:line="240" w:lineRule="auto"/>
      </w:pPr>
      <w:r>
        <w:tab/>
        <w:t>“Where the covenant specifically uses the word ‘radius’ a court may find a physician in breach for practicing within the radius even though the shortest distance by car is greater than the distance in the restrictive covenant.”</w:t>
      </w:r>
      <w:r w:rsidR="00FB1D09">
        <w:t xml:space="preserve"> </w:t>
      </w:r>
      <w:r>
        <w:t xml:space="preserve">James W. Lowry, Commentary: </w:t>
      </w:r>
      <w:r>
        <w:rPr>
          <w:i/>
          <w:iCs/>
        </w:rPr>
        <w:t>Covenants Not to Compete in Physician Contracts</w:t>
      </w:r>
      <w:r w:rsidR="00D47546">
        <w:rPr>
          <w:i/>
          <w:iCs/>
        </w:rPr>
        <w:t xml:space="preserve">: </w:t>
      </w:r>
      <w:r>
        <w:rPr>
          <w:i/>
          <w:iCs/>
        </w:rPr>
        <w:t>Recent Trends Defining Reasonableness at Common Law</w:t>
      </w:r>
      <w:r>
        <w:t xml:space="preserve">, 24 </w:t>
      </w:r>
      <w:r>
        <w:rPr>
          <w:smallCaps/>
        </w:rPr>
        <w:t>J. Legal Med.</w:t>
      </w:r>
      <w:r>
        <w:t xml:space="preserve"> 215, 229 (June 2003) (citing, </w:t>
      </w:r>
      <w:r>
        <w:rPr>
          <w:i/>
          <w:iCs/>
        </w:rPr>
        <w:t>id.</w:t>
      </w:r>
      <w:r>
        <w:t xml:space="preserve"> at n.108,</w:t>
      </w:r>
      <w:r w:rsidR="00FB1D09">
        <w:t xml:space="preserve"> </w:t>
      </w:r>
      <w:r>
        <w:rPr>
          <w:i/>
          <w:iCs/>
        </w:rPr>
        <w:t>In re Lopez</w:t>
      </w:r>
      <w:r>
        <w:t>, 93 B.R. 155, 160 (Bankr. N.D. Ill. 1988)).</w:t>
      </w:r>
    </w:p>
    <w:p w14:paraId="11B4AB25" w14:textId="77777777" w:rsidR="00655396" w:rsidRDefault="00655396" w:rsidP="008B512B">
      <w:pPr>
        <w:pStyle w:val="BodyText"/>
        <w:spacing w:line="240" w:lineRule="auto"/>
      </w:pPr>
    </w:p>
    <w:p w14:paraId="5B165633" w14:textId="77777777" w:rsidR="00655396" w:rsidRDefault="00655396" w:rsidP="008B512B">
      <w:pPr>
        <w:pStyle w:val="AdditionalTopicsSectionHeadings"/>
        <w:spacing w:line="240" w:lineRule="auto"/>
      </w:pPr>
      <w:r>
        <w:t>Medical Ethical Principles</w:t>
      </w:r>
    </w:p>
    <w:p w14:paraId="02F5BF5E" w14:textId="77777777" w:rsidR="00655396" w:rsidRDefault="00655396" w:rsidP="008B512B">
      <w:pPr>
        <w:pStyle w:val="BodyText"/>
        <w:spacing w:line="240" w:lineRule="auto"/>
      </w:pPr>
    </w:p>
    <w:p w14:paraId="28BB2EA6" w14:textId="3E12CD3B" w:rsidR="00655396" w:rsidRDefault="00655396" w:rsidP="008B512B">
      <w:pPr>
        <w:pStyle w:val="BodyText"/>
        <w:spacing w:line="240" w:lineRule="auto"/>
      </w:pPr>
      <w:r>
        <w:tab/>
        <w:t xml:space="preserve">In </w:t>
      </w:r>
      <w:r>
        <w:rPr>
          <w:i/>
          <w:iCs/>
        </w:rPr>
        <w:t>Bloomington Urological Associates, SC v. Scaglia</w:t>
      </w:r>
      <w:r>
        <w:t xml:space="preserve">, 292 Ill. App. 3d 793, 226 Ill. Dec. 759, 686 N.E.2d 389 (4th Dist. 1997), the majority construed a restriction under which a former employee physician agreed not to “engage in the [b]usiness” of “the provision of medicine services” from any office located within a 50-mile radius of any office of the former employer </w:t>
      </w:r>
      <w:r>
        <w:rPr>
          <w:i/>
          <w:iCs/>
        </w:rPr>
        <w:t>not to include</w:t>
      </w:r>
      <w:r>
        <w:t xml:space="preserve"> “administrative or managerial aspects of medical practice, such as billing, scheduling, and updating patients’ charts” (</w:t>
      </w:r>
      <w:r>
        <w:rPr>
          <w:i/>
          <w:iCs/>
        </w:rPr>
        <w:t>id.</w:t>
      </w:r>
      <w:r>
        <w:t xml:space="preserve"> at 799, 226 Ill. Dec. at 763, 686 N.E.2d at 393) or “telephone inquiries from existing patients to a physician (or his employees acting as conduits of information) or responses to those patients—either in the form of recommending treatment or prescribing medication.”</w:t>
      </w:r>
      <w:r w:rsidR="00FB1D09">
        <w:t xml:space="preserve"> </w:t>
      </w:r>
      <w:r>
        <w:rPr>
          <w:i/>
          <w:iCs/>
        </w:rPr>
        <w:t>Id.</w:t>
      </w:r>
      <w:r>
        <w:t>, 226 Ill. Dec. at 764, 686 N.E.2d at 394.</w:t>
      </w:r>
    </w:p>
    <w:p w14:paraId="2FF9644F" w14:textId="77777777" w:rsidR="00655396" w:rsidRDefault="00655396" w:rsidP="008B512B">
      <w:pPr>
        <w:pStyle w:val="BodyText"/>
        <w:spacing w:line="240" w:lineRule="auto"/>
        <w:rPr>
          <w:sz w:val="22"/>
          <w:szCs w:val="22"/>
        </w:rPr>
      </w:pPr>
      <w:r>
        <w:tab/>
        <w:t xml:space="preserve">According to the majority in </w:t>
      </w:r>
      <w:r>
        <w:rPr>
          <w:i/>
          <w:iCs/>
        </w:rPr>
        <w:t>Bloomington Urological</w:t>
      </w:r>
      <w:r>
        <w:t>,</w:t>
      </w:r>
    </w:p>
    <w:p w14:paraId="0D89F88E" w14:textId="39ED818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[A]lthough we do not decide precisely what “</w:t>
      </w:r>
      <w:r>
        <w:rPr>
          <w:rFonts w:ascii="Baskerville" w:hAnsi="Baskerville" w:cs="Baskerville"/>
          <w:i/>
          <w:iCs/>
          <w:sz w:val="22"/>
          <w:szCs w:val="22"/>
        </w:rPr>
        <w:t>the practice of medicine</w:t>
      </w:r>
      <w:r>
        <w:rPr>
          <w:rFonts w:ascii="Baskerville" w:hAnsi="Baskerville" w:cs="Baskerville"/>
          <w:sz w:val="22"/>
          <w:szCs w:val="22"/>
        </w:rPr>
        <w:t xml:space="preserve">” means in the context of a restrictive covenant, we conclude that, in [the context of the instant agreed order emanating from a restrictive covenant], it </w:t>
      </w:r>
      <w:r>
        <w:rPr>
          <w:rFonts w:ascii="Baskerville" w:hAnsi="Baskerville" w:cs="Baskerville"/>
          <w:i/>
          <w:iCs/>
          <w:sz w:val="22"/>
          <w:szCs w:val="22"/>
        </w:rPr>
        <w:t>cannot include telephone inquiries from existing patients to a physician (or his employees acting as conduits of information) or responses to those patients—either in the form of recommending treatment or prescribing medication</w:t>
      </w:r>
      <w:r>
        <w:rPr>
          <w:rFonts w:ascii="Baskerville" w:hAnsi="Baskerville" w:cs="Baskerville"/>
          <w:sz w:val="22"/>
          <w:szCs w:val="22"/>
        </w:rPr>
        <w:t>.</w:t>
      </w:r>
      <w:r w:rsidR="00FB1D09">
        <w:rPr>
          <w:rFonts w:ascii="Baskerville" w:hAnsi="Baskerville" w:cs="Baskerville"/>
          <w:sz w:val="22"/>
          <w:szCs w:val="22"/>
        </w:rPr>
        <w:t xml:space="preserve"> </w:t>
      </w:r>
      <w:r>
        <w:rPr>
          <w:rFonts w:ascii="Baskerville" w:hAnsi="Baskerville" w:cs="Baskerville"/>
          <w:sz w:val="22"/>
          <w:szCs w:val="22"/>
        </w:rPr>
        <w:t xml:space="preserve">In the age of modern technology—where telephones and beepers travel with an individual and telephone calls can be automatically forwarded to another line—it simply makes </w:t>
      </w:r>
      <w:r>
        <w:rPr>
          <w:rFonts w:ascii="Baskerville" w:hAnsi="Baskerville" w:cs="Baskerville"/>
          <w:sz w:val="22"/>
          <w:szCs w:val="22"/>
        </w:rPr>
        <w:lastRenderedPageBreak/>
        <w:t>no sense to place significance upon where a physician happens to make calls.</w:t>
      </w:r>
    </w:p>
    <w:p w14:paraId="01110880" w14:textId="77777777" w:rsidR="00655396" w:rsidRDefault="00655396" w:rsidP="008B512B">
      <w:pPr>
        <w:pStyle w:val="BodyText"/>
        <w:spacing w:line="240" w:lineRule="auto"/>
      </w:pPr>
    </w:p>
    <w:p w14:paraId="057FD0B9" w14:textId="77777777" w:rsidR="00655396" w:rsidRDefault="00655396" w:rsidP="008B512B">
      <w:pPr>
        <w:pStyle w:val="BodyText"/>
        <w:spacing w:line="240" w:lineRule="auto"/>
      </w:pPr>
      <w:r>
        <w:rPr>
          <w:i/>
          <w:iCs/>
        </w:rPr>
        <w:t>Id.</w:t>
      </w:r>
      <w:r>
        <w:t>, 226 Ill. Dec. at 764, 686 N.E.2d at 394 (emphasis added).</w:t>
      </w:r>
    </w:p>
    <w:p w14:paraId="137701DB" w14:textId="122B9EF9" w:rsidR="00655396" w:rsidRDefault="00655396" w:rsidP="008B512B">
      <w:pPr>
        <w:pStyle w:val="BodyText"/>
        <w:spacing w:line="240" w:lineRule="auto"/>
      </w:pPr>
      <w:r>
        <w:tab/>
        <w:t>This interpretation is consistent with the “legal and ethical obligation [imposed on Illinois physicians] to attend to their patients’ needs.”</w:t>
      </w:r>
      <w:r w:rsidR="00FB1D09">
        <w:t xml:space="preserve"> </w:t>
      </w:r>
      <w:r>
        <w:rPr>
          <w:i/>
          <w:iCs/>
        </w:rPr>
        <w:t>Id.</w:t>
      </w:r>
      <w:r>
        <w:t xml:space="preserve"> at 799–800, 226 Ill. Dec. at 764, 686 N.E.2d at 394.</w:t>
      </w:r>
      <w:r w:rsidR="00FB1D09">
        <w:t xml:space="preserve"> </w:t>
      </w:r>
      <w:r>
        <w:t xml:space="preserve">The </w:t>
      </w:r>
      <w:r>
        <w:rPr>
          <w:i/>
          <w:iCs/>
        </w:rPr>
        <w:t>Bloomington Urological</w:t>
      </w:r>
      <w:r>
        <w:t xml:space="preserve"> majority explained:</w:t>
      </w:r>
    </w:p>
    <w:p w14:paraId="578EF9D1" w14:textId="77777777" w:rsidR="00655396" w:rsidRDefault="00655396" w:rsidP="008B512B">
      <w:pPr>
        <w:pStyle w:val="BodyText"/>
        <w:spacing w:line="240" w:lineRule="auto"/>
      </w:pPr>
    </w:p>
    <w:p w14:paraId="2312BDE5" w14:textId="44C39D2B"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Physicians licensed in Illinois are specifically prohibited from abandoning their patients.</w:t>
      </w:r>
      <w:r w:rsidR="00FB1D09">
        <w:rPr>
          <w:rFonts w:ascii="Baskerville" w:hAnsi="Baskerville" w:cs="Baskerville"/>
          <w:sz w:val="22"/>
          <w:szCs w:val="22"/>
        </w:rPr>
        <w:t xml:space="preserve"> </w:t>
      </w:r>
      <w:r>
        <w:rPr>
          <w:rFonts w:ascii="Baskerville" w:hAnsi="Baskerville" w:cs="Baskerville"/>
          <w:sz w:val="22"/>
          <w:szCs w:val="22"/>
        </w:rPr>
        <w:t>See 225 ILCS 60/22(A)(16) (West 1994).</w:t>
      </w:r>
      <w:r w:rsidR="00FB1D09">
        <w:rPr>
          <w:rFonts w:ascii="Baskerville" w:hAnsi="Baskerville" w:cs="Baskerville"/>
          <w:sz w:val="22"/>
          <w:szCs w:val="22"/>
        </w:rPr>
        <w:t xml:space="preserve"> </w:t>
      </w:r>
      <w:r>
        <w:rPr>
          <w:rFonts w:ascii="Baskerville" w:hAnsi="Baskerville" w:cs="Baskerville"/>
          <w:sz w:val="22"/>
          <w:szCs w:val="22"/>
        </w:rPr>
        <w:t>Further, the American Medical Association’s Council on Ethical and Judicial Affairs mandates that “once having undertaken a case, the physician should not neglect the patient.”</w:t>
      </w:r>
      <w:r w:rsidR="00FB1D09">
        <w:rPr>
          <w:rFonts w:ascii="Baskerville" w:hAnsi="Baskerville" w:cs="Baskerville"/>
          <w:sz w:val="22"/>
          <w:szCs w:val="22"/>
        </w:rPr>
        <w:t xml:space="preserve"> </w:t>
      </w:r>
      <w:r>
        <w:rPr>
          <w:rFonts w:ascii="Baskerville" w:hAnsi="Baskerville" w:cs="Baskerville"/>
          <w:sz w:val="22"/>
          <w:szCs w:val="22"/>
        </w:rPr>
        <w:t>American Medical Association Code of Medical Ethics: Current Opinions with Annotations, 8.11 (1996).</w:t>
      </w:r>
      <w:r w:rsidR="00FB1D09">
        <w:rPr>
          <w:rFonts w:ascii="Baskerville" w:hAnsi="Baskerville" w:cs="Baskerville"/>
          <w:sz w:val="22"/>
          <w:szCs w:val="22"/>
        </w:rPr>
        <w:t xml:space="preserve"> </w:t>
      </w:r>
      <w:r>
        <w:rPr>
          <w:rFonts w:ascii="Baskerville" w:hAnsi="Baskerville" w:cs="Baskerville"/>
          <w:i/>
          <w:iCs/>
          <w:sz w:val="22"/>
          <w:szCs w:val="22"/>
        </w:rPr>
        <w:t>To conclude that telephone inquiries from existing patients to their physician constitute the practice of medicine in the context of a restrictive covenant would effectively force a physician to neglect or abandon his patients whenever they telephone or page him with medical-related questions, concerns, or emergencies at a time when he happens to be in the restricted geographical area</w:t>
      </w:r>
      <w:r>
        <w:rPr>
          <w:rFonts w:ascii="Baskerville" w:hAnsi="Baskerville" w:cs="Baskerville"/>
          <w:sz w:val="22"/>
          <w:szCs w:val="22"/>
        </w:rPr>
        <w:t>.</w:t>
      </w:r>
    </w:p>
    <w:p w14:paraId="210BC69F" w14:textId="77777777" w:rsidR="00655396" w:rsidRDefault="00655396" w:rsidP="008B512B">
      <w:pPr>
        <w:pStyle w:val="BodyText"/>
        <w:spacing w:line="240" w:lineRule="auto"/>
        <w:rPr>
          <w:i/>
          <w:iCs/>
        </w:rPr>
      </w:pPr>
    </w:p>
    <w:p w14:paraId="5BCF7FBA" w14:textId="77777777" w:rsidR="00655396" w:rsidRDefault="00655396" w:rsidP="008B512B">
      <w:pPr>
        <w:pStyle w:val="BodyText"/>
        <w:spacing w:line="240" w:lineRule="auto"/>
      </w:pPr>
      <w:r>
        <w:rPr>
          <w:i/>
          <w:iCs/>
        </w:rPr>
        <w:t>Id.</w:t>
      </w:r>
      <w:r>
        <w:t xml:space="preserve"> at 800, 226 Ill. Dec. at 764, 686 N.E.2d at 394 (emphasis added).</w:t>
      </w:r>
    </w:p>
    <w:p w14:paraId="4263E4BA" w14:textId="77777777" w:rsidR="00655396" w:rsidRDefault="00655396" w:rsidP="008B512B">
      <w:pPr>
        <w:pStyle w:val="BodyText"/>
        <w:spacing w:line="240" w:lineRule="auto"/>
      </w:pPr>
      <w:r>
        <w:tab/>
      </w:r>
      <w:r>
        <w:rPr>
          <w:i/>
          <w:iCs/>
        </w:rPr>
        <w:t>See also</w:t>
      </w:r>
      <w:r>
        <w:t xml:space="preserve"> the discussion in the </w:t>
      </w:r>
      <w:r>
        <w:rPr>
          <w:i/>
          <w:iCs/>
        </w:rPr>
        <w:t>Physicians and Public Policy</w:t>
      </w:r>
      <w:r>
        <w:t xml:space="preserve"> entry, </w:t>
      </w:r>
      <w:r>
        <w:rPr>
          <w:i/>
          <w:iCs/>
        </w:rPr>
        <w:t>infra</w:t>
      </w:r>
      <w:r>
        <w:t xml:space="preserve"> in this </w:t>
      </w:r>
      <w:r>
        <w:rPr>
          <w:i/>
          <w:iCs/>
        </w:rPr>
        <w:t>Additional Topics</w:t>
      </w:r>
      <w:r>
        <w:t xml:space="preserve"> section.</w:t>
      </w:r>
    </w:p>
    <w:p w14:paraId="0D4A8B77" w14:textId="77777777" w:rsidR="00655396" w:rsidRDefault="00655396" w:rsidP="008B512B">
      <w:pPr>
        <w:pStyle w:val="BodyText"/>
        <w:spacing w:line="240" w:lineRule="auto"/>
      </w:pPr>
    </w:p>
    <w:p w14:paraId="7FD50A2D" w14:textId="77777777" w:rsidR="00655396" w:rsidRDefault="00655396" w:rsidP="008B512B">
      <w:pPr>
        <w:pStyle w:val="AdditionalTopicsSectionHeadings"/>
        <w:spacing w:line="240" w:lineRule="auto"/>
      </w:pPr>
      <w:r>
        <w:t>Mootness</w:t>
      </w:r>
    </w:p>
    <w:p w14:paraId="2AF45829" w14:textId="77777777" w:rsidR="00655396" w:rsidRDefault="00655396" w:rsidP="008B512B">
      <w:pPr>
        <w:pStyle w:val="BodyText"/>
        <w:spacing w:line="240" w:lineRule="auto"/>
        <w:rPr>
          <w:sz w:val="20"/>
          <w:szCs w:val="20"/>
        </w:rPr>
      </w:pPr>
    </w:p>
    <w:p w14:paraId="7AE6E173" w14:textId="0131F0A3" w:rsidR="00245C88" w:rsidRDefault="00655396" w:rsidP="00245C88">
      <w:pPr>
        <w:pStyle w:val="BodyText"/>
        <w:spacing w:line="240" w:lineRule="auto"/>
      </w:pPr>
      <w:r>
        <w:tab/>
        <w:t>Where the temporal term of a putative covenant not to compete would have expired before a hearing on a former employee’s declaratory judgment action to have the covenant declared unenforceable, the action is moot.</w:t>
      </w:r>
      <w:r w:rsidR="00FB1D09">
        <w:t xml:space="preserve"> </w:t>
      </w:r>
      <w:r>
        <w:rPr>
          <w:i/>
          <w:iCs/>
        </w:rPr>
        <w:t>Baker v. Daniel S. Berger, Ltd.</w:t>
      </w:r>
      <w:r>
        <w:t>, 323 Ill. App. 3d 956, 966–67, 257 Ill. Dec. 268, 277, 753 N.E.2d 463, 472 (1st Dist. 2001).</w:t>
      </w:r>
      <w:r w:rsidR="00245C88">
        <w:t xml:space="preserve"> </w:t>
      </w:r>
      <w:r>
        <w:t>However, claims for damages, as opposed to those for injunctive relief, as to potential violations of a postemployment noncompetition covenant are not rendered moot in the Seventh Circuit by the expiration of the covenant’s temporal term.</w:t>
      </w:r>
      <w:r w:rsidR="00FB1D09">
        <w:t xml:space="preserve"> </w:t>
      </w:r>
      <w:r>
        <w:rPr>
          <w:i/>
          <w:iCs/>
        </w:rPr>
        <w:t>Cintas Corp. v. Perry</w:t>
      </w:r>
      <w:r>
        <w:t>, 517 F.3d 459, 466 n.3 (7th Cir. 2008) (on appeal from a federal district court sitting in Illinois</w:t>
      </w:r>
      <w:r w:rsidR="00D47546">
        <w:t xml:space="preserve">; </w:t>
      </w:r>
      <w:r>
        <w:t>applying Ohio substantive law).</w:t>
      </w:r>
    </w:p>
    <w:p w14:paraId="066400B3" w14:textId="58704BFB" w:rsidR="00655396" w:rsidRDefault="00655396" w:rsidP="008B512B">
      <w:pPr>
        <w:pStyle w:val="BodyText"/>
        <w:spacing w:line="240" w:lineRule="auto"/>
      </w:pPr>
      <w:r>
        <w:tab/>
        <w:t xml:space="preserve">An order denying summary judgment on the issue of whether a </w:t>
      </w:r>
      <w:r>
        <w:lastRenderedPageBreak/>
        <w:t xml:space="preserve">contract prohibiting an employee from revealing trade secrets was transferable and enforceable by a successor company was not </w:t>
      </w:r>
      <w:r>
        <w:br/>
        <w:t xml:space="preserve">rendered moot by trial and subsequent judgment on the merits </w:t>
      </w:r>
      <w:r>
        <w:br/>
        <w:t>because the legal question could be separated from the factual one.</w:t>
      </w:r>
      <w:r w:rsidR="00FB1D09">
        <w:t xml:space="preserve"> </w:t>
      </w:r>
      <w:r>
        <w:rPr>
          <w:i/>
          <w:iCs/>
        </w:rPr>
        <w:t>Chemetall GMBH v. ZR Energy, Inc.</w:t>
      </w:r>
      <w:r>
        <w:t xml:space="preserve">, 320 F.3d 714 (7th Cir. 2003). </w:t>
      </w:r>
    </w:p>
    <w:p w14:paraId="457B99AF" w14:textId="77777777" w:rsidR="00245C88" w:rsidRPr="00245C88" w:rsidRDefault="00245C88" w:rsidP="00245C88">
      <w:pPr>
        <w:shd w:val="clear" w:color="auto" w:fill="FFFFFF"/>
        <w:rPr>
          <w:rFonts w:ascii="Baskerville" w:hAnsi="Baskerville" w:cs="Arial"/>
          <w:color w:val="000000" w:themeColor="text1"/>
        </w:rPr>
      </w:pPr>
      <w:r w:rsidRPr="00245C88">
        <w:rPr>
          <w:rFonts w:ascii="Baskerville" w:hAnsi="Baskerville" w:cs="Arial"/>
          <w:color w:val="000000" w:themeColor="text1"/>
        </w:rPr>
        <w:tab/>
        <w:t>However, the fact that a complaint when initially filed may have presented an actual claim or controversy “does not prevent the court from later determining that the claims presented therein have become moot.”</w:t>
      </w:r>
      <w:r w:rsidRPr="00245C88">
        <w:rPr>
          <w:rFonts w:ascii="Baskerville" w:hAnsi="Baskerville" w:cs="Arial"/>
          <w:i/>
          <w:iCs/>
          <w:color w:val="000000" w:themeColor="text1"/>
        </w:rPr>
        <w:t xml:space="preserve"> Scott v. Grens</w:t>
      </w:r>
      <w:r w:rsidRPr="00245C88">
        <w:rPr>
          <w:rFonts w:ascii="Baskerville" w:hAnsi="Baskerville" w:cs="Arial"/>
          <w:color w:val="000000" w:themeColor="text1"/>
        </w:rPr>
        <w:t>, 2019 BL 218675, at *4 (Ill. Ct. App. 1st Dist. 2019) (not precedential; finding claim moot in light of extinguishment of member’s interest in operating agreement containing noncompetition covenant).</w:t>
      </w:r>
    </w:p>
    <w:p w14:paraId="31C3B36E" w14:textId="77777777" w:rsidR="00245C88" w:rsidRPr="00245C88" w:rsidRDefault="00245C88" w:rsidP="008B512B">
      <w:pPr>
        <w:pStyle w:val="BodyText"/>
        <w:spacing w:line="240" w:lineRule="auto"/>
        <w:rPr>
          <w:color w:val="000000" w:themeColor="text1"/>
        </w:rPr>
      </w:pPr>
    </w:p>
    <w:p w14:paraId="3BC7492B" w14:textId="77777777" w:rsidR="00655396" w:rsidRDefault="00655396" w:rsidP="008B512B">
      <w:pPr>
        <w:pStyle w:val="AdditionalTopicsSectionHeadings"/>
        <w:spacing w:line="240" w:lineRule="auto"/>
      </w:pPr>
    </w:p>
    <w:p w14:paraId="674ED807" w14:textId="77777777" w:rsidR="00655396" w:rsidRDefault="00655396" w:rsidP="008B512B">
      <w:pPr>
        <w:pStyle w:val="AdditionalTopicsSectionHeadings"/>
        <w:spacing w:line="240" w:lineRule="auto"/>
      </w:pPr>
      <w:r>
        <w:t>Nondisclosure Covenants</w:t>
      </w:r>
    </w:p>
    <w:p w14:paraId="56C2637A" w14:textId="77777777" w:rsidR="00655396" w:rsidRDefault="00655396" w:rsidP="008B512B">
      <w:pPr>
        <w:pStyle w:val="BodyText"/>
        <w:spacing w:line="240" w:lineRule="auto"/>
        <w:rPr>
          <w:sz w:val="20"/>
          <w:szCs w:val="20"/>
        </w:rPr>
      </w:pPr>
    </w:p>
    <w:p w14:paraId="7A6F1E7A" w14:textId="2BA0DEF6" w:rsidR="00655396" w:rsidRDefault="00655396" w:rsidP="008B512B">
      <w:pPr>
        <w:pStyle w:val="BodyText"/>
        <w:spacing w:line="240" w:lineRule="auto"/>
      </w:pPr>
      <w:r>
        <w:tab/>
        <w:t>“Normally, confidentiality agreements lacking geographic or time limitations will be found invalid.</w:t>
      </w:r>
      <w:r w:rsidR="00FB1D09">
        <w:t xml:space="preserve"> </w:t>
      </w:r>
      <w:r>
        <w:t xml:space="preserve">The exception to the rule is where </w:t>
      </w:r>
      <w:r w:rsidR="00944F63">
        <w:t>…</w:t>
      </w:r>
      <w:r>
        <w:t xml:space="preserve"> trade secrets and confidential information are involved.”</w:t>
      </w:r>
      <w:r>
        <w:rPr>
          <w:i/>
          <w:iCs/>
        </w:rPr>
        <w:t xml:space="preserve"> First Health Grp. Corp. v. National Prescription Adm’rs, Inc.</w:t>
      </w:r>
      <w:r>
        <w:t>, 155 F. Supp. 2d 194, 229 (M.D. Pa. 2001) (applying Illinois law).</w:t>
      </w:r>
    </w:p>
    <w:p w14:paraId="13F12263" w14:textId="77777777" w:rsidR="00655396" w:rsidRDefault="00655396" w:rsidP="008B512B">
      <w:pPr>
        <w:pStyle w:val="BodyText"/>
        <w:spacing w:line="240" w:lineRule="auto"/>
      </w:pPr>
      <w:r>
        <w:tab/>
      </w:r>
      <w:r>
        <w:rPr>
          <w:i/>
          <w:iCs/>
        </w:rPr>
        <w:t>See generally</w:t>
      </w:r>
      <w:r>
        <w:t xml:space="preserve"> John Zaccaria, </w:t>
      </w:r>
      <w:r>
        <w:rPr>
          <w:i/>
          <w:iCs/>
        </w:rPr>
        <w:t>Practice Tips in Negotiating Nondisclosure Agreements</w:t>
      </w:r>
      <w:r>
        <w:t xml:space="preserve">, 33 </w:t>
      </w:r>
      <w:r>
        <w:rPr>
          <w:smallCaps/>
        </w:rPr>
        <w:t xml:space="preserve">West Chester B.J. </w:t>
      </w:r>
      <w:r>
        <w:t>44 (Spring/Summer 2006).</w:t>
      </w:r>
    </w:p>
    <w:p w14:paraId="24C0F161" w14:textId="77777777" w:rsidR="00655396" w:rsidRDefault="00655396" w:rsidP="008B512B">
      <w:pPr>
        <w:pStyle w:val="BodyText"/>
        <w:spacing w:line="240" w:lineRule="auto"/>
      </w:pPr>
    </w:p>
    <w:p w14:paraId="18F8DFAC" w14:textId="77777777" w:rsidR="00655396" w:rsidRDefault="00655396" w:rsidP="008B512B">
      <w:pPr>
        <w:pStyle w:val="AdditionalTopicsSectionHeadings"/>
        <w:spacing w:line="240" w:lineRule="auto"/>
      </w:pPr>
      <w:r>
        <w:t>Nonparties to Covenant (Enforceability of Covenant—or Injunction Enforcing Covenant—Against)</w:t>
      </w:r>
    </w:p>
    <w:p w14:paraId="1EA97D43" w14:textId="77777777" w:rsidR="00655396" w:rsidRDefault="00655396" w:rsidP="008B512B">
      <w:pPr>
        <w:pStyle w:val="BodyText"/>
        <w:spacing w:line="240" w:lineRule="auto"/>
      </w:pPr>
    </w:p>
    <w:p w14:paraId="67373A85" w14:textId="77777777" w:rsidR="00655396" w:rsidRDefault="00655396" w:rsidP="008B512B">
      <w:pPr>
        <w:pStyle w:val="BodyText"/>
        <w:spacing w:line="240" w:lineRule="auto"/>
      </w:pPr>
      <w:r>
        <w:tab/>
      </w:r>
      <w:r>
        <w:rPr>
          <w:i/>
          <w:iCs/>
        </w:rPr>
        <w:t>See Applebaum v. Applebaum</w:t>
      </w:r>
      <w:r>
        <w:t>, 355 Ill. App. 3d 926, 291 Ill. Dec. 488, 823 N.E.2d 1074 (1st Dist. 2005) (cousin of signatory).</w:t>
      </w:r>
    </w:p>
    <w:p w14:paraId="4CCCEF96" w14:textId="4C7EFCCF" w:rsidR="00655396" w:rsidRDefault="00655396" w:rsidP="008B512B">
      <w:pPr>
        <w:pStyle w:val="BodyText"/>
        <w:spacing w:line="240" w:lineRule="auto"/>
      </w:pPr>
      <w:r>
        <w:tab/>
        <w:t xml:space="preserve">As to the application of a conspiracy theory to enforce a covenant not to compete against a nonsignatory, see </w:t>
      </w:r>
      <w:r>
        <w:rPr>
          <w:i/>
          <w:iCs/>
        </w:rPr>
        <w:t>Craft v. McConoughly</w:t>
      </w:r>
      <w:r>
        <w:t>, 79 Ill. 346 (1875) (cited in Ted P. Pearce,</w:t>
      </w:r>
      <w:r w:rsidR="00FB1D09">
        <w:t xml:space="preserve"> </w:t>
      </w:r>
      <w:r>
        <w:t>Leigh Reynolds King,</w:t>
      </w:r>
      <w:r w:rsidR="00FB1D09">
        <w:t xml:space="preserve"> </w:t>
      </w:r>
      <w:r>
        <w:t xml:space="preserve">J. Cary Tharrington, </w:t>
      </w:r>
      <w:r>
        <w:rPr>
          <w:i/>
          <w:iCs/>
        </w:rPr>
        <w:t>The Enforcement of Post-Termination Remedies in the Franchise Contract</w:t>
      </w:r>
      <w:r>
        <w:t xml:space="preserve">, 24 </w:t>
      </w:r>
      <w:r>
        <w:rPr>
          <w:smallCaps/>
        </w:rPr>
        <w:t>Okla. City U. L. Rev.</w:t>
      </w:r>
      <w:r>
        <w:t xml:space="preserve"> 81, 93 n.53 (Spring/Summer 1999)).</w:t>
      </w:r>
    </w:p>
    <w:p w14:paraId="6D101D37" w14:textId="77777777" w:rsidR="00655396" w:rsidRDefault="00655396" w:rsidP="008B512B">
      <w:pPr>
        <w:pStyle w:val="BodyText"/>
        <w:spacing w:line="240" w:lineRule="auto"/>
      </w:pPr>
    </w:p>
    <w:p w14:paraId="1E3DAB03" w14:textId="77777777" w:rsidR="00655396" w:rsidRDefault="00655396" w:rsidP="008B512B">
      <w:pPr>
        <w:pStyle w:val="AdditionalTopicsSectionHeadings"/>
        <w:spacing w:line="240" w:lineRule="auto"/>
      </w:pPr>
      <w:r>
        <w:t>Nonsolicitation Covenants</w:t>
      </w:r>
    </w:p>
    <w:p w14:paraId="3ED65873" w14:textId="77777777" w:rsidR="00655396" w:rsidRDefault="00655396" w:rsidP="008B512B">
      <w:pPr>
        <w:pStyle w:val="BodyText"/>
        <w:spacing w:line="240" w:lineRule="auto"/>
      </w:pPr>
    </w:p>
    <w:p w14:paraId="400BFCC2" w14:textId="0964AFFA"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lastRenderedPageBreak/>
        <w:t>A covenant not to solicit is subject to a lower degree of scrutiny than a covenant not to compete.</w:t>
      </w:r>
      <w:r w:rsidR="00FB1D09">
        <w:rPr>
          <w:rFonts w:ascii="Baskerville" w:hAnsi="Baskerville" w:cs="Baskerville"/>
          <w:sz w:val="22"/>
          <w:szCs w:val="22"/>
        </w:rPr>
        <w:t xml:space="preserve"> </w:t>
      </w:r>
      <w:r w:rsidRPr="00B95ED6">
        <w:rPr>
          <w:rFonts w:ascii="Baskerville" w:hAnsi="Baskerville" w:cs="Baskerville"/>
          <w:i/>
          <w:iCs/>
          <w:sz w:val="22"/>
          <w:szCs w:val="22"/>
          <w:lang w:val="sv-SE"/>
        </w:rPr>
        <w:t>Abbott-Interfast</w:t>
      </w:r>
      <w:r w:rsidRPr="00B95ED6">
        <w:rPr>
          <w:rFonts w:ascii="Baskerville" w:hAnsi="Baskerville" w:cs="Baskerville"/>
          <w:sz w:val="22"/>
          <w:szCs w:val="22"/>
          <w:lang w:val="sv-SE"/>
        </w:rPr>
        <w:t xml:space="preserve"> [</w:t>
      </w:r>
      <w:r w:rsidRPr="00B95ED6">
        <w:rPr>
          <w:rFonts w:ascii="Baskerville" w:hAnsi="Baskerville" w:cs="Baskerville"/>
          <w:i/>
          <w:iCs/>
          <w:sz w:val="22"/>
          <w:szCs w:val="22"/>
          <w:lang w:val="sv-SE"/>
        </w:rPr>
        <w:t>Corp. v. Harkabus</w:t>
      </w:r>
      <w:r w:rsidRPr="00B95ED6">
        <w:rPr>
          <w:rFonts w:ascii="Baskerville" w:hAnsi="Baskerville" w:cs="Baskerville"/>
          <w:sz w:val="22"/>
          <w:szCs w:val="22"/>
          <w:lang w:val="sv-SE"/>
        </w:rPr>
        <w:t>, 250 Ill. App. 3d 13, 18, 189 Ill. Dec. 288, 619 N.E.2d 1337 (1993).]</w:t>
      </w:r>
      <w:r w:rsidR="00CD7A12">
        <w:rPr>
          <w:rFonts w:ascii="Baskerville" w:hAnsi="Baskerville" w:cs="Baskerville"/>
          <w:sz w:val="22"/>
          <w:szCs w:val="22"/>
          <w:lang w:val="sv-SE"/>
        </w:rPr>
        <w:t xml:space="preserve"> </w:t>
      </w:r>
      <w:r>
        <w:rPr>
          <w:rFonts w:ascii="Baskerville" w:hAnsi="Baskerville" w:cs="Baskerville"/>
          <w:sz w:val="22"/>
          <w:szCs w:val="22"/>
        </w:rPr>
        <w:t xml:space="preserve">A covenant not to solicit that prohibits an employee from soliciting any of the employer’s clients is less likely to be upheld as a reasonable restraint on trade than a covenant not to solicit which prohibits an employee only from soliciting clients with which the </w:t>
      </w:r>
      <w:r>
        <w:rPr>
          <w:rFonts w:ascii="Baskerville" w:hAnsi="Baskerville" w:cs="Baskerville"/>
          <w:sz w:val="22"/>
          <w:szCs w:val="22"/>
        </w:rPr>
        <w:br/>
        <w:t>employee has had contact while he or she was employed with the employer.</w:t>
      </w:r>
      <w:r w:rsidR="00FB1D09">
        <w:rPr>
          <w:rFonts w:ascii="Baskerville" w:hAnsi="Baskerville" w:cs="Baskerville"/>
          <w:sz w:val="22"/>
          <w:szCs w:val="22"/>
        </w:rPr>
        <w:t xml:space="preserve"> </w:t>
      </w:r>
      <w:r w:rsidRPr="00B95ED6">
        <w:rPr>
          <w:rFonts w:ascii="Baskerville" w:hAnsi="Baskerville" w:cs="Baskerville"/>
          <w:i/>
          <w:iCs/>
          <w:sz w:val="22"/>
          <w:szCs w:val="22"/>
          <w:lang w:val="sv-SE"/>
        </w:rPr>
        <w:t>Abbott-Interfast</w:t>
      </w:r>
      <w:r w:rsidRPr="00B95ED6">
        <w:rPr>
          <w:rFonts w:ascii="Baskerville" w:hAnsi="Baskerville" w:cs="Baskerville"/>
          <w:sz w:val="22"/>
          <w:szCs w:val="22"/>
          <w:lang w:val="sv-SE"/>
        </w:rPr>
        <w:t>, 250 Ill. App. 3d at 19, 189 Ill. Dec. 288, 619 N.E.2d 1337.</w:t>
      </w:r>
      <w:r w:rsidR="00FB1D09">
        <w:rPr>
          <w:rFonts w:ascii="Baskerville" w:hAnsi="Baskerville" w:cs="Baskerville"/>
          <w:sz w:val="22"/>
          <w:szCs w:val="22"/>
          <w:lang w:val="sv-SE"/>
        </w:rPr>
        <w:t xml:space="preserve"> </w:t>
      </w:r>
      <w:r>
        <w:rPr>
          <w:rFonts w:ascii="Baskerville" w:hAnsi="Baskerville" w:cs="Baskerville"/>
          <w:sz w:val="22"/>
          <w:szCs w:val="22"/>
        </w:rPr>
        <w:t>Courts are hesitant to enforce prohibitions against employees servicing not only customers with whom they had direct contact, but also customers they never solicited or had contact with while employed by plaintiff.</w:t>
      </w:r>
      <w:r w:rsidR="00FB1D09">
        <w:rPr>
          <w:rFonts w:ascii="Baskerville" w:hAnsi="Baskerville" w:cs="Baskerville"/>
          <w:sz w:val="22"/>
          <w:szCs w:val="22"/>
        </w:rPr>
        <w:t xml:space="preserve"> </w:t>
      </w:r>
      <w:r>
        <w:rPr>
          <w:rFonts w:ascii="Baskerville" w:hAnsi="Baskerville" w:cs="Baskerville"/>
          <w:i/>
          <w:iCs/>
          <w:sz w:val="22"/>
          <w:szCs w:val="22"/>
        </w:rPr>
        <w:t>McRand</w:t>
      </w:r>
      <w:r>
        <w:rPr>
          <w:rFonts w:ascii="Baskerville" w:hAnsi="Baskerville" w:cs="Baskerville"/>
          <w:sz w:val="22"/>
          <w:szCs w:val="22"/>
        </w:rPr>
        <w:t>[</w:t>
      </w:r>
      <w:r>
        <w:rPr>
          <w:rFonts w:ascii="Baskerville" w:hAnsi="Baskerville" w:cs="Baskerville"/>
          <w:i/>
          <w:iCs/>
          <w:sz w:val="22"/>
          <w:szCs w:val="22"/>
        </w:rPr>
        <w:t>, Inc. v. Van Beelen</w:t>
      </w:r>
      <w:r>
        <w:rPr>
          <w:rFonts w:ascii="Baskerville" w:hAnsi="Baskerville" w:cs="Baskerville"/>
          <w:sz w:val="22"/>
          <w:szCs w:val="22"/>
        </w:rPr>
        <w:t>, 138 Ill. App. 3d 1045, 1057, 93 Ill. Dec. 471, 486 N.E.2d 1306 (1985)].</w:t>
      </w:r>
    </w:p>
    <w:p w14:paraId="26EC752C" w14:textId="615B2552"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In </w:t>
      </w:r>
      <w:r>
        <w:rPr>
          <w:rFonts w:ascii="Baskerville" w:hAnsi="Baskerville" w:cs="Baskerville"/>
          <w:i/>
          <w:iCs/>
          <w:sz w:val="22"/>
          <w:szCs w:val="22"/>
        </w:rPr>
        <w:t>Arpac</w:t>
      </w:r>
      <w:r>
        <w:rPr>
          <w:rFonts w:ascii="Baskerville" w:hAnsi="Baskerville" w:cs="Baskerville"/>
          <w:sz w:val="22"/>
          <w:szCs w:val="22"/>
        </w:rPr>
        <w:t xml:space="preserve"> [</w:t>
      </w:r>
      <w:r>
        <w:rPr>
          <w:rFonts w:ascii="Baskerville" w:hAnsi="Baskerville" w:cs="Baskerville"/>
          <w:i/>
          <w:iCs/>
          <w:sz w:val="22"/>
          <w:szCs w:val="22"/>
        </w:rPr>
        <w:t>Corp. v. Murray</w:t>
      </w:r>
      <w:r>
        <w:rPr>
          <w:rFonts w:ascii="Baskerville" w:hAnsi="Baskerville" w:cs="Baskerville"/>
          <w:sz w:val="22"/>
          <w:szCs w:val="22"/>
        </w:rPr>
        <w:t>, 226 Ill. App. 3d 65, 168 Ill. Dec. 240, 589 N.E.2d 640 (1992)], the court upheld the trial court’s preliminary injunction enforcing a covenant not to solicit but held a covenant not to compete unenforceable.</w:t>
      </w:r>
      <w:r w:rsidR="00FB1D09">
        <w:rPr>
          <w:rFonts w:ascii="Baskerville" w:hAnsi="Baskerville" w:cs="Baskerville"/>
          <w:sz w:val="22"/>
          <w:szCs w:val="22"/>
        </w:rPr>
        <w:t xml:space="preserve"> </w:t>
      </w:r>
      <w:r>
        <w:rPr>
          <w:rFonts w:ascii="Baskerville" w:hAnsi="Baskerville" w:cs="Baskerville"/>
          <w:i/>
          <w:iCs/>
          <w:sz w:val="22"/>
          <w:szCs w:val="22"/>
        </w:rPr>
        <w:t>Arpac</w:t>
      </w:r>
      <w:r>
        <w:rPr>
          <w:rFonts w:ascii="Baskerville" w:hAnsi="Baskerville" w:cs="Baskerville"/>
          <w:sz w:val="22"/>
          <w:szCs w:val="22"/>
        </w:rPr>
        <w:t>, 226 Ill. App. 3d at 76, 79, 168 Ill. Dec. 240, 589 N.E.2d 640.</w:t>
      </w:r>
      <w:r w:rsidR="00FB1D09">
        <w:rPr>
          <w:rFonts w:ascii="Baskerville" w:hAnsi="Baskerville" w:cs="Baskerville"/>
          <w:sz w:val="22"/>
          <w:szCs w:val="22"/>
        </w:rPr>
        <w:t xml:space="preserve"> </w:t>
      </w:r>
      <w:r>
        <w:rPr>
          <w:rFonts w:ascii="Baskerville" w:hAnsi="Baskerville" w:cs="Baskerville"/>
          <w:sz w:val="22"/>
          <w:szCs w:val="22"/>
        </w:rPr>
        <w:t>Although the court found the covenant not to solicit was designed to protect the employer’s interest, it also found that the covenant not to compete was “patently unfair” and “clearly beyond the need of [the employer] to protect its interest.”</w:t>
      </w:r>
      <w:r w:rsidR="00FB1D09">
        <w:rPr>
          <w:rFonts w:ascii="Baskerville" w:hAnsi="Baskerville" w:cs="Baskerville"/>
          <w:sz w:val="22"/>
          <w:szCs w:val="22"/>
        </w:rPr>
        <w:t xml:space="preserve"> </w:t>
      </w:r>
      <w:r>
        <w:rPr>
          <w:rFonts w:ascii="Baskerville" w:hAnsi="Baskerville" w:cs="Baskerville"/>
          <w:i/>
          <w:iCs/>
          <w:sz w:val="22"/>
          <w:szCs w:val="22"/>
        </w:rPr>
        <w:t>Arpac</w:t>
      </w:r>
      <w:r>
        <w:rPr>
          <w:rFonts w:ascii="Baskerville" w:hAnsi="Baskerville" w:cs="Baskerville"/>
          <w:sz w:val="22"/>
          <w:szCs w:val="22"/>
        </w:rPr>
        <w:t>, 226 Ill. App. 3d at 76, 79, 168 Ill. Dec. 240, 589 N.E.2d 640.</w:t>
      </w:r>
      <w:r w:rsidR="00FB1D09">
        <w:rPr>
          <w:rFonts w:ascii="Baskerville" w:hAnsi="Baskerville" w:cs="Baskerville"/>
          <w:sz w:val="22"/>
          <w:szCs w:val="22"/>
        </w:rPr>
        <w:t xml:space="preserve"> </w:t>
      </w:r>
      <w:r>
        <w:rPr>
          <w:rFonts w:ascii="Baskerville" w:hAnsi="Baskerville" w:cs="Baskerville"/>
          <w:sz w:val="22"/>
          <w:szCs w:val="22"/>
        </w:rPr>
        <w:t>The court then noted that the employer’s concern for protecting its customers was adequately addressed by the covenant not to solicit.</w:t>
      </w:r>
      <w:r w:rsidR="00FB1D09">
        <w:rPr>
          <w:rFonts w:ascii="Baskerville" w:hAnsi="Baskerville" w:cs="Baskerville"/>
          <w:sz w:val="22"/>
          <w:szCs w:val="22"/>
        </w:rPr>
        <w:t xml:space="preserve"> </w:t>
      </w:r>
      <w:r>
        <w:rPr>
          <w:rFonts w:ascii="Baskerville" w:hAnsi="Baskerville" w:cs="Baskerville"/>
          <w:i/>
          <w:iCs/>
          <w:sz w:val="22"/>
          <w:szCs w:val="22"/>
        </w:rPr>
        <w:t>Arpac</w:t>
      </w:r>
      <w:r>
        <w:rPr>
          <w:rFonts w:ascii="Baskerville" w:hAnsi="Baskerville" w:cs="Baskerville"/>
          <w:sz w:val="22"/>
          <w:szCs w:val="22"/>
        </w:rPr>
        <w:t>, 226 Ill. App. 3d at 79, 168 Ill. Dec. 240, 589 N.E.2d 640.</w:t>
      </w:r>
    </w:p>
    <w:p w14:paraId="5857D287" w14:textId="7722529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Similarly, in </w:t>
      </w:r>
      <w:r>
        <w:rPr>
          <w:rFonts w:ascii="Baskerville" w:hAnsi="Baskerville" w:cs="Baskerville"/>
          <w:i/>
          <w:iCs/>
          <w:sz w:val="22"/>
          <w:szCs w:val="22"/>
        </w:rPr>
        <w:t>Millard Maintenance Service</w:t>
      </w:r>
      <w:r>
        <w:rPr>
          <w:rFonts w:ascii="Baskerville" w:hAnsi="Baskerville" w:cs="Baskerville"/>
          <w:sz w:val="22"/>
          <w:szCs w:val="22"/>
        </w:rPr>
        <w:t xml:space="preserve"> [</w:t>
      </w:r>
      <w:r>
        <w:rPr>
          <w:rFonts w:ascii="Baskerville" w:hAnsi="Baskerville" w:cs="Baskerville"/>
          <w:i/>
          <w:iCs/>
          <w:sz w:val="22"/>
          <w:szCs w:val="22"/>
        </w:rPr>
        <w:t>Co. v. Bernero</w:t>
      </w:r>
      <w:r>
        <w:rPr>
          <w:rFonts w:ascii="Baskerville" w:hAnsi="Baskerville" w:cs="Baskerville"/>
          <w:sz w:val="22"/>
          <w:szCs w:val="22"/>
        </w:rPr>
        <w:t>, 207 Ill. App. 3d 736, 152 Ill. Dec. 692, 566 N.E.2d 379 (1990)], the court found a covenant not to solicit was a reasonable activity restraint.</w:t>
      </w:r>
      <w:r w:rsidR="00FB1D09">
        <w:rPr>
          <w:rFonts w:ascii="Baskerville" w:hAnsi="Baskerville" w:cs="Baskerville"/>
          <w:sz w:val="22"/>
          <w:szCs w:val="22"/>
        </w:rPr>
        <w:t xml:space="preserve"> </w:t>
      </w:r>
      <w:r>
        <w:rPr>
          <w:rFonts w:ascii="Baskerville" w:hAnsi="Baskerville" w:cs="Baskerville"/>
          <w:sz w:val="22"/>
          <w:szCs w:val="22"/>
        </w:rPr>
        <w:t>In that case, the employee was free to solicit any customer that was not a customer on the day the employee left, any customer that was not a current customer, and any current customer that terminated its relationship with the employer.</w:t>
      </w:r>
      <w:r w:rsidR="00FB1D09">
        <w:rPr>
          <w:rFonts w:ascii="Baskerville" w:hAnsi="Baskerville" w:cs="Baskerville"/>
          <w:sz w:val="22"/>
          <w:szCs w:val="22"/>
        </w:rPr>
        <w:t xml:space="preserve"> </w:t>
      </w:r>
      <w:r>
        <w:rPr>
          <w:rFonts w:ascii="Baskerville" w:hAnsi="Baskerville" w:cs="Baskerville"/>
          <w:i/>
          <w:iCs/>
          <w:sz w:val="22"/>
          <w:szCs w:val="22"/>
        </w:rPr>
        <w:t>Millard Maintenance Service</w:t>
      </w:r>
      <w:r>
        <w:rPr>
          <w:rFonts w:ascii="Baskerville" w:hAnsi="Baskerville" w:cs="Baskerville"/>
          <w:sz w:val="22"/>
          <w:szCs w:val="22"/>
        </w:rPr>
        <w:t>, 207 Ill. App. 3d at 750, 152 Ill. Dec. 692, 566 N.E.2d 379.</w:t>
      </w:r>
    </w:p>
    <w:p w14:paraId="3C347210" w14:textId="77777777" w:rsidR="00655396" w:rsidRDefault="00655396" w:rsidP="008B512B">
      <w:pPr>
        <w:pStyle w:val="BodyText"/>
        <w:spacing w:line="240" w:lineRule="auto"/>
      </w:pPr>
    </w:p>
    <w:p w14:paraId="4308B4AB" w14:textId="77777777" w:rsidR="00655396" w:rsidRDefault="00655396" w:rsidP="008B512B">
      <w:pPr>
        <w:pStyle w:val="BodyText"/>
        <w:spacing w:line="240" w:lineRule="auto"/>
      </w:pPr>
      <w:r>
        <w:rPr>
          <w:i/>
          <w:iCs/>
        </w:rPr>
        <w:t>Lawrence &amp; Allen, Inc. v. Cambridge Human Res. Grp., Inc.</w:t>
      </w:r>
      <w:r>
        <w:t>, 226 Ill. Dec. 331, 339–40, 685 N.E.2d 434, 442–43 (Ct. App. 2d Dist. 1997).</w:t>
      </w:r>
    </w:p>
    <w:p w14:paraId="4007CA54" w14:textId="2B16E6A7" w:rsidR="00655396" w:rsidRDefault="00655396" w:rsidP="008B512B">
      <w:pPr>
        <w:pStyle w:val="BodyText"/>
        <w:spacing w:line="240" w:lineRule="auto"/>
      </w:pPr>
      <w:r>
        <w:tab/>
        <w:t xml:space="preserve">Although a customer </w:t>
      </w:r>
      <w:r>
        <w:rPr>
          <w:i/>
          <w:iCs/>
        </w:rPr>
        <w:t>nonsolicitation</w:t>
      </w:r>
      <w:r>
        <w:t xml:space="preserve"> covenant does not need to have a geographic limitation in order to be enforceable, it must be reasonably related to the employer’s interest in protecting customer relations that its employees developed while working for the </w:t>
      </w:r>
      <w:r>
        <w:br/>
      </w:r>
      <w:r>
        <w:lastRenderedPageBreak/>
        <w:t>employer.</w:t>
      </w:r>
      <w:r w:rsidR="00FB1D09">
        <w:t xml:space="preserve"> </w:t>
      </w:r>
      <w:r>
        <w:rPr>
          <w:i/>
          <w:iCs/>
        </w:rPr>
        <w:t>Id.</w:t>
      </w:r>
      <w:r>
        <w:t xml:space="preserve"> at 338, 685 N.E.2d at 441 (citing </w:t>
      </w:r>
      <w:r>
        <w:rPr>
          <w:i/>
          <w:iCs/>
        </w:rPr>
        <w:t>Arpac</w:t>
      </w:r>
      <w:r>
        <w:t>, 226 Ill. App. 3d at 76, 168 Ill. Dec. 240, 589 N.E.2d 640).</w:t>
      </w:r>
      <w:r w:rsidR="00FB1D09">
        <w:t xml:space="preserve"> </w:t>
      </w:r>
      <w:r>
        <w:t>Illinois courts “are hesitant to enforce prohibitions against employees servicing not only customers with whom they had direct contact, but also customers they never solicited or had contact with while employed by plaintiff.”</w:t>
      </w:r>
      <w:r w:rsidR="00FB1D09">
        <w:t xml:space="preserve"> </w:t>
      </w:r>
      <w:r>
        <w:rPr>
          <w:i/>
          <w:iCs/>
        </w:rPr>
        <w:t>Id.</w:t>
      </w:r>
      <w:r>
        <w:t xml:space="preserve">, 685 N.E.2d at 441 (citing </w:t>
      </w:r>
      <w:r>
        <w:rPr>
          <w:i/>
          <w:iCs/>
        </w:rPr>
        <w:t>McRand</w:t>
      </w:r>
      <w:r>
        <w:t>, 138 Ill. App. 3d at 1057).</w:t>
      </w:r>
    </w:p>
    <w:p w14:paraId="05E9D9ED" w14:textId="2306FC71" w:rsidR="00655396" w:rsidRDefault="00655396" w:rsidP="008B512B">
      <w:pPr>
        <w:pStyle w:val="BodyText"/>
        <w:spacing w:line="240" w:lineRule="auto"/>
      </w:pPr>
      <w:r>
        <w:tab/>
        <w:t>Thus, although a geographic term is not strictly required, “the lack of a geographical scope may be determinative where the territorial restrictions are greater than the area the salesman served on behalf of the former employer.”</w:t>
      </w:r>
      <w:r w:rsidR="00FB1D09">
        <w:t xml:space="preserve"> </w:t>
      </w:r>
      <w:r>
        <w:rPr>
          <w:i/>
          <w:iCs/>
        </w:rPr>
        <w:t>Id.</w:t>
      </w:r>
      <w:r>
        <w:t xml:space="preserve">, 685 N.E.2d at 441 (citing </w:t>
      </w:r>
      <w:r>
        <w:rPr>
          <w:i/>
          <w:iCs/>
        </w:rPr>
        <w:t>McRand</w:t>
      </w:r>
      <w:r>
        <w:t>, 138 Ill. App. 3d at 1057–58).</w:t>
      </w:r>
      <w:r w:rsidR="00FB1D09">
        <w:t xml:space="preserve"> </w:t>
      </w:r>
      <w:r>
        <w:t xml:space="preserve">“The employee should only be excluded from the territory where he was able to establish a </w:t>
      </w:r>
      <w:r>
        <w:br/>
        <w:t>certain relationship with the former employer’s customers.”</w:t>
      </w:r>
      <w:r w:rsidR="00FB1D09">
        <w:t xml:space="preserve"> </w:t>
      </w:r>
      <w:r>
        <w:rPr>
          <w:i/>
          <w:iCs/>
        </w:rPr>
        <w:t>Id.</w:t>
      </w:r>
      <w:r>
        <w:t xml:space="preserve">, 685 N.E.2d at 441 (citing </w:t>
      </w:r>
      <w:r>
        <w:rPr>
          <w:i/>
          <w:iCs/>
        </w:rPr>
        <w:t>McRand</w:t>
      </w:r>
      <w:r>
        <w:t>, 138 Ill. App. 3d at 1058).</w:t>
      </w:r>
    </w:p>
    <w:p w14:paraId="775A11AA" w14:textId="4CF53F75" w:rsidR="00655396" w:rsidRDefault="00655396" w:rsidP="008B512B">
      <w:pPr>
        <w:pStyle w:val="BodyText"/>
        <w:spacing w:line="240" w:lineRule="auto"/>
      </w:pPr>
      <w:r>
        <w:tab/>
        <w:t xml:space="preserve">In </w:t>
      </w:r>
      <w:r>
        <w:rPr>
          <w:i/>
          <w:iCs/>
        </w:rPr>
        <w:t>Lawrence &amp; Allen</w:t>
      </w:r>
      <w:r>
        <w:t>, the defendant former employee had agreed to be bound by a nonsolicitation covenant that barred him from soliciting “any client” of the plaintiff former employer.</w:t>
      </w:r>
      <w:r w:rsidR="00FB1D09">
        <w:t xml:space="preserve"> </w:t>
      </w:r>
      <w:r>
        <w:rPr>
          <w:i/>
          <w:iCs/>
        </w:rPr>
        <w:t>Id.</w:t>
      </w:r>
      <w:r>
        <w:t>, 685 N.E.2d at 441.</w:t>
      </w:r>
      <w:r w:rsidR="00FB1D09">
        <w:t xml:space="preserve"> </w:t>
      </w:r>
      <w:r>
        <w:t>However, the covenant did not define the term “client” and did not contain a geographic limitation.</w:t>
      </w:r>
      <w:r w:rsidR="00FB1D09">
        <w:t xml:space="preserve"> </w:t>
      </w:r>
      <w:r>
        <w:t>En route to finding the nonsolicitation covenant unreasonable, the court of appeals determined that because the covenant did not define the term “client,”</w:t>
      </w:r>
    </w:p>
    <w:p w14:paraId="5564AC47" w14:textId="77777777" w:rsidR="00655396" w:rsidRDefault="00655396" w:rsidP="008B512B">
      <w:pPr>
        <w:pStyle w:val="BodyText"/>
        <w:spacing w:line="240" w:lineRule="auto"/>
      </w:pPr>
    </w:p>
    <w:p w14:paraId="12321403" w14:textId="660A9ADA"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the phrase “any client” includes any client of plaintiff regardless of whether [the former employee] developed a relationship with that client during his employment with plaintiff.</w:t>
      </w:r>
      <w:r w:rsidR="00FB1D09">
        <w:rPr>
          <w:rFonts w:ascii="Baskerville" w:hAnsi="Baskerville" w:cs="Baskerville"/>
          <w:sz w:val="22"/>
          <w:szCs w:val="22"/>
        </w:rPr>
        <w:t xml:space="preserve"> </w:t>
      </w:r>
      <w:r>
        <w:rPr>
          <w:rFonts w:ascii="Baskerville" w:hAnsi="Baskerville" w:cs="Baskerville"/>
          <w:sz w:val="22"/>
          <w:szCs w:val="22"/>
        </w:rPr>
        <w:t>In other words, the covenant prohibits [the former employee] from soliciting clients whom he never solicited or contacted while employed by plaintiff.</w:t>
      </w:r>
      <w:r w:rsidR="00FB1D09">
        <w:rPr>
          <w:rFonts w:ascii="Baskerville" w:hAnsi="Baskerville" w:cs="Baskerville"/>
          <w:sz w:val="22"/>
          <w:szCs w:val="22"/>
        </w:rPr>
        <w:t xml:space="preserve"> </w:t>
      </w:r>
      <w:r>
        <w:rPr>
          <w:rFonts w:ascii="Baskerville" w:hAnsi="Baskerville" w:cs="Baskerville"/>
          <w:sz w:val="22"/>
          <w:szCs w:val="22"/>
        </w:rPr>
        <w:t>In addition, because the term “client” is undefined, the covenant fails to distinguish between past clients, present clients, clients at the time [the former employee] left plaintiff’s employment, or potential clients.</w:t>
      </w:r>
      <w:r w:rsidR="00FB1D09">
        <w:rPr>
          <w:rFonts w:ascii="Baskerville" w:hAnsi="Baskerville" w:cs="Baskerville"/>
          <w:sz w:val="22"/>
          <w:szCs w:val="22"/>
        </w:rPr>
        <w:t xml:space="preserve"> </w:t>
      </w:r>
      <w:r>
        <w:rPr>
          <w:rFonts w:ascii="Baskerville" w:hAnsi="Baskerville" w:cs="Baskerville"/>
          <w:sz w:val="22"/>
          <w:szCs w:val="22"/>
        </w:rPr>
        <w:t>Thus, the lack of a geographic limitation or of any qualifying language in the covenant not to solicit is unreasonable.</w:t>
      </w:r>
    </w:p>
    <w:p w14:paraId="26366001" w14:textId="77777777" w:rsidR="00655396" w:rsidRDefault="00655396" w:rsidP="008B512B">
      <w:pPr>
        <w:pStyle w:val="BodyText"/>
        <w:spacing w:line="240" w:lineRule="auto"/>
      </w:pPr>
    </w:p>
    <w:p w14:paraId="0F0DC096" w14:textId="77777777" w:rsidR="00655396" w:rsidRDefault="00655396" w:rsidP="008B512B">
      <w:pPr>
        <w:pStyle w:val="BodyText"/>
        <w:spacing w:line="240" w:lineRule="auto"/>
      </w:pPr>
      <w:r>
        <w:rPr>
          <w:i/>
          <w:iCs/>
        </w:rPr>
        <w:t>Id.</w:t>
      </w:r>
      <w:r>
        <w:t xml:space="preserve"> at 338–39, 685 N.E.2d at 441–42.</w:t>
      </w:r>
    </w:p>
    <w:p w14:paraId="1DA1F324" w14:textId="19A728E7" w:rsidR="00655396" w:rsidRDefault="00655396" w:rsidP="008B512B">
      <w:pPr>
        <w:pStyle w:val="BodyText"/>
        <w:spacing w:line="240" w:lineRule="auto"/>
      </w:pPr>
      <w:r>
        <w:tab/>
        <w:t xml:space="preserve">For the employer’s lack of a permanent relationship with its customer, a customer nonsolicitation covenant under which a former vice president and officer of a state prescription plan contractor agreed that he would “not solicit any actual or prospective customer </w:t>
      </w:r>
      <w:r>
        <w:lastRenderedPageBreak/>
        <w:t xml:space="preserve">of [the former employer] for a period of one year after the termination of his employment” was found unenforceable in </w:t>
      </w:r>
      <w:r>
        <w:rPr>
          <w:i/>
          <w:iCs/>
        </w:rPr>
        <w:t>First Health Group Corp. v. National Prescription Administrators, Inc.</w:t>
      </w:r>
      <w:r>
        <w:t>, 155 F. Supp. 2d 194, 230–31 (M.D. Pa. 2001) (applying Illinois law to covenant issues; finding covenant reasonable with respect to terms, but unenforceable, for preliminary injunction purposes, for lack of a near-permanent relationship with the customer; “Illinois courts apply a two-part test in cases involving customer non-solicitation agreements. First, the employer must have a near-permanent relationship with its customers</w:t>
      </w:r>
      <w:r w:rsidR="00D47546">
        <w:t xml:space="preserve">; </w:t>
      </w:r>
      <w:r>
        <w:t>second, the employee would not have had the contact with the customers but for the employment. [Citation.] Illinois courts look at many factors when determining whether a customer relationship is near-permanent. However, all the cases discussing this issue involve private-sector customers.</w:t>
      </w:r>
      <w:r w:rsidR="00FB1D09">
        <w:t xml:space="preserve"> </w:t>
      </w:r>
      <w:r>
        <w:t>Here, the very nature of the PACE contract with the Commonwealth of Pennsylvania, a renewable contract for which contractors bid periodically, establishes the impermanence of the relationship.”).</w:t>
      </w:r>
    </w:p>
    <w:p w14:paraId="68F96BD7" w14:textId="77777777" w:rsidR="00655396" w:rsidRDefault="00655396" w:rsidP="008B512B">
      <w:pPr>
        <w:pStyle w:val="BodyText"/>
        <w:spacing w:line="240" w:lineRule="auto"/>
      </w:pPr>
    </w:p>
    <w:p w14:paraId="43AB070C" w14:textId="77777777" w:rsidR="00655396" w:rsidRDefault="00655396" w:rsidP="008B512B">
      <w:pPr>
        <w:pStyle w:val="AdditionalTopicsSectionHeadings"/>
        <w:spacing w:line="240" w:lineRule="auto"/>
      </w:pPr>
      <w:r>
        <w:t>Non-Switch (“No Hire”) Covenants</w:t>
      </w:r>
    </w:p>
    <w:p w14:paraId="133A3F70" w14:textId="77777777" w:rsidR="00655396" w:rsidRDefault="00655396" w:rsidP="008B512B">
      <w:pPr>
        <w:pStyle w:val="BodyText"/>
        <w:spacing w:line="240" w:lineRule="auto"/>
      </w:pPr>
    </w:p>
    <w:p w14:paraId="3CA06AA1" w14:textId="67BC767B" w:rsidR="00655396" w:rsidRDefault="00655396" w:rsidP="008B512B">
      <w:pPr>
        <w:pStyle w:val="BodyText"/>
        <w:spacing w:line="240" w:lineRule="auto"/>
      </w:pPr>
      <w:r>
        <w:tab/>
        <w:t>A “no-hire” restrictive covenant is subject to Illinois law even though it is entered into as part of a confidentiality agreement between the parties as opposed to a conventional noncompete covenant in an employment agreement between an employer and employee</w:t>
      </w:r>
      <w:r w:rsidR="00D47546">
        <w:t xml:space="preserve">; </w:t>
      </w:r>
      <w:r>
        <w:t>both are restraints on trade under Illinois law and subject to the same scrutiny.</w:t>
      </w:r>
      <w:r w:rsidR="00FB1D09">
        <w:t xml:space="preserve"> </w:t>
      </w:r>
      <w:r>
        <w:rPr>
          <w:i/>
          <w:iCs/>
        </w:rPr>
        <w:t>Pactiv Corp. v. Menasha Corp.</w:t>
      </w:r>
      <w:r>
        <w:t>, 261 F. Supp. 2d 1009, 1012–13 (N.D. Ill. 2003)</w:t>
      </w:r>
    </w:p>
    <w:p w14:paraId="71276C24" w14:textId="3C05202D" w:rsidR="00655396" w:rsidRDefault="00655396" w:rsidP="008B512B">
      <w:pPr>
        <w:pStyle w:val="BodyText"/>
        <w:spacing w:line="240" w:lineRule="auto"/>
      </w:pPr>
      <w:r>
        <w:tab/>
        <w:t>A court may decline to “blue pencil” a “no-hire” provision when the contract contains a severability clause prohibiting the defendant from misusing any confidential information received, and from hiring anyone, management or nonmanagement, who came to the defendant’s attention as part of its review of the plaintiff company.</w:t>
      </w:r>
      <w:r w:rsidR="00FB1D09">
        <w:t xml:space="preserve"> </w:t>
      </w:r>
      <w:r>
        <w:rPr>
          <w:i/>
          <w:iCs/>
        </w:rPr>
        <w:t xml:space="preserve">Id. </w:t>
      </w:r>
      <w:r>
        <w:t>at 1016.</w:t>
      </w:r>
    </w:p>
    <w:p w14:paraId="106C9020" w14:textId="77777777" w:rsidR="00655396" w:rsidRDefault="00655396" w:rsidP="008B512B">
      <w:pPr>
        <w:pStyle w:val="BodyText"/>
        <w:spacing w:line="240" w:lineRule="auto"/>
      </w:pPr>
    </w:p>
    <w:p w14:paraId="2FE1D698" w14:textId="77777777" w:rsidR="00655396" w:rsidRDefault="00655396" w:rsidP="008B512B">
      <w:pPr>
        <w:pStyle w:val="AdditionalTopicsSectionHeadings"/>
        <w:spacing w:line="240" w:lineRule="auto"/>
        <w:rPr>
          <w:u w:val="thick" w:color="000000"/>
        </w:rPr>
      </w:pPr>
      <w:r>
        <w:t>Parol Evidence</w:t>
      </w:r>
    </w:p>
    <w:p w14:paraId="05F25D30" w14:textId="77777777" w:rsidR="00655396" w:rsidRDefault="00655396" w:rsidP="008B512B">
      <w:pPr>
        <w:pStyle w:val="BodyText"/>
        <w:spacing w:line="240" w:lineRule="auto"/>
      </w:pPr>
    </w:p>
    <w:p w14:paraId="3DEDB75B" w14:textId="7140CC76" w:rsidR="00655396" w:rsidRDefault="00655396" w:rsidP="008B512B">
      <w:pPr>
        <w:pStyle w:val="BodyText"/>
        <w:spacing w:line="240" w:lineRule="auto"/>
      </w:pPr>
      <w:r>
        <w:tab/>
        <w:t xml:space="preserve">A temporal limitation based on parol evidence cannot be read into a restrictive covenant containing no such term; to read such a term into the covenant would amount to an “impermissible rewriting </w:t>
      </w:r>
      <w:r>
        <w:lastRenderedPageBreak/>
        <w:t>of the covenant.”</w:t>
      </w:r>
      <w:r w:rsidR="00FB1D09">
        <w:t xml:space="preserve"> </w:t>
      </w:r>
      <w:r>
        <w:rPr>
          <w:i/>
          <w:iCs/>
        </w:rPr>
        <w:t>Northwest Podiatry Ctr., Ltd. v. Ochwat</w:t>
      </w:r>
      <w:r>
        <w:t>, 2013 IL App (1st) 120459, ¶47 (Ill. App. Ct.</w:t>
      </w:r>
      <w:r w:rsidR="00FB1D09">
        <w:t xml:space="preserve"> </w:t>
      </w:r>
      <w:r>
        <w:t>2013).</w:t>
      </w:r>
    </w:p>
    <w:p w14:paraId="639FEB62" w14:textId="5DE0B52C" w:rsidR="00655396" w:rsidRDefault="00655396" w:rsidP="008B512B">
      <w:pPr>
        <w:pStyle w:val="BodyText"/>
        <w:spacing w:line="240" w:lineRule="auto"/>
      </w:pPr>
      <w:r>
        <w:tab/>
        <w:t>However, evidence of the parties’ intent regarding the assignment of a confidentiality agreement in an asset purchase is admissible.</w:t>
      </w:r>
      <w:r w:rsidR="00FB1D09">
        <w:t xml:space="preserve"> </w:t>
      </w:r>
      <w:r>
        <w:rPr>
          <w:i/>
          <w:iCs/>
        </w:rPr>
        <w:t>Chemetall GMBH v. ZR Energy, Inc.</w:t>
      </w:r>
      <w:r>
        <w:t>, 320 F.3d 714, 721 (7th Cir. 2003).</w:t>
      </w:r>
      <w:r w:rsidR="00FB1D09">
        <w:t xml:space="preserve"> </w:t>
      </w:r>
      <w:r>
        <w:t>Intent may be proven by the instrument executed by the parties to the asset purchase and the surrounding circumstances.</w:t>
      </w:r>
      <w:r w:rsidR="00FB1D09">
        <w:t xml:space="preserve"> </w:t>
      </w:r>
      <w:r>
        <w:rPr>
          <w:i/>
          <w:iCs/>
        </w:rPr>
        <w:t>Id.</w:t>
      </w:r>
      <w:r>
        <w:t xml:space="preserve"> at 722–23.</w:t>
      </w:r>
    </w:p>
    <w:p w14:paraId="0915F9D4" w14:textId="77777777" w:rsidR="00655396" w:rsidRDefault="00655396" w:rsidP="008B512B">
      <w:pPr>
        <w:pStyle w:val="BodyText"/>
        <w:spacing w:line="240" w:lineRule="auto"/>
      </w:pPr>
    </w:p>
    <w:p w14:paraId="2B1DEAB8" w14:textId="77777777" w:rsidR="00655396" w:rsidRDefault="00655396" w:rsidP="008B512B">
      <w:pPr>
        <w:pStyle w:val="AdditionalTopicsSectionHeadings"/>
        <w:spacing w:line="240" w:lineRule="auto"/>
      </w:pPr>
      <w:r>
        <w:t>Patient Abandonment</w:t>
      </w:r>
    </w:p>
    <w:p w14:paraId="35C2713B" w14:textId="77777777" w:rsidR="00655396" w:rsidRDefault="00655396" w:rsidP="008B512B">
      <w:pPr>
        <w:pStyle w:val="BodyText"/>
        <w:spacing w:line="240" w:lineRule="auto"/>
      </w:pPr>
    </w:p>
    <w:p w14:paraId="7F7EBCD8" w14:textId="7E924676" w:rsidR="00655396" w:rsidRDefault="00655396" w:rsidP="008B512B">
      <w:pPr>
        <w:pStyle w:val="BodyText"/>
        <w:spacing w:line="240" w:lineRule="auto"/>
      </w:pPr>
      <w:r>
        <w:tab/>
        <w:t xml:space="preserve">In </w:t>
      </w:r>
      <w:r>
        <w:rPr>
          <w:i/>
          <w:iCs/>
        </w:rPr>
        <w:t>Bloomington Urological Associates, SC v. Scaglia</w:t>
      </w:r>
      <w:r>
        <w:t xml:space="preserve">, 292 Ill. App. 3d 793, 226 Ill. Dec. 759, 686 N.E.2d 389 (4th Dist. 1997), the majority construed a restriction under which a former employee physician agreed not to “engage in the [b]usiness” of “the provision of medicine services” from any office located within a 50-mile radius of any office of the former employer </w:t>
      </w:r>
      <w:r>
        <w:rPr>
          <w:i/>
          <w:iCs/>
        </w:rPr>
        <w:t>not to include</w:t>
      </w:r>
      <w:r>
        <w:t xml:space="preserve"> “administrative or managerial aspects of medical practice, such as billing, scheduling, and updating patients’ charts” (</w:t>
      </w:r>
      <w:r>
        <w:rPr>
          <w:i/>
          <w:iCs/>
        </w:rPr>
        <w:t>id.</w:t>
      </w:r>
      <w:r>
        <w:t xml:space="preserve"> at 799, 226 Ill. Dec. at 763, 686 N.E.2d at 393) or “telephone inquiries from existing patients to a physician (or his employees acting as conduits of information) or responses to those patients—either in the form of recommending treatment or prescribing medication.”</w:t>
      </w:r>
      <w:r w:rsidR="00FB1D09">
        <w:t xml:space="preserve"> </w:t>
      </w:r>
      <w:r>
        <w:rPr>
          <w:i/>
          <w:iCs/>
        </w:rPr>
        <w:t>Id.</w:t>
      </w:r>
      <w:r>
        <w:t>, 226 Ill. Dec. at 764, 686 N.E.2d at 394.</w:t>
      </w:r>
    </w:p>
    <w:p w14:paraId="3C1FB78F" w14:textId="77777777" w:rsidR="00655396" w:rsidRDefault="00655396" w:rsidP="008B512B">
      <w:pPr>
        <w:pStyle w:val="BodyText"/>
        <w:spacing w:line="240" w:lineRule="auto"/>
      </w:pPr>
      <w:r>
        <w:tab/>
        <w:t xml:space="preserve">According to the majority in </w:t>
      </w:r>
      <w:r>
        <w:rPr>
          <w:i/>
          <w:iCs/>
        </w:rPr>
        <w:t>Bloomington Urological</w:t>
      </w:r>
      <w:r>
        <w:t>,</w:t>
      </w:r>
    </w:p>
    <w:p w14:paraId="27D1C3FD" w14:textId="77777777" w:rsidR="00655396" w:rsidRDefault="00655396" w:rsidP="008B512B">
      <w:pPr>
        <w:pStyle w:val="BodyText"/>
        <w:spacing w:line="240" w:lineRule="auto"/>
      </w:pPr>
    </w:p>
    <w:p w14:paraId="35588EFD" w14:textId="1B34B32F"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[A]lthough we do not decide precisely what “the practice of medicine” means in the context of a restrictive covenant, we conclude that, in [the context of the instant agreed order emanating from a restrictive covenant], it cannot include telephone inquiries from existing patients to a physician (or his employees acting as conduits of information) or responses to those patients—either in the form of recommending treatment or prescribing medication.</w:t>
      </w:r>
      <w:r w:rsidR="00FB1D09">
        <w:rPr>
          <w:rFonts w:ascii="Baskerville" w:hAnsi="Baskerville" w:cs="Baskerville"/>
          <w:sz w:val="22"/>
          <w:szCs w:val="22"/>
        </w:rPr>
        <w:t xml:space="preserve"> </w:t>
      </w:r>
      <w:r>
        <w:rPr>
          <w:rFonts w:ascii="Baskerville" w:hAnsi="Baskerville" w:cs="Baskerville"/>
          <w:sz w:val="22"/>
          <w:szCs w:val="22"/>
        </w:rPr>
        <w:t>In the age of modern technology—where telephones and beepers travel with an individual and telephone calls can be automatically forwarded to another line—it simply makes no sense to place significance upon where a physician happens to make calls.</w:t>
      </w:r>
    </w:p>
    <w:p w14:paraId="21723DBA" w14:textId="77777777" w:rsidR="00655396" w:rsidRDefault="00655396" w:rsidP="008B512B">
      <w:pPr>
        <w:pStyle w:val="BodyText"/>
        <w:spacing w:line="240" w:lineRule="auto"/>
        <w:rPr>
          <w:i/>
          <w:iCs/>
        </w:rPr>
      </w:pPr>
    </w:p>
    <w:p w14:paraId="36B6DCCA" w14:textId="15F138CE" w:rsidR="00655396" w:rsidRDefault="00655396" w:rsidP="008B512B">
      <w:pPr>
        <w:pStyle w:val="BodyText"/>
        <w:spacing w:line="240" w:lineRule="auto"/>
      </w:pPr>
      <w:r>
        <w:rPr>
          <w:i/>
          <w:iCs/>
        </w:rPr>
        <w:t>Id.</w:t>
      </w:r>
      <w:r>
        <w:t>, 226 Ill. Dec. at 764, 686 N.E.2d at 394.</w:t>
      </w:r>
      <w:r w:rsidR="00FB1D09">
        <w:t xml:space="preserve"> </w:t>
      </w:r>
      <w:r>
        <w:t xml:space="preserve">This interpretation is </w:t>
      </w:r>
      <w:r>
        <w:lastRenderedPageBreak/>
        <w:t>consistent with the “legal and ethical obligation [imposed on Illinois physicians] to attend to their patients’ needs.”</w:t>
      </w:r>
      <w:r w:rsidR="00FB1D09">
        <w:t xml:space="preserve"> </w:t>
      </w:r>
      <w:r>
        <w:rPr>
          <w:i/>
          <w:iCs/>
        </w:rPr>
        <w:t>Id.</w:t>
      </w:r>
      <w:r>
        <w:t xml:space="preserve"> at 799–800, 226 Ill. Dec. at 764, 686 N.E.2d at 394.</w:t>
      </w:r>
      <w:r w:rsidR="00FB1D09">
        <w:t xml:space="preserve"> </w:t>
      </w:r>
      <w:r>
        <w:t xml:space="preserve">The </w:t>
      </w:r>
      <w:r>
        <w:rPr>
          <w:i/>
          <w:iCs/>
        </w:rPr>
        <w:t>Bloomington Urological</w:t>
      </w:r>
      <w:r>
        <w:t xml:space="preserve"> majority explained:</w:t>
      </w:r>
    </w:p>
    <w:p w14:paraId="20411185" w14:textId="77777777" w:rsidR="00655396" w:rsidRDefault="00655396" w:rsidP="008B512B">
      <w:pPr>
        <w:pStyle w:val="BodyText"/>
        <w:spacing w:line="240" w:lineRule="auto"/>
      </w:pPr>
    </w:p>
    <w:p w14:paraId="7B49D083" w14:textId="2853C002"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i/>
          <w:iCs/>
          <w:sz w:val="22"/>
          <w:szCs w:val="22"/>
        </w:rPr>
        <w:t>Physicians licensed in Illinois are specifically prohibited from abandoning their patients</w:t>
      </w:r>
      <w:r>
        <w:rPr>
          <w:rFonts w:ascii="Baskerville" w:hAnsi="Baskerville" w:cs="Baskerville"/>
          <w:sz w:val="22"/>
          <w:szCs w:val="22"/>
        </w:rPr>
        <w:t>.</w:t>
      </w:r>
      <w:r w:rsidR="00FB1D09">
        <w:rPr>
          <w:rFonts w:ascii="Baskerville" w:hAnsi="Baskerville" w:cs="Baskerville"/>
          <w:sz w:val="22"/>
          <w:szCs w:val="22"/>
        </w:rPr>
        <w:t xml:space="preserve"> </w:t>
      </w:r>
      <w:r>
        <w:rPr>
          <w:rFonts w:ascii="Baskerville" w:hAnsi="Baskerville" w:cs="Baskerville"/>
          <w:sz w:val="22"/>
          <w:szCs w:val="22"/>
        </w:rPr>
        <w:t>See 225 ILCS 60/22(A)(16) (West 1994).</w:t>
      </w:r>
      <w:r w:rsidR="00FB1D09">
        <w:rPr>
          <w:rFonts w:ascii="Baskerville" w:hAnsi="Baskerville" w:cs="Baskerville"/>
          <w:sz w:val="22"/>
          <w:szCs w:val="22"/>
        </w:rPr>
        <w:t xml:space="preserve"> </w:t>
      </w:r>
      <w:r>
        <w:rPr>
          <w:rFonts w:ascii="Baskerville" w:hAnsi="Baskerville" w:cs="Baskerville"/>
          <w:sz w:val="22"/>
          <w:szCs w:val="22"/>
        </w:rPr>
        <w:t>Further, the American Medical Association’s Council on Ethical and Judicial Affairs mandates that “once having undertaken a case, the physician should not neglect the patient.”</w:t>
      </w:r>
      <w:r w:rsidR="00FB1D09">
        <w:rPr>
          <w:rFonts w:ascii="Baskerville" w:hAnsi="Baskerville" w:cs="Baskerville"/>
          <w:sz w:val="22"/>
          <w:szCs w:val="22"/>
        </w:rPr>
        <w:t xml:space="preserve"> </w:t>
      </w:r>
      <w:r>
        <w:rPr>
          <w:rFonts w:ascii="Baskerville" w:hAnsi="Baskerville" w:cs="Baskerville"/>
          <w:sz w:val="22"/>
          <w:szCs w:val="22"/>
        </w:rPr>
        <w:t>American Medical Association Code of Medical Ethics: Current Opinions with Annotations, 8.11 (1996).</w:t>
      </w:r>
      <w:r w:rsidR="00FB1D09">
        <w:rPr>
          <w:rFonts w:ascii="Baskerville" w:hAnsi="Baskerville" w:cs="Baskerville"/>
          <w:sz w:val="22"/>
          <w:szCs w:val="22"/>
        </w:rPr>
        <w:t xml:space="preserve"> </w:t>
      </w:r>
      <w:r>
        <w:rPr>
          <w:rFonts w:ascii="Baskerville" w:hAnsi="Baskerville" w:cs="Baskerville"/>
          <w:sz w:val="22"/>
          <w:szCs w:val="22"/>
        </w:rPr>
        <w:t xml:space="preserve">To conclude that telephone inquiries from existing patients to their physician constitute the practice of medicine in the context of a restrictive covenant would effectively force a physician to neglect or </w:t>
      </w:r>
      <w:r>
        <w:rPr>
          <w:rFonts w:ascii="Baskerville" w:hAnsi="Baskerville" w:cs="Baskerville"/>
          <w:i/>
          <w:iCs/>
          <w:sz w:val="22"/>
          <w:szCs w:val="22"/>
        </w:rPr>
        <w:t>abandon</w:t>
      </w:r>
      <w:r>
        <w:rPr>
          <w:rFonts w:ascii="Baskerville" w:hAnsi="Baskerville" w:cs="Baskerville"/>
          <w:sz w:val="22"/>
          <w:szCs w:val="22"/>
        </w:rPr>
        <w:t xml:space="preserve"> his </w:t>
      </w:r>
      <w:r>
        <w:rPr>
          <w:rFonts w:ascii="Baskerville" w:hAnsi="Baskerville" w:cs="Baskerville"/>
          <w:i/>
          <w:iCs/>
          <w:sz w:val="22"/>
          <w:szCs w:val="22"/>
        </w:rPr>
        <w:t>patients</w:t>
      </w:r>
      <w:r>
        <w:rPr>
          <w:rFonts w:ascii="Baskerville" w:hAnsi="Baskerville" w:cs="Baskerville"/>
          <w:sz w:val="22"/>
          <w:szCs w:val="22"/>
        </w:rPr>
        <w:t xml:space="preserve"> whenever they telephone or page him with medical-related questions, concerns, or emergencies at a time when he happens to be in the restricted geographical area.</w:t>
      </w:r>
    </w:p>
    <w:p w14:paraId="59D13071" w14:textId="77777777" w:rsidR="00655396" w:rsidRDefault="00655396" w:rsidP="008B512B">
      <w:pPr>
        <w:pStyle w:val="BodyText"/>
        <w:spacing w:line="240" w:lineRule="auto"/>
      </w:pPr>
    </w:p>
    <w:p w14:paraId="493C4CD2" w14:textId="77777777" w:rsidR="00655396" w:rsidRDefault="00655396" w:rsidP="008B512B">
      <w:pPr>
        <w:pStyle w:val="BodyText"/>
        <w:spacing w:line="240" w:lineRule="auto"/>
      </w:pPr>
      <w:r>
        <w:rPr>
          <w:i/>
          <w:iCs/>
        </w:rPr>
        <w:t>Id.</w:t>
      </w:r>
      <w:r>
        <w:t xml:space="preserve"> at 800, 226 Ill. Dec. at 764, 686 N.E.2d at 394 (emphasis added).</w:t>
      </w:r>
    </w:p>
    <w:p w14:paraId="295BF21A" w14:textId="77777777" w:rsidR="00655396" w:rsidRDefault="00655396" w:rsidP="008B512B">
      <w:pPr>
        <w:pStyle w:val="AdditionalTopicsSectionHeadings"/>
        <w:spacing w:line="240" w:lineRule="auto"/>
      </w:pPr>
    </w:p>
    <w:p w14:paraId="476392CE" w14:textId="77777777" w:rsidR="00655396" w:rsidRDefault="00655396" w:rsidP="008B512B">
      <w:pPr>
        <w:pStyle w:val="AdditionalTopicsSectionHeadings"/>
        <w:spacing w:line="240" w:lineRule="auto"/>
      </w:pPr>
      <w:r>
        <w:t>Physicians</w:t>
      </w:r>
    </w:p>
    <w:p w14:paraId="5203CDFD" w14:textId="77777777" w:rsidR="00655396" w:rsidRDefault="00655396" w:rsidP="008B512B">
      <w:pPr>
        <w:pStyle w:val="BodyText"/>
        <w:spacing w:line="240" w:lineRule="auto"/>
      </w:pPr>
    </w:p>
    <w:p w14:paraId="770244FD"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A noncompetition covenant given in connection with a physician’s sale of the assets and good will of his medical practice may run afoul of the Illinois Medical Practice Act of 1987 (IMPA), </w:t>
      </w:r>
      <w:r>
        <w:rPr>
          <w:rFonts w:ascii="Baskerville" w:hAnsi="Baskerville" w:cs="Baskerville"/>
          <w:smallCaps/>
        </w:rPr>
        <w:t>Ill. Rev. Stat.</w:t>
      </w:r>
      <w:r>
        <w:rPr>
          <w:rFonts w:ascii="Baskerville" w:hAnsi="Baskerville" w:cs="Baskerville"/>
        </w:rPr>
        <w:t xml:space="preserve"> ch. 225, ¶ 60/1 et seq. </w:t>
      </w:r>
      <w:r>
        <w:rPr>
          <w:rFonts w:ascii="Baskerville" w:hAnsi="Baskerville" w:cs="Baskerville"/>
          <w:i/>
          <w:iCs/>
        </w:rPr>
        <w:t>See Gavery v. McMahon &amp; Elliott</w:t>
      </w:r>
      <w:r>
        <w:rPr>
          <w:rFonts w:ascii="Baskerville" w:hAnsi="Baskerville" w:cs="Baskerville"/>
        </w:rPr>
        <w:t xml:space="preserve">, 670 N.E.2d 822, 824 (Ill. Ct. App. 1st Dist. 1996) (involving legal malpractice claims brought by physician who </w:t>
      </w:r>
      <w:r>
        <w:rPr>
          <w:rFonts w:ascii="Baskerville" w:hAnsi="Baskerville" w:cs="Baskerville"/>
        </w:rPr>
        <w:br/>
        <w:t>entered into asset purchase agreement and noncompetition agreement in connection with sale of his medical practice).</w:t>
      </w:r>
    </w:p>
    <w:p w14:paraId="2D1D9533" w14:textId="77777777" w:rsidR="00655396" w:rsidRDefault="00655396" w:rsidP="008B512B">
      <w:pPr>
        <w:pStyle w:val="BodyText"/>
        <w:spacing w:line="240" w:lineRule="auto"/>
      </w:pPr>
      <w:r>
        <w:tab/>
        <w:t xml:space="preserve">For related topics, see the discussions of </w:t>
      </w:r>
      <w:r>
        <w:rPr>
          <w:i/>
          <w:iCs/>
        </w:rPr>
        <w:t>Bloomington Urological Associates, SC v. Scaglia</w:t>
      </w:r>
      <w:r>
        <w:t xml:space="preserve">, 292 Ill. App. 3d 793, 226 Ill. Dec. 759, 686 N.E.2d 389 (4th Dist. 1997), in the </w:t>
      </w:r>
      <w:r>
        <w:rPr>
          <w:i/>
          <w:iCs/>
        </w:rPr>
        <w:t>Construction (Contractual)</w:t>
      </w:r>
      <w:r>
        <w:t xml:space="preserve"> and </w:t>
      </w:r>
      <w:r>
        <w:rPr>
          <w:i/>
          <w:iCs/>
        </w:rPr>
        <w:t>Medical Ethical Principles</w:t>
      </w:r>
      <w:r>
        <w:t xml:space="preserve"> entries, </w:t>
      </w:r>
      <w:r>
        <w:rPr>
          <w:i/>
          <w:iCs/>
        </w:rPr>
        <w:t>supra</w:t>
      </w:r>
      <w:r>
        <w:t xml:space="preserve">, and in the </w:t>
      </w:r>
      <w:r>
        <w:rPr>
          <w:i/>
          <w:iCs/>
        </w:rPr>
        <w:t>Physicians and Public Policy</w:t>
      </w:r>
      <w:r>
        <w:t xml:space="preserve"> entry, </w:t>
      </w:r>
      <w:r>
        <w:rPr>
          <w:i/>
          <w:iCs/>
        </w:rPr>
        <w:t>infra</w:t>
      </w:r>
      <w:r>
        <w:t xml:space="preserve">, all in this </w:t>
      </w:r>
      <w:r>
        <w:rPr>
          <w:i/>
          <w:iCs/>
        </w:rPr>
        <w:t>Additional Topics</w:t>
      </w:r>
      <w:r>
        <w:t xml:space="preserve"> section.</w:t>
      </w:r>
    </w:p>
    <w:p w14:paraId="62F17F98" w14:textId="39C38745" w:rsidR="00655396" w:rsidRDefault="00655396" w:rsidP="008B512B">
      <w:pPr>
        <w:pStyle w:val="BodyText"/>
        <w:spacing w:line="240" w:lineRule="auto"/>
        <w:rPr>
          <w:spacing w:val="-1"/>
        </w:rPr>
      </w:pPr>
      <w:r>
        <w:rPr>
          <w:spacing w:val="-1"/>
        </w:rPr>
        <w:tab/>
        <w:t>An ophthalmology clinic has a protectable interest in the patients treated by its employee ophthalmologist regardless of whether the employee comes to the practice as a relative newcomer or, instead, as an established physician with a substantial patient base.</w:t>
      </w:r>
      <w:r w:rsidR="00FB1D09">
        <w:rPr>
          <w:spacing w:val="-1"/>
        </w:rPr>
        <w:t xml:space="preserve"> </w:t>
      </w:r>
      <w:r>
        <w:rPr>
          <w:i/>
          <w:iCs/>
          <w:spacing w:val="-1"/>
        </w:rPr>
        <w:t>Prairie Eye Ctr., Ltd. v. Butler</w:t>
      </w:r>
      <w:r>
        <w:rPr>
          <w:spacing w:val="-1"/>
        </w:rPr>
        <w:t xml:space="preserve">, 713 N.E.2d 610, 614–15 (Ill. Ct. App. 4th Dist. 1999) </w:t>
      </w:r>
      <w:r>
        <w:rPr>
          <w:spacing w:val="-1"/>
        </w:rPr>
        <w:lastRenderedPageBreak/>
        <w:t>(employee came to practice as established physician with substantial patient base).</w:t>
      </w:r>
      <w:r w:rsidR="00FB1D09">
        <w:rPr>
          <w:spacing w:val="-1"/>
        </w:rPr>
        <w:t xml:space="preserve"> </w:t>
      </w:r>
      <w:r>
        <w:rPr>
          <w:spacing w:val="-1"/>
        </w:rPr>
        <w:t>The court also noted that the “elevation [of] the rights of patients to see ‘their’ doctor over the contract interests” of the employer and employee has “no precedent” in the case law.</w:t>
      </w:r>
      <w:r w:rsidR="00FB1D09">
        <w:rPr>
          <w:spacing w:val="-1"/>
        </w:rPr>
        <w:t xml:space="preserve"> </w:t>
      </w:r>
      <w:r>
        <w:rPr>
          <w:i/>
          <w:iCs/>
          <w:spacing w:val="-1"/>
        </w:rPr>
        <w:t>Id.</w:t>
      </w:r>
      <w:r>
        <w:rPr>
          <w:spacing w:val="-1"/>
        </w:rPr>
        <w:t xml:space="preserve"> at 615.</w:t>
      </w:r>
      <w:r w:rsidR="00FB1D09">
        <w:rPr>
          <w:spacing w:val="-1"/>
        </w:rPr>
        <w:t xml:space="preserve"> </w:t>
      </w:r>
      <w:r>
        <w:rPr>
          <w:i/>
          <w:iCs/>
          <w:spacing w:val="-1"/>
        </w:rPr>
        <w:t>See</w:t>
      </w:r>
      <w:r>
        <w:rPr>
          <w:spacing w:val="-1"/>
        </w:rPr>
        <w:t xml:space="preserve"> </w:t>
      </w:r>
      <w:r>
        <w:rPr>
          <w:i/>
          <w:iCs/>
          <w:spacing w:val="-1"/>
        </w:rPr>
        <w:t>generally</w:t>
      </w:r>
      <w:r>
        <w:rPr>
          <w:spacing w:val="-1"/>
        </w:rPr>
        <w:t xml:space="preserve"> the discussion of this case in the answer to Question 2, </w:t>
      </w:r>
      <w:r>
        <w:rPr>
          <w:i/>
          <w:iCs/>
          <w:spacing w:val="-1"/>
        </w:rPr>
        <w:t>supra</w:t>
      </w:r>
      <w:r>
        <w:rPr>
          <w:spacing w:val="-1"/>
        </w:rPr>
        <w:t>.</w:t>
      </w:r>
    </w:p>
    <w:p w14:paraId="65B8E1A7" w14:textId="5195C8D5" w:rsidR="00655396" w:rsidRDefault="00655396" w:rsidP="008B512B">
      <w:pPr>
        <w:pStyle w:val="BodyText"/>
        <w:spacing w:line="240" w:lineRule="auto"/>
        <w:rPr>
          <w:spacing w:val="-1"/>
        </w:rPr>
      </w:pPr>
      <w:r>
        <w:rPr>
          <w:spacing w:val="-1"/>
        </w:rPr>
        <w:tab/>
        <w:t xml:space="preserve">En route to upholding a 5-year, 5-mile covenant against one cardiologist and a 3-year, 2-mile covenant against another cardiologist, both formerly employed by a cardiology and internal medicine clinic, even though the covenants were not limited to restricting the practice of cardiology and internal medicine but, instead, restricted competition in the practice of medicine in its entirety within the time and area limitations specified, the Illinois court of appeals in </w:t>
      </w:r>
      <w:r>
        <w:rPr>
          <w:i/>
          <w:iCs/>
          <w:spacing w:val="-1"/>
        </w:rPr>
        <w:t>Mohanty v. St. John Heart Clinic</w:t>
      </w:r>
      <w:r>
        <w:rPr>
          <w:spacing w:val="-1"/>
        </w:rPr>
        <w:t xml:space="preserve">, 358 Ill. App. 3d 902, 295 Ill. Dec. 490, 832 N.E.2d 940 (1st Dist. 2005), </w:t>
      </w:r>
      <w:r>
        <w:rPr>
          <w:i/>
          <w:iCs/>
          <w:spacing w:val="-1"/>
        </w:rPr>
        <w:t>lv. to appeal granted</w:t>
      </w:r>
      <w:r>
        <w:rPr>
          <w:spacing w:val="-1"/>
        </w:rPr>
        <w:t>, 2006 Ill. LEXIS 2 (2006), held that “there is no evidence that enforcement of the restriction[s] in this case will cause a shortage of doctors in the area or result in any other injury to the public.”</w:t>
      </w:r>
      <w:r w:rsidR="00FB1D09">
        <w:rPr>
          <w:spacing w:val="-1"/>
        </w:rPr>
        <w:t xml:space="preserve"> </w:t>
      </w:r>
      <w:r>
        <w:rPr>
          <w:i/>
          <w:iCs/>
          <w:spacing w:val="-1"/>
        </w:rPr>
        <w:t>Id.</w:t>
      </w:r>
      <w:r>
        <w:rPr>
          <w:spacing w:val="-1"/>
        </w:rPr>
        <w:t>, 358 Ill. App. 3d at 909.</w:t>
      </w:r>
    </w:p>
    <w:p w14:paraId="00B5B20B" w14:textId="77777777" w:rsidR="00655396" w:rsidRDefault="00655396" w:rsidP="008B512B">
      <w:pPr>
        <w:pStyle w:val="BodyText"/>
        <w:spacing w:line="240" w:lineRule="auto"/>
      </w:pPr>
    </w:p>
    <w:p w14:paraId="557BF276" w14:textId="34B6DF51" w:rsidR="00655396" w:rsidRDefault="00655396" w:rsidP="008B512B">
      <w:pPr>
        <w:pStyle w:val="BodyText"/>
        <w:spacing w:line="240" w:lineRule="auto"/>
      </w:pPr>
      <w:r>
        <w:tab/>
        <w:t xml:space="preserve">• </w:t>
      </w:r>
      <w:r>
        <w:rPr>
          <w:i/>
          <w:iCs/>
        </w:rPr>
        <w:t>Law review articles</w:t>
      </w:r>
      <w:r>
        <w:t>.</w:t>
      </w:r>
      <w:r w:rsidR="00CD7A12">
        <w:t xml:space="preserve"> </w:t>
      </w:r>
      <w:r>
        <w:rPr>
          <w:i/>
          <w:iCs/>
        </w:rPr>
        <w:t>See</w:t>
      </w:r>
      <w:r>
        <w:t xml:space="preserve"> S. Elizabeth Wilborn Malloy, </w:t>
      </w:r>
      <w:r>
        <w:rPr>
          <w:i/>
          <w:iCs/>
        </w:rPr>
        <w:t>Physician Restrictive Covenants</w:t>
      </w:r>
      <w:r w:rsidR="00D47546">
        <w:rPr>
          <w:i/>
          <w:iCs/>
        </w:rPr>
        <w:t xml:space="preserve">: </w:t>
      </w:r>
      <w:r>
        <w:rPr>
          <w:i/>
          <w:iCs/>
        </w:rPr>
        <w:t>The Neglect of Incumbent Patient Interests</w:t>
      </w:r>
      <w:r>
        <w:t xml:space="preserve">, 41 </w:t>
      </w:r>
      <w:r>
        <w:rPr>
          <w:smallCaps/>
        </w:rPr>
        <w:t>Wake Forest L. Rev</w:t>
      </w:r>
      <w:r>
        <w:t xml:space="preserve">. 189 (Spring 2006) (asserting, </w:t>
      </w:r>
      <w:r>
        <w:rPr>
          <w:i/>
          <w:iCs/>
        </w:rPr>
        <w:t xml:space="preserve">id. </w:t>
      </w:r>
      <w:r>
        <w:t>at 232, that by protecting the doctor-patient relationship, courts in the future could decide cases in such a way as to “free physicians to treat patients who require long-term care without fear that the physician will be forced to ignore her medical and ethical obligations.</w:t>
      </w:r>
      <w:r w:rsidR="00FB1D09">
        <w:t xml:space="preserve"> </w:t>
      </w:r>
      <w:r>
        <w:t>Elevation of the individual relationship between doctor and patient [would] force courts to consider this impact on much more of a case-by-case basis.</w:t>
      </w:r>
      <w:r w:rsidR="00FB1D09">
        <w:t xml:space="preserve"> </w:t>
      </w:r>
      <w:r>
        <w:t>Further, it [would] ultimately result in better, more informed opinions that will simultaneously promote the well-being of patients and the economic interest of physicians.”)</w:t>
      </w:r>
      <w:r w:rsidR="00D47546">
        <w:t xml:space="preserve">; </w:t>
      </w:r>
      <w:r>
        <w:t xml:space="preserve">Keith E. Emmons (ed.), </w:t>
      </w:r>
      <w:r>
        <w:rPr>
          <w:i/>
          <w:iCs/>
        </w:rPr>
        <w:t>Survey of Illinois Law</w:t>
      </w:r>
      <w:r w:rsidR="00D47546">
        <w:rPr>
          <w:i/>
          <w:iCs/>
        </w:rPr>
        <w:t xml:space="preserve">: </w:t>
      </w:r>
      <w:r>
        <w:rPr>
          <w:i/>
          <w:iCs/>
        </w:rPr>
        <w:t>Health Care</w:t>
      </w:r>
      <w:r>
        <w:t xml:space="preserve">, 27 </w:t>
      </w:r>
      <w:r>
        <w:rPr>
          <w:smallCaps/>
        </w:rPr>
        <w:t>S. Ill. U. L.J.</w:t>
      </w:r>
      <w:r>
        <w:t xml:space="preserve"> 817 (Summer 2003)</w:t>
      </w:r>
      <w:r w:rsidR="00D47546">
        <w:t xml:space="preserve">; </w:t>
      </w:r>
      <w:r>
        <w:t xml:space="preserve">Stuart Gimbel &amp; Miles J. Zaremski, </w:t>
      </w:r>
      <w:r>
        <w:rPr>
          <w:i/>
          <w:iCs/>
        </w:rPr>
        <w:t>Medical Restrictive Covenants in Illinois</w:t>
      </w:r>
      <w:r w:rsidR="00D47546">
        <w:rPr>
          <w:i/>
          <w:iCs/>
        </w:rPr>
        <w:t xml:space="preserve">: </w:t>
      </w:r>
      <w:r>
        <w:rPr>
          <w:i/>
          <w:iCs/>
        </w:rPr>
        <w:t>At the Crossroads of</w:t>
      </w:r>
      <w:r>
        <w:t xml:space="preserve"> Carter Shields </w:t>
      </w:r>
      <w:r>
        <w:rPr>
          <w:i/>
          <w:iCs/>
        </w:rPr>
        <w:t>and</w:t>
      </w:r>
      <w:r>
        <w:t xml:space="preserve"> Prairie Eye Center, 12 </w:t>
      </w:r>
      <w:r>
        <w:rPr>
          <w:smallCaps/>
        </w:rPr>
        <w:t>Annals Health L.</w:t>
      </w:r>
      <w:r>
        <w:t xml:space="preserve"> 1 (2003)</w:t>
      </w:r>
      <w:r w:rsidR="00D47546">
        <w:t xml:space="preserve">; </w:t>
      </w:r>
      <w:r>
        <w:t xml:space="preserve">James W. Lowry, Commentary: </w:t>
      </w:r>
      <w:r>
        <w:rPr>
          <w:i/>
          <w:iCs/>
        </w:rPr>
        <w:t>Covenants Not to Compete in Physician Contracts</w:t>
      </w:r>
      <w:r w:rsidR="00D47546">
        <w:rPr>
          <w:i/>
          <w:iCs/>
        </w:rPr>
        <w:t xml:space="preserve">: </w:t>
      </w:r>
      <w:r>
        <w:rPr>
          <w:i/>
          <w:iCs/>
        </w:rPr>
        <w:t>Recent Trends Defining Reasonableness at Common Law</w:t>
      </w:r>
      <w:r>
        <w:t xml:space="preserve">, 24 </w:t>
      </w:r>
      <w:r>
        <w:rPr>
          <w:smallCaps/>
        </w:rPr>
        <w:t>J. Legal Med.</w:t>
      </w:r>
      <w:r>
        <w:t xml:space="preserve"> 215, 229 (June 2003) (citing, </w:t>
      </w:r>
      <w:r>
        <w:rPr>
          <w:i/>
          <w:iCs/>
        </w:rPr>
        <w:t>id.</w:t>
      </w:r>
      <w:r>
        <w:t xml:space="preserve"> at n.108,</w:t>
      </w:r>
      <w:r w:rsidR="00FB1D09">
        <w:t xml:space="preserve"> </w:t>
      </w:r>
      <w:r>
        <w:rPr>
          <w:i/>
          <w:iCs/>
        </w:rPr>
        <w:t>In re Lopez</w:t>
      </w:r>
      <w:r>
        <w:t>, 93 B.R. 155, 160 (Bankr. N.D. Ill. 1988)).</w:t>
      </w:r>
    </w:p>
    <w:p w14:paraId="0F1187FE" w14:textId="77777777" w:rsidR="00655396" w:rsidRDefault="00655396" w:rsidP="008B512B">
      <w:pPr>
        <w:pStyle w:val="BodyText"/>
        <w:spacing w:line="240" w:lineRule="auto"/>
      </w:pPr>
    </w:p>
    <w:p w14:paraId="2E9AC22A" w14:textId="77777777" w:rsidR="00655396" w:rsidRDefault="00655396" w:rsidP="008B512B">
      <w:pPr>
        <w:pStyle w:val="AdditionalTopicsSectionHeadings"/>
        <w:spacing w:line="240" w:lineRule="auto"/>
      </w:pPr>
      <w:r>
        <w:t>Physicians and Public Policy</w:t>
      </w:r>
    </w:p>
    <w:p w14:paraId="02178327" w14:textId="77777777" w:rsidR="00655396" w:rsidRDefault="00655396" w:rsidP="008B512B">
      <w:pPr>
        <w:pStyle w:val="BodyText"/>
        <w:spacing w:line="240" w:lineRule="auto"/>
      </w:pPr>
    </w:p>
    <w:p w14:paraId="5B0F23FE" w14:textId="47B029C0" w:rsidR="00655396" w:rsidRDefault="00655396" w:rsidP="008B512B">
      <w:pPr>
        <w:pStyle w:val="BodyText"/>
        <w:spacing w:line="240" w:lineRule="auto"/>
      </w:pPr>
      <w:r>
        <w:tab/>
        <w:t xml:space="preserve">In dissent from the majority’s conclusion in </w:t>
      </w:r>
      <w:r>
        <w:rPr>
          <w:i/>
          <w:iCs/>
        </w:rPr>
        <w:t>Bloomington Urological Associates, SC v. Scaglia</w:t>
      </w:r>
      <w:r>
        <w:t>, 292 Ill. App. 3d 793, 226 Ill. Dec. 759, 686 N.E.2d 389 (4th Dist. 1997), that an agreed order between a physician and his former employer was ambiguous as to the scope of acts prohibited, Justice McCullough observed</w:t>
      </w:r>
      <w:r w:rsidR="00D47546">
        <w:t xml:space="preserve">: </w:t>
      </w:r>
      <w:r>
        <w:t>“Curiously, the majority does not contend a restriction on the practice of medicine, a course of conduct it agrees involves the diagnosis and treatment of physical ailment, is against public policy—but[, according to the majority,] it becomes so when there is a restriction on doctor-patient telephone cont[act] for that same purpose.”</w:t>
      </w:r>
      <w:r w:rsidR="00FB1D09">
        <w:t xml:space="preserve"> </w:t>
      </w:r>
      <w:r>
        <w:rPr>
          <w:i/>
          <w:iCs/>
        </w:rPr>
        <w:t>Id.</w:t>
      </w:r>
      <w:r>
        <w:t xml:space="preserve"> at 802, 226 Ill. Dec. at 765, 686 N.E.2d at 395.</w:t>
      </w:r>
    </w:p>
    <w:p w14:paraId="6EE4A349" w14:textId="1790AE16" w:rsidR="00655396" w:rsidRDefault="00655396" w:rsidP="008B512B">
      <w:pPr>
        <w:pStyle w:val="BodyText"/>
        <w:spacing w:line="240" w:lineRule="auto"/>
      </w:pPr>
      <w:r>
        <w:tab/>
        <w:t xml:space="preserve">En route to enforcing a postemployment covenant in </w:t>
      </w:r>
      <w:r>
        <w:rPr>
          <w:i/>
          <w:iCs/>
        </w:rPr>
        <w:t>Prairie Eye Center, Ltd. v. Butler</w:t>
      </w:r>
      <w:r>
        <w:t>, 713 N.E.2d 610 (Ill. Ct. App. 4th Dist. 1999), an Illinois court of appeals stressed that “the freedom to contract” is just as important a public policy in Illinois as is the public policy in Illinois against restraints of trade.</w:t>
      </w:r>
      <w:r w:rsidR="00FB1D09">
        <w:t xml:space="preserve"> </w:t>
      </w:r>
      <w:r>
        <w:rPr>
          <w:i/>
          <w:iCs/>
        </w:rPr>
        <w:t>Id.</w:t>
      </w:r>
      <w:r>
        <w:t xml:space="preserve"> at 615 (citing </w:t>
      </w:r>
      <w:r>
        <w:rPr>
          <w:i/>
          <w:iCs/>
        </w:rPr>
        <w:t>McClure Eng’g Assocs., Inc. v. Reuben H. Donnelly Corp.</w:t>
      </w:r>
      <w:r>
        <w:t>, 95 Ill. 2d 68, 72, 69 Ill. Dec. 183, 447 N.E.2d 400, 402 (1983)).</w:t>
      </w:r>
    </w:p>
    <w:p w14:paraId="54591A75" w14:textId="76C800DF" w:rsidR="00655396" w:rsidRDefault="00655396" w:rsidP="008B512B">
      <w:pPr>
        <w:pStyle w:val="BodyText"/>
        <w:spacing w:line="240" w:lineRule="auto"/>
      </w:pPr>
      <w:r>
        <w:tab/>
        <w:t xml:space="preserve">However, in another health care industry covenant case, the Fifth District of the Illinois Court of Appeals in </w:t>
      </w:r>
      <w:r>
        <w:rPr>
          <w:i/>
          <w:iCs/>
        </w:rPr>
        <w:t>Carter-Shields v. Alton Health Institute</w:t>
      </w:r>
      <w:r>
        <w:t xml:space="preserve">, 317 Ill. App. 3d 260, 250 Ill. Dec. 806, 739 N.E.2d 569 (5th Dist. 2000), </w:t>
      </w:r>
      <w:r>
        <w:rPr>
          <w:i/>
          <w:iCs/>
        </w:rPr>
        <w:t>aff’d in part and vacated in</w:t>
      </w:r>
      <w:r>
        <w:t xml:space="preserve"> </w:t>
      </w:r>
      <w:r>
        <w:rPr>
          <w:i/>
          <w:iCs/>
        </w:rPr>
        <w:t>part by</w:t>
      </w:r>
      <w:r>
        <w:t xml:space="preserve"> 201 Ill. 2d 441 (2002), explicitly declined to follow the public-policy analysis of </w:t>
      </w:r>
      <w:r>
        <w:rPr>
          <w:i/>
          <w:iCs/>
        </w:rPr>
        <w:t>Prairie Eye</w:t>
      </w:r>
      <w:r>
        <w:t>.</w:t>
      </w:r>
      <w:r w:rsidR="00FB1D09">
        <w:t xml:space="preserve"> </w:t>
      </w:r>
      <w:r>
        <w:t xml:space="preserve">The court of appeals in </w:t>
      </w:r>
      <w:r>
        <w:rPr>
          <w:i/>
          <w:iCs/>
        </w:rPr>
        <w:t>Carter-Shields</w:t>
      </w:r>
      <w:r>
        <w:t xml:space="preserve"> observed that</w:t>
      </w:r>
    </w:p>
    <w:p w14:paraId="7958ECEB" w14:textId="77777777" w:rsidR="00655396" w:rsidRDefault="00655396" w:rsidP="008B512B">
      <w:pPr>
        <w:pStyle w:val="BodyText"/>
        <w:spacing w:line="240" w:lineRule="auto"/>
      </w:pPr>
    </w:p>
    <w:p w14:paraId="6385DB38" w14:textId="77777777" w:rsidR="00655396" w:rsidRPr="0036473D" w:rsidRDefault="00655396" w:rsidP="008B512B">
      <w:pPr>
        <w:pStyle w:val="BQ"/>
        <w:spacing w:line="240" w:lineRule="auto"/>
        <w:rPr>
          <w:b/>
        </w:rPr>
      </w:pPr>
      <w:r w:rsidRPr="0036473D">
        <w:t>the American Medical Association disfavors the use of any restrictive employment or partnership agreements among physicians:</w:t>
      </w:r>
    </w:p>
    <w:p w14:paraId="2137EA42" w14:textId="4B113121" w:rsidR="00655396" w:rsidRPr="0036473D" w:rsidRDefault="00655396" w:rsidP="008B512B">
      <w:pPr>
        <w:pStyle w:val="BQ2"/>
        <w:spacing w:line="240" w:lineRule="auto"/>
        <w:rPr>
          <w:b/>
        </w:rPr>
      </w:pPr>
      <w:r w:rsidRPr="0036473D">
        <w:t>“AGREEMENTS RESTRICTING THE PRACTICE OF MEDICINE.</w:t>
      </w:r>
      <w:r w:rsidR="00FB1D09">
        <w:t xml:space="preserve"> </w:t>
      </w:r>
      <w:r w:rsidRPr="0036473D">
        <w:t>The counsel on Ethical and Judicial Affairs discourages any agreement between physicians which restricts the right of a physician to practice medicine for a specified period of time or in a specified area upon termination of employment or a partnership or a corporate agreement.</w:t>
      </w:r>
      <w:r w:rsidR="00FB1D09">
        <w:t xml:space="preserve"> </w:t>
      </w:r>
      <w:r w:rsidRPr="0036473D">
        <w:t>Such restrictive agreements are not in the public interest.”</w:t>
      </w:r>
    </w:p>
    <w:p w14:paraId="7922A391" w14:textId="77777777" w:rsidR="00655396" w:rsidRPr="0036473D" w:rsidRDefault="00655396" w:rsidP="008B512B">
      <w:pPr>
        <w:pStyle w:val="BQ"/>
        <w:spacing w:line="240" w:lineRule="auto"/>
        <w:rPr>
          <w:b/>
        </w:rPr>
      </w:pPr>
      <w:r w:rsidRPr="0036473D">
        <w:lastRenderedPageBreak/>
        <w:t>[Section 9.2 of the Opinions of the Council on Ethical &amp; Judicial Affairs of the American Medical Ass’n (1986).]</w:t>
      </w:r>
    </w:p>
    <w:p w14:paraId="40E9D75B" w14:textId="79A8AE30" w:rsidR="00655396" w:rsidRPr="0036473D" w:rsidRDefault="00655396" w:rsidP="008B512B">
      <w:pPr>
        <w:pStyle w:val="BQ"/>
        <w:spacing w:line="240" w:lineRule="auto"/>
        <w:rPr>
          <w:b/>
        </w:rPr>
      </w:pPr>
      <w:r w:rsidRPr="0036473D">
        <w:tab/>
        <w:t>The foundation for section 9.2 rests on considerations of public policy.</w:t>
      </w:r>
      <w:r w:rsidR="00FB1D09">
        <w:t xml:space="preserve"> </w:t>
      </w:r>
      <w:r w:rsidRPr="0036473D">
        <w:t>Plaintiff relies on these public-policy considerations in asking us to hold the restrictive covenant void.</w:t>
      </w:r>
      <w:r w:rsidR="00FB1D09">
        <w:t xml:space="preserve"> </w:t>
      </w:r>
      <w:r w:rsidRPr="0036473D">
        <w:t xml:space="preserve">Plaintiff directs our attention to the public-policy considerations expressed in </w:t>
      </w:r>
      <w:r w:rsidRPr="0036473D">
        <w:rPr>
          <w:bCs w:val="0"/>
          <w:i/>
          <w:iCs/>
        </w:rPr>
        <w:t>Dowd &amp; Dowd, Ltd. v. Gleason</w:t>
      </w:r>
      <w:r w:rsidRPr="0036473D">
        <w:t xml:space="preserve">, 181 Ill. 2d 460, 230 Ill. Dec. 229, 693 N.E.2d 358 (1998), and asks us to apply the rationale in </w:t>
      </w:r>
      <w:r w:rsidRPr="0036473D">
        <w:rPr>
          <w:bCs w:val="0"/>
          <w:i/>
          <w:iCs/>
        </w:rPr>
        <w:t>Dowd</w:t>
      </w:r>
      <w:r w:rsidRPr="0036473D">
        <w:t xml:space="preserve"> to the instant case.</w:t>
      </w:r>
    </w:p>
    <w:p w14:paraId="65F78444" w14:textId="4707B7C8" w:rsidR="00655396" w:rsidRPr="0036473D" w:rsidRDefault="00655396" w:rsidP="008B512B">
      <w:pPr>
        <w:pStyle w:val="BQ"/>
        <w:spacing w:line="240" w:lineRule="auto"/>
        <w:rPr>
          <w:b/>
        </w:rPr>
      </w:pPr>
      <w:r w:rsidRPr="0036473D">
        <w:tab/>
        <w:t xml:space="preserve">In </w:t>
      </w:r>
      <w:r w:rsidRPr="0036473D">
        <w:rPr>
          <w:bCs w:val="0"/>
          <w:i/>
          <w:iCs/>
        </w:rPr>
        <w:t>Dowd</w:t>
      </w:r>
      <w:r w:rsidRPr="0036473D">
        <w:t>, our supreme court held a covenant not to compete between a law firm and two departing attorneys unenforceable.</w:t>
      </w:r>
      <w:r w:rsidR="00FB1D09">
        <w:t xml:space="preserve"> </w:t>
      </w:r>
      <w:r w:rsidRPr="0036473D">
        <w:t>The provision in that case sought to prohibit departing attorneys from soliciting clients from the law firm for a period of two years following the termination of the employment agreement.</w:t>
      </w:r>
      <w:r w:rsidR="00FB1D09">
        <w:t xml:space="preserve"> </w:t>
      </w:r>
      <w:r w:rsidRPr="0036473D">
        <w:rPr>
          <w:bCs w:val="0"/>
          <w:i/>
          <w:iCs/>
        </w:rPr>
        <w:t>See Dowd</w:t>
      </w:r>
      <w:r w:rsidRPr="0036473D">
        <w:t>, 181 Ill. 2d at 480, 230 Ill. Dec. 229, 693 N.E.2d at 369.</w:t>
      </w:r>
      <w:r w:rsidR="00FB1D09">
        <w:t xml:space="preserve"> </w:t>
      </w:r>
      <w:r w:rsidRPr="0036473D">
        <w:t xml:space="preserve">The </w:t>
      </w:r>
      <w:r w:rsidRPr="0036473D">
        <w:rPr>
          <w:bCs w:val="0"/>
          <w:i/>
          <w:iCs/>
        </w:rPr>
        <w:t>Dowd</w:t>
      </w:r>
      <w:r w:rsidRPr="0036473D">
        <w:t xml:space="preserve"> court relied on Rule 5.6 of the Rules of Professional Conduct (134 Ill. 2d R. 5.6) in finding the noncompetition provision void and unenforceable.</w:t>
      </w:r>
      <w:r w:rsidR="00FB1D09">
        <w:t xml:space="preserve"> </w:t>
      </w:r>
      <w:r w:rsidRPr="0036473D">
        <w:t>Rule 5.6 provides that a lawyer shall not participate in offering or making an employment agreement that restricts the rights of a lawyer to practice after the termination of the employment relationship.</w:t>
      </w:r>
      <w:r w:rsidR="00FB1D09">
        <w:t xml:space="preserve"> </w:t>
      </w:r>
      <w:r w:rsidRPr="0036473D">
        <w:t>Our supreme court stated:</w:t>
      </w:r>
    </w:p>
    <w:p w14:paraId="639A061C" w14:textId="0A24CBED" w:rsidR="00655396" w:rsidRPr="0036473D" w:rsidRDefault="00655396" w:rsidP="008B512B">
      <w:pPr>
        <w:pStyle w:val="BQ2"/>
        <w:spacing w:line="240" w:lineRule="auto"/>
        <w:rPr>
          <w:b/>
        </w:rPr>
      </w:pPr>
      <w:r w:rsidRPr="0036473D">
        <w:t>[W]e believe that enforcement of the provisions at issue would violate the important considerations of public policy that underlie the prohibition found in Rule 5.6.</w:t>
      </w:r>
      <w:r w:rsidR="00FB1D09">
        <w:t xml:space="preserve"> </w:t>
      </w:r>
      <w:r w:rsidRPr="0036473D">
        <w:t>The rule is designed both to afford clients greater freedom in choosing counsel and to protect lawyers from onerous conditions that would unduly limit their mobility.</w:t>
      </w:r>
      <w:r w:rsidR="00FB1D09">
        <w:t xml:space="preserve"> </w:t>
      </w:r>
      <w:r w:rsidRPr="0036473D">
        <w:t>[Citation.]</w:t>
      </w:r>
      <w:r w:rsidR="00FB1D09">
        <w:t xml:space="preserve"> </w:t>
      </w:r>
      <w:r w:rsidRPr="0036473D">
        <w:t>Consistent with that rationale, we conclude that the noncompetition covenants in the employment agreements conflict with Rule 5.6 and may not be enforced.</w:t>
      </w:r>
    </w:p>
    <w:p w14:paraId="26E93F1C" w14:textId="77777777" w:rsidR="00655396" w:rsidRPr="0036473D" w:rsidRDefault="00655396" w:rsidP="008B512B">
      <w:pPr>
        <w:pStyle w:val="BQ"/>
        <w:spacing w:line="240" w:lineRule="auto"/>
        <w:rPr>
          <w:b/>
        </w:rPr>
      </w:pPr>
      <w:r w:rsidRPr="0036473D">
        <w:t>[</w:t>
      </w:r>
      <w:r w:rsidRPr="0036473D">
        <w:rPr>
          <w:bCs w:val="0"/>
          <w:i/>
          <w:iCs/>
        </w:rPr>
        <w:t>Dowd</w:t>
      </w:r>
      <w:r w:rsidRPr="0036473D">
        <w:t xml:space="preserve">, 181 Ill. 2d at 481, 230 Ill. Dec. 229, 693 N.E.2d at 369.] </w:t>
      </w:r>
    </w:p>
    <w:p w14:paraId="5D26CDF7" w14:textId="77777777" w:rsidR="00655396" w:rsidRPr="0036473D" w:rsidRDefault="00655396" w:rsidP="008B512B">
      <w:pPr>
        <w:pStyle w:val="BQ"/>
        <w:spacing w:line="240" w:lineRule="auto"/>
        <w:rPr>
          <w:b/>
        </w:rPr>
      </w:pPr>
      <w:r w:rsidRPr="0036473D">
        <w:tab/>
        <w:t>Likewise, we believe that section 9.2 invalidates the noncompetition provisions of the instant agreement.</w:t>
      </w:r>
    </w:p>
    <w:p w14:paraId="34B870CC" w14:textId="51D3AAE3" w:rsidR="00655396" w:rsidRPr="0036473D" w:rsidRDefault="00655396" w:rsidP="008B512B">
      <w:pPr>
        <w:pStyle w:val="BQ"/>
        <w:spacing w:line="240" w:lineRule="auto"/>
        <w:rPr>
          <w:b/>
        </w:rPr>
      </w:pPr>
      <w:r w:rsidRPr="0036473D">
        <w:tab/>
        <w:t>Section 9.2 and Rule 5.6 are similar in scope.</w:t>
      </w:r>
      <w:r w:rsidR="00FB1D09">
        <w:t xml:space="preserve"> </w:t>
      </w:r>
      <w:r w:rsidRPr="0036473D">
        <w:t>Rule 5.6 prohibits a lawyer from making an agreement that restricts the rights of a lawyer to practice after the termination of an employment relationship, and section 9.2 condemns noncompetition agreements such as the one involved in the instant case.</w:t>
      </w:r>
      <w:r w:rsidR="00FB1D09">
        <w:t xml:space="preserve"> </w:t>
      </w:r>
      <w:r w:rsidRPr="0036473D">
        <w:t>The same public-policy arguments that prohibit lawyers from making such contracts are applicable to physicians.</w:t>
      </w:r>
      <w:r w:rsidR="00FB1D09">
        <w:t xml:space="preserve"> </w:t>
      </w:r>
      <w:r w:rsidRPr="0036473D">
        <w:t xml:space="preserve">An agreement restricting the right of partners or associates to practice after leaving a firm limits not only their professional autonomy but also the freedom of clients to choose a lawyer. Similarly, an agreement restricting the right of a physician to practice medicine after leaving a health care provider such as [the employer in the instant case] limits </w:t>
      </w:r>
      <w:r w:rsidRPr="0036473D">
        <w:lastRenderedPageBreak/>
        <w:t>not only the physician’s professional autonomy but also the patients’ freedom to choose a doctor.</w:t>
      </w:r>
      <w:r w:rsidR="00FB1D09">
        <w:t xml:space="preserve"> </w:t>
      </w:r>
      <w:r w:rsidRPr="0036473D">
        <w:t>The 20-mile restriction, even with the modification added by the trial court, would deprive at least some patients of an ongoing relationship with the physician of their choice.</w:t>
      </w:r>
      <w:r w:rsidR="00FB1D09">
        <w:t xml:space="preserve"> </w:t>
      </w:r>
      <w:r w:rsidRPr="0036473D">
        <w:rPr>
          <w:bCs w:val="0"/>
          <w:i/>
          <w:iCs/>
        </w:rPr>
        <w:t>See Duffner v. Alberty</w:t>
      </w:r>
      <w:r w:rsidRPr="0036473D">
        <w:t xml:space="preserve">, 19 Ark. App. 137, 718 S.W.2d 111 (1986); </w:t>
      </w:r>
      <w:r w:rsidRPr="0036473D">
        <w:rPr>
          <w:bCs w:val="0"/>
          <w:i/>
          <w:iCs/>
        </w:rPr>
        <w:t>Contra Karlin v. Weinberg</w:t>
      </w:r>
      <w:r w:rsidRPr="0036473D">
        <w:t xml:space="preserve">, 77 N.J. 408, 390 A.2d 1161 (1978). </w:t>
      </w:r>
    </w:p>
    <w:p w14:paraId="22CC0373" w14:textId="3DA9388E" w:rsidR="00655396" w:rsidRPr="0036473D" w:rsidRDefault="00655396" w:rsidP="008B512B">
      <w:pPr>
        <w:pStyle w:val="BQ"/>
        <w:spacing w:line="240" w:lineRule="auto"/>
        <w:rPr>
          <w:b/>
        </w:rPr>
      </w:pPr>
      <w:r w:rsidRPr="0036473D">
        <w:tab/>
        <w:t>“Free choice of physicians is the right of every individual.</w:t>
      </w:r>
      <w:r w:rsidR="00FB1D09">
        <w:t xml:space="preserve"> </w:t>
      </w:r>
      <w:r w:rsidRPr="0036473D">
        <w:t>One may select and change, at will, one’s physicians, or may choose a medical care plan such as that provided by a closed panel or group practice or health maintenance organization.</w:t>
      </w:r>
      <w:r w:rsidR="00FB1D09">
        <w:t xml:space="preserve"> </w:t>
      </w:r>
      <w:r w:rsidRPr="0036473D">
        <w:t>The individual’s freedom to select a preferred system of health care and free competition among physicians and alternative systems of care are prerequisites of ethical practice and optimal patient care.”</w:t>
      </w:r>
      <w:r w:rsidR="00FB1D09">
        <w:t xml:space="preserve"> </w:t>
      </w:r>
      <w:r w:rsidRPr="0036473D">
        <w:t xml:space="preserve">M. Sullivan, </w:t>
      </w:r>
      <w:r w:rsidRPr="0036473D">
        <w:rPr>
          <w:bCs w:val="0"/>
          <w:i/>
          <w:iCs/>
        </w:rPr>
        <w:t>Covenants Not To Compete &amp; Liquidated Damages Clauses</w:t>
      </w:r>
      <w:r w:rsidR="00D47546">
        <w:rPr>
          <w:bCs w:val="0"/>
          <w:i/>
          <w:iCs/>
        </w:rPr>
        <w:t xml:space="preserve">: </w:t>
      </w:r>
      <w:r w:rsidRPr="0036473D">
        <w:rPr>
          <w:bCs w:val="0"/>
          <w:i/>
          <w:iCs/>
        </w:rPr>
        <w:t>Diagnosis &amp; Treatment for Physicians</w:t>
      </w:r>
      <w:r w:rsidRPr="0036473D">
        <w:t>, 46 S.C.L.Rev. 505, 514 (1995) [(]citing section 9.06 of the Opinions of the Council on Ethical &amp; Judicial Affairs of the American Medical Ass’n (1982)[)].</w:t>
      </w:r>
    </w:p>
    <w:p w14:paraId="07AD153E" w14:textId="77777777" w:rsidR="00655396" w:rsidRPr="0036473D" w:rsidRDefault="00655396" w:rsidP="008B512B">
      <w:pPr>
        <w:pStyle w:val="BQ"/>
        <w:spacing w:line="240" w:lineRule="auto"/>
        <w:rPr>
          <w:b/>
        </w:rPr>
      </w:pPr>
      <w:r w:rsidRPr="0036473D">
        <w:tab/>
        <w:t>We find that the restrictive covenant in the instant case is an unreasonable restraint of trade and is unenforceable on public-policy grounds.</w:t>
      </w:r>
    </w:p>
    <w:p w14:paraId="1614A36C" w14:textId="54866D9E" w:rsidR="00655396" w:rsidRPr="0036473D" w:rsidRDefault="00655396" w:rsidP="008B512B">
      <w:pPr>
        <w:pStyle w:val="BQ"/>
        <w:spacing w:line="240" w:lineRule="auto"/>
        <w:rPr>
          <w:b/>
        </w:rPr>
      </w:pPr>
      <w:r w:rsidRPr="0036473D">
        <w:tab/>
        <w:t xml:space="preserve">Defendants rely on </w:t>
      </w:r>
      <w:r w:rsidRPr="0036473D">
        <w:rPr>
          <w:bCs w:val="0"/>
          <w:i/>
          <w:iCs/>
        </w:rPr>
        <w:t>Gillespie v. Carbondale &amp; Marion Eye Centers, Ltd.</w:t>
      </w:r>
      <w:r w:rsidRPr="0036473D">
        <w:t>, 251 Ill. App. 3d 625, 190 Ill. Dec. 950, 622 N.E.2d 1267 (1993), to support their contention that defendants have a protectable interest in enforcing the restrictive covenant.</w:t>
      </w:r>
      <w:r w:rsidR="00FB1D09">
        <w:t xml:space="preserve"> </w:t>
      </w:r>
      <w:r w:rsidRPr="0036473D">
        <w:rPr>
          <w:bCs w:val="0"/>
          <w:i/>
          <w:iCs/>
        </w:rPr>
        <w:t>Gillespie</w:t>
      </w:r>
      <w:r w:rsidRPr="0036473D">
        <w:t xml:space="preserve"> upheld a restrictive covenant contained in an employment agreement between a departing ophthalmologist and an eye clinic, prohibiting the ophthalmologist from practicing within a 50-mile radius of the eye clinic’s branches at which he previously practiced.</w:t>
      </w:r>
      <w:r w:rsidR="00FB1D09">
        <w:t xml:space="preserve"> </w:t>
      </w:r>
      <w:r w:rsidRPr="0036473D">
        <w:t xml:space="preserve">The </w:t>
      </w:r>
      <w:r w:rsidRPr="0036473D">
        <w:rPr>
          <w:bCs w:val="0"/>
          <w:i/>
          <w:iCs/>
        </w:rPr>
        <w:t>Gillespie</w:t>
      </w:r>
      <w:r w:rsidRPr="0036473D">
        <w:t xml:space="preserve"> court found, “[R]estrictive covenants between medical doctors are not detrimental to the public interest because the restricted doctor can be just as useful to the public in another location outside the restricted area</w:t>
      </w:r>
      <w:r w:rsidR="00D47546">
        <w:t xml:space="preserve">; </w:t>
      </w:r>
      <w:r w:rsidRPr="0036473D">
        <w:t>and the physician can always resume his practice in the restricted zone once the time duration of the covenant not to compete has expired.”</w:t>
      </w:r>
      <w:r w:rsidR="00FB1D09">
        <w:t xml:space="preserve"> </w:t>
      </w:r>
      <w:r w:rsidRPr="005148C3">
        <w:rPr>
          <w:bCs w:val="0"/>
          <w:i/>
          <w:iCs/>
          <w:lang w:val="nb-NO"/>
        </w:rPr>
        <w:t>Gillespie</w:t>
      </w:r>
      <w:r w:rsidRPr="005148C3">
        <w:rPr>
          <w:lang w:val="nb-NO"/>
        </w:rPr>
        <w:t>, 251 Ill. App. 3d at 628, 190 Ill. Dec. 950, 622 N.E.2d at 1270.</w:t>
      </w:r>
      <w:r w:rsidR="00FB1D09">
        <w:rPr>
          <w:lang w:val="nb-NO"/>
        </w:rPr>
        <w:t xml:space="preserve"> </w:t>
      </w:r>
      <w:r w:rsidRPr="0036473D">
        <w:t xml:space="preserve">However, the </w:t>
      </w:r>
      <w:r w:rsidRPr="0036473D">
        <w:rPr>
          <w:bCs w:val="0"/>
          <w:i/>
          <w:iCs/>
        </w:rPr>
        <w:t>Gillespie</w:t>
      </w:r>
      <w:r w:rsidRPr="0036473D">
        <w:t xml:space="preserve"> court did recognize “the possible adverse effects that enforcement of this restrictive covenant could have on the public,” but it felt compelled to follow an earlier Illinois Supreme Court case, </w:t>
      </w:r>
      <w:r w:rsidRPr="0036473D">
        <w:rPr>
          <w:bCs w:val="0"/>
          <w:i/>
          <w:iCs/>
        </w:rPr>
        <w:t>Canfield v. Spear</w:t>
      </w:r>
      <w:r w:rsidRPr="0036473D">
        <w:t xml:space="preserve">, 44 Ill. 2d 49, 254 N.E.2d 433 (1969), which held that restrictive covenants between medical doctors are not detrimental to the public interest for the above-noted reasons. </w:t>
      </w:r>
      <w:r w:rsidRPr="005148C3">
        <w:rPr>
          <w:bCs w:val="0"/>
          <w:i/>
          <w:iCs/>
          <w:lang w:val="nb-NO"/>
        </w:rPr>
        <w:t>Gillespie</w:t>
      </w:r>
      <w:r w:rsidRPr="005148C3">
        <w:rPr>
          <w:lang w:val="nb-NO"/>
        </w:rPr>
        <w:t xml:space="preserve">, 251 Ill. App. 3d at 628, 190 Ill. Dec. 950, 622 N.E.2d at 1270. </w:t>
      </w:r>
      <w:r w:rsidRPr="0036473D">
        <w:rPr>
          <w:bCs w:val="0"/>
          <w:i/>
          <w:iCs/>
        </w:rPr>
        <w:t>Gillespie</w:t>
      </w:r>
      <w:r w:rsidRPr="0036473D">
        <w:t xml:space="preserve"> is not controlling here for two important reasons.</w:t>
      </w:r>
      <w:r w:rsidR="00FB1D09">
        <w:t xml:space="preserve"> </w:t>
      </w:r>
      <w:r w:rsidRPr="0036473D">
        <w:t xml:space="preserve">First, </w:t>
      </w:r>
      <w:r w:rsidRPr="0036473D">
        <w:lastRenderedPageBreak/>
        <w:t xml:space="preserve">it was decided prior to </w:t>
      </w:r>
      <w:r w:rsidRPr="0036473D">
        <w:rPr>
          <w:bCs w:val="0"/>
          <w:i/>
          <w:iCs/>
        </w:rPr>
        <w:t>Dowd</w:t>
      </w:r>
      <w:r w:rsidRPr="0036473D">
        <w:t xml:space="preserve">, and second, </w:t>
      </w:r>
      <w:r w:rsidRPr="0036473D">
        <w:rPr>
          <w:bCs w:val="0"/>
          <w:i/>
          <w:iCs/>
        </w:rPr>
        <w:t>Gillespie</w:t>
      </w:r>
      <w:r w:rsidRPr="0036473D">
        <w:t xml:space="preserve"> did not consider section 9.2 of the Opinions of the Council on Ethical and Judicial Affairs of the American Medical Association.</w:t>
      </w:r>
    </w:p>
    <w:p w14:paraId="30CE2D0B" w14:textId="6F46784B" w:rsidR="00655396" w:rsidRPr="0036473D" w:rsidRDefault="00655396" w:rsidP="008B512B">
      <w:pPr>
        <w:pStyle w:val="BQ"/>
        <w:spacing w:line="240" w:lineRule="auto"/>
        <w:rPr>
          <w:b/>
        </w:rPr>
      </w:pPr>
      <w:r w:rsidRPr="0036473D">
        <w:tab/>
        <w:t xml:space="preserve">We are aware that our decision that the restrictive covenant constitutes undue interference with the public’s right to a physician of their choice and that the enforcement of the provision would result in an unreasonable restraint of trade is contrary to </w:t>
      </w:r>
      <w:r w:rsidRPr="0036473D">
        <w:rPr>
          <w:bCs w:val="0"/>
          <w:i/>
          <w:iCs/>
        </w:rPr>
        <w:t>Prairie Eye Center, Ltd. v. Butler</w:t>
      </w:r>
      <w:r w:rsidRPr="0036473D">
        <w:t>, 305 Ill. App. 3d 442, 239 Ill. Dec. 79, 713 N.E.2d 610 (1999).</w:t>
      </w:r>
      <w:r w:rsidR="00FB1D09">
        <w:t xml:space="preserve"> </w:t>
      </w:r>
      <w:r w:rsidRPr="0036473D">
        <w:t xml:space="preserve">In that case, the Fourth District refused to apply the public-policy considerations of free trade on which </w:t>
      </w:r>
      <w:r w:rsidRPr="0036473D">
        <w:rPr>
          <w:bCs w:val="0"/>
          <w:i/>
          <w:iCs/>
        </w:rPr>
        <w:t>Dowd</w:t>
      </w:r>
      <w:r w:rsidRPr="0036473D">
        <w:t xml:space="preserve"> relied in prohibiting restrictive covenants between attorneys to restrictive covenants between medical professionals, finding that the freedom to contract is an equally important public-policy consideration.</w:t>
      </w:r>
      <w:r w:rsidR="00FB1D09">
        <w:t xml:space="preserve"> </w:t>
      </w:r>
      <w:r w:rsidRPr="0036473D">
        <w:rPr>
          <w:bCs w:val="0"/>
          <w:i/>
          <w:iCs/>
        </w:rPr>
        <w:t>Prairie Eye Center, Ltd.</w:t>
      </w:r>
      <w:r w:rsidRPr="0036473D">
        <w:t>, 305 Ill. App. 3d at 448–49, 239 Ill. Dec. 79, 713 N.E.2d at 615–16.</w:t>
      </w:r>
      <w:r w:rsidR="00FB1D09">
        <w:t xml:space="preserve"> </w:t>
      </w:r>
      <w:r w:rsidRPr="0036473D">
        <w:t>However, because we are not bound by other appellate court district decisions (</w:t>
      </w:r>
      <w:r w:rsidRPr="0036473D">
        <w:rPr>
          <w:bCs w:val="0"/>
          <w:i/>
          <w:iCs/>
        </w:rPr>
        <w:t>see State Farm Fire &amp; Casualty Co. v. Yapejian</w:t>
      </w:r>
      <w:r w:rsidRPr="0036473D">
        <w:t>, 152 Ill. 2d 533, 539, 178 Ill. Dec. 745, 605 N.E.2d 539, 542 (1992)), we decline to follow that holding.</w:t>
      </w:r>
      <w:r w:rsidR="00FB1D09">
        <w:t xml:space="preserve"> </w:t>
      </w:r>
      <w:r w:rsidRPr="0036473D">
        <w:t xml:space="preserve">Instead, we believe that the rationale of </w:t>
      </w:r>
      <w:r w:rsidRPr="0036473D">
        <w:rPr>
          <w:bCs w:val="0"/>
          <w:i/>
          <w:iCs/>
        </w:rPr>
        <w:t>Dowd</w:t>
      </w:r>
      <w:r w:rsidRPr="0036473D">
        <w:t xml:space="preserve"> is equally applicable to restrictive covenants between a physician and a health care provider such as [the former employer in the instant case].</w:t>
      </w:r>
      <w:r w:rsidR="00FB1D09">
        <w:t xml:space="preserve"> </w:t>
      </w:r>
      <w:r w:rsidRPr="0036473D">
        <w:t>Therefore, we reverse the trial court’s entry of partial summary judgment in favor of [the former employer], which enjoined [the former employee physician] from practicing medicine within 20 miles of [the former employer’s] office.</w:t>
      </w:r>
    </w:p>
    <w:p w14:paraId="70A2CB6C" w14:textId="77777777" w:rsidR="00655396" w:rsidRDefault="00655396" w:rsidP="008B512B">
      <w:pPr>
        <w:pStyle w:val="BodyText"/>
        <w:spacing w:line="240" w:lineRule="auto"/>
      </w:pPr>
    </w:p>
    <w:p w14:paraId="3062D291" w14:textId="77777777" w:rsidR="00655396" w:rsidRDefault="00655396" w:rsidP="008B512B">
      <w:pPr>
        <w:pStyle w:val="BodyText"/>
        <w:spacing w:line="240" w:lineRule="auto"/>
      </w:pPr>
      <w:r>
        <w:rPr>
          <w:i/>
          <w:iCs/>
        </w:rPr>
        <w:t>Carter-Shields,</w:t>
      </w:r>
      <w:r>
        <w:t xml:space="preserve"> 317 Ill. App. 3d at 269–72, 250 Ill. Dec. 806, 813–15, 739 N.E.2d 569, 576–78.</w:t>
      </w:r>
    </w:p>
    <w:p w14:paraId="5A34C08B" w14:textId="796AA892" w:rsidR="00655396" w:rsidRDefault="00655396" w:rsidP="008B512B">
      <w:pPr>
        <w:pStyle w:val="BodyText"/>
        <w:spacing w:line="240" w:lineRule="auto"/>
        <w:rPr>
          <w:spacing w:val="-1"/>
        </w:rPr>
      </w:pPr>
      <w:r>
        <w:rPr>
          <w:spacing w:val="-1"/>
        </w:rPr>
        <w:tab/>
        <w:t xml:space="preserve">En route to upholding, a 5-year, 5-mile covenant against one cardiologist and a 3-year, 2-mile covenant against another cardiologist, both formerly employed by a cardiology and internal medicine clinic, even though the covenants were not limited to restricting the practice of cardiology and internal medicine but, instead, restricted competition in the practice of medicine in its entirety within the time and area limitations specified, the Illinois court of appeals in </w:t>
      </w:r>
      <w:r>
        <w:rPr>
          <w:i/>
          <w:iCs/>
          <w:spacing w:val="-1"/>
        </w:rPr>
        <w:t>Mohanty v. St. John Heart Clinic, S.C.</w:t>
      </w:r>
      <w:r>
        <w:rPr>
          <w:spacing w:val="-1"/>
        </w:rPr>
        <w:t xml:space="preserve"> 358 Ill. App. 3d 902, 295 Ill. Dec. 490, 832 N.E.2d 940 (1st Dist. 2005), </w:t>
      </w:r>
      <w:r>
        <w:rPr>
          <w:i/>
          <w:iCs/>
          <w:spacing w:val="-1"/>
        </w:rPr>
        <w:t>lv. to appeal granted</w:t>
      </w:r>
      <w:r>
        <w:rPr>
          <w:spacing w:val="-1"/>
        </w:rPr>
        <w:t>, 2006 Ill. LEXIS 2 (2006), held that “there is no evidence that enforcement of the restriction[s] in this case will cause a shortage of doctors in the area or result in any other injury to the public.”</w:t>
      </w:r>
      <w:r w:rsidR="00FB1D09">
        <w:rPr>
          <w:spacing w:val="-1"/>
        </w:rPr>
        <w:t xml:space="preserve"> </w:t>
      </w:r>
      <w:r>
        <w:rPr>
          <w:i/>
          <w:iCs/>
          <w:spacing w:val="-1"/>
        </w:rPr>
        <w:t>Id.</w:t>
      </w:r>
      <w:r>
        <w:rPr>
          <w:spacing w:val="-1"/>
        </w:rPr>
        <w:t>, 358 Ill. App. 3d at 909.</w:t>
      </w:r>
    </w:p>
    <w:p w14:paraId="34CB735B" w14:textId="290C9BA1" w:rsidR="00655396" w:rsidRDefault="00655396" w:rsidP="008B512B">
      <w:pPr>
        <w:pStyle w:val="BodyText"/>
        <w:spacing w:line="240" w:lineRule="auto"/>
      </w:pPr>
      <w:r>
        <w:tab/>
        <w:t xml:space="preserve">Under Illinois law, a postemployment noncompetition covenant </w:t>
      </w:r>
      <w:r>
        <w:lastRenderedPageBreak/>
        <w:t>against a physician is not necessarily against public policy.</w:t>
      </w:r>
      <w:r w:rsidR="00FB1D09">
        <w:t xml:space="preserve"> </w:t>
      </w:r>
      <w:r>
        <w:rPr>
          <w:i/>
          <w:iCs/>
        </w:rPr>
        <w:t>See Mohanty v. St. John Heart Clinic, S.C.</w:t>
      </w:r>
      <w:r>
        <w:t>, 225 Ill. 2d 52, 69–70, 866 N.E.2d 85, 95 (2006) (noting that when a party seeks to show that a contract term is against</w:t>
      </w:r>
      <w:r w:rsidR="00FB1D09">
        <w:t xml:space="preserve"> </w:t>
      </w:r>
      <w:r>
        <w:t>public policy of state, that party bears the burden of showing that the contract term is clearly contrary to what the constitution, the statutes, or the decisions of the courts have declared to be the public policy or that the contract is manifestly injurious to the public welfare</w:t>
      </w:r>
      <w:r w:rsidR="00D47546">
        <w:t xml:space="preserve">; </w:t>
      </w:r>
      <w:r>
        <w:t xml:space="preserve">finding, in the instant case, that “plaintiffs have failed to show that physician restrictive covenants are contrary to the </w:t>
      </w:r>
      <w:r>
        <w:br/>
        <w:t xml:space="preserve">constitution, statutes or judicial decisions of this state. Nor have they shown that these covenants are manifestly injurious to the public welfare. Although plaintiffs have offered reasons for finding that </w:t>
      </w:r>
      <w:r>
        <w:br/>
        <w:t xml:space="preserve">restrictive covenants should be disfavored in physician employment contracts, countervailing reasons exist which would militate against any deviation from our long-standing practice of finding reasonable restrictive covenants in medical employment contracts enforceable. Restrictive covenants protect the business interests of established physicians and, in this way, encourage them to take on younger, inexperienced doctors. Accordingly, restrictive covenants can have a positive impact on patient care. We do not know, and are </w:t>
      </w:r>
      <w:r>
        <w:br/>
        <w:t xml:space="preserve">ill-equipped to determine, what the possible consequences might </w:t>
      </w:r>
      <w:r>
        <w:br/>
        <w:t xml:space="preserve">be if we were to adopt the sweeping changes plaintiffs advocate. It </w:t>
      </w:r>
      <w:r>
        <w:br/>
        <w:t xml:space="preserve">is possible that patients would be more adversely affected if we </w:t>
      </w:r>
      <w:r>
        <w:br/>
        <w:t xml:space="preserve">were to ban reasonable restrictive covenants in physician employment contracts. For this reason, we believe that prohibiting restrictive covenants in medical practice contracts is a decision better </w:t>
      </w:r>
      <w:r>
        <w:br/>
        <w:t>left to the legislature, where the competing interests can be fully aired.”).</w:t>
      </w:r>
    </w:p>
    <w:p w14:paraId="7C15423F" w14:textId="3A70E693" w:rsidR="00655396" w:rsidRDefault="00655396" w:rsidP="008B512B">
      <w:pPr>
        <w:pStyle w:val="BodyText"/>
        <w:spacing w:line="240" w:lineRule="auto"/>
        <w:rPr>
          <w:spacing w:val="-1"/>
        </w:rPr>
      </w:pPr>
      <w:r>
        <w:rPr>
          <w:spacing w:val="-1"/>
        </w:rPr>
        <w:tab/>
      </w:r>
      <w:r>
        <w:rPr>
          <w:i/>
          <w:iCs/>
          <w:spacing w:val="-1"/>
        </w:rPr>
        <w:t>See generally</w:t>
      </w:r>
      <w:r>
        <w:rPr>
          <w:spacing w:val="-1"/>
        </w:rPr>
        <w:t xml:space="preserve"> S. Elizabeth Wilborn Malloy, </w:t>
      </w:r>
      <w:r>
        <w:rPr>
          <w:i/>
          <w:iCs/>
          <w:spacing w:val="-1"/>
        </w:rPr>
        <w:t>Physician Restrictive Covenants</w:t>
      </w:r>
      <w:r w:rsidR="00D47546">
        <w:rPr>
          <w:i/>
          <w:iCs/>
          <w:spacing w:val="-1"/>
        </w:rPr>
        <w:t xml:space="preserve">: </w:t>
      </w:r>
      <w:r>
        <w:rPr>
          <w:i/>
          <w:iCs/>
          <w:spacing w:val="-1"/>
        </w:rPr>
        <w:t>The Neglect of Incumbent Patient Interests</w:t>
      </w:r>
      <w:r>
        <w:rPr>
          <w:spacing w:val="-1"/>
        </w:rPr>
        <w:t xml:space="preserve">, 41 </w:t>
      </w:r>
      <w:r>
        <w:rPr>
          <w:smallCaps/>
          <w:spacing w:val="-1"/>
        </w:rPr>
        <w:t>Wake Forest L. Rev</w:t>
      </w:r>
      <w:r>
        <w:rPr>
          <w:spacing w:val="-1"/>
        </w:rPr>
        <w:t xml:space="preserve">. 189 (Spring 2006) (asserting, </w:t>
      </w:r>
      <w:r>
        <w:rPr>
          <w:i/>
          <w:iCs/>
          <w:spacing w:val="-1"/>
        </w:rPr>
        <w:t xml:space="preserve">id. </w:t>
      </w:r>
      <w:r>
        <w:rPr>
          <w:spacing w:val="-1"/>
        </w:rPr>
        <w:t>at 232, that by protecting the doctor-patient relationship, courts in the future could decide cases in such a way as to “free physicians to treat patients who require long-term care without fear that the physician will be forced to ignore her medical and ethical obligations.</w:t>
      </w:r>
      <w:r w:rsidR="00FB1D09">
        <w:rPr>
          <w:spacing w:val="-1"/>
        </w:rPr>
        <w:t xml:space="preserve"> </w:t>
      </w:r>
      <w:r>
        <w:rPr>
          <w:spacing w:val="-1"/>
        </w:rPr>
        <w:t>Elevation of the individual relationship between doctor and patient [would] force courts to consider this impact on much more of a case-by-case basis.</w:t>
      </w:r>
      <w:r w:rsidR="00FB1D09">
        <w:rPr>
          <w:spacing w:val="-1"/>
        </w:rPr>
        <w:t xml:space="preserve"> </w:t>
      </w:r>
      <w:r>
        <w:rPr>
          <w:spacing w:val="-1"/>
        </w:rPr>
        <w:t xml:space="preserve">Further, it [would] ultimately result in better, more informed opinions that will simultaneously promote the well-being of patients and the economic </w:t>
      </w:r>
      <w:r>
        <w:rPr>
          <w:spacing w:val="-1"/>
        </w:rPr>
        <w:lastRenderedPageBreak/>
        <w:t>interest of physicians.”).</w:t>
      </w:r>
    </w:p>
    <w:p w14:paraId="569B6312" w14:textId="77777777" w:rsidR="00655396" w:rsidRDefault="00655396" w:rsidP="008B512B">
      <w:pPr>
        <w:pStyle w:val="BodyText"/>
        <w:spacing w:line="240" w:lineRule="auto"/>
      </w:pPr>
    </w:p>
    <w:p w14:paraId="223490DE" w14:textId="318CDD02" w:rsidR="00655396" w:rsidRDefault="00655396" w:rsidP="008B512B">
      <w:pPr>
        <w:pStyle w:val="BodyText"/>
        <w:spacing w:line="240" w:lineRule="auto"/>
      </w:pPr>
      <w:r>
        <w:tab/>
        <w:t xml:space="preserve">• </w:t>
      </w:r>
      <w:r>
        <w:rPr>
          <w:i/>
          <w:iCs/>
        </w:rPr>
        <w:t>Certificate of registration, effect of lack thereof</w:t>
      </w:r>
      <w:r>
        <w:t>.</w:t>
      </w:r>
      <w:r w:rsidR="00FB1D09">
        <w:t xml:space="preserve"> </w:t>
      </w:r>
      <w:r>
        <w:t xml:space="preserve">A firm that employs a physician but fails to possess a certificate of registration from the Illinois Department of Professional Regulation (IDPR) pursuant to Professional Service Corporation Act §12, 805 ILCS 10/12 (West 2002), renders a noncompetition covenant in the firm’s employment agreement with the physician unenforceable and the entire employment agreement itself void </w:t>
      </w:r>
      <w:r>
        <w:rPr>
          <w:i/>
          <w:iCs/>
        </w:rPr>
        <w:t>ab initio</w:t>
      </w:r>
      <w:r>
        <w:t>.</w:t>
      </w:r>
      <w:r w:rsidR="00FB1D09">
        <w:t xml:space="preserve"> </w:t>
      </w:r>
      <w:r>
        <w:rPr>
          <w:i/>
          <w:iCs/>
        </w:rPr>
        <w:t>Riggs v. Woman to Woman, Obstetrics &amp; Gynecology, P.C.,</w:t>
      </w:r>
      <w:r>
        <w:t xml:space="preserve"> 351 Ill. App. 3d 268, 812 N.E.2d 1027 (2d Dist. 2004).</w:t>
      </w:r>
      <w:r w:rsidR="00FB1D09">
        <w:t xml:space="preserve"> </w:t>
      </w:r>
      <w:r>
        <w:t xml:space="preserve">Relying on </w:t>
      </w:r>
      <w:r>
        <w:rPr>
          <w:i/>
          <w:iCs/>
        </w:rPr>
        <w:t>Ransburg v. Haase</w:t>
      </w:r>
      <w:r>
        <w:t xml:space="preserve">, 224 Ill. App. 3d 681, 586 N.E.2d 1295 (3d Dist. 1992) (not a covenant case), the </w:t>
      </w:r>
      <w:r>
        <w:rPr>
          <w:i/>
          <w:iCs/>
        </w:rPr>
        <w:t>Riggs</w:t>
      </w:r>
      <w:r>
        <w:t xml:space="preserve"> court pointed out that Illinois “courts will not enforce a contract involving a party who does not have a license called for by legislation that expressly prohibits the carrying on of the particular activity without a license where the legislation was enacted for the protection of the public, not as a revenue measure.”</w:t>
      </w:r>
      <w:r w:rsidR="00FB1D09">
        <w:t xml:space="preserve"> </w:t>
      </w:r>
      <w:r>
        <w:rPr>
          <w:i/>
          <w:iCs/>
        </w:rPr>
        <w:t>Id.</w:t>
      </w:r>
      <w:r>
        <w:t xml:space="preserve"> at 275, 812 N.E.2d at 1033 (punctuation omitted</w:t>
      </w:r>
      <w:r w:rsidR="00D47546">
        <w:t xml:space="preserve">; </w:t>
      </w:r>
      <w:r>
        <w:t xml:space="preserve">quoting </w:t>
      </w:r>
      <w:r>
        <w:rPr>
          <w:i/>
          <w:iCs/>
        </w:rPr>
        <w:t>Ransburg</w:t>
      </w:r>
      <w:r>
        <w:t>, 224 Ill. App. 3d at 684–85, 586 N.E.2d 1295).</w:t>
      </w:r>
    </w:p>
    <w:p w14:paraId="55A65AA1" w14:textId="77777777" w:rsidR="00655396" w:rsidRDefault="00655396" w:rsidP="008B512B">
      <w:pPr>
        <w:pStyle w:val="BodyText"/>
        <w:spacing w:line="240" w:lineRule="auto"/>
      </w:pPr>
    </w:p>
    <w:p w14:paraId="69EFC55A" w14:textId="77777777" w:rsidR="00655396" w:rsidRDefault="00655396" w:rsidP="008B512B">
      <w:pPr>
        <w:pStyle w:val="AdditionalTopicsSectionHeadings"/>
        <w:spacing w:line="240" w:lineRule="auto"/>
      </w:pPr>
      <w:r>
        <w:t>Physicians, Credentialing of</w:t>
      </w:r>
    </w:p>
    <w:p w14:paraId="2E72F8FE" w14:textId="77777777" w:rsidR="00655396" w:rsidRDefault="00655396" w:rsidP="008B512B">
      <w:pPr>
        <w:pStyle w:val="BodyText"/>
        <w:spacing w:line="240" w:lineRule="auto"/>
      </w:pPr>
    </w:p>
    <w:p w14:paraId="0BC70650" w14:textId="58E3D9E0"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Credentialing of physicians does not constitute a direct agreement to hire those physicians such as to constitute a breach of an anti-employee-raiding-type covenant.</w:t>
      </w:r>
      <w:r w:rsidR="00FB1D09">
        <w:rPr>
          <w:rFonts w:ascii="Baskerville" w:hAnsi="Baskerville" w:cs="Baskerville"/>
        </w:rPr>
        <w:t xml:space="preserve"> </w:t>
      </w:r>
      <w:r>
        <w:rPr>
          <w:rFonts w:ascii="Baskerville" w:hAnsi="Baskerville" w:cs="Baskerville"/>
          <w:i/>
          <w:iCs/>
        </w:rPr>
        <w:t>Emergency Med. Care, Inc. v. Marion Mem’l Hosp.</w:t>
      </w:r>
      <w:r>
        <w:rPr>
          <w:rFonts w:ascii="Baskerville" w:hAnsi="Baskerville" w:cs="Baskerville"/>
        </w:rPr>
        <w:t>, 94 F.3d 1059, 1061 n.1 (7th Cir. 1996).</w:t>
      </w:r>
      <w:r w:rsidR="00FB1D09">
        <w:rPr>
          <w:rFonts w:ascii="Baskerville" w:hAnsi="Baskerville" w:cs="Baskerville"/>
        </w:rPr>
        <w:t xml:space="preserve"> </w:t>
      </w:r>
      <w:r>
        <w:rPr>
          <w:rFonts w:ascii="Baskerville" w:hAnsi="Baskerville" w:cs="Baskerville"/>
        </w:rPr>
        <w:t>Credentialing “involves merely [a hospital’s] acknowledgment of a physician’s qualifications.”</w:t>
      </w:r>
      <w:r w:rsidR="00FB1D09">
        <w:rPr>
          <w:rFonts w:ascii="Baskerville" w:hAnsi="Baskerville" w:cs="Baskerville"/>
        </w:rPr>
        <w:t xml:space="preserve"> </w:t>
      </w:r>
      <w:r>
        <w:rPr>
          <w:rFonts w:ascii="Baskerville" w:hAnsi="Baskerville" w:cs="Baskerville"/>
          <w:i/>
          <w:iCs/>
        </w:rPr>
        <w:t>Id.</w:t>
      </w:r>
    </w:p>
    <w:p w14:paraId="6D49DCF6" w14:textId="77777777" w:rsidR="00655396" w:rsidRDefault="00655396" w:rsidP="008B512B">
      <w:pPr>
        <w:pStyle w:val="BodyText"/>
        <w:spacing w:line="240" w:lineRule="auto"/>
      </w:pPr>
    </w:p>
    <w:p w14:paraId="45AEC885" w14:textId="77777777" w:rsidR="00655396" w:rsidRDefault="00655396" w:rsidP="008B512B">
      <w:pPr>
        <w:pStyle w:val="AdditionalTopicsSectionHeadings"/>
        <w:spacing w:line="240" w:lineRule="auto"/>
      </w:pPr>
      <w:r>
        <w:t>Pleading</w:t>
      </w:r>
    </w:p>
    <w:p w14:paraId="5D4F7998" w14:textId="77777777" w:rsidR="00655396" w:rsidRDefault="00655396" w:rsidP="008B512B">
      <w:pPr>
        <w:pStyle w:val="BodyText"/>
        <w:spacing w:line="240" w:lineRule="auto"/>
      </w:pPr>
    </w:p>
    <w:p w14:paraId="4CF8AFE8" w14:textId="0E43FC7A" w:rsidR="00655396" w:rsidRDefault="00655396" w:rsidP="008B512B">
      <w:pPr>
        <w:pStyle w:val="BodyText"/>
        <w:spacing w:line="240" w:lineRule="auto"/>
      </w:pPr>
      <w:r>
        <w:tab/>
        <w:t>“In a diversity action, the adequacy of the pleadings is assessed in accordance with the federal, not state, rules of civil procedure.”</w:t>
      </w:r>
      <w:r w:rsidR="00FB1D09">
        <w:t xml:space="preserve"> </w:t>
      </w:r>
      <w:r>
        <w:rPr>
          <w:i/>
          <w:iCs/>
        </w:rPr>
        <w:t>Videojet Techs., Inc. v. Garcia</w:t>
      </w:r>
      <w:r>
        <w:t xml:space="preserve">, 2008 U.S. Dist. LEXIS 46045, at *22 (M.D. Fla. June 12, 2008); </w:t>
      </w:r>
      <w:r>
        <w:rPr>
          <w:i/>
          <w:iCs/>
        </w:rPr>
        <w:t>Integrated Genomics, Inc. v. Kyrpides</w:t>
      </w:r>
      <w:r>
        <w:t>, 2008 U.S. Dist. LEXIS 16838, 2008 WL 630605, at *7 (N.D. Ill. Mar. 4, 2008).</w:t>
      </w:r>
      <w:r w:rsidR="00FB1D09">
        <w:t xml:space="preserve"> </w:t>
      </w:r>
      <w:r>
        <w:t xml:space="preserve">“Illinois courts operate under a fact pleading standard; federal courts, on the other hand, operate under a ‘notice pleading’ </w:t>
      </w:r>
      <w:r>
        <w:lastRenderedPageBreak/>
        <w:t>standard.”</w:t>
      </w:r>
      <w:r w:rsidR="00FB1D09">
        <w:t xml:space="preserve"> </w:t>
      </w:r>
      <w:r>
        <w:rPr>
          <w:i/>
          <w:iCs/>
        </w:rPr>
        <w:t xml:space="preserve">Videojet Techs., </w:t>
      </w:r>
      <w:r>
        <w:t>2008 U.S. Dist. LEXIS 46045, at *22 (citing Fed. R. Civ. P. 8 (2008)</w:t>
      </w:r>
      <w:r w:rsidR="00D47546">
        <w:t xml:space="preserve">; </w:t>
      </w:r>
      <w:r>
        <w:t>rejecting defendant’s assertion that plaintiff was required to plead why it claimed the right to enforce a noncompete agreement to which it was not a party).</w:t>
      </w:r>
    </w:p>
    <w:p w14:paraId="7B814280" w14:textId="77777777" w:rsidR="00655396" w:rsidRDefault="00655396" w:rsidP="008B512B">
      <w:pPr>
        <w:pStyle w:val="BodyText"/>
        <w:spacing w:line="240" w:lineRule="auto"/>
      </w:pPr>
    </w:p>
    <w:p w14:paraId="28E125EF" w14:textId="77777777" w:rsidR="00655396" w:rsidRDefault="00655396" w:rsidP="008B512B">
      <w:pPr>
        <w:pStyle w:val="AdditionalTopicsSectionHeadings"/>
        <w:spacing w:line="240" w:lineRule="auto"/>
      </w:pPr>
      <w:r>
        <w:t>Pleading (Judgment on the Pleadings)</w:t>
      </w:r>
    </w:p>
    <w:p w14:paraId="6078F7FF" w14:textId="77777777" w:rsidR="00655396" w:rsidRDefault="00655396" w:rsidP="008B512B">
      <w:pPr>
        <w:pStyle w:val="BodyText"/>
        <w:spacing w:line="240" w:lineRule="auto"/>
      </w:pPr>
    </w:p>
    <w:p w14:paraId="1BCED7FE"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The grant of a motion for judgment on the pleadings is appropriate only where plaintiff’s complaint is legally insufficient such that the plaintiff can prove no set of facts that would entitle it to relief. </w:t>
      </w:r>
      <w:r>
        <w:rPr>
          <w:rFonts w:ascii="Baskerville" w:hAnsi="Baskerville" w:cs="Baskerville"/>
          <w:i/>
          <w:iCs/>
        </w:rPr>
        <w:t>Abbott-Interfast Corp. v. Harkabus,</w:t>
      </w:r>
      <w:r>
        <w:rPr>
          <w:rFonts w:ascii="Baskerville" w:hAnsi="Baskerville" w:cs="Baskerville"/>
        </w:rPr>
        <w:t xml:space="preserve"> 250 Ill. App. 3d 13, 16, 189 Ill. Dec. 288, 291, 619 N.E.2d 1337, 1340 (2d Dist. 1993) (on finding it impossible to ascertain, from face of covenant, hardship enforcement would impose on employee-defendant, reviewing court held trial court erred in granting motion; reviewing court, 619 N.E.2d at 1343, was “not convinced that [employer-]plaintiff could prove no set of facts which would entitle it to relief”).</w:t>
      </w:r>
    </w:p>
    <w:p w14:paraId="6940E364" w14:textId="77777777" w:rsidR="00655396" w:rsidRDefault="00655396" w:rsidP="008B512B">
      <w:pPr>
        <w:pStyle w:val="BodyText"/>
        <w:spacing w:line="240" w:lineRule="auto"/>
      </w:pPr>
    </w:p>
    <w:p w14:paraId="79607567" w14:textId="77777777" w:rsidR="00655396" w:rsidRDefault="00655396" w:rsidP="008B512B">
      <w:pPr>
        <w:pStyle w:val="AdditionalTopicsSectionHeadings"/>
        <w:spacing w:line="240" w:lineRule="auto"/>
      </w:pPr>
      <w:r>
        <w:t>Pleading (Judicial Admissions)</w:t>
      </w:r>
    </w:p>
    <w:p w14:paraId="0484D6D9" w14:textId="77777777" w:rsidR="00655396" w:rsidRDefault="00655396" w:rsidP="008B512B">
      <w:pPr>
        <w:pStyle w:val="BodyText"/>
        <w:spacing w:line="240" w:lineRule="auto"/>
      </w:pPr>
    </w:p>
    <w:p w14:paraId="773301FE"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spacing w:val="-1"/>
        </w:rPr>
      </w:pPr>
      <w:r>
        <w:rPr>
          <w:rFonts w:ascii="Baskerville" w:hAnsi="Baskerville" w:cs="Baskerville"/>
          <w:spacing w:val="-1"/>
        </w:rPr>
        <w:tab/>
        <w:t xml:space="preserve">Any admission contained in an original verified pleading that is not the product of mistake or inadvertence is a binding judicial admission and has the effect of withdrawing the fact from issue and of dispensing wholly with the need for proof of the fact. </w:t>
      </w:r>
      <w:r>
        <w:rPr>
          <w:rFonts w:ascii="Baskerville" w:hAnsi="Baskerville" w:cs="Baskerville"/>
          <w:i/>
          <w:iCs/>
          <w:spacing w:val="-1"/>
        </w:rPr>
        <w:t>Arpac Corp. v. Murray</w:t>
      </w:r>
      <w:r>
        <w:rPr>
          <w:rFonts w:ascii="Baskerville" w:hAnsi="Baskerville" w:cs="Baskerville"/>
          <w:spacing w:val="-1"/>
        </w:rPr>
        <w:t>, 226 Ill. App. 3d 65, 168 Ill. Dec. 240, 589 N.E.2d 640, 652–53 (1st Dist. 1992) (employee who admitted in verified pleadings that employment contract was valid could not assert that, since employer’s board of directors did not approve contract, agreement was not binding upon employer—despite contention that employee learned, only after pretrial discovery, that corporation had not validly bound itself in agreement, and also despite fact that admission was inadvertent).</w:t>
      </w:r>
    </w:p>
    <w:p w14:paraId="7AE07231" w14:textId="77777777" w:rsidR="00655396" w:rsidRDefault="00655396" w:rsidP="008B512B">
      <w:pPr>
        <w:pStyle w:val="BodyText"/>
        <w:spacing w:line="240" w:lineRule="auto"/>
      </w:pPr>
    </w:p>
    <w:p w14:paraId="0F89CAFF" w14:textId="77777777" w:rsidR="00655396" w:rsidRDefault="00655396" w:rsidP="008B512B">
      <w:pPr>
        <w:pStyle w:val="AdditionalTopicsSectionHeadings"/>
        <w:spacing w:line="240" w:lineRule="auto"/>
      </w:pPr>
      <w:r>
        <w:t>Prospective Versus Actual Customers</w:t>
      </w:r>
    </w:p>
    <w:p w14:paraId="343D6298" w14:textId="77777777" w:rsidR="00655396" w:rsidRDefault="00655396" w:rsidP="008B512B">
      <w:pPr>
        <w:pStyle w:val="BodyText"/>
        <w:spacing w:line="240" w:lineRule="auto"/>
      </w:pPr>
    </w:p>
    <w:p w14:paraId="31FC1F69" w14:textId="2702D734"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 covenant not to solicit that prohibits an employee from soliciting any of the employer’s clients is less likely to be upheld as a reasonable restraint on trade than a covenant not to solicit which prohibits an employee only from soliciting clients with which the employee has had contact while he or she was employed with the employer.</w:t>
      </w:r>
      <w:r w:rsidR="00FB1D09">
        <w:rPr>
          <w:rFonts w:ascii="Baskerville" w:hAnsi="Baskerville" w:cs="Baskerville"/>
          <w:sz w:val="22"/>
          <w:szCs w:val="22"/>
        </w:rPr>
        <w:t xml:space="preserve"> </w:t>
      </w:r>
      <w:r w:rsidRPr="005148C3">
        <w:rPr>
          <w:rFonts w:ascii="Baskerville" w:hAnsi="Baskerville" w:cs="Baskerville"/>
          <w:i/>
          <w:iCs/>
          <w:sz w:val="22"/>
          <w:szCs w:val="22"/>
          <w:lang w:val="sv-SE"/>
        </w:rPr>
        <w:t>Abbott-</w:t>
      </w:r>
      <w:r w:rsidRPr="005148C3">
        <w:rPr>
          <w:rFonts w:ascii="Baskerville" w:hAnsi="Baskerville" w:cs="Baskerville"/>
          <w:i/>
          <w:iCs/>
          <w:sz w:val="22"/>
          <w:szCs w:val="22"/>
          <w:lang w:val="sv-SE"/>
        </w:rPr>
        <w:lastRenderedPageBreak/>
        <w:t>Interfast</w:t>
      </w:r>
      <w:r w:rsidRPr="005148C3">
        <w:rPr>
          <w:rFonts w:ascii="Baskerville" w:hAnsi="Baskerville" w:cs="Baskerville"/>
          <w:sz w:val="22"/>
          <w:szCs w:val="22"/>
          <w:lang w:val="sv-SE"/>
        </w:rPr>
        <w:t xml:space="preserve"> [</w:t>
      </w:r>
      <w:r w:rsidRPr="005148C3">
        <w:rPr>
          <w:rFonts w:ascii="Baskerville" w:hAnsi="Baskerville" w:cs="Baskerville"/>
          <w:i/>
          <w:iCs/>
          <w:sz w:val="22"/>
          <w:szCs w:val="22"/>
          <w:lang w:val="sv-SE"/>
        </w:rPr>
        <w:t>Corp. v. Harkabus</w:t>
      </w:r>
      <w:r w:rsidRPr="005148C3">
        <w:rPr>
          <w:rFonts w:ascii="Baskerville" w:hAnsi="Baskerville" w:cs="Baskerville"/>
          <w:sz w:val="22"/>
          <w:szCs w:val="22"/>
          <w:lang w:val="sv-SE"/>
        </w:rPr>
        <w:t>, 250 Ill. App. 3d 13, 19, 189 Ill. Dec. 288, 619 N.E.2d 1337 (1993)].</w:t>
      </w:r>
      <w:r w:rsidR="00FB1D09">
        <w:rPr>
          <w:rFonts w:ascii="Baskerville" w:hAnsi="Baskerville" w:cs="Baskerville"/>
          <w:sz w:val="22"/>
          <w:szCs w:val="22"/>
          <w:lang w:val="sv-SE"/>
        </w:rPr>
        <w:t xml:space="preserve"> </w:t>
      </w:r>
      <w:r>
        <w:rPr>
          <w:rFonts w:ascii="Baskerville" w:hAnsi="Baskerville" w:cs="Baskerville"/>
          <w:sz w:val="22"/>
          <w:szCs w:val="22"/>
        </w:rPr>
        <w:t>Courts are hesitant to enforce prohibitions against employees servicing not only customers with whom they had direct contact, but also customers they never solicited or had contact with while employed by plaintiff.</w:t>
      </w:r>
      <w:r w:rsidR="00FB1D09">
        <w:rPr>
          <w:rFonts w:ascii="Baskerville" w:hAnsi="Baskerville" w:cs="Baskerville"/>
          <w:sz w:val="22"/>
          <w:szCs w:val="22"/>
        </w:rPr>
        <w:t xml:space="preserve"> </w:t>
      </w:r>
      <w:r>
        <w:rPr>
          <w:rFonts w:ascii="Baskerville" w:hAnsi="Baskerville" w:cs="Baskerville"/>
          <w:i/>
          <w:iCs/>
          <w:sz w:val="22"/>
          <w:szCs w:val="22"/>
        </w:rPr>
        <w:t>McRand</w:t>
      </w:r>
      <w:r>
        <w:rPr>
          <w:rFonts w:ascii="Baskerville" w:hAnsi="Baskerville" w:cs="Baskerville"/>
          <w:sz w:val="22"/>
          <w:szCs w:val="22"/>
        </w:rPr>
        <w:t>[</w:t>
      </w:r>
      <w:r>
        <w:rPr>
          <w:rFonts w:ascii="Baskerville" w:hAnsi="Baskerville" w:cs="Baskerville"/>
          <w:i/>
          <w:iCs/>
          <w:sz w:val="22"/>
          <w:szCs w:val="22"/>
        </w:rPr>
        <w:t>, Inc. v. Van Beelen</w:t>
      </w:r>
      <w:r>
        <w:rPr>
          <w:rFonts w:ascii="Baskerville" w:hAnsi="Baskerville" w:cs="Baskerville"/>
          <w:sz w:val="22"/>
          <w:szCs w:val="22"/>
        </w:rPr>
        <w:t>, 138 Ill. App. 3d 1045, 1057, 93 Ill. Dec. 471, 486 N.E.2d 1306 (1985)].</w:t>
      </w:r>
    </w:p>
    <w:p w14:paraId="304DCFD8" w14:textId="205B5729"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In </w:t>
      </w:r>
      <w:r>
        <w:rPr>
          <w:rFonts w:ascii="Baskerville" w:hAnsi="Baskerville" w:cs="Baskerville"/>
          <w:i/>
          <w:iCs/>
          <w:sz w:val="22"/>
          <w:szCs w:val="22"/>
        </w:rPr>
        <w:t>Arpac</w:t>
      </w:r>
      <w:r>
        <w:rPr>
          <w:rFonts w:ascii="Baskerville" w:hAnsi="Baskerville" w:cs="Baskerville"/>
          <w:sz w:val="22"/>
          <w:szCs w:val="22"/>
        </w:rPr>
        <w:t xml:space="preserve"> [</w:t>
      </w:r>
      <w:r>
        <w:rPr>
          <w:rFonts w:ascii="Baskerville" w:hAnsi="Baskerville" w:cs="Baskerville"/>
          <w:i/>
          <w:iCs/>
          <w:sz w:val="22"/>
          <w:szCs w:val="22"/>
        </w:rPr>
        <w:t>Corp. v. Murray</w:t>
      </w:r>
      <w:r>
        <w:rPr>
          <w:rFonts w:ascii="Baskerville" w:hAnsi="Baskerville" w:cs="Baskerville"/>
          <w:sz w:val="22"/>
          <w:szCs w:val="22"/>
        </w:rPr>
        <w:t>, 226 Ill. App. 3d 65, 168 Ill. Dec. 240, 589 N.E.2d 640 (1992)], the court upheld the trial court’s preliminary injunction enforcing a covenant not to solicit but held a covenant not to compete unenforceable.</w:t>
      </w:r>
      <w:r w:rsidR="00FB1D09">
        <w:rPr>
          <w:rFonts w:ascii="Baskerville" w:hAnsi="Baskerville" w:cs="Baskerville"/>
          <w:sz w:val="22"/>
          <w:szCs w:val="22"/>
        </w:rPr>
        <w:t xml:space="preserve"> </w:t>
      </w:r>
      <w:r>
        <w:rPr>
          <w:rFonts w:ascii="Baskerville" w:hAnsi="Baskerville" w:cs="Baskerville"/>
          <w:i/>
          <w:iCs/>
          <w:sz w:val="22"/>
          <w:szCs w:val="22"/>
        </w:rPr>
        <w:t>Arpac</w:t>
      </w:r>
      <w:r>
        <w:rPr>
          <w:rFonts w:ascii="Baskerville" w:hAnsi="Baskerville" w:cs="Baskerville"/>
          <w:sz w:val="22"/>
          <w:szCs w:val="22"/>
        </w:rPr>
        <w:t>, 226 Ill. App. 3d at 76, 79, 168 Ill. Dec. 240, 589 N.E.2d 640.</w:t>
      </w:r>
      <w:r w:rsidR="00FB1D09">
        <w:rPr>
          <w:rFonts w:ascii="Baskerville" w:hAnsi="Baskerville" w:cs="Baskerville"/>
          <w:sz w:val="22"/>
          <w:szCs w:val="22"/>
        </w:rPr>
        <w:t xml:space="preserve"> </w:t>
      </w:r>
      <w:r>
        <w:rPr>
          <w:rFonts w:ascii="Baskerville" w:hAnsi="Baskerville" w:cs="Baskerville"/>
          <w:sz w:val="22"/>
          <w:szCs w:val="22"/>
        </w:rPr>
        <w:t>Although the court found the covenant not to solicit was designed to protect the employer’s interest, it also found that the covenant not to compete was “patently unfair” and “clearly beyond the need of [the employer] to protect its interest.”</w:t>
      </w:r>
      <w:r w:rsidR="00FB1D09">
        <w:rPr>
          <w:rFonts w:ascii="Baskerville" w:hAnsi="Baskerville" w:cs="Baskerville"/>
          <w:sz w:val="22"/>
          <w:szCs w:val="22"/>
        </w:rPr>
        <w:t xml:space="preserve"> </w:t>
      </w:r>
      <w:r>
        <w:rPr>
          <w:rFonts w:ascii="Baskerville" w:hAnsi="Baskerville" w:cs="Baskerville"/>
          <w:i/>
          <w:iCs/>
          <w:sz w:val="22"/>
          <w:szCs w:val="22"/>
        </w:rPr>
        <w:t>Arpac</w:t>
      </w:r>
      <w:r>
        <w:rPr>
          <w:rFonts w:ascii="Baskerville" w:hAnsi="Baskerville" w:cs="Baskerville"/>
          <w:sz w:val="22"/>
          <w:szCs w:val="22"/>
        </w:rPr>
        <w:t>, 226 Ill. App. 3d at 76, 79, 168 Ill. Dec. 240, 589 N.E.2d 640.</w:t>
      </w:r>
      <w:r w:rsidR="00FB1D09">
        <w:rPr>
          <w:rFonts w:ascii="Baskerville" w:hAnsi="Baskerville" w:cs="Baskerville"/>
          <w:sz w:val="22"/>
          <w:szCs w:val="22"/>
        </w:rPr>
        <w:t xml:space="preserve"> </w:t>
      </w:r>
      <w:r>
        <w:rPr>
          <w:rFonts w:ascii="Baskerville" w:hAnsi="Baskerville" w:cs="Baskerville"/>
          <w:sz w:val="22"/>
          <w:szCs w:val="22"/>
        </w:rPr>
        <w:t>The court then noted that the employer’s concern for protecting its customers was adequately addressed by the covenant not to solicit.</w:t>
      </w:r>
      <w:r w:rsidR="00FB1D09">
        <w:rPr>
          <w:rFonts w:ascii="Baskerville" w:hAnsi="Baskerville" w:cs="Baskerville"/>
          <w:sz w:val="22"/>
          <w:szCs w:val="22"/>
        </w:rPr>
        <w:t xml:space="preserve"> </w:t>
      </w:r>
      <w:r>
        <w:rPr>
          <w:rFonts w:ascii="Baskerville" w:hAnsi="Baskerville" w:cs="Baskerville"/>
          <w:i/>
          <w:iCs/>
          <w:sz w:val="22"/>
          <w:szCs w:val="22"/>
        </w:rPr>
        <w:t>Arpac</w:t>
      </w:r>
      <w:r>
        <w:rPr>
          <w:rFonts w:ascii="Baskerville" w:hAnsi="Baskerville" w:cs="Baskerville"/>
          <w:sz w:val="22"/>
          <w:szCs w:val="22"/>
        </w:rPr>
        <w:t>, 226 Ill. App. 3d at 79, 168 Ill. Dec. 240, 589 N.E.2d 640.</w:t>
      </w:r>
    </w:p>
    <w:p w14:paraId="342B5CFF" w14:textId="333C084B"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Similarly, in </w:t>
      </w:r>
      <w:r>
        <w:rPr>
          <w:rFonts w:ascii="Baskerville" w:hAnsi="Baskerville" w:cs="Baskerville"/>
          <w:i/>
          <w:iCs/>
          <w:sz w:val="22"/>
          <w:szCs w:val="22"/>
        </w:rPr>
        <w:t>Millard Maintenance Service</w:t>
      </w:r>
      <w:r>
        <w:rPr>
          <w:rFonts w:ascii="Baskerville" w:hAnsi="Baskerville" w:cs="Baskerville"/>
          <w:sz w:val="22"/>
          <w:szCs w:val="22"/>
        </w:rPr>
        <w:t xml:space="preserve"> [</w:t>
      </w:r>
      <w:r>
        <w:rPr>
          <w:rFonts w:ascii="Baskerville" w:hAnsi="Baskerville" w:cs="Baskerville"/>
          <w:i/>
          <w:iCs/>
          <w:sz w:val="22"/>
          <w:szCs w:val="22"/>
        </w:rPr>
        <w:t>Co. v. Bernero</w:t>
      </w:r>
      <w:r>
        <w:rPr>
          <w:rFonts w:ascii="Baskerville" w:hAnsi="Baskerville" w:cs="Baskerville"/>
          <w:sz w:val="22"/>
          <w:szCs w:val="22"/>
        </w:rPr>
        <w:t>, 207 Ill. App. 3d 736, 152 Ill. Dec. 692, 566 N.E.2d 379 (1990)], the court found a covenant not to solicit was a reasonable activity restraint.</w:t>
      </w:r>
      <w:r w:rsidR="00FB1D09">
        <w:rPr>
          <w:rFonts w:ascii="Baskerville" w:hAnsi="Baskerville" w:cs="Baskerville"/>
          <w:sz w:val="22"/>
          <w:szCs w:val="22"/>
        </w:rPr>
        <w:t xml:space="preserve"> </w:t>
      </w:r>
      <w:r>
        <w:rPr>
          <w:rFonts w:ascii="Baskerville" w:hAnsi="Baskerville" w:cs="Baskerville"/>
          <w:sz w:val="22"/>
          <w:szCs w:val="22"/>
        </w:rPr>
        <w:t>In that case, the employee was free to solicit any customer that was not a customer on the day the employee left, any customer that was not a current customer, and any current customer that terminated its relationship with the employer.</w:t>
      </w:r>
      <w:r w:rsidR="00FB1D09">
        <w:rPr>
          <w:rFonts w:ascii="Baskerville" w:hAnsi="Baskerville" w:cs="Baskerville"/>
          <w:sz w:val="22"/>
          <w:szCs w:val="22"/>
        </w:rPr>
        <w:t xml:space="preserve"> </w:t>
      </w:r>
      <w:r>
        <w:rPr>
          <w:rFonts w:ascii="Baskerville" w:hAnsi="Baskerville" w:cs="Baskerville"/>
          <w:i/>
          <w:iCs/>
          <w:sz w:val="22"/>
          <w:szCs w:val="22"/>
        </w:rPr>
        <w:t>Millard Maintenance Service</w:t>
      </w:r>
      <w:r>
        <w:rPr>
          <w:rFonts w:ascii="Baskerville" w:hAnsi="Baskerville" w:cs="Baskerville"/>
          <w:sz w:val="22"/>
          <w:szCs w:val="22"/>
        </w:rPr>
        <w:t>, 207 Ill. App. 3d at 750, 152 Ill. Dec. 692, 566 N.E.2d 379.</w:t>
      </w:r>
    </w:p>
    <w:p w14:paraId="7E9B8012" w14:textId="77777777" w:rsidR="00655396" w:rsidRDefault="00655396" w:rsidP="008B512B">
      <w:pPr>
        <w:pStyle w:val="BodyText"/>
        <w:spacing w:line="240" w:lineRule="auto"/>
      </w:pPr>
    </w:p>
    <w:p w14:paraId="2E8D1FC9" w14:textId="77777777" w:rsidR="00655396" w:rsidRDefault="00655396" w:rsidP="008B512B">
      <w:pPr>
        <w:pStyle w:val="BodyText"/>
        <w:spacing w:line="240" w:lineRule="auto"/>
      </w:pPr>
      <w:r>
        <w:rPr>
          <w:i/>
          <w:iCs/>
        </w:rPr>
        <w:t>Lawrence &amp; Allen, Inc. v. Cambridge Human Res. Grp., Inc.</w:t>
      </w:r>
      <w:r>
        <w:t>, 226 Ill. Dec. 331, 339–40, 685 N.E.2d 434, 442–43 (Ct. App. 2d Dist. 1997).</w:t>
      </w:r>
    </w:p>
    <w:p w14:paraId="77093590" w14:textId="0347DF4B" w:rsidR="00655396" w:rsidRDefault="00655396" w:rsidP="008B512B">
      <w:pPr>
        <w:pStyle w:val="BodyText"/>
        <w:spacing w:line="240" w:lineRule="auto"/>
      </w:pPr>
      <w:r>
        <w:tab/>
        <w:t xml:space="preserve">Although a customer </w:t>
      </w:r>
      <w:r>
        <w:rPr>
          <w:i/>
          <w:iCs/>
        </w:rPr>
        <w:t>nonsolicitation</w:t>
      </w:r>
      <w:r>
        <w:t xml:space="preserve"> covenant does not need to have a geographic limitation in order to be enforceable, it must be reasonably related to the employer’s interest in protecting customer relations that its employees developed while working for the employer.</w:t>
      </w:r>
      <w:r w:rsidR="00FB1D09">
        <w:t xml:space="preserve"> </w:t>
      </w:r>
      <w:r>
        <w:rPr>
          <w:i/>
          <w:iCs/>
        </w:rPr>
        <w:t>Id.</w:t>
      </w:r>
      <w:r>
        <w:t xml:space="preserve"> at 338, 685 N.E.2d at 441 (citing </w:t>
      </w:r>
      <w:r>
        <w:rPr>
          <w:i/>
          <w:iCs/>
        </w:rPr>
        <w:t>Arpac</w:t>
      </w:r>
      <w:r>
        <w:t>, 226 Ill. App. 3d at 76, 168 Ill. Dec. 240, 589 N.E.2d 640).</w:t>
      </w:r>
      <w:r w:rsidR="00FB1D09">
        <w:t xml:space="preserve"> </w:t>
      </w:r>
      <w:r>
        <w:t>Illinois courts “are hesitant to enforce prohibitions against employees servicing not only customers with whom they had direct contact, but also customers they never solicited or had contact with while employed by plaintiff.”</w:t>
      </w:r>
      <w:r w:rsidR="00FB1D09">
        <w:t xml:space="preserve"> </w:t>
      </w:r>
      <w:r>
        <w:rPr>
          <w:i/>
          <w:iCs/>
        </w:rPr>
        <w:t>Id.</w:t>
      </w:r>
      <w:r>
        <w:t xml:space="preserve">, 685 N.E.2d at 441 (citing </w:t>
      </w:r>
      <w:r>
        <w:rPr>
          <w:i/>
          <w:iCs/>
        </w:rPr>
        <w:t>McRand</w:t>
      </w:r>
      <w:r>
        <w:t>, 138 Ill. App. 3d at 1057, 93 Ill. Dec. 471, 486 N.E.2d 1306 (1985)).</w:t>
      </w:r>
    </w:p>
    <w:p w14:paraId="3758C375" w14:textId="2A4F5D32" w:rsidR="00655396" w:rsidRDefault="00655396" w:rsidP="008B512B">
      <w:pPr>
        <w:pStyle w:val="BodyText"/>
        <w:spacing w:line="240" w:lineRule="auto"/>
      </w:pPr>
      <w:r>
        <w:lastRenderedPageBreak/>
        <w:tab/>
        <w:t>Thus, although a geographic term is not strictly required, “the lack of a geographical scope may be determinative where the territorial restrictions are greater than the area the salesman served on behalf of the former employer.”</w:t>
      </w:r>
      <w:r w:rsidR="00FB1D09">
        <w:t xml:space="preserve"> </w:t>
      </w:r>
      <w:r>
        <w:rPr>
          <w:i/>
          <w:iCs/>
        </w:rPr>
        <w:t>Id.</w:t>
      </w:r>
      <w:r>
        <w:t xml:space="preserve">, 685 N.E.2d at 441 (citing </w:t>
      </w:r>
      <w:r>
        <w:rPr>
          <w:i/>
          <w:iCs/>
        </w:rPr>
        <w:t>McRand</w:t>
      </w:r>
      <w:r>
        <w:t>, 138 Ill. App. 3d at 1057–58, 93 Ill. Dec. 471, 486 N.E.2d 1306).</w:t>
      </w:r>
      <w:r w:rsidR="00FB1D09">
        <w:t xml:space="preserve"> </w:t>
      </w:r>
      <w:r>
        <w:t>“The employee should only be excluded from the territory where he was able to establish a certain relationship with the former employer’s customers.”</w:t>
      </w:r>
      <w:r w:rsidR="00FB1D09">
        <w:t xml:space="preserve"> </w:t>
      </w:r>
      <w:r>
        <w:rPr>
          <w:i/>
          <w:iCs/>
        </w:rPr>
        <w:t>Id.</w:t>
      </w:r>
      <w:r>
        <w:t xml:space="preserve">, 685 N.E.2d at 441 (citing </w:t>
      </w:r>
      <w:r>
        <w:rPr>
          <w:i/>
          <w:iCs/>
        </w:rPr>
        <w:t>McRand</w:t>
      </w:r>
      <w:r>
        <w:t>, 138 Ill. App. 3d at 1058, 93 Ill. Dec. 471, 486 N.E.2d 1306).</w:t>
      </w:r>
    </w:p>
    <w:p w14:paraId="634F39F1" w14:textId="5D2876E9" w:rsidR="00655396" w:rsidRDefault="00655396" w:rsidP="008B512B">
      <w:pPr>
        <w:pStyle w:val="BodyText"/>
        <w:spacing w:line="240" w:lineRule="auto"/>
      </w:pPr>
      <w:r>
        <w:tab/>
        <w:t xml:space="preserve">In </w:t>
      </w:r>
      <w:r>
        <w:rPr>
          <w:i/>
          <w:iCs/>
        </w:rPr>
        <w:t>Lawrence &amp; Allen</w:t>
      </w:r>
      <w:r>
        <w:t>, the defendant former employee had agreed to be bound by a nonsolicitation covenant that barred him from soliciting “any client” of the plaintiff former employer.</w:t>
      </w:r>
      <w:r w:rsidR="00FB1D09">
        <w:t xml:space="preserve"> </w:t>
      </w:r>
      <w:r>
        <w:rPr>
          <w:i/>
          <w:iCs/>
        </w:rPr>
        <w:t>Id.</w:t>
      </w:r>
      <w:r>
        <w:t>, 685 N.E.2d at 441.</w:t>
      </w:r>
      <w:r w:rsidR="00FB1D09">
        <w:t xml:space="preserve"> </w:t>
      </w:r>
      <w:r>
        <w:t>However, the covenant did not define the term “client” and did not contain a geographic limitation.</w:t>
      </w:r>
      <w:r w:rsidR="00FB1D09">
        <w:t xml:space="preserve"> </w:t>
      </w:r>
      <w:r>
        <w:t>En route to finding the nonsolicitation covenant unreasonable, the court of appeals determined that because the covenant did not define the term “client,”</w:t>
      </w:r>
    </w:p>
    <w:p w14:paraId="716EB59A" w14:textId="77777777" w:rsidR="00655396" w:rsidRDefault="00655396" w:rsidP="008B512B">
      <w:pPr>
        <w:pStyle w:val="BodyText"/>
        <w:spacing w:line="240" w:lineRule="auto"/>
      </w:pPr>
    </w:p>
    <w:p w14:paraId="3F39DA18" w14:textId="253D5C10"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the phrase “any client” includes any client of plaintiff regardless of whether [the former employee] developed a relationship with that client during his employment with plaintiff.</w:t>
      </w:r>
      <w:r w:rsidR="00FB1D09">
        <w:rPr>
          <w:rFonts w:ascii="Baskerville" w:hAnsi="Baskerville" w:cs="Baskerville"/>
          <w:sz w:val="22"/>
          <w:szCs w:val="22"/>
        </w:rPr>
        <w:t xml:space="preserve"> </w:t>
      </w:r>
      <w:r>
        <w:rPr>
          <w:rFonts w:ascii="Baskerville" w:hAnsi="Baskerville" w:cs="Baskerville"/>
          <w:sz w:val="22"/>
          <w:szCs w:val="22"/>
        </w:rPr>
        <w:t>In other words, the covenant prohibits [the former employee] from soliciting clients whom he never solicited or contacted while employed by plaintiff.</w:t>
      </w:r>
      <w:r w:rsidR="00FB1D09">
        <w:rPr>
          <w:rFonts w:ascii="Baskerville" w:hAnsi="Baskerville" w:cs="Baskerville"/>
          <w:sz w:val="22"/>
          <w:szCs w:val="22"/>
        </w:rPr>
        <w:t xml:space="preserve"> </w:t>
      </w:r>
      <w:r>
        <w:rPr>
          <w:rFonts w:ascii="Baskerville" w:hAnsi="Baskerville" w:cs="Baskerville"/>
          <w:sz w:val="22"/>
          <w:szCs w:val="22"/>
        </w:rPr>
        <w:t>In addition, because the term “client” is undefined, the covenant fails to distinguish between past clients, present clients, clients at the time [the former employee] left plaintiff’s employment, or potential clients.</w:t>
      </w:r>
      <w:r w:rsidR="00FB1D09">
        <w:rPr>
          <w:rFonts w:ascii="Baskerville" w:hAnsi="Baskerville" w:cs="Baskerville"/>
          <w:sz w:val="22"/>
          <w:szCs w:val="22"/>
        </w:rPr>
        <w:t xml:space="preserve"> </w:t>
      </w:r>
      <w:r>
        <w:rPr>
          <w:rFonts w:ascii="Baskerville" w:hAnsi="Baskerville" w:cs="Baskerville"/>
          <w:sz w:val="22"/>
          <w:szCs w:val="22"/>
        </w:rPr>
        <w:t>Thus, the lack of a geographic limitation or of any qualifying language in the covenant not to solicit is unreasonable.</w:t>
      </w:r>
    </w:p>
    <w:p w14:paraId="29709C05" w14:textId="77777777" w:rsidR="00655396" w:rsidRDefault="00655396" w:rsidP="008B512B">
      <w:pPr>
        <w:pStyle w:val="BodyText"/>
        <w:spacing w:line="240" w:lineRule="auto"/>
      </w:pPr>
    </w:p>
    <w:p w14:paraId="601E225D" w14:textId="77777777" w:rsidR="00655396" w:rsidRDefault="00655396" w:rsidP="008B512B">
      <w:pPr>
        <w:pStyle w:val="BodyText"/>
        <w:spacing w:line="240" w:lineRule="auto"/>
      </w:pPr>
      <w:r>
        <w:rPr>
          <w:i/>
          <w:iCs/>
        </w:rPr>
        <w:t>Id.</w:t>
      </w:r>
      <w:r>
        <w:t xml:space="preserve"> at 338–39, 685 N.E.2d at 441–42.</w:t>
      </w:r>
    </w:p>
    <w:p w14:paraId="7F192C9D" w14:textId="77777777" w:rsidR="00655396" w:rsidRDefault="00655396" w:rsidP="008B512B">
      <w:pPr>
        <w:pStyle w:val="BodyText"/>
        <w:spacing w:line="240" w:lineRule="auto"/>
        <w:rPr>
          <w:b/>
          <w:bCs/>
        </w:rPr>
      </w:pPr>
    </w:p>
    <w:p w14:paraId="03D17348" w14:textId="77777777" w:rsidR="00655396" w:rsidRDefault="00655396" w:rsidP="008B512B">
      <w:pPr>
        <w:pStyle w:val="AdditionalTopicsSectionHeadings"/>
        <w:spacing w:line="240" w:lineRule="auto"/>
      </w:pPr>
      <w:r>
        <w:t>Public Policy</w:t>
      </w:r>
    </w:p>
    <w:p w14:paraId="15404888" w14:textId="77777777" w:rsidR="00655396" w:rsidRDefault="00655396" w:rsidP="008B512B">
      <w:pPr>
        <w:pStyle w:val="BodyText"/>
        <w:spacing w:line="240" w:lineRule="auto"/>
      </w:pPr>
    </w:p>
    <w:p w14:paraId="5E2B45CC" w14:textId="34EB69B2" w:rsidR="00655396" w:rsidRDefault="00655396" w:rsidP="008B512B">
      <w:pPr>
        <w:pStyle w:val="BodyText"/>
        <w:spacing w:line="240" w:lineRule="auto"/>
      </w:pPr>
      <w:r>
        <w:tab/>
        <w:t>“Under Illinois law, ‘[a] “naked” promise by one merchant not to compete against another merchant is against public policy because it injures the public and the promisor, while at the same time it serves no protectible interest of the promisee.’ ”</w:t>
      </w:r>
      <w:r w:rsidR="00FB1D09">
        <w:t xml:space="preserve"> </w:t>
      </w:r>
      <w:r>
        <w:rPr>
          <w:i/>
          <w:iCs/>
        </w:rPr>
        <w:t>Liautaud v. Liautaud</w:t>
      </w:r>
      <w:r>
        <w:t xml:space="preserve">, 221 F.3d 981, 986 (7th Cir. 2000) (quoting </w:t>
      </w:r>
      <w:r>
        <w:rPr>
          <w:i/>
          <w:iCs/>
        </w:rPr>
        <w:t>Abel v. Fox</w:t>
      </w:r>
      <w:r>
        <w:t>, 274 Ill. App. 3d 811, 211 Ill. Dec. 129, 654 N.E.2d 591, 596 (1995)).</w:t>
      </w:r>
      <w:r w:rsidR="00FB1D09">
        <w:t xml:space="preserve"> </w:t>
      </w:r>
      <w:r>
        <w:t xml:space="preserve">In order for a noncompetition agreement to be valid, therefore, “it must be ancillary </w:t>
      </w:r>
      <w:r>
        <w:lastRenderedPageBreak/>
        <w:t>to a valid transaction, such that the covenant not to compete is subordinate to the main purpose of the transaction.”</w:t>
      </w:r>
      <w:r w:rsidR="00FB1D09">
        <w:t xml:space="preserve"> </w:t>
      </w:r>
      <w:r>
        <w:rPr>
          <w:i/>
          <w:iCs/>
        </w:rPr>
        <w:t>Id.</w:t>
      </w:r>
      <w:r>
        <w:t xml:space="preserve"> at 987 (citing </w:t>
      </w:r>
      <w:r>
        <w:rPr>
          <w:i/>
          <w:iCs/>
        </w:rPr>
        <w:t>Abel</w:t>
      </w:r>
      <w:r>
        <w:t>, 654 N.E.2d at 593).</w:t>
      </w:r>
    </w:p>
    <w:p w14:paraId="3D218C62" w14:textId="77777777" w:rsidR="00655396" w:rsidRDefault="00655396" w:rsidP="008B512B">
      <w:pPr>
        <w:pStyle w:val="BodyText"/>
        <w:spacing w:line="240" w:lineRule="auto"/>
      </w:pPr>
      <w:r>
        <w:tab/>
        <w:t xml:space="preserve">For a discussion of public policy considerations in the medical profession context, see the </w:t>
      </w:r>
      <w:r>
        <w:rPr>
          <w:i/>
          <w:iCs/>
        </w:rPr>
        <w:t>Physicians and Public Policy</w:t>
      </w:r>
      <w:r>
        <w:t xml:space="preserve"> entry, </w:t>
      </w:r>
      <w:r>
        <w:rPr>
          <w:i/>
          <w:iCs/>
        </w:rPr>
        <w:t>supra</w:t>
      </w:r>
      <w:r>
        <w:t xml:space="preserve"> in this </w:t>
      </w:r>
      <w:r>
        <w:rPr>
          <w:i/>
          <w:iCs/>
        </w:rPr>
        <w:t>Additional Topics</w:t>
      </w:r>
      <w:r>
        <w:t xml:space="preserve"> section.</w:t>
      </w:r>
    </w:p>
    <w:p w14:paraId="4B136D4F" w14:textId="77777777" w:rsidR="00655396" w:rsidRDefault="00655396" w:rsidP="008B512B">
      <w:pPr>
        <w:pStyle w:val="BodyText"/>
        <w:spacing w:line="240" w:lineRule="auto"/>
      </w:pPr>
    </w:p>
    <w:p w14:paraId="43554425" w14:textId="77777777" w:rsidR="00655396" w:rsidRDefault="00655396" w:rsidP="008B512B">
      <w:pPr>
        <w:pStyle w:val="AdditionalTopicsSectionHeadings"/>
        <w:spacing w:line="240" w:lineRule="auto"/>
      </w:pPr>
      <w:r>
        <w:t>Questions of Fact</w:t>
      </w:r>
    </w:p>
    <w:p w14:paraId="39240E1E" w14:textId="77777777" w:rsidR="00655396" w:rsidRDefault="00655396" w:rsidP="008B512B">
      <w:pPr>
        <w:pStyle w:val="BodyText"/>
        <w:spacing w:line="240" w:lineRule="auto"/>
      </w:pPr>
    </w:p>
    <w:p w14:paraId="373E6419" w14:textId="05A651F4" w:rsidR="00655396" w:rsidRDefault="00655396" w:rsidP="008B512B">
      <w:pPr>
        <w:pStyle w:val="BodyText"/>
        <w:spacing w:line="240" w:lineRule="auto"/>
      </w:pPr>
      <w:r>
        <w:tab/>
        <w:t xml:space="preserve">In </w:t>
      </w:r>
      <w:r>
        <w:rPr>
          <w:i/>
          <w:iCs/>
        </w:rPr>
        <w:t>Agency, Inc. v. Grove</w:t>
      </w:r>
      <w:r>
        <w:t>, 362 Ill. App. 3d 206, 298 Ill. Dec. 283, 839 N.E.2d 606 (2d Dist. 2005), an Illinois court of appeals lamented that Illinois appellate cases involving issues of law and fact as to the reasonableness of covenants not to compete “are peculiarly silent as to how such issues of law and fact are to be reviewed” (id., 839 N.E.2d at 614) and proposed a two-step standard-of-review analysis.</w:t>
      </w:r>
      <w:r w:rsidR="00FB1D09">
        <w:t xml:space="preserve"> </w:t>
      </w:r>
      <w:r>
        <w:t>It noted:</w:t>
      </w:r>
    </w:p>
    <w:p w14:paraId="6F92ECB2" w14:textId="77777777" w:rsidR="00655396" w:rsidRDefault="00655396" w:rsidP="008B512B">
      <w:pPr>
        <w:pStyle w:val="BodyText"/>
        <w:spacing w:line="240" w:lineRule="auto"/>
      </w:pPr>
    </w:p>
    <w:p w14:paraId="728F4BCB" w14:textId="3EC2DF4D" w:rsidR="00655396" w:rsidRPr="0036473D" w:rsidRDefault="00655396" w:rsidP="008B512B">
      <w:pPr>
        <w:pStyle w:val="BQ"/>
        <w:spacing w:line="240" w:lineRule="auto"/>
        <w:rPr>
          <w:b/>
        </w:rPr>
      </w:pPr>
      <w:r w:rsidRPr="0036473D">
        <w:t>Our research discloses only one case that actually states a standard of review [for cases involving issues of law and fact as to the reasonableness of covenants not to compete].</w:t>
      </w:r>
      <w:r w:rsidR="00FB1D09">
        <w:t xml:space="preserve"> </w:t>
      </w:r>
      <w:r w:rsidRPr="0036473D">
        <w:t xml:space="preserve">In </w:t>
      </w:r>
      <w:r w:rsidRPr="0036473D">
        <w:rPr>
          <w:bCs w:val="0"/>
          <w:i/>
          <w:iCs/>
        </w:rPr>
        <w:t>Hamer Holding Group, Inc. v. Elmore</w:t>
      </w:r>
      <w:r w:rsidRPr="0036473D">
        <w:t>, 244 Ill. App. 3d 1069, 1080, 613 N.E.2d 1190, 184 Ill. Dec. 598 (1993), the First District Appellate Court declares</w:t>
      </w:r>
      <w:r w:rsidR="00D47546">
        <w:t xml:space="preserve">: </w:t>
      </w:r>
      <w:r w:rsidRPr="0036473D">
        <w:t>“Since the reasonableness of the restraint is a question of law, we review the trial court’s determination de novo.”</w:t>
      </w:r>
      <w:r w:rsidR="00FB1D09">
        <w:t xml:space="preserve"> </w:t>
      </w:r>
      <w:r w:rsidRPr="0036473D">
        <w:t>Here arises the difficulty.</w:t>
      </w:r>
      <w:r w:rsidR="00FB1D09">
        <w:t xml:space="preserve"> </w:t>
      </w:r>
      <w:r w:rsidRPr="0036473D">
        <w:t xml:space="preserve">If </w:t>
      </w:r>
      <w:r w:rsidR="00944F63">
        <w:t>…</w:t>
      </w:r>
      <w:r w:rsidRPr="0036473D">
        <w:t xml:space="preserve"> a trial court’s determination of enforceability [indeed] entails the resolution of disputed factual matters as well as legal issues, then de novo review cannot be the only standard applied.</w:t>
      </w:r>
      <w:r w:rsidR="00FB1D09">
        <w:t xml:space="preserve"> </w:t>
      </w:r>
      <w:r w:rsidRPr="0036473D">
        <w:t>“In Illinois, a judge’s or jury’s findings of fact in a civil case are generally accorded manifest-weight review,” but “[a] judge’s rulings of law in a civil or criminal case are reviewed under the nondeferential de novo standard.”</w:t>
      </w:r>
      <w:r w:rsidR="00FB1D09">
        <w:t xml:space="preserve"> </w:t>
      </w:r>
      <w:r w:rsidRPr="0036473D">
        <w:rPr>
          <w:bCs w:val="0"/>
          <w:i/>
          <w:iCs/>
        </w:rPr>
        <w:t>Franz v. Calaco Development Corp.</w:t>
      </w:r>
      <w:r w:rsidRPr="0036473D">
        <w:t>, 352 Ill. App. 3d 1129, 1139, 818 N.E.2d 357, 288 Ill. Dec. 669 (2004).</w:t>
      </w:r>
      <w:r w:rsidR="00FB1D09">
        <w:t xml:space="preserve"> </w:t>
      </w:r>
      <w:r w:rsidRPr="0036473D">
        <w:t>In our assessment,</w:t>
      </w:r>
      <w:r w:rsidRPr="0036473D">
        <w:rPr>
          <w:bCs w:val="0"/>
          <w:i/>
          <w:iCs/>
        </w:rPr>
        <w:t xml:space="preserve"> the enforceability of a restrictive covenant is best viewed as presenting separate questions of law and fact</w:t>
      </w:r>
      <w:r w:rsidRPr="0036473D">
        <w:t>, in the same way as a ruling on a motion to suppress is currently viewed in Illinois.</w:t>
      </w:r>
      <w:r w:rsidR="00FB1D09">
        <w:t xml:space="preserve"> </w:t>
      </w:r>
      <w:r w:rsidRPr="0036473D">
        <w:t>A ruling on a motion to suppress is reviewed as follows:</w:t>
      </w:r>
    </w:p>
    <w:p w14:paraId="7E5B9092" w14:textId="133167BB" w:rsidR="00655396" w:rsidRPr="0036473D" w:rsidRDefault="00655396" w:rsidP="008B512B">
      <w:pPr>
        <w:pStyle w:val="BQ2"/>
        <w:spacing w:line="240" w:lineRule="auto"/>
        <w:rPr>
          <w:b/>
        </w:rPr>
      </w:pPr>
      <w:r w:rsidRPr="0036473D">
        <w:t>“First, we uphold the trial court’s findings of historical fact unless such findings are against the manifest weight of the evidence.</w:t>
      </w:r>
      <w:r w:rsidR="00FB1D09">
        <w:t xml:space="preserve"> </w:t>
      </w:r>
      <w:r w:rsidRPr="0036473D">
        <w:t>[Citation.] The trial court is in a superior position to determine and weigh the credibility of the witnesses, observe the witnesses’ demeanor, and resolve conflicts in their testimony.</w:t>
      </w:r>
      <w:r w:rsidR="00FB1D09">
        <w:t xml:space="preserve"> </w:t>
      </w:r>
      <w:r w:rsidRPr="0036473D">
        <w:t xml:space="preserve">[Citation.] </w:t>
      </w:r>
      <w:r w:rsidRPr="0036473D">
        <w:lastRenderedPageBreak/>
        <w:t>However, this court remains free to undertake its own assessment of the facts in relation to the issues presented and may draw its own conclusions when deciding what relief should be granted.</w:t>
      </w:r>
      <w:r w:rsidR="00FB1D09">
        <w:t xml:space="preserve"> </w:t>
      </w:r>
      <w:r w:rsidRPr="0036473D">
        <w:t>[Citation.] Accordingly, we review de novo the ultimate question of whether the evidence should be suppressed.</w:t>
      </w:r>
      <w:r w:rsidR="00FB1D09">
        <w:t xml:space="preserve"> </w:t>
      </w:r>
      <w:r w:rsidRPr="0036473D">
        <w:t>[Citation.]”</w:t>
      </w:r>
      <w:r w:rsidR="00FB1D09">
        <w:t xml:space="preserve"> </w:t>
      </w:r>
      <w:r w:rsidRPr="0036473D">
        <w:rPr>
          <w:bCs w:val="0"/>
          <w:i/>
          <w:iCs/>
        </w:rPr>
        <w:t>People v. Conner</w:t>
      </w:r>
      <w:r w:rsidRPr="0036473D">
        <w:t>, 358 Ill. App. 3d 945, 948–49, 832 N.E.2d 442, 295 Ill. Dec. 291 (2005).</w:t>
      </w:r>
    </w:p>
    <w:p w14:paraId="19C62B8D" w14:textId="6F168C34" w:rsidR="00655396" w:rsidRPr="0036473D" w:rsidRDefault="00655396" w:rsidP="008B512B">
      <w:pPr>
        <w:pStyle w:val="BQ"/>
        <w:spacing w:line="240" w:lineRule="auto"/>
        <w:rPr>
          <w:b/>
        </w:rPr>
      </w:pPr>
      <w:r w:rsidRPr="0036473D">
        <w:t>Where there are no disputed facts, the review is entirely de novo.</w:t>
      </w:r>
      <w:r w:rsidR="00FB1D09">
        <w:t xml:space="preserve"> </w:t>
      </w:r>
      <w:r w:rsidRPr="0036473D">
        <w:rPr>
          <w:bCs w:val="0"/>
          <w:i/>
          <w:iCs/>
        </w:rPr>
        <w:t>People v. Miles</w:t>
      </w:r>
      <w:r w:rsidRPr="0036473D">
        <w:t>, 343 Ill. App. 3d 1026, 1030, 798 N.E.2d 1279, 278 Ill. Dec. 522 (2003).</w:t>
      </w:r>
      <w:r w:rsidR="00FB1D09">
        <w:t xml:space="preserve"> </w:t>
      </w:r>
      <w:r w:rsidRPr="0036473D">
        <w:t>Courts in other jurisdictions have taken this two-tiered approach to restrictive covenants.</w:t>
      </w:r>
      <w:r w:rsidR="00FB1D09">
        <w:t xml:space="preserve"> </w:t>
      </w:r>
      <w:r w:rsidRPr="0036473D">
        <w:rPr>
          <w:bCs w:val="0"/>
          <w:i/>
          <w:iCs/>
        </w:rPr>
        <w:t>See, e.g., Turner v. Caplan</w:t>
      </w:r>
      <w:r w:rsidRPr="0036473D">
        <w:t>, 268 Va. 122, 125, 596 S.E.2d 525, 527 (Va. 2004)</w:t>
      </w:r>
      <w:r w:rsidR="00D47546">
        <w:t xml:space="preserve">; </w:t>
      </w:r>
      <w:r w:rsidRPr="0036473D">
        <w:rPr>
          <w:bCs w:val="0"/>
          <w:i/>
          <w:iCs/>
        </w:rPr>
        <w:t>Mutual Service Casualty Insurance Co. v. Brass</w:t>
      </w:r>
      <w:r w:rsidRPr="0036473D">
        <w:t>, 2001 WI App 92, 242 Wis. 2d 733, 737, 625 N.W.2d 648, 651 (Wis. App. 2001).</w:t>
      </w:r>
      <w:r w:rsidR="00CD7A12">
        <w:t xml:space="preserve"> </w:t>
      </w:r>
      <w:r w:rsidRPr="0036473D">
        <w:t>We hold that, where the existence of a legitimate business interest turns on an issue of disputed fact, such issue is reviewed under the manifest-weight standard, but the question of whether a covenant is enforceable under the facts is a legal question subject to de novo review.</w:t>
      </w:r>
      <w:r w:rsidR="00FB1D09">
        <w:t xml:space="preserve"> </w:t>
      </w:r>
      <w:r w:rsidRPr="0036473D">
        <w:t>Of course, where the issue on review is whether a preliminary injunction should issue to enforce a restrictive covenant whose validity is in question,</w:t>
      </w:r>
      <w:r w:rsidR="00FB1D09">
        <w:t xml:space="preserve"> </w:t>
      </w:r>
      <w:r w:rsidRPr="0036473D">
        <w:t>the reviewing court may find itself applying three different standards.</w:t>
      </w:r>
      <w:r w:rsidR="00FB1D09">
        <w:t xml:space="preserve"> </w:t>
      </w:r>
      <w:r w:rsidRPr="0036473D">
        <w:t>The manifest-weight and de novo standards will apply to the question of enforceability, and whether a covenant is enforceable or not will become a factor in the ultimate analysis of whether a preliminary injunction should issue, such analysis being reviewable for abuse of discretion.</w:t>
      </w:r>
    </w:p>
    <w:p w14:paraId="62817319" w14:textId="77777777" w:rsidR="00655396" w:rsidRDefault="00655396" w:rsidP="008B512B">
      <w:pPr>
        <w:pStyle w:val="BodyText"/>
        <w:spacing w:line="240" w:lineRule="auto"/>
      </w:pPr>
    </w:p>
    <w:p w14:paraId="1B296CBD" w14:textId="03A089D4" w:rsidR="00655396" w:rsidRDefault="00655396" w:rsidP="008B512B">
      <w:pPr>
        <w:pStyle w:val="BodyText"/>
        <w:spacing w:line="240" w:lineRule="auto"/>
      </w:pPr>
      <w:r>
        <w:rPr>
          <w:i/>
          <w:iCs/>
        </w:rPr>
        <w:t>Id.</w:t>
      </w:r>
      <w:r>
        <w:t>,</w:t>
      </w:r>
      <w:r w:rsidR="00FB1D09">
        <w:t xml:space="preserve"> </w:t>
      </w:r>
      <w:r>
        <w:t>839 N.E.2d at 614–15 (emphasis added).</w:t>
      </w:r>
    </w:p>
    <w:p w14:paraId="1F3D3C4B" w14:textId="271FF547" w:rsidR="00655396" w:rsidRDefault="00655396" w:rsidP="008B512B">
      <w:pPr>
        <w:pStyle w:val="BodyText"/>
        <w:spacing w:line="240" w:lineRule="auto"/>
      </w:pPr>
      <w:r>
        <w:tab/>
        <w:t>The issue of covenant reasonableness is a fact-based determination that cannot be determined on a motion to dismiss under Rule 12(b)(6) of the Federal Rules of Civil Procedure, according to a federal district court sitting in Illinois.</w:t>
      </w:r>
      <w:r w:rsidR="00FB1D09">
        <w:t xml:space="preserve"> </w:t>
      </w:r>
      <w:r>
        <w:rPr>
          <w:i/>
          <w:iCs/>
        </w:rPr>
        <w:t>AutoMed Techs., Inc. v. Eller</w:t>
      </w:r>
      <w:r>
        <w:t>, 160 F. Supp. 2d 915, 923 (N.D. Ill. 2001).</w:t>
      </w:r>
    </w:p>
    <w:p w14:paraId="0B3ED47A" w14:textId="4B916981" w:rsidR="00655396" w:rsidRDefault="00655396" w:rsidP="008B512B">
      <w:pPr>
        <w:pStyle w:val="BodyText"/>
        <w:spacing w:line="240" w:lineRule="auto"/>
        <w:rPr>
          <w:spacing w:val="-1"/>
        </w:rPr>
      </w:pPr>
      <w:r>
        <w:rPr>
          <w:spacing w:val="-1"/>
        </w:rPr>
        <w:tab/>
        <w:t>Whether a confidentiality agreement prohibiting employees from revealing confidential information can be assigned pursuant to an asset purchase agreement is a question of the intent of the parties to the transaction.</w:t>
      </w:r>
      <w:r w:rsidR="00FB1D09">
        <w:rPr>
          <w:spacing w:val="-1"/>
        </w:rPr>
        <w:t xml:space="preserve"> </w:t>
      </w:r>
      <w:r>
        <w:rPr>
          <w:i/>
          <w:iCs/>
          <w:spacing w:val="-1"/>
        </w:rPr>
        <w:t>Chemetall GMBH v. ZR Energy, Inc.</w:t>
      </w:r>
      <w:r>
        <w:rPr>
          <w:spacing w:val="-1"/>
        </w:rPr>
        <w:t>, 320 F.3d 714, 720–21 (7th Cir. 2003).</w:t>
      </w:r>
      <w:r w:rsidR="00FB1D09">
        <w:rPr>
          <w:spacing w:val="-1"/>
        </w:rPr>
        <w:t xml:space="preserve"> </w:t>
      </w:r>
      <w:r>
        <w:rPr>
          <w:spacing w:val="-1"/>
        </w:rPr>
        <w:t>“The intent of the parties is a ‘question of fact to be derived not only from the instrument executed by the parties, but also from the surrounding circumstances.’</w:t>
      </w:r>
      <w:r>
        <w:rPr>
          <w:rFonts w:ascii="Times New Roman" w:hAnsi="Times New Roman" w:cs="Times New Roman"/>
          <w:spacing w:val="-1"/>
        </w:rPr>
        <w:t> </w:t>
      </w:r>
      <w:r>
        <w:rPr>
          <w:spacing w:val="-1"/>
        </w:rPr>
        <w:t>”</w:t>
      </w:r>
      <w:r w:rsidR="00FB1D09">
        <w:rPr>
          <w:spacing w:val="-1"/>
        </w:rPr>
        <w:t xml:space="preserve"> </w:t>
      </w:r>
      <w:r>
        <w:rPr>
          <w:i/>
          <w:iCs/>
          <w:spacing w:val="-1"/>
        </w:rPr>
        <w:t>Id.</w:t>
      </w:r>
      <w:r>
        <w:rPr>
          <w:spacing w:val="-1"/>
        </w:rPr>
        <w:t xml:space="preserve"> at 721 (citation omitted).</w:t>
      </w:r>
    </w:p>
    <w:p w14:paraId="046A0DE3" w14:textId="4653CFEC" w:rsidR="00655396" w:rsidRDefault="00655396" w:rsidP="008B512B">
      <w:pPr>
        <w:pStyle w:val="BodyText"/>
        <w:spacing w:line="240" w:lineRule="auto"/>
      </w:pPr>
      <w:r>
        <w:tab/>
        <w:t xml:space="preserve">After a trial on the merits regarding breach of a confidentiality </w:t>
      </w:r>
      <w:r>
        <w:lastRenderedPageBreak/>
        <w:t>covenant by an employee, the court of appeals can review a district court’s interpretation of an underlying asset purchase agreement de novo. When the denial of summary judgment is not based on the adequacy of the evidence, the legal question can be separated from the factual one and the legal question can be reviewed by the court of appeals notwithstanding the party’s failure to raise it in a motion for judgment as a matter of law at trial.</w:t>
      </w:r>
      <w:r w:rsidR="00FB1D09">
        <w:t xml:space="preserve"> </w:t>
      </w:r>
      <w:r>
        <w:rPr>
          <w:i/>
          <w:iCs/>
        </w:rPr>
        <w:t>Id.</w:t>
      </w:r>
      <w:r>
        <w:t xml:space="preserve"> at 720.</w:t>
      </w:r>
    </w:p>
    <w:p w14:paraId="73A36E77" w14:textId="77777777" w:rsidR="00655396" w:rsidRDefault="00655396" w:rsidP="008B512B">
      <w:pPr>
        <w:pStyle w:val="BodyText"/>
        <w:spacing w:line="240" w:lineRule="auto"/>
      </w:pPr>
    </w:p>
    <w:p w14:paraId="5FD1C37D" w14:textId="77777777" w:rsidR="00655396" w:rsidRDefault="00655396" w:rsidP="008B512B">
      <w:pPr>
        <w:pStyle w:val="AdditionalTopicsSectionHeadings"/>
        <w:spacing w:line="240" w:lineRule="auto"/>
      </w:pPr>
      <w:r>
        <w:t>Questions of Law</w:t>
      </w:r>
    </w:p>
    <w:p w14:paraId="0D4580C8" w14:textId="77777777" w:rsidR="00655396" w:rsidRDefault="00655396" w:rsidP="008B512B">
      <w:pPr>
        <w:pStyle w:val="BodyText"/>
        <w:spacing w:line="240" w:lineRule="auto"/>
      </w:pPr>
    </w:p>
    <w:p w14:paraId="3E6A417D" w14:textId="2A4F33A6" w:rsidR="00655396" w:rsidRDefault="00655396" w:rsidP="008B512B">
      <w:pPr>
        <w:pStyle w:val="BodyText"/>
        <w:spacing w:line="240" w:lineRule="auto"/>
        <w:rPr>
          <w:spacing w:val="-1"/>
        </w:rPr>
      </w:pPr>
      <w:r>
        <w:rPr>
          <w:spacing w:val="-1"/>
        </w:rPr>
        <w:tab/>
        <w:t xml:space="preserve">In </w:t>
      </w:r>
      <w:r>
        <w:rPr>
          <w:i/>
          <w:iCs/>
          <w:spacing w:val="-1"/>
        </w:rPr>
        <w:t>Agency, Inc. v. Grove</w:t>
      </w:r>
      <w:r>
        <w:rPr>
          <w:spacing w:val="-1"/>
        </w:rPr>
        <w:t>, 362 Ill. App. 3d 206, 298 Ill. Dec. 283, 839 N.E.2d 606 (2d Dist. 2005), an Illinois court of appeals lamented that Illinois appellate cases involving issues of law and fact as to the reasonableness of covenants not to compete “are peculiarly silent as to how such issues of law and fact are to be reviewed” (id., 839 N.E.2d at 614) and proposed a two-step standard-of-review analysis.</w:t>
      </w:r>
      <w:r w:rsidR="00FB1D09">
        <w:rPr>
          <w:spacing w:val="-1"/>
        </w:rPr>
        <w:t xml:space="preserve"> </w:t>
      </w:r>
      <w:r>
        <w:rPr>
          <w:spacing w:val="-1"/>
        </w:rPr>
        <w:t>It noted:</w:t>
      </w:r>
    </w:p>
    <w:p w14:paraId="0D5F212B" w14:textId="77777777" w:rsidR="00655396" w:rsidRDefault="00655396" w:rsidP="008B512B">
      <w:pPr>
        <w:pStyle w:val="BodyText"/>
        <w:spacing w:line="240" w:lineRule="auto"/>
      </w:pPr>
    </w:p>
    <w:p w14:paraId="15883069" w14:textId="7E5C2796" w:rsidR="00655396" w:rsidRPr="0036473D" w:rsidRDefault="00655396" w:rsidP="008B512B">
      <w:pPr>
        <w:pStyle w:val="BQ"/>
        <w:spacing w:line="240" w:lineRule="auto"/>
        <w:rPr>
          <w:b/>
        </w:rPr>
      </w:pPr>
      <w:r w:rsidRPr="0036473D">
        <w:t>Our research discloses only one case that actually states a standard of review [for cases involving issues of law and fact as to the reasonableness of covenants not to compete].</w:t>
      </w:r>
      <w:r w:rsidR="00FB1D09">
        <w:t xml:space="preserve"> </w:t>
      </w:r>
      <w:r w:rsidRPr="0036473D">
        <w:t xml:space="preserve">In </w:t>
      </w:r>
      <w:r w:rsidRPr="0036473D">
        <w:rPr>
          <w:bCs w:val="0"/>
          <w:i/>
          <w:iCs/>
        </w:rPr>
        <w:t>Hamer Holding Group, Inc. v. Elmore</w:t>
      </w:r>
      <w:r w:rsidRPr="0036473D">
        <w:t>, 244 Ill. App. 3d 1069, 1080, 613 N.E.2d 1190, 184 Ill. Dec. 598 (1993), the First District Appellate Court declares</w:t>
      </w:r>
      <w:r w:rsidR="00D47546">
        <w:t xml:space="preserve">: </w:t>
      </w:r>
      <w:r w:rsidRPr="0036473D">
        <w:t>“Since the reasonableness of the restraint is a question of law, we review the trial court’s determination de novo.”</w:t>
      </w:r>
      <w:r w:rsidR="00FB1D09">
        <w:t xml:space="preserve"> </w:t>
      </w:r>
      <w:r w:rsidRPr="0036473D">
        <w:t>Here arises the difficulty.</w:t>
      </w:r>
      <w:r w:rsidR="00FB1D09">
        <w:t xml:space="preserve"> </w:t>
      </w:r>
      <w:r w:rsidRPr="0036473D">
        <w:t xml:space="preserve">If </w:t>
      </w:r>
      <w:r w:rsidR="00944F63">
        <w:t>…</w:t>
      </w:r>
      <w:r w:rsidRPr="0036473D">
        <w:t xml:space="preserve"> a trial court’s determination of enforceability [indeed] entails the resolution of disputed factual matters as well as legal issues, then de novo review cannot be the only standard applied.</w:t>
      </w:r>
      <w:r w:rsidR="00FB1D09">
        <w:t xml:space="preserve"> </w:t>
      </w:r>
      <w:r w:rsidRPr="0036473D">
        <w:t>“In Illinois, a judge’s or jury’s findings of fact in a civil case are generally accorded manifest-weight review,” but “[a] judge’s rulings of law in a civil or criminal case are reviewed under the nondeferential de novo standard.”</w:t>
      </w:r>
      <w:r w:rsidR="00FB1D09">
        <w:t xml:space="preserve"> </w:t>
      </w:r>
      <w:r w:rsidRPr="0036473D">
        <w:rPr>
          <w:bCs w:val="0"/>
          <w:i/>
          <w:iCs/>
        </w:rPr>
        <w:t>Franz v. Calaco Development Corp.</w:t>
      </w:r>
      <w:r w:rsidRPr="0036473D">
        <w:t>, 352 Ill. App. 3d 1129, 1139, 818 N.E.2d 357, 288 Ill. Dec. 669 (2004).</w:t>
      </w:r>
      <w:r w:rsidR="00FB1D09">
        <w:t xml:space="preserve"> </w:t>
      </w:r>
      <w:r w:rsidRPr="0036473D">
        <w:t>In</w:t>
      </w:r>
      <w:r w:rsidRPr="0036473D">
        <w:rPr>
          <w:bCs w:val="0"/>
          <w:i/>
          <w:iCs/>
        </w:rPr>
        <w:t xml:space="preserve"> </w:t>
      </w:r>
      <w:r w:rsidRPr="0036473D">
        <w:t xml:space="preserve">our assessment, </w:t>
      </w:r>
      <w:r w:rsidRPr="0036473D">
        <w:rPr>
          <w:bCs w:val="0"/>
          <w:i/>
          <w:iCs/>
        </w:rPr>
        <w:t>the enforceability of a restrictive covenant is best viewed as presenting separate questions of law and fact</w:t>
      </w:r>
      <w:r w:rsidRPr="0036473D">
        <w:t>, in the same way as a ruling on a motion to suppress is currently viewed in Illinois.</w:t>
      </w:r>
      <w:r w:rsidR="00FB1D09">
        <w:t xml:space="preserve"> </w:t>
      </w:r>
      <w:r w:rsidRPr="0036473D">
        <w:t>A ruling on a motion to suppress is reviewed as follows:</w:t>
      </w:r>
    </w:p>
    <w:p w14:paraId="24B5F20E" w14:textId="3721FFB0" w:rsidR="00655396" w:rsidRPr="0036473D" w:rsidRDefault="00655396" w:rsidP="008B512B">
      <w:pPr>
        <w:pStyle w:val="BQ2"/>
        <w:spacing w:line="240" w:lineRule="auto"/>
        <w:rPr>
          <w:b/>
        </w:rPr>
      </w:pPr>
      <w:r w:rsidRPr="0036473D">
        <w:t>“First, we uphold the trial court’s findings of historical fact unless such findings are against the manifest weight of the evidence.</w:t>
      </w:r>
      <w:r w:rsidR="00FB1D09">
        <w:t xml:space="preserve"> </w:t>
      </w:r>
      <w:r w:rsidRPr="0036473D">
        <w:t>[Citation.] The trial court is in a superior position to determine and weigh the credibility of the witnesses, observe the witnesses’ demeanor, and resolve conflicts in their testimony.</w:t>
      </w:r>
      <w:r w:rsidR="00FB1D09">
        <w:t xml:space="preserve"> </w:t>
      </w:r>
      <w:r w:rsidRPr="0036473D">
        <w:t xml:space="preserve">[Citation.] </w:t>
      </w:r>
      <w:r w:rsidRPr="0036473D">
        <w:lastRenderedPageBreak/>
        <w:t>However, this court remains free to undertake its own assessment of the facts in relation to the issues presented and may draw its own conclusions when deciding what relief should be granted.</w:t>
      </w:r>
      <w:r w:rsidR="00FB1D09">
        <w:t xml:space="preserve"> </w:t>
      </w:r>
      <w:r w:rsidRPr="0036473D">
        <w:t>[Citation.] Accordingly, we review de novo the ultimate question of whether the evidence should be suppressed.</w:t>
      </w:r>
      <w:r w:rsidR="00FB1D09">
        <w:t xml:space="preserve"> </w:t>
      </w:r>
      <w:r w:rsidRPr="0036473D">
        <w:t>[Citation.]”</w:t>
      </w:r>
      <w:r w:rsidR="00FB1D09">
        <w:t xml:space="preserve"> </w:t>
      </w:r>
      <w:r w:rsidRPr="0036473D">
        <w:rPr>
          <w:bCs w:val="0"/>
          <w:i/>
          <w:iCs/>
        </w:rPr>
        <w:t>People v. Conner</w:t>
      </w:r>
      <w:r w:rsidRPr="0036473D">
        <w:t>, 358 Ill. App. 3d 945, 948–49, 832 N.E.2d 442, 295 Ill. Dec. 291 (2005).</w:t>
      </w:r>
    </w:p>
    <w:p w14:paraId="7313C89E" w14:textId="54F08D98" w:rsidR="00655396" w:rsidRPr="0036473D" w:rsidRDefault="00655396" w:rsidP="008B512B">
      <w:pPr>
        <w:pStyle w:val="BQ"/>
        <w:spacing w:line="240" w:lineRule="auto"/>
        <w:rPr>
          <w:b/>
        </w:rPr>
      </w:pPr>
      <w:r w:rsidRPr="0036473D">
        <w:t>Where there are no disputed facts, the review is entirely de novo.</w:t>
      </w:r>
      <w:r w:rsidR="00FB1D09">
        <w:t xml:space="preserve"> </w:t>
      </w:r>
      <w:r w:rsidRPr="0036473D">
        <w:rPr>
          <w:bCs w:val="0"/>
          <w:i/>
          <w:iCs/>
        </w:rPr>
        <w:t>People v. Miles</w:t>
      </w:r>
      <w:r w:rsidRPr="0036473D">
        <w:t>, 343 Ill. App. 3d 1026, 1030, 798 N.E.2d 1279, 278 Ill. Dec. 522 (2003).</w:t>
      </w:r>
      <w:r w:rsidR="00FB1D09">
        <w:t xml:space="preserve"> </w:t>
      </w:r>
      <w:r w:rsidRPr="0036473D">
        <w:t>Courts in other jurisdictions have taken this two-tiered approach to restrictive covenants.</w:t>
      </w:r>
      <w:r w:rsidR="00FB1D09">
        <w:t xml:space="preserve"> </w:t>
      </w:r>
      <w:r w:rsidRPr="0036473D">
        <w:rPr>
          <w:bCs w:val="0"/>
          <w:i/>
          <w:iCs/>
        </w:rPr>
        <w:t>See, e.g., Turner v. Caplan</w:t>
      </w:r>
      <w:r w:rsidRPr="0036473D">
        <w:t>, 268 Va. 122, 125, 596 S.E.2d 525, 527 (Va. 2004)</w:t>
      </w:r>
      <w:r w:rsidR="00D47546">
        <w:t xml:space="preserve">; </w:t>
      </w:r>
      <w:r w:rsidRPr="0036473D">
        <w:rPr>
          <w:bCs w:val="0"/>
          <w:i/>
          <w:iCs/>
        </w:rPr>
        <w:t>Mutual Service Casualty Insurance Co. v. Brass</w:t>
      </w:r>
      <w:r w:rsidRPr="0036473D">
        <w:t>, 2001 WI App 92, 242 Wis. 2d 733, 737, 625 N.W.2d 648, 651 (Wis. App. 2001).</w:t>
      </w:r>
      <w:r w:rsidR="00CD7A12">
        <w:t xml:space="preserve"> </w:t>
      </w:r>
      <w:r w:rsidRPr="0036473D">
        <w:t>We hold that, where the existence of a legitimate business interest turns on an issue of disputed fact, such issue is reviewed under the manifest-weight standard, but the question of whether a covenant is enforceable under the facts is a legal question subject to de novo review.</w:t>
      </w:r>
      <w:r w:rsidR="00FB1D09">
        <w:t xml:space="preserve"> </w:t>
      </w:r>
      <w:r w:rsidRPr="0036473D">
        <w:t>Of course, where the issue on review is whether a preliminary injunction should issue to enforce a restrictive covenant whose validity is in question,</w:t>
      </w:r>
      <w:r w:rsidR="00FB1D09">
        <w:t xml:space="preserve"> </w:t>
      </w:r>
      <w:r w:rsidRPr="0036473D">
        <w:t>the reviewing court may find itself applying three different standards.</w:t>
      </w:r>
      <w:r w:rsidR="00FB1D09">
        <w:t xml:space="preserve"> </w:t>
      </w:r>
      <w:r w:rsidRPr="0036473D">
        <w:t>The manifest-weight and de novo standards will apply to the question of enforceability, and whether a covenant is enforceable or not will become a factor in the ultimate analysis of whether a preliminary injunction should issue, such analysis being reviewable for abuse of discretion.</w:t>
      </w:r>
    </w:p>
    <w:p w14:paraId="590444D1" w14:textId="77777777" w:rsidR="00655396" w:rsidRDefault="00655396" w:rsidP="008B512B">
      <w:pPr>
        <w:pStyle w:val="BodyText"/>
        <w:spacing w:line="240" w:lineRule="auto"/>
        <w:rPr>
          <w:i/>
          <w:iCs/>
        </w:rPr>
      </w:pPr>
    </w:p>
    <w:p w14:paraId="13D0E3AA" w14:textId="77777777" w:rsidR="00655396" w:rsidRDefault="00655396" w:rsidP="008B512B">
      <w:pPr>
        <w:pStyle w:val="BodyText"/>
        <w:spacing w:line="240" w:lineRule="auto"/>
      </w:pPr>
      <w:r>
        <w:rPr>
          <w:i/>
          <w:iCs/>
        </w:rPr>
        <w:t>Id.</w:t>
      </w:r>
      <w:r>
        <w:t>, 839 N.E.2d at 614–15 (emphasis added).</w:t>
      </w:r>
    </w:p>
    <w:p w14:paraId="4FBAAD26" w14:textId="77777777" w:rsidR="00655396" w:rsidRDefault="00655396" w:rsidP="008B512B">
      <w:pPr>
        <w:pStyle w:val="BodyText"/>
        <w:spacing w:line="240" w:lineRule="auto"/>
      </w:pPr>
      <w:r>
        <w:tab/>
        <w:t xml:space="preserve">For cases governed by Illinois law, the question whether a restrictive covenant is </w:t>
      </w:r>
      <w:r>
        <w:rPr>
          <w:i/>
          <w:iCs/>
        </w:rPr>
        <w:t>enforceable</w:t>
      </w:r>
      <w:r>
        <w:t xml:space="preserve"> or not is a question of law. </w:t>
      </w:r>
      <w:r>
        <w:rPr>
          <w:i/>
          <w:iCs/>
        </w:rPr>
        <w:t>First Health Grp. Corp. v. National Prescription Adm’rs, Inc</w:t>
      </w:r>
      <w:r>
        <w:t xml:space="preserve">., 155 F. Supp. 2d 194 (M.D. Pa. 2001) (applying Illinois law to covenant issues; citing </w:t>
      </w:r>
      <w:r>
        <w:rPr>
          <w:i/>
          <w:iCs/>
        </w:rPr>
        <w:t>Woodfield Grp., Inc. v. DeLisle</w:t>
      </w:r>
      <w:r>
        <w:t xml:space="preserve">, 295 Ill. App. 3d 935, 230 Ill. Dec. 335, 693 N.E.2d 464, 466 (1998)); </w:t>
      </w:r>
      <w:r>
        <w:rPr>
          <w:i/>
          <w:iCs/>
        </w:rPr>
        <w:t>Liautaud v. Liautaud</w:t>
      </w:r>
      <w:r>
        <w:t xml:space="preserve">, 221 F.3d 981, 986 (7th Cir. 2000) (quoting </w:t>
      </w:r>
      <w:r>
        <w:rPr>
          <w:i/>
          <w:iCs/>
        </w:rPr>
        <w:t>Lawrence &amp; Allen, Inc. v. Cambridge Human Res. Grp., Inc.</w:t>
      </w:r>
      <w:r>
        <w:t xml:space="preserve">, 292 Ill. App. 3d 131, 226 Ill. Dec. 331, 685 N.E.2d 434, 440 (1997); citing as in accord </w:t>
      </w:r>
      <w:r>
        <w:rPr>
          <w:i/>
          <w:iCs/>
        </w:rPr>
        <w:t>Applied Micro, Inc. v. SJI Fulfillment, Inc.</w:t>
      </w:r>
      <w:r>
        <w:t>, 941 F. Supp. 750, 753 (N.D. Ill. 1996)).</w:t>
      </w:r>
    </w:p>
    <w:p w14:paraId="47917414" w14:textId="77777777" w:rsidR="00655396" w:rsidRDefault="00655396" w:rsidP="008B512B">
      <w:pPr>
        <w:pStyle w:val="BodyText"/>
        <w:spacing w:line="240" w:lineRule="auto"/>
      </w:pPr>
    </w:p>
    <w:p w14:paraId="321F04F9" w14:textId="77777777" w:rsidR="00655396" w:rsidRDefault="00655396" w:rsidP="008B512B">
      <w:pPr>
        <w:pStyle w:val="AdditionalTopicsSectionHeadings"/>
        <w:spacing w:line="240" w:lineRule="auto"/>
      </w:pPr>
      <w:r>
        <w:t>Res Judicata</w:t>
      </w:r>
    </w:p>
    <w:p w14:paraId="6B0E98E6" w14:textId="77777777" w:rsidR="00655396" w:rsidRDefault="00655396" w:rsidP="008B512B">
      <w:pPr>
        <w:pStyle w:val="BodyText"/>
        <w:spacing w:line="240" w:lineRule="auto"/>
      </w:pPr>
    </w:p>
    <w:p w14:paraId="2A0CA498" w14:textId="148FED23" w:rsidR="00655396" w:rsidRDefault="00655396" w:rsidP="008B512B">
      <w:pPr>
        <w:pStyle w:val="BodyText"/>
        <w:spacing w:line="240" w:lineRule="auto"/>
      </w:pPr>
      <w:r>
        <w:lastRenderedPageBreak/>
        <w:tab/>
        <w:t>A temporal limitation based on parol evidence cannot be read into a restrictive covenant contacting no such term; to read such a term into the covenant would amount to an “impermissible rewriting of the covenant.”</w:t>
      </w:r>
      <w:r w:rsidR="00FB1D09">
        <w:t xml:space="preserve"> </w:t>
      </w:r>
      <w:r>
        <w:rPr>
          <w:i/>
          <w:iCs/>
        </w:rPr>
        <w:t>Northwest Podiatry Ctr., Ltd. v. Ochwat</w:t>
      </w:r>
      <w:r>
        <w:t>, 2013 IL App (1st) 120459, ¶47 (Ill. App. Ct.</w:t>
      </w:r>
      <w:r w:rsidR="00FB1D09">
        <w:t xml:space="preserve"> </w:t>
      </w:r>
      <w:r>
        <w:t>2013).</w:t>
      </w:r>
    </w:p>
    <w:p w14:paraId="42132A91" w14:textId="71FF0ED2" w:rsidR="00655396" w:rsidRDefault="00655396" w:rsidP="008B512B">
      <w:pPr>
        <w:pStyle w:val="BodyText"/>
        <w:spacing w:line="240" w:lineRule="auto"/>
      </w:pPr>
      <w:r>
        <w:tab/>
        <w:t>However, evidence of the parties’ intent regarding the assignment of a confidentiality agreement in an asset purchase is admissible.</w:t>
      </w:r>
      <w:r w:rsidR="00FB1D09">
        <w:t xml:space="preserve"> </w:t>
      </w:r>
      <w:r>
        <w:rPr>
          <w:i/>
          <w:iCs/>
        </w:rPr>
        <w:t>Chemetall GMBH v. ZR Energy, Inc.</w:t>
      </w:r>
      <w:r>
        <w:t>, 320 F.3d 714, 721 (7th Cir. 2003).</w:t>
      </w:r>
      <w:r w:rsidR="00FB1D09">
        <w:t xml:space="preserve"> </w:t>
      </w:r>
      <w:r>
        <w:t>Intent may be proven by the instrument executed by the parties to the asset purchase and the surrounding circumstances.</w:t>
      </w:r>
      <w:r w:rsidR="00FB1D09">
        <w:t xml:space="preserve"> </w:t>
      </w:r>
      <w:r>
        <w:rPr>
          <w:i/>
          <w:iCs/>
        </w:rPr>
        <w:t>Id.</w:t>
      </w:r>
      <w:r>
        <w:t xml:space="preserve"> at 722–23.</w:t>
      </w:r>
    </w:p>
    <w:p w14:paraId="7454E439" w14:textId="77777777" w:rsidR="00655396" w:rsidRDefault="00655396" w:rsidP="008B512B">
      <w:pPr>
        <w:pStyle w:val="BodyText"/>
        <w:spacing w:line="240" w:lineRule="auto"/>
        <w:rPr>
          <w:u w:color="000000"/>
        </w:rPr>
      </w:pPr>
      <w:r>
        <w:rPr>
          <w:u w:color="000000"/>
        </w:rPr>
        <w:tab/>
        <w:t xml:space="preserve">As to whether a plaintiff is precluded from alleging violations of a noncompetition covenant where he has already voluntarily dismissed his complaint twice, see </w:t>
      </w:r>
      <w:r>
        <w:rPr>
          <w:i/>
          <w:iCs/>
          <w:u w:color="000000"/>
        </w:rPr>
        <w:t>Russell v. Russell</w:t>
      </w:r>
      <w:r>
        <w:rPr>
          <w:u w:color="000000"/>
        </w:rPr>
        <w:t>, 2016 BL 360375 (Ill. 5th Dist. Ct. App. Oct. 28, 2016).</w:t>
      </w:r>
    </w:p>
    <w:p w14:paraId="77C45FF5" w14:textId="77777777" w:rsidR="00655396" w:rsidRDefault="00655396" w:rsidP="008B512B">
      <w:pPr>
        <w:pStyle w:val="BodyText"/>
        <w:spacing w:line="240" w:lineRule="auto"/>
      </w:pPr>
    </w:p>
    <w:p w14:paraId="43A22095" w14:textId="77777777" w:rsidR="00655396" w:rsidRDefault="00655396" w:rsidP="008B512B">
      <w:pPr>
        <w:pStyle w:val="AdditionalTopicsSectionHeadings"/>
        <w:spacing w:line="240" w:lineRule="auto"/>
      </w:pPr>
      <w:r>
        <w:t>Royalties</w:t>
      </w:r>
    </w:p>
    <w:p w14:paraId="3DC8C13B" w14:textId="77777777" w:rsidR="00655396" w:rsidRDefault="00655396" w:rsidP="008B512B">
      <w:pPr>
        <w:pStyle w:val="BodyText"/>
        <w:spacing w:line="240" w:lineRule="auto"/>
      </w:pPr>
    </w:p>
    <w:p w14:paraId="59A9CAC0" w14:textId="1F9D6232" w:rsidR="00655396" w:rsidRDefault="00655396" w:rsidP="008B512B">
      <w:pPr>
        <w:pStyle w:val="BodyText"/>
        <w:spacing w:line="240" w:lineRule="auto"/>
      </w:pPr>
      <w:r>
        <w:tab/>
        <w:t xml:space="preserve">• </w:t>
      </w:r>
      <w:r>
        <w:rPr>
          <w:i/>
          <w:iCs/>
        </w:rPr>
        <w:t>Royalties provision treated as a restrictive covenant</w:t>
      </w:r>
      <w:r>
        <w:t>.</w:t>
      </w:r>
      <w:r w:rsidR="00FB1D09">
        <w:t xml:space="preserve"> </w:t>
      </w:r>
      <w:r>
        <w:t xml:space="preserve">In </w:t>
      </w:r>
      <w:r>
        <w:rPr>
          <w:i/>
          <w:iCs/>
        </w:rPr>
        <w:t>Bires v. WalTom, LLC</w:t>
      </w:r>
      <w:r>
        <w:t>, 662 F. Supp. 2d 1019 (N.D. Ill. 2009), the court determined that a royalties provision in a professional race car driver’s contract, “while not stated expressly as a covenant not to compete, is subject to the same analysis as restrictive covenants under Illinois law.”</w:t>
      </w:r>
      <w:r w:rsidR="00FB1D09">
        <w:t xml:space="preserve"> </w:t>
      </w:r>
      <w:r>
        <w:rPr>
          <w:i/>
          <w:iCs/>
        </w:rPr>
        <w:t>Id.</w:t>
      </w:r>
      <w:r>
        <w:t xml:space="preserve"> at 1030.</w:t>
      </w:r>
      <w:r w:rsidR="00FB1D09">
        <w:t xml:space="preserve"> </w:t>
      </w:r>
      <w:r>
        <w:rPr>
          <w:i/>
          <w:iCs/>
        </w:rPr>
        <w:t>See also id.</w:t>
      </w:r>
      <w:r>
        <w:t xml:space="preserve"> at 1033. The provision stated that, for a period of 10 years, 25 percent of all “gross monies or other consideration earned or received at any time by or on behalf of Driver as a result of Driver’s activities in and throughout the Racing Industries,” which industries were defined by the underlying agreement as, “without limitation, all aspects of racing, driving, appearances, sponsorships, endorsements, managed investments, entertainment, amusement, music, recording, songwriting, publishing, internet publishing, television, motion picture, nightclub, concert, radio and theatrical industries, and shall include any and all forms of advertising, merchandising, or other exploitations using Driver’s name, photograph, voice, sound effects, likeness, caricatures, talents or materials.”</w:t>
      </w:r>
      <w:r w:rsidR="00FB1D09">
        <w:t xml:space="preserve"> </w:t>
      </w:r>
      <w:r>
        <w:rPr>
          <w:i/>
          <w:iCs/>
        </w:rPr>
        <w:t xml:space="preserve">Id. </w:t>
      </w:r>
      <w:r>
        <w:t>at 1034.</w:t>
      </w:r>
      <w:r w:rsidR="00FB1D09">
        <w:t xml:space="preserve"> </w:t>
      </w:r>
      <w:r>
        <w:t xml:space="preserve">En route to characterizing the provision as a restrictive covenant, the </w:t>
      </w:r>
      <w:r>
        <w:rPr>
          <w:i/>
          <w:iCs/>
        </w:rPr>
        <w:t>Bires</w:t>
      </w:r>
      <w:r>
        <w:t xml:space="preserve"> court pointed out:</w:t>
      </w:r>
    </w:p>
    <w:p w14:paraId="61D40B2E" w14:textId="77777777" w:rsidR="00655396" w:rsidRDefault="00655396" w:rsidP="008B512B">
      <w:pPr>
        <w:pStyle w:val="BodyText"/>
        <w:spacing w:line="240" w:lineRule="auto"/>
      </w:pPr>
    </w:p>
    <w:p w14:paraId="1EBDBEFA" w14:textId="77777777" w:rsidR="00655396" w:rsidRPr="0036473D" w:rsidRDefault="00655396" w:rsidP="008B512B">
      <w:pPr>
        <w:pStyle w:val="BQ"/>
        <w:spacing w:line="240" w:lineRule="auto"/>
        <w:rPr>
          <w:b/>
        </w:rPr>
      </w:pPr>
      <w:r w:rsidRPr="0036473D">
        <w:tab/>
        <w:t xml:space="preserve">As the Illinois Appellate Court has noted, “[p]ostemployment </w:t>
      </w:r>
      <w:r w:rsidRPr="0036473D">
        <w:lastRenderedPageBreak/>
        <w:t xml:space="preserve">restrictive covenants typically involve agreements by a past employee not to compete with the business of her former employer, not to solicit clients or customers of her former employer, and not to disseminate trade secrets of her former employer.” </w:t>
      </w:r>
      <w:r w:rsidRPr="0036473D">
        <w:rPr>
          <w:bCs w:val="0"/>
          <w:i/>
          <w:iCs/>
        </w:rPr>
        <w:t>Coady v. Harpo, Inc.,</w:t>
      </w:r>
      <w:r w:rsidRPr="0036473D">
        <w:t xml:space="preserve"> 308 Ill. App. 3d 153, 719 N.E.2d 244, 250, 241 Ill. Dec. 383 (Ill. App. Ct. 1999).</w:t>
      </w:r>
    </w:p>
    <w:p w14:paraId="7054396F" w14:textId="77777777" w:rsidR="00655396" w:rsidRPr="0036473D" w:rsidRDefault="00655396" w:rsidP="008B512B">
      <w:pPr>
        <w:pStyle w:val="BQ"/>
        <w:spacing w:line="240" w:lineRule="auto"/>
        <w:rPr>
          <w:b/>
        </w:rPr>
      </w:pPr>
      <w:r w:rsidRPr="0036473D">
        <w:tab/>
        <w:t xml:space="preserve">However, as noted by one prominent contract treatise, “[w]here, although there is no covenant not to compete, a penalty is provided in case the employee engages in the same business after termination of his employment, the rules applicable to covenants against competition should be applied.” 6 </w:t>
      </w:r>
      <w:r w:rsidRPr="0036473D">
        <w:rPr>
          <w:smallCaps/>
        </w:rPr>
        <w:t xml:space="preserve">Williston on Contracts </w:t>
      </w:r>
      <w:r w:rsidRPr="0036473D">
        <w:t xml:space="preserve">§13:13. Indeed, [the employee in the instant case, race car driver Bires,] points to cases outside Illinois in support of his contention that the royalties provision should be considered an illegal restraint of trade. For example, in </w:t>
      </w:r>
      <w:r w:rsidRPr="0036473D">
        <w:rPr>
          <w:bCs w:val="0"/>
          <w:i/>
          <w:iCs/>
        </w:rPr>
        <w:t>Peat Marwick Main &amp; Co. v. Haass,</w:t>
      </w:r>
      <w:r w:rsidRPr="0036473D">
        <w:t xml:space="preserve"> 818 S.W.2d 381, 385–86 (Tex. 1991), the partnership agreement at issue provided that if a partner who terminates or is terminated solicits the former partnership’s clients within 24 months after the termination, the former partner had to pay (1) in full “all fees and expenses, billed or unbilled, due to the Firm as of the date that the Firm learned that the client would be served by the former partner” as well as (2) reimburse the Firm “for all direct costs (out of pocket expense) paid or to be paid by the Firm in connection with the acquisition of such client.</w:t>
      </w:r>
      <w:r w:rsidRPr="0036473D">
        <w:rPr>
          <w:rFonts w:ascii="Times New Roman" w:hAnsi="Times New Roman" w:cs="Times New Roman"/>
          <w:sz w:val="24"/>
          <w:szCs w:val="24"/>
        </w:rPr>
        <w:t> </w:t>
      </w:r>
      <w:r w:rsidRPr="0036473D">
        <w:rPr>
          <w:sz w:val="24"/>
          <w:szCs w:val="24"/>
        </w:rPr>
        <w:t>…</w:t>
      </w:r>
      <w:r w:rsidRPr="0036473D">
        <w:t xml:space="preserve">” </w:t>
      </w:r>
      <w:r w:rsidRPr="0036473D">
        <w:rPr>
          <w:bCs w:val="0"/>
          <w:i/>
          <w:iCs/>
        </w:rPr>
        <w:t>Peat Marwick,</w:t>
      </w:r>
      <w:r w:rsidRPr="0036473D">
        <w:t xml:space="preserve"> 818 S.W.2d at 383. The court concluded that this provision was subject to the same standards of reasonableness as a restrictive covenant noting in part that “[i]f the damages provided are sufficiently severe, then the economic penalty’s deterrent effect functions as a covenant not to compete as surely as if the agreement expressly stated that the departing member will not compete.” </w:t>
      </w:r>
      <w:r w:rsidRPr="0036473D">
        <w:rPr>
          <w:bCs w:val="0"/>
          <w:i/>
          <w:iCs/>
        </w:rPr>
        <w:t>Id</w:t>
      </w:r>
      <w:r w:rsidRPr="0036473D">
        <w:t xml:space="preserve">. at 385. </w:t>
      </w:r>
      <w:r w:rsidRPr="0036473D">
        <w:rPr>
          <w:bCs w:val="0"/>
          <w:i/>
          <w:iCs/>
        </w:rPr>
        <w:t>See also Leon M. Reimer &amp; Co., P.C. v. Cipolla,</w:t>
      </w:r>
      <w:r w:rsidRPr="0036473D">
        <w:t xml:space="preserve"> 929 F. Supp. 154 (S.D.N.Y. 1996) (agreement provision requiring employee to pay his former employer [one and a half] times the employer’s annual gross fees charged to such client in the event that the employee accepted an engagement from the client within two years of his termination was analyzed as a covenant not to compete).</w:t>
      </w:r>
    </w:p>
    <w:p w14:paraId="6A2C5580" w14:textId="63C40303" w:rsidR="00655396" w:rsidRPr="0036473D" w:rsidRDefault="00655396" w:rsidP="008B512B">
      <w:pPr>
        <w:pStyle w:val="BQ"/>
        <w:spacing w:line="240" w:lineRule="auto"/>
        <w:rPr>
          <w:b/>
        </w:rPr>
      </w:pPr>
      <w:r w:rsidRPr="0036473D">
        <w:tab/>
        <w:t xml:space="preserve">But would Illinois courts agree? As an initial matter, Illinois “recognize[s], as a general rule, that the right of an individual to follow and pursue a particular occupation for which he is best trained is a fundamental right and that one who has worked in a particular field cannot be compelled to erase from his mind all of the general skills, knowledge and expertise acquired through his experience.” </w:t>
      </w:r>
      <w:r w:rsidRPr="0036473D">
        <w:rPr>
          <w:bCs w:val="0"/>
          <w:i/>
          <w:iCs/>
        </w:rPr>
        <w:t>Smith Oil Corp. v. Viking Chemical Co.,</w:t>
      </w:r>
      <w:r w:rsidRPr="0036473D">
        <w:t xml:space="preserve"> 127 Ill. App. 3d 423, 468 N.E.2d 797, 800, 82 Ill. Dec. 250 (Ill. App. Ct. 1984) ([not a covenant case;] </w:t>
      </w:r>
      <w:r w:rsidRPr="0036473D">
        <w:rPr>
          <w:bCs w:val="0"/>
          <w:i/>
          <w:iCs/>
        </w:rPr>
        <w:t xml:space="preserve">citing </w:t>
      </w:r>
      <w:r w:rsidRPr="0036473D">
        <w:rPr>
          <w:bCs w:val="0"/>
          <w:i/>
          <w:iCs/>
        </w:rPr>
        <w:lastRenderedPageBreak/>
        <w:t>ILG Industries, Inc. v. Scott,</w:t>
      </w:r>
      <w:r w:rsidRPr="0036473D">
        <w:t xml:space="preserve"> 49 Ill.</w:t>
      </w:r>
      <w:r w:rsidR="00386DE5">
        <w:t xml:space="preserve"> </w:t>
      </w:r>
      <w:r w:rsidRPr="0036473D">
        <w:t xml:space="preserve">2d 88, 93, 273 N.E.2d 393 [(1971)]). Moreover, “[g]enerally, an employee whose employment has terminated may not take confidential particularized plans or processes developed by his employer, but may take generalized skills and knowledge acquired during his tenure with the former employer.” </w:t>
      </w:r>
      <w:r w:rsidRPr="0036473D">
        <w:rPr>
          <w:bCs w:val="0"/>
          <w:i/>
          <w:iCs/>
        </w:rPr>
        <w:t>Id.</w:t>
      </w:r>
      <w:r w:rsidRPr="0036473D">
        <w:t xml:space="preserve"> (citation and internal quotation marks omitted).</w:t>
      </w:r>
      <w:r w:rsidRPr="0036473D">
        <w:tab/>
        <w:t>[The former employer in the instant case, race car team WalTom] does not assert that it is attempting to protect confidential information or trade secrets learned by Bires while he was in their employ. Rather, it contends that it wants to reap the benefits of its investment, stating that “the royalties provision is a bargained-for return on WalTom’s investment in Bires.” Response to Bires Motion for Judgment on the Pleadings, Dkt. #101, at 12 (internal quotation marks omitted). The court construes this statement as asserting that because the parties were free to contract, the provision should stand. But the one Illinois case that this court was able to locate that addresses a similar issue (</w:t>
      </w:r>
      <w:r w:rsidRPr="0036473D">
        <w:rPr>
          <w:bCs w:val="0"/>
          <w:i/>
          <w:iCs/>
        </w:rPr>
        <w:t>i.e.,</w:t>
      </w:r>
      <w:r w:rsidRPr="0036473D">
        <w:t xml:space="preserve"> whether a provision stating that former insurance agent would forfeit renewal premiums of approximately $63,250 if he represented any other life insurance company in Illinois or the surrounding 11-state area), not only concluded that such a provision was a restraint of trade, but in the process rejected the “free to contract” argument. </w:t>
      </w:r>
      <w:r w:rsidRPr="0036473D">
        <w:rPr>
          <w:bCs w:val="0"/>
          <w:i/>
          <w:iCs/>
        </w:rPr>
        <w:t>See Johnson v. Country Life Ins. Co.,</w:t>
      </w:r>
      <w:r w:rsidRPr="0036473D">
        <w:t xml:space="preserve"> 12 Ill. App. 3d 158, 300 N.E.2d 11, 14 (Ill. App. Ct. 1973). The </w:t>
      </w:r>
      <w:r w:rsidRPr="0036473D">
        <w:rPr>
          <w:bCs w:val="0"/>
          <w:i/>
          <w:iCs/>
        </w:rPr>
        <w:t>Johnson</w:t>
      </w:r>
      <w:r w:rsidRPr="0036473D">
        <w:t xml:space="preserve"> court stated that:</w:t>
      </w:r>
    </w:p>
    <w:p w14:paraId="41D90B35" w14:textId="77777777" w:rsidR="00655396" w:rsidRPr="0036473D" w:rsidRDefault="00655396" w:rsidP="008B512B">
      <w:pPr>
        <w:pStyle w:val="BQ2"/>
        <w:spacing w:line="240" w:lineRule="auto"/>
        <w:rPr>
          <w:b/>
        </w:rPr>
      </w:pPr>
      <w:r w:rsidRPr="0036473D">
        <w:t>The fact that the parties are ‘free to contract’ does not, in and of itself, operate to bestow legitimacy upon each and every provision contained in the instrument. The cases completely prohibiting the employee from pursuit of his occupation for a period of time in a specified area also arise from contract provisions into which the parties were ‘free to enter’. In such cases the courts of this State have not inclined to the view that the freedom and right to contract removes from scrutiny the provisions of the contract when it is charged that they are in restraint of trade[.] We do not agree with the proposition that since the parties are free to contract concerning renewal premiums, it necessarily follows that the provisions are not in restraint of trade.</w:t>
      </w:r>
    </w:p>
    <w:p w14:paraId="3E8FC5D3" w14:textId="77777777" w:rsidR="00655396" w:rsidRPr="0036473D" w:rsidRDefault="00655396" w:rsidP="008B512B">
      <w:pPr>
        <w:pStyle w:val="BQ"/>
        <w:spacing w:line="240" w:lineRule="auto"/>
        <w:rPr>
          <w:b/>
        </w:rPr>
      </w:pPr>
      <w:r w:rsidRPr="0036473D">
        <w:rPr>
          <w:bCs w:val="0"/>
          <w:i/>
          <w:iCs/>
        </w:rPr>
        <w:t>Id.</w:t>
      </w:r>
      <w:r w:rsidRPr="0036473D">
        <w:t xml:space="preserve"> at 14–15 (internal citations omitted).</w:t>
      </w:r>
    </w:p>
    <w:p w14:paraId="2CA4F3C3" w14:textId="77777777" w:rsidR="00655396" w:rsidRPr="0036473D" w:rsidRDefault="00655396" w:rsidP="008B512B">
      <w:pPr>
        <w:pStyle w:val="BQ"/>
        <w:spacing w:line="240" w:lineRule="auto"/>
        <w:rPr>
          <w:b/>
        </w:rPr>
      </w:pPr>
      <w:r w:rsidRPr="0036473D">
        <w:tab/>
        <w:t xml:space="preserve">Nor did the </w:t>
      </w:r>
      <w:r w:rsidRPr="0036473D">
        <w:rPr>
          <w:bCs w:val="0"/>
          <w:i/>
          <w:iCs/>
        </w:rPr>
        <w:t>Johnson</w:t>
      </w:r>
      <w:r w:rsidRPr="0036473D">
        <w:t xml:space="preserve"> court accept the contention (which WalTom echoes here) that the renewal forfeiture provision was not a restraint of trade because it did not act to prohibit the employee from working for or engaging in any competing business. The </w:t>
      </w:r>
      <w:r w:rsidRPr="0036473D">
        <w:rPr>
          <w:bCs w:val="0"/>
          <w:i/>
          <w:iCs/>
        </w:rPr>
        <w:t>Johnson</w:t>
      </w:r>
      <w:r w:rsidRPr="0036473D">
        <w:t xml:space="preserve"> court disagreed with this analysis “for the reason that it seems … to be based </w:t>
      </w:r>
      <w:r w:rsidRPr="0036473D">
        <w:lastRenderedPageBreak/>
        <w:t xml:space="preserve">upon concepts completely divorced from practical reality.” The </w:t>
      </w:r>
      <w:r w:rsidRPr="0036473D">
        <w:rPr>
          <w:bCs w:val="0"/>
          <w:i/>
          <w:iCs/>
        </w:rPr>
        <w:t>Johnson</w:t>
      </w:r>
      <w:r w:rsidRPr="0036473D">
        <w:t xml:space="preserve"> court stated that:</w:t>
      </w:r>
    </w:p>
    <w:p w14:paraId="4F285DF3" w14:textId="77777777" w:rsidR="00655396" w:rsidRPr="0036473D" w:rsidRDefault="00655396" w:rsidP="008B512B">
      <w:pPr>
        <w:pStyle w:val="BQ2"/>
        <w:spacing w:line="240" w:lineRule="auto"/>
        <w:rPr>
          <w:b/>
        </w:rPr>
      </w:pPr>
      <w:r w:rsidRPr="0036473D">
        <w:t xml:space="preserve">True, the terminated employee cannot be restrained, </w:t>
      </w:r>
      <w:r w:rsidRPr="0036473D">
        <w:rPr>
          <w:bCs w:val="0"/>
          <w:i/>
          <w:iCs/>
        </w:rPr>
        <w:t>i.e.,</w:t>
      </w:r>
      <w:r w:rsidRPr="0036473D">
        <w:t xml:space="preserve"> enjoined, from pursuing his occupation nor is he obligated to refrain from so doing, but this is only half the problem. If he does elect to engage in his occupation what consequences follow as a result of the contractual provision? He forfeits his right to commissions which he would have received but for the contractual terms, and this after he has performed all of the services required of him during his relationship with the defendant.</w:t>
      </w:r>
      <w:r w:rsidRPr="0036473D">
        <w:rPr>
          <w:rFonts w:ascii="Times New Roman" w:hAnsi="Times New Roman" w:cs="Times New Roman"/>
          <w:sz w:val="24"/>
          <w:szCs w:val="24"/>
        </w:rPr>
        <w:t> </w:t>
      </w:r>
      <w:r w:rsidRPr="0036473D">
        <w:rPr>
          <w:sz w:val="24"/>
          <w:szCs w:val="24"/>
        </w:rPr>
        <w:t>…</w:t>
      </w:r>
      <w:r w:rsidRPr="0036473D">
        <w:t xml:space="preserve"> The contract clearly extracts a penalty of significant proportions in the event that plaintiff seeks to engage in his occupation.</w:t>
      </w:r>
    </w:p>
    <w:p w14:paraId="5AA91283" w14:textId="77777777" w:rsidR="00655396" w:rsidRPr="0036473D" w:rsidRDefault="00655396" w:rsidP="008B512B">
      <w:pPr>
        <w:pStyle w:val="BQ"/>
        <w:spacing w:line="240" w:lineRule="auto"/>
        <w:rPr>
          <w:b/>
        </w:rPr>
      </w:pPr>
      <w:r w:rsidRPr="0036473D">
        <w:rPr>
          <w:bCs w:val="0"/>
          <w:i/>
          <w:iCs/>
        </w:rPr>
        <w:t>Id.</w:t>
      </w:r>
      <w:r w:rsidRPr="0036473D">
        <w:t xml:space="preserve"> at 15. The </w:t>
      </w:r>
      <w:r w:rsidRPr="0036473D">
        <w:rPr>
          <w:bCs w:val="0"/>
          <w:i/>
          <w:iCs/>
        </w:rPr>
        <w:t>Johnson</w:t>
      </w:r>
      <w:r w:rsidRPr="0036473D">
        <w:t xml:space="preserve"> court ultimately concluded that the renewal forfeiture provision was in restraint of trade. [</w:t>
      </w:r>
      <w:r w:rsidRPr="0036473D">
        <w:rPr>
          <w:bCs w:val="0"/>
          <w:i/>
          <w:iCs/>
        </w:rPr>
        <w:t>Id.</w:t>
      </w:r>
      <w:r w:rsidRPr="0036473D">
        <w:t>]</w:t>
      </w:r>
    </w:p>
    <w:p w14:paraId="23380043" w14:textId="77777777" w:rsidR="00655396" w:rsidRPr="0036473D" w:rsidRDefault="00655396" w:rsidP="008B512B">
      <w:pPr>
        <w:pStyle w:val="BQ"/>
        <w:spacing w:line="240" w:lineRule="auto"/>
        <w:rPr>
          <w:b/>
        </w:rPr>
      </w:pPr>
      <w:r w:rsidRPr="0036473D">
        <w:tab/>
        <w:t xml:space="preserve">In </w:t>
      </w:r>
      <w:r w:rsidRPr="0036473D">
        <w:rPr>
          <w:bCs w:val="0"/>
          <w:i/>
          <w:iCs/>
        </w:rPr>
        <w:t>Johnson,</w:t>
      </w:r>
      <w:r w:rsidRPr="0036473D">
        <w:t xml:space="preserve"> the plaintiff “testified that he could reasonably expect to receive $63,250.00 in renewals from business that was ‘already on the books’ when he was terminated.” </w:t>
      </w:r>
      <w:r w:rsidRPr="0036473D">
        <w:rPr>
          <w:bCs w:val="0"/>
          <w:i/>
          <w:iCs/>
        </w:rPr>
        <w:t>Id.</w:t>
      </w:r>
      <w:r w:rsidRPr="0036473D">
        <w:t xml:space="preserve"> at 12. Here, it is undisputed that WalTom estimated that at the time the Driving Agreement was executed it could earn about $7 million from Bires pursuant to the royalties provision. If $63,250 was a sufficient penalty in 1973 to constitute a restraint of trade, then $7 million in 2006, the year the Driving Agreement was executed, most certainly is.</w:t>
      </w:r>
    </w:p>
    <w:p w14:paraId="366EC78F" w14:textId="77777777" w:rsidR="00655396" w:rsidRPr="0036473D" w:rsidRDefault="00655396" w:rsidP="008B512B">
      <w:pPr>
        <w:pStyle w:val="BodyText"/>
        <w:spacing w:line="240" w:lineRule="auto"/>
        <w:rPr>
          <w:sz w:val="20"/>
          <w:szCs w:val="20"/>
        </w:rPr>
      </w:pPr>
    </w:p>
    <w:p w14:paraId="52EA7BC9" w14:textId="77777777" w:rsidR="00655396" w:rsidRPr="0036473D" w:rsidRDefault="00655396" w:rsidP="008B512B">
      <w:pPr>
        <w:pStyle w:val="BodyText"/>
        <w:spacing w:line="240" w:lineRule="auto"/>
      </w:pPr>
      <w:r w:rsidRPr="0036473D">
        <w:rPr>
          <w:i/>
          <w:iCs/>
        </w:rPr>
        <w:t xml:space="preserve">Id. </w:t>
      </w:r>
      <w:r w:rsidRPr="0036473D">
        <w:t xml:space="preserve">at 1031–32 (footnote omitted; noting, </w:t>
      </w:r>
      <w:r w:rsidRPr="0036473D">
        <w:rPr>
          <w:i/>
          <w:iCs/>
        </w:rPr>
        <w:t xml:space="preserve">id. </w:t>
      </w:r>
      <w:r w:rsidRPr="0036473D">
        <w:t xml:space="preserve">at 1032 n.5, that $63,250 was worth approximately $286,866.14 in 2006, the year in which the parties’ driving agreement was executed, using the Consumer Price Index as a measure of relative worth; based on the court’s holding in </w:t>
      </w:r>
      <w:r w:rsidRPr="0036473D">
        <w:rPr>
          <w:i/>
          <w:iCs/>
        </w:rPr>
        <w:t>Johnson,</w:t>
      </w:r>
      <w:r w:rsidRPr="0036473D">
        <w:t xml:space="preserve"> concluding, </w:t>
      </w:r>
      <w:r w:rsidRPr="0036473D">
        <w:rPr>
          <w:i/>
          <w:iCs/>
        </w:rPr>
        <w:t xml:space="preserve">id. </w:t>
      </w:r>
      <w:r w:rsidRPr="0036473D">
        <w:t>at 1033, that the royalties provision in the instant case “imposes a sufficient penalty such that it is subject to the same reasonableness requirements as a covenant not to compete”).</w:t>
      </w:r>
    </w:p>
    <w:p w14:paraId="089BA8C3" w14:textId="77777777" w:rsidR="00655396" w:rsidRPr="0036473D" w:rsidRDefault="00655396" w:rsidP="008B512B">
      <w:pPr>
        <w:pStyle w:val="BodyText"/>
        <w:spacing w:line="240" w:lineRule="auto"/>
        <w:rPr>
          <w:sz w:val="20"/>
          <w:szCs w:val="20"/>
        </w:rPr>
      </w:pPr>
    </w:p>
    <w:p w14:paraId="56A5F30A" w14:textId="77777777" w:rsidR="00655396" w:rsidRPr="0036473D" w:rsidRDefault="00655396" w:rsidP="008B512B">
      <w:pPr>
        <w:pStyle w:val="AdditionalTopicsSectionHeadings"/>
        <w:spacing w:line="240" w:lineRule="auto"/>
        <w:rPr>
          <w:b w:val="0"/>
        </w:rPr>
      </w:pPr>
      <w:r w:rsidRPr="0036473D">
        <w:rPr>
          <w:b w:val="0"/>
        </w:rPr>
        <w:t>Rules of Professional Conduct, Rule 5.6</w:t>
      </w:r>
    </w:p>
    <w:p w14:paraId="3769BB4C" w14:textId="77777777" w:rsidR="00655396" w:rsidRDefault="00655396" w:rsidP="008B512B">
      <w:pPr>
        <w:pStyle w:val="BodyText"/>
        <w:spacing w:line="240" w:lineRule="auto"/>
        <w:rPr>
          <w:sz w:val="20"/>
          <w:szCs w:val="20"/>
        </w:rPr>
      </w:pPr>
    </w:p>
    <w:p w14:paraId="6E432554" w14:textId="77777777" w:rsidR="00655396" w:rsidRDefault="00655396" w:rsidP="008B512B">
      <w:pPr>
        <w:pStyle w:val="BodyText"/>
        <w:spacing w:line="240" w:lineRule="auto"/>
      </w:pPr>
      <w:r>
        <w:tab/>
        <w:t>Rule 5.6(a) of the Illinois Rules of Professional Conduct provides that a lawyer shall not participate in offering or making</w:t>
      </w:r>
    </w:p>
    <w:p w14:paraId="20FBF5BD" w14:textId="77777777" w:rsidR="00655396" w:rsidRDefault="00655396" w:rsidP="008B512B">
      <w:pPr>
        <w:pStyle w:val="BodyText"/>
        <w:spacing w:line="240" w:lineRule="auto"/>
        <w:rPr>
          <w:sz w:val="20"/>
          <w:szCs w:val="20"/>
        </w:rPr>
      </w:pPr>
    </w:p>
    <w:p w14:paraId="7D0F0EA0" w14:textId="7777777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 partnership or employment agreement that restricts the rights of a lawyer to practice after termination of the relationship, except an agreement concerning benefits upon retirement[.]</w:t>
      </w:r>
    </w:p>
    <w:p w14:paraId="45B10E74" w14:textId="77777777" w:rsidR="00655396" w:rsidRDefault="00655396" w:rsidP="008B512B">
      <w:pPr>
        <w:pStyle w:val="BodyText"/>
        <w:spacing w:line="240" w:lineRule="auto"/>
      </w:pPr>
    </w:p>
    <w:p w14:paraId="34845B92" w14:textId="77777777" w:rsidR="00655396" w:rsidRDefault="00655396" w:rsidP="008B512B">
      <w:pPr>
        <w:pStyle w:val="BodyText"/>
        <w:spacing w:line="240" w:lineRule="auto"/>
      </w:pPr>
      <w:r>
        <w:t>134 Ill. 2d R. 5.6(a) (effective on August 1, 1990).</w:t>
      </w:r>
    </w:p>
    <w:p w14:paraId="54B9CB4D" w14:textId="163C5B42" w:rsidR="00655396" w:rsidRDefault="00655396" w:rsidP="008B512B">
      <w:pPr>
        <w:pStyle w:val="BodyText"/>
        <w:spacing w:line="240" w:lineRule="auto"/>
      </w:pPr>
      <w:r>
        <w:lastRenderedPageBreak/>
        <w:tab/>
        <w:t>The predecessor to Rule 5.6(a)—Rule 2-108 of the Illinois Code of Professional Responsibility—did not contain a similar restriction.</w:t>
      </w:r>
      <w:r w:rsidR="00FB1D09">
        <w:t xml:space="preserve"> </w:t>
      </w:r>
      <w:r>
        <w:rPr>
          <w:i/>
          <w:iCs/>
        </w:rPr>
        <w:t>Dowd &amp; Dowd, Ltd. v. Gleason</w:t>
      </w:r>
      <w:r>
        <w:t>, 181 Ill. 2d 460, 480, 230 Ill. Dec. 229, 240, 693 N.E.2d 358, 369 (1998).</w:t>
      </w:r>
    </w:p>
    <w:p w14:paraId="76B92BF3" w14:textId="5A337BBC" w:rsidR="00655396" w:rsidRDefault="00655396" w:rsidP="008B512B">
      <w:pPr>
        <w:pStyle w:val="BodyText"/>
        <w:spacing w:line="240" w:lineRule="auto"/>
      </w:pPr>
      <w:r>
        <w:tab/>
        <w:t>Rule 5.6(a) “is designed both to afford clients greater freedom in choosing counsel and to protect lawyers from onerous conditions that would unduly limit their mobility.”</w:t>
      </w:r>
      <w:r w:rsidR="00FB1D09">
        <w:t xml:space="preserve"> </w:t>
      </w:r>
      <w:r>
        <w:rPr>
          <w:i/>
          <w:iCs/>
        </w:rPr>
        <w:t>Id.</w:t>
      </w:r>
      <w:r>
        <w:t xml:space="preserve"> at 481, 230 Ill. Dec. at</w:t>
      </w:r>
      <w:r w:rsidR="00FB1D09">
        <w:t xml:space="preserve"> </w:t>
      </w:r>
      <w:r>
        <w:t xml:space="preserve">240, 693 N.E.2d at 369 (citing 2 </w:t>
      </w:r>
      <w:r>
        <w:rPr>
          <w:smallCaps/>
        </w:rPr>
        <w:t>G. Hazard &amp; W. Hodes, The Law of Lawyering</w:t>
      </w:r>
      <w:r w:rsidR="00D47546">
        <w:rPr>
          <w:smallCaps/>
        </w:rPr>
        <w:t xml:space="preserve">: </w:t>
      </w:r>
      <w:r>
        <w:rPr>
          <w:smallCaps/>
        </w:rPr>
        <w:t>A Handbook on the Model Rules of Professional Conduct</w:t>
      </w:r>
      <w:r>
        <w:t xml:space="preserve"> §5:6:201, at 824 (Supp. 1997)).</w:t>
      </w:r>
      <w:r w:rsidR="00FB1D09">
        <w:t xml:space="preserve"> </w:t>
      </w:r>
      <w:r>
        <w:rPr>
          <w:i/>
          <w:iCs/>
        </w:rPr>
        <w:t>See also</w:t>
      </w:r>
      <w:r>
        <w:t xml:space="preserve"> George M. Cohen, </w:t>
      </w:r>
      <w:r>
        <w:rPr>
          <w:i/>
          <w:iCs/>
        </w:rPr>
        <w:t>The Multilawyered Problems of Professional Responsibility</w:t>
      </w:r>
      <w:r>
        <w:t xml:space="preserve">, 2003 </w:t>
      </w:r>
      <w:r>
        <w:rPr>
          <w:smallCaps/>
        </w:rPr>
        <w:t xml:space="preserve">U. Ill. L. Rev. </w:t>
      </w:r>
      <w:r>
        <w:t xml:space="preserve">1409, 1472 (2003) (“an expansion of the ban on covenants not to compete more definitely includes co-counsel and similar relationships;” quoting in citing </w:t>
      </w:r>
      <w:r>
        <w:rPr>
          <w:smallCaps/>
        </w:rPr>
        <w:t xml:space="preserve">Model R. Prof’l Conduct </w:t>
      </w:r>
      <w:r>
        <w:t xml:space="preserve">R. 5.6(a) (Rev. 2000) (“A lawyer shall not participate in offering or making </w:t>
      </w:r>
      <w:r w:rsidR="00944F63">
        <w:t>…</w:t>
      </w:r>
      <w:r>
        <w:t xml:space="preserve"> a partnership, shareholders, operating, employment, or other similar type of agreement that restricts the right of a lawyer to practice after termination of the relationship, except an agreement concerning benefits upon retirement.”)</w:t>
      </w:r>
      <w:r w:rsidR="00D47546">
        <w:t xml:space="preserve">; </w:t>
      </w:r>
      <w:r>
        <w:rPr>
          <w:smallCaps/>
        </w:rPr>
        <w:t>Restatement (Third) of Law Governing Lawyers</w:t>
      </w:r>
      <w:r>
        <w:t xml:space="preserve"> §9(3) (2000) (“Absent an agreement with the firm providing a more permissive rule, a lawyer leaving a law firm may solicit firm clients</w:t>
      </w:r>
      <w:r w:rsidR="00D47546">
        <w:t xml:space="preserve">: </w:t>
      </w:r>
      <w:r>
        <w:t>(a) prior to leaving the firm</w:t>
      </w:r>
      <w:r w:rsidR="00D47546">
        <w:t xml:space="preserve">: </w:t>
      </w:r>
      <w:r>
        <w:t>(i) only with respect to firm clients on whose matters the lawyer is actively and substantially working</w:t>
      </w:r>
      <w:r w:rsidR="00D47546">
        <w:t xml:space="preserve">; </w:t>
      </w:r>
      <w:r>
        <w:t>and (ii) only after the lawyer has adequately and timely informed the firm of the lawyer’s intent to contact firm clients for that purpose</w:t>
      </w:r>
      <w:r w:rsidR="00D47546">
        <w:t xml:space="preserve">; </w:t>
      </w:r>
      <w:r>
        <w:t xml:space="preserve">and (b) after ceasing employment in the firm, to the same extent as any other nonfirm lawyer.”)); </w:t>
      </w:r>
      <w:r>
        <w:rPr>
          <w:smallCaps/>
        </w:rPr>
        <w:t>ABA-BNA Lawyers’ Manual on Professional Conduct</w:t>
      </w:r>
      <w:r>
        <w:t>, §51:1201 (</w:t>
      </w:r>
      <w:r>
        <w:rPr>
          <w:i/>
          <w:iCs/>
        </w:rPr>
        <w:t>Conflicts of Interest—Restrictions on the Right to Practice</w:t>
      </w:r>
      <w:r>
        <w:t>) et seq., and §91:710 (</w:t>
      </w:r>
      <w:r>
        <w:rPr>
          <w:i/>
          <w:iCs/>
        </w:rPr>
        <w:t>Types of Practice—Private Firms—Withdrawal and Termination—Restrictive Covenants</w:t>
      </w:r>
      <w:r>
        <w:t>) et seq.</w:t>
      </w:r>
    </w:p>
    <w:p w14:paraId="38D80775" w14:textId="034F0363" w:rsidR="00655396" w:rsidRDefault="00655396" w:rsidP="008B512B">
      <w:pPr>
        <w:pStyle w:val="BodyText"/>
        <w:spacing w:line="240" w:lineRule="auto"/>
      </w:pPr>
      <w:r>
        <w:tab/>
        <w:t>A law firm retirement plan that conditions the payment of retirement benefits on the cessation of the practice of law is enforceable and not contrary to public policy despite the general prohibition of covenants not to compete between lawyers.</w:t>
      </w:r>
      <w:r w:rsidR="00FB1D09">
        <w:t xml:space="preserve"> </w:t>
      </w:r>
      <w:r>
        <w:rPr>
          <w:i/>
          <w:iCs/>
        </w:rPr>
        <w:t>Hoff v. Mayer, Brown &amp; Platt</w:t>
      </w:r>
      <w:r>
        <w:t xml:space="preserve">, 331 Ill. App. 3d 732, 265 Ill. Dec. 225, 772 N.E.2d 263 (1st Dist. 2002), </w:t>
      </w:r>
      <w:r>
        <w:rPr>
          <w:i/>
          <w:iCs/>
        </w:rPr>
        <w:t>appeal denied by Hoff v. Mayer, Brown &amp; Platt</w:t>
      </w:r>
      <w:r>
        <w:t>, 201 Ill. 2d 567, 271 Ill. Dec. 925, 786 N.E.2d 183 (Ill. 2002).</w:t>
      </w:r>
    </w:p>
    <w:p w14:paraId="52A2E8D9" w14:textId="5DECF921" w:rsidR="00655396" w:rsidRDefault="00655396" w:rsidP="008B512B">
      <w:pPr>
        <w:pStyle w:val="BodyText"/>
        <w:spacing w:line="240" w:lineRule="auto"/>
      </w:pPr>
      <w:r>
        <w:tab/>
        <w:t xml:space="preserve">The retirement plan at issue in </w:t>
      </w:r>
      <w:r>
        <w:rPr>
          <w:i/>
          <w:iCs/>
        </w:rPr>
        <w:t xml:space="preserve">Hoff </w:t>
      </w:r>
      <w:r>
        <w:t>stated in relevant part</w:t>
      </w:r>
      <w:r w:rsidR="00D47546">
        <w:t xml:space="preserve">: </w:t>
      </w:r>
      <w:r>
        <w:t xml:space="preserve">“If a </w:t>
      </w:r>
      <w:r>
        <w:lastRenderedPageBreak/>
        <w:t xml:space="preserve">member’s membership in the firm is terminated by reason of his or her retirement on a retirement date </w:t>
      </w:r>
      <w:r w:rsidR="00944F63">
        <w:t>…</w:t>
      </w:r>
      <w:r>
        <w:t xml:space="preserve"> he or she will be provided with a retirement income in an amount determined in accordance with the provisions of subsection 3.3.”</w:t>
      </w:r>
      <w:r w:rsidR="00FB1D09">
        <w:t xml:space="preserve"> </w:t>
      </w:r>
      <w:r>
        <w:rPr>
          <w:i/>
          <w:iCs/>
        </w:rPr>
        <w:t>Hoff,</w:t>
      </w:r>
      <w:r>
        <w:t xml:space="preserve"> 331 Ill. App. 3d at 734, 265 Ill. Dec. at 227, 772 N.E.2d at 265.</w:t>
      </w:r>
      <w:r w:rsidR="00FB1D09">
        <w:t xml:space="preserve"> </w:t>
      </w:r>
      <w:r>
        <w:t>Another relevant section of the retirement plan stated that a partner younger than 65 would not be deemed to have retired unless he or she substantially ceased the active practice of law on a permanent basis.</w:t>
      </w:r>
      <w:r w:rsidR="00FB1D09">
        <w:t xml:space="preserve"> </w:t>
      </w:r>
      <w:r>
        <w:rPr>
          <w:i/>
          <w:iCs/>
        </w:rPr>
        <w:t>Id.</w:t>
      </w:r>
      <w:r>
        <w:t xml:space="preserve"> at 734–35, 265 Ill. Dec. at 228, 772 N.E.2d at 266.</w:t>
      </w:r>
      <w:r w:rsidR="00FB1D09">
        <w:t xml:space="preserve"> </w:t>
      </w:r>
      <w:r>
        <w:t>The retiring lawyer had</w:t>
      </w:r>
      <w:r w:rsidR="00FB1D09">
        <w:t xml:space="preserve"> </w:t>
      </w:r>
      <w:r>
        <w:t>argued that the law firm’s retirement plan was for all intents and purposes a restrictive covenant and therefore contrary to Illinois public policy.</w:t>
      </w:r>
      <w:r w:rsidR="00FB1D09">
        <w:t xml:space="preserve"> </w:t>
      </w:r>
      <w:r>
        <w:t>He based his contention on Rule 5.6(a) of the Illinois Rules of Professional Conduct, which prohibits lawyers from participating in agreements that restrict their right to practice law.</w:t>
      </w:r>
      <w:r w:rsidR="00FB1D09">
        <w:t xml:space="preserve"> </w:t>
      </w:r>
      <w:r>
        <w:rPr>
          <w:i/>
          <w:iCs/>
        </w:rPr>
        <w:t>Id.</w:t>
      </w:r>
      <w:r>
        <w:t xml:space="preserve"> at 735, 265 Ill. Dec. at 228, 772 N.E.2d at 266 (pursuant to Rule 5.6(a), a lawyer shall not participate in an agreement that restricts his or her right to practice law after termination of the employment relationship).</w:t>
      </w:r>
      <w:r w:rsidR="00FB1D09">
        <w:t xml:space="preserve"> </w:t>
      </w:r>
      <w:r>
        <w:t>The court, however, noted that Rule 5.6(a) provides an exception to the general rule that noncompetition agreements between lawyers are generally unenforceable</w:t>
      </w:r>
      <w:r w:rsidR="00D47546">
        <w:t xml:space="preserve">; </w:t>
      </w:r>
      <w:r>
        <w:t>an agreement concerning benefits upon retirement, which restricts competition, is exempt from the general rule.</w:t>
      </w:r>
      <w:r w:rsidR="00FB1D09">
        <w:t xml:space="preserve"> </w:t>
      </w:r>
      <w:r>
        <w:rPr>
          <w:i/>
          <w:iCs/>
        </w:rPr>
        <w:t>Id.</w:t>
      </w:r>
      <w:r>
        <w:t xml:space="preserve"> at 735–36, 265 Ill. Dec. at 228–29, 772 N.E.2d at 266–67 (citing </w:t>
      </w:r>
      <w:r>
        <w:rPr>
          <w:smallCaps/>
        </w:rPr>
        <w:t>Annotated Model Rules of Professional Conduct</w:t>
      </w:r>
      <w:r>
        <w:t xml:space="preserve"> 466–67</w:t>
      </w:r>
      <w:r w:rsidR="00FB1D09">
        <w:t xml:space="preserve"> </w:t>
      </w:r>
      <w:r>
        <w:t>(4th ed. 1999) (“[W]hen a lawyer is retiring or winding up his or her affairs with a firm, the lawyer’s receipt of full retirement benefits entails an assumption that he or she is truly retiring from practice.</w:t>
      </w:r>
      <w:r w:rsidR="00FB1D09">
        <w:t xml:space="preserve"> </w:t>
      </w:r>
      <w:r>
        <w:t xml:space="preserve">This </w:t>
      </w:r>
      <w:r w:rsidR="00944F63">
        <w:t>…</w:t>
      </w:r>
      <w:r>
        <w:t xml:space="preserve"> suggests that the lawyer may be required to agree to ‘stay retired’ as a condition of the settlement”)).</w:t>
      </w:r>
    </w:p>
    <w:p w14:paraId="4ECBA266" w14:textId="08D25F65" w:rsidR="00655396" w:rsidRDefault="00655396" w:rsidP="008B512B">
      <w:pPr>
        <w:pStyle w:val="BodyText"/>
        <w:spacing w:line="240" w:lineRule="auto"/>
      </w:pPr>
      <w:r>
        <w:tab/>
        <w:t xml:space="preserve">The </w:t>
      </w:r>
      <w:r>
        <w:rPr>
          <w:i/>
          <w:iCs/>
        </w:rPr>
        <w:t xml:space="preserve">Hoff </w:t>
      </w:r>
      <w:r>
        <w:t>court looked to the Annotated Model Rules of Professional Conduct’s position that retirement provisions in law firm employment agreements categorizing a departure from a law firm as a “retirement” solely to restrict a lawyer’s right to practice law have been rejected by the courts.</w:t>
      </w:r>
      <w:r w:rsidR="00FB1D09">
        <w:t xml:space="preserve"> </w:t>
      </w:r>
      <w:r>
        <w:rPr>
          <w:i/>
          <w:iCs/>
        </w:rPr>
        <w:t>Hoff,</w:t>
      </w:r>
      <w:r>
        <w:t xml:space="preserve"> 331 Ill. App. 3d at 739, 265 Ill. Dec. at 231, 772 N.E.2d at 269.</w:t>
      </w:r>
      <w:r w:rsidR="00FB1D09">
        <w:t xml:space="preserve"> </w:t>
      </w:r>
      <w:r>
        <w:t>The court found that the law firm’s retirement plan did not categorize former member Hoff’s departure as “retirement” solely to limit his right to practice law.</w:t>
      </w:r>
      <w:r w:rsidR="00FB1D09">
        <w:t xml:space="preserve"> </w:t>
      </w:r>
      <w:r>
        <w:t>The plan defined “retirement” for purposes of receiving future benefits.</w:t>
      </w:r>
      <w:r w:rsidR="00FB1D09">
        <w:t xml:space="preserve"> </w:t>
      </w:r>
      <w:r>
        <w:t xml:space="preserve">Accordingly, the court held that the lawyer had surrendered his retirement benefits by resigning and continuing to practice law at another law </w:t>
      </w:r>
      <w:r>
        <w:lastRenderedPageBreak/>
        <w:t>firm.</w:t>
      </w:r>
      <w:r w:rsidR="00FB1D09">
        <w:t xml:space="preserve"> </w:t>
      </w:r>
      <w:r>
        <w:t>The plan struck a proper balance between the public’s interest in choosing a lawyer and a law firm’s interest in maintaining income.</w:t>
      </w:r>
      <w:r w:rsidR="00FB1D09">
        <w:t xml:space="preserve"> </w:t>
      </w:r>
      <w:r>
        <w:rPr>
          <w:i/>
          <w:iCs/>
        </w:rPr>
        <w:t>Id.</w:t>
      </w:r>
      <w:r>
        <w:t xml:space="preserve"> at 739–40, 265 Ill. Dec. at 231–32, 772 N.E.2d at 269–70 (quoting </w:t>
      </w:r>
      <w:r>
        <w:rPr>
          <w:i/>
          <w:iCs/>
        </w:rPr>
        <w:t>Schoonmaker v. Cummings &amp; Lockwood of Conn., P.C.,</w:t>
      </w:r>
      <w:r>
        <w:t xml:space="preserve"> 252 Conn. 216, 440, 747 A.2d 1017, 1031 (2000) (“It would be illogical to expect law firms to pay out large sums of cash to departing lawyers while fearing that their cash flow will be threatened by competing lawyers and the loss of potential clients.</w:t>
      </w:r>
      <w:r w:rsidR="00FB1D09">
        <w:t xml:space="preserve"> </w:t>
      </w:r>
      <w:r>
        <w:t xml:space="preserve">Implicit in the retirement benefits exception </w:t>
      </w:r>
      <w:r w:rsidR="00944F63">
        <w:t>…</w:t>
      </w:r>
      <w:r>
        <w:t xml:space="preserve"> is the notion that the public’s interest in fostering liberal competition among practitioners must be balanced against a law firm’s interest in maintaining a steady income flow for the purpose of providing former members with substantial remuneration upon retirement”)).</w:t>
      </w:r>
    </w:p>
    <w:p w14:paraId="75220D86" w14:textId="2CEDA412" w:rsidR="00655396" w:rsidRDefault="00655396" w:rsidP="008B512B">
      <w:pPr>
        <w:pStyle w:val="BodyText"/>
        <w:spacing w:line="240" w:lineRule="auto"/>
      </w:pPr>
      <w:r>
        <w:tab/>
        <w:t xml:space="preserve">Rule of Professional Conduct 5.6 was also addressed by an Illinois court of appeals in </w:t>
      </w:r>
      <w:r>
        <w:rPr>
          <w:i/>
          <w:iCs/>
        </w:rPr>
        <w:t>Dowd &amp;</w:t>
      </w:r>
      <w:r>
        <w:t xml:space="preserve"> </w:t>
      </w:r>
      <w:r>
        <w:rPr>
          <w:i/>
          <w:iCs/>
        </w:rPr>
        <w:t>Dowd, Ltd. v. Gleason</w:t>
      </w:r>
      <w:r>
        <w:t>, 352 Ill. App. 3d 365, 816 N.E.2d 754 (1st Dist. 2004).</w:t>
      </w:r>
      <w:r w:rsidR="00FB1D09">
        <w:t xml:space="preserve"> </w:t>
      </w:r>
      <w:r>
        <w:t>On appeal from a judgment entered in favor of a law firm (and against former partners who had moved business to their new firm) for breach of fiduciary duty, breach of employment contracts, tortious interference with prospective economic advantage, and civil conspiracy, the court addressed the question of the enforceability of noncompetition covenants in employment agreements in light of Rule 5.6 of the Rules of Professional Conduct.</w:t>
      </w:r>
      <w:r w:rsidR="00FB1D09">
        <w:t xml:space="preserve"> </w:t>
      </w:r>
      <w:r>
        <w:t>The court affirmed the finding of breach of fiduciary duty, finding a similarity of the principles of fiduciary duties of</w:t>
      </w:r>
      <w:r w:rsidR="00FB1D09">
        <w:t xml:space="preserve"> </w:t>
      </w:r>
      <w:r>
        <w:t>lawyers, on one hand, and those of nonlawyer corporate officers and directors, on the other.</w:t>
      </w:r>
      <w:r w:rsidR="00FB1D09">
        <w:t xml:space="preserve"> </w:t>
      </w:r>
      <w:r>
        <w:t>Secretly attempting to lure firm clients to a new law firm, lying to partners about plans to leave on short notice, and taking files and clients are all inconsistent with a partner’s fiduciary duties, according to the court.</w:t>
      </w:r>
    </w:p>
    <w:p w14:paraId="366DD227" w14:textId="77777777" w:rsidR="00655396" w:rsidRDefault="00655396" w:rsidP="008B512B">
      <w:pPr>
        <w:pStyle w:val="BodyText"/>
        <w:spacing w:line="240" w:lineRule="auto"/>
      </w:pPr>
    </w:p>
    <w:p w14:paraId="2E240167" w14:textId="77DAF789" w:rsidR="00655396" w:rsidRDefault="00655396" w:rsidP="008B512B">
      <w:pPr>
        <w:pStyle w:val="BodyText"/>
        <w:spacing w:line="240" w:lineRule="auto"/>
      </w:pPr>
      <w:r>
        <w:tab/>
      </w:r>
      <w:r>
        <w:rPr>
          <w:b/>
          <w:bCs/>
        </w:rPr>
        <w:t>•</w:t>
      </w:r>
      <w:r>
        <w:t xml:space="preserve"> </w:t>
      </w:r>
      <w:r>
        <w:rPr>
          <w:i/>
          <w:iCs/>
        </w:rPr>
        <w:t>Retroactive effect of Rule 5.6(a)</w:t>
      </w:r>
      <w:r>
        <w:t>.</w:t>
      </w:r>
      <w:r w:rsidR="00FB1D09">
        <w:t xml:space="preserve"> </w:t>
      </w:r>
      <w:r>
        <w:t>Rule 5.6(a) has retroactive effect</w:t>
      </w:r>
      <w:r w:rsidR="00D47546">
        <w:t xml:space="preserve">; </w:t>
      </w:r>
      <w:r>
        <w:t>thus, except for agreements concerning benefits payable upon retirement, Rule 5.6 bars enforcement of covenants in partnership or employment agreements—executed on, before, or after the August 1, 1990 effective date of the rule—that restrict the rights of a lawyer to practice after termination of the relationship.</w:t>
      </w:r>
      <w:r w:rsidR="00FB1D09">
        <w:t xml:space="preserve"> </w:t>
      </w:r>
      <w:r>
        <w:rPr>
          <w:i/>
          <w:iCs/>
        </w:rPr>
        <w:t>Dowd &amp; Dowd, Ltd. v. Gleason</w:t>
      </w:r>
      <w:r>
        <w:t>, 181 Ill. 2d 460, 481, 230 Ill. Dec. 229, 240, 693 N.E.2d 358, 369 (1998).</w:t>
      </w:r>
      <w:r w:rsidR="00FB1D09">
        <w:t xml:space="preserve"> </w:t>
      </w:r>
      <w:r>
        <w:t xml:space="preserve">In </w:t>
      </w:r>
      <w:r>
        <w:rPr>
          <w:i/>
          <w:iCs/>
        </w:rPr>
        <w:t>Dowd &amp; Dowd</w:t>
      </w:r>
      <w:r>
        <w:t>, the Illinois Supreme Court explained:</w:t>
      </w:r>
    </w:p>
    <w:p w14:paraId="3656A116" w14:textId="77777777" w:rsidR="00655396" w:rsidRDefault="00655396" w:rsidP="008B512B">
      <w:pPr>
        <w:pStyle w:val="BodyText"/>
        <w:spacing w:line="240" w:lineRule="auto"/>
      </w:pPr>
    </w:p>
    <w:p w14:paraId="346EAC93" w14:textId="5AF07942"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Contrary to the plaintiff’s argument, the prohibition of [Rule 5.6] is not expressed in the future tense and is not limited by its terms to contract provisions formed after its effective date.</w:t>
      </w:r>
      <w:r w:rsidR="00FB1D09">
        <w:rPr>
          <w:rFonts w:ascii="Baskerville" w:hAnsi="Baskerville" w:cs="Baskerville"/>
          <w:sz w:val="22"/>
          <w:szCs w:val="22"/>
        </w:rPr>
        <w:t xml:space="preserve"> </w:t>
      </w:r>
      <w:r>
        <w:rPr>
          <w:rFonts w:ascii="Baskerville" w:hAnsi="Baskerville" w:cs="Baskerville"/>
          <w:sz w:val="22"/>
          <w:szCs w:val="22"/>
        </w:rPr>
        <w:t>We recognize, of course, that Rule 2-108 of the Code of Professional Responsibility, the predecessor to Rule 5.6, did not contain a similar prohibition.</w:t>
      </w:r>
      <w:r w:rsidR="00FB1D09">
        <w:rPr>
          <w:rFonts w:ascii="Baskerville" w:hAnsi="Baskerville" w:cs="Baskerville"/>
          <w:sz w:val="22"/>
          <w:szCs w:val="22"/>
        </w:rPr>
        <w:t xml:space="preserve"> </w:t>
      </w:r>
      <w:r>
        <w:rPr>
          <w:rFonts w:ascii="Baskerville" w:hAnsi="Baskerville" w:cs="Baskerville"/>
          <w:sz w:val="22"/>
          <w:szCs w:val="22"/>
        </w:rPr>
        <w:t>Still, “the law cannot enforce a contract which it prohibits” (</w:t>
      </w:r>
      <w:r>
        <w:rPr>
          <w:rFonts w:ascii="Baskerville" w:hAnsi="Baskerville" w:cs="Baskerville"/>
          <w:i/>
          <w:iCs/>
          <w:sz w:val="22"/>
          <w:szCs w:val="22"/>
        </w:rPr>
        <w:t>Sibley v. Health &amp; Hospitals Governing Comm’n</w:t>
      </w:r>
      <w:r>
        <w:rPr>
          <w:rFonts w:ascii="Baskerville" w:hAnsi="Baskerville" w:cs="Baskerville"/>
          <w:sz w:val="22"/>
          <w:szCs w:val="22"/>
        </w:rPr>
        <w:t>, 22 Ill. App. 3d 632, 637, 317 N.E.2d 642 (1974)), and we believe that enforcement of the provisions at issue would violate the important considerations that [underlie] the prohibition found in Rule 5.6.</w:t>
      </w:r>
    </w:p>
    <w:p w14:paraId="14DF463E" w14:textId="77777777" w:rsidR="00655396" w:rsidRDefault="00655396" w:rsidP="008B512B">
      <w:pPr>
        <w:pStyle w:val="BodyText"/>
        <w:spacing w:line="240" w:lineRule="auto"/>
      </w:pPr>
    </w:p>
    <w:p w14:paraId="54966CE6" w14:textId="77777777" w:rsidR="00655396" w:rsidRDefault="00655396" w:rsidP="008B512B">
      <w:pPr>
        <w:pStyle w:val="BodyText"/>
        <w:spacing w:line="240" w:lineRule="auto"/>
      </w:pPr>
      <w:r>
        <w:rPr>
          <w:i/>
          <w:iCs/>
        </w:rPr>
        <w:t>Id.</w:t>
      </w:r>
      <w:r>
        <w:t>, 230 Ill. Dec. at 240, 693 N.E.2d at 369.</w:t>
      </w:r>
    </w:p>
    <w:p w14:paraId="29DC8C1F" w14:textId="77777777" w:rsidR="00655396" w:rsidRDefault="00655396" w:rsidP="008B512B">
      <w:pPr>
        <w:pStyle w:val="BodyText"/>
        <w:spacing w:line="240" w:lineRule="auto"/>
      </w:pPr>
    </w:p>
    <w:p w14:paraId="0CF84F91" w14:textId="219F22F5" w:rsidR="00655396" w:rsidRDefault="00655396" w:rsidP="008B512B">
      <w:pPr>
        <w:pStyle w:val="BodyText"/>
        <w:spacing w:line="240" w:lineRule="auto"/>
      </w:pPr>
      <w:r>
        <w:tab/>
      </w:r>
      <w:r>
        <w:rPr>
          <w:b/>
          <w:bCs/>
        </w:rPr>
        <w:t>••</w:t>
      </w:r>
      <w:r w:rsidR="00FB1D09">
        <w:t xml:space="preserve"> </w:t>
      </w:r>
      <w:r>
        <w:rPr>
          <w:i/>
          <w:iCs/>
        </w:rPr>
        <w:t>No unconstitutional impairment of contracts is wrought by retroactive application of Rule 5.6(a) to covenants executed prior to its August 1, 1990, effective date</w:t>
      </w:r>
      <w:r>
        <w:t>.</w:t>
      </w:r>
      <w:r w:rsidR="00FB1D09">
        <w:t xml:space="preserve"> </w:t>
      </w:r>
      <w:r>
        <w:t xml:space="preserve">In </w:t>
      </w:r>
      <w:r>
        <w:rPr>
          <w:i/>
          <w:iCs/>
        </w:rPr>
        <w:t>Dowd &amp; Dowd, Ltd. v. Gleason</w:t>
      </w:r>
      <w:r>
        <w:t xml:space="preserve">, 181 Ill. 2d 460, 230 Ill. Dec. 229, 693 N.E.2d 358 (1998), the Illinois Supreme Court </w:t>
      </w:r>
      <w:r>
        <w:br/>
        <w:t>observed:</w:t>
      </w:r>
    </w:p>
    <w:p w14:paraId="2D111A09" w14:textId="77777777" w:rsidR="00655396" w:rsidRDefault="00655396" w:rsidP="008B512B">
      <w:pPr>
        <w:pStyle w:val="BodyText"/>
        <w:spacing w:line="240" w:lineRule="auto"/>
      </w:pPr>
    </w:p>
    <w:p w14:paraId="04209321" w14:textId="78573AD9"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The plaintiff </w:t>
      </w:r>
      <w:r w:rsidR="00944F63">
        <w:rPr>
          <w:rFonts w:ascii="Baskerville" w:hAnsi="Baskerville" w:cs="Baskerville"/>
          <w:sz w:val="22"/>
          <w:szCs w:val="22"/>
        </w:rPr>
        <w:t>…</w:t>
      </w:r>
      <w:r>
        <w:rPr>
          <w:rFonts w:ascii="Baskerville" w:hAnsi="Baskerville" w:cs="Baskerville"/>
          <w:sz w:val="22"/>
          <w:szCs w:val="22"/>
        </w:rPr>
        <w:t xml:space="preserve"> contends that [retroactive] application of Rule 5.6 to the contract provisions at issue here would result in an unconstitutional impairment of contracts, in violation of the Illinois Constitution (Ill. Const. 1970, art. 1, §16 (“No * * * law impairing the obligation of contracts * * * shall be passed”)).</w:t>
      </w:r>
      <w:r w:rsidR="00FB1D09">
        <w:rPr>
          <w:rFonts w:ascii="Baskerville" w:hAnsi="Baskerville" w:cs="Baskerville"/>
          <w:sz w:val="22"/>
          <w:szCs w:val="22"/>
        </w:rPr>
        <w:t xml:space="preserve"> </w:t>
      </w:r>
      <w:r>
        <w:rPr>
          <w:rFonts w:ascii="Baskerville" w:hAnsi="Baskerville" w:cs="Baskerville"/>
          <w:sz w:val="22"/>
          <w:szCs w:val="22"/>
        </w:rPr>
        <w:t>As a general principle, however, judicial decisions are not subject to the prohibition against impairment of contracts.</w:t>
      </w:r>
      <w:r w:rsidR="00FB1D09">
        <w:rPr>
          <w:rFonts w:ascii="Baskerville" w:hAnsi="Baskerville" w:cs="Baskerville"/>
          <w:sz w:val="22"/>
          <w:szCs w:val="22"/>
        </w:rPr>
        <w:t xml:space="preserve"> </w:t>
      </w:r>
      <w:r>
        <w:rPr>
          <w:rFonts w:ascii="Baskerville" w:hAnsi="Baskerville" w:cs="Baskerville"/>
          <w:sz w:val="22"/>
          <w:szCs w:val="22"/>
        </w:rPr>
        <w:t>[Citation.]</w:t>
      </w:r>
      <w:r w:rsidR="00FB1D09">
        <w:rPr>
          <w:rFonts w:ascii="Baskerville" w:hAnsi="Baskerville" w:cs="Baskerville"/>
          <w:sz w:val="22"/>
          <w:szCs w:val="22"/>
        </w:rPr>
        <w:t xml:space="preserve"> </w:t>
      </w:r>
      <w:r>
        <w:rPr>
          <w:rFonts w:ascii="Baskerville" w:hAnsi="Baskerville" w:cs="Baskerville"/>
          <w:sz w:val="22"/>
          <w:szCs w:val="22"/>
        </w:rPr>
        <w:t>Thus, if the promulgation of Rule 5.6 is understood to be a judicial decision and not an act of legislation, then the plaintiff cannot be heard to argue that application of the rule to the contract provisions at issue here results in an unconstitutional impairment of contracts.</w:t>
      </w:r>
      <w:r w:rsidR="00FB1D09">
        <w:rPr>
          <w:rFonts w:ascii="Baskerville" w:hAnsi="Baskerville" w:cs="Baskerville"/>
          <w:sz w:val="22"/>
          <w:szCs w:val="22"/>
        </w:rPr>
        <w:t xml:space="preserve"> </w:t>
      </w:r>
      <w:r>
        <w:rPr>
          <w:rFonts w:ascii="Baskerville" w:hAnsi="Baskerville" w:cs="Baskerville"/>
          <w:sz w:val="22"/>
          <w:szCs w:val="22"/>
        </w:rPr>
        <w:t>Assuming, without deciding, that judicial action like the promulgation of a court rule may fall within the interdiction of the contracts clause, as the plaintiff suggests, we still do not believe that such an objection will lie here.</w:t>
      </w:r>
      <w:r w:rsidR="00FB1D09">
        <w:rPr>
          <w:rFonts w:ascii="Baskerville" w:hAnsi="Baskerville" w:cs="Baskerville"/>
          <w:sz w:val="22"/>
          <w:szCs w:val="22"/>
        </w:rPr>
        <w:t xml:space="preserve"> </w:t>
      </w:r>
      <w:r w:rsidR="00944F63">
        <w:rPr>
          <w:rFonts w:ascii="Baskerville" w:hAnsi="Baskerville" w:cs="Baskerville"/>
          <w:sz w:val="22"/>
          <w:szCs w:val="22"/>
        </w:rPr>
        <w:t xml:space="preserve"> …</w:t>
      </w:r>
      <w:r>
        <w:rPr>
          <w:sz w:val="22"/>
          <w:szCs w:val="22"/>
        </w:rPr>
        <w:t> </w:t>
      </w:r>
      <w:r>
        <w:rPr>
          <w:rFonts w:ascii="Baskerville" w:hAnsi="Baskerville" w:cs="Baskerville"/>
          <w:sz w:val="22"/>
          <w:szCs w:val="22"/>
        </w:rPr>
        <w:t>.</w:t>
      </w:r>
      <w:r w:rsidR="00FB1D09">
        <w:rPr>
          <w:rFonts w:ascii="Baskerville" w:hAnsi="Baskerville" w:cs="Baskerville"/>
          <w:sz w:val="22"/>
          <w:szCs w:val="22"/>
        </w:rPr>
        <w:t xml:space="preserve"> </w:t>
      </w:r>
      <w:r>
        <w:rPr>
          <w:rFonts w:ascii="Baskerville" w:hAnsi="Baskerville" w:cs="Baskerville"/>
          <w:sz w:val="22"/>
          <w:szCs w:val="22"/>
        </w:rPr>
        <w:t>We do not believe that the change in law at issue here operated as a substantial impairment of the parties’ contract.</w:t>
      </w:r>
      <w:r w:rsidR="00FB1D09">
        <w:rPr>
          <w:rFonts w:ascii="Baskerville" w:hAnsi="Baskerville" w:cs="Baskerville"/>
          <w:sz w:val="22"/>
          <w:szCs w:val="22"/>
        </w:rPr>
        <w:t xml:space="preserve"> </w:t>
      </w:r>
      <w:r>
        <w:rPr>
          <w:rFonts w:ascii="Baskerville" w:hAnsi="Baskerville" w:cs="Baskerville"/>
          <w:sz w:val="22"/>
          <w:szCs w:val="22"/>
        </w:rPr>
        <w:t>The noncompetition provision[s] represented a small part of [each of the defendants’] contract[s], and [they] came into play only when an employee left the [employer] firm.</w:t>
      </w:r>
      <w:r w:rsidR="00FB1D09">
        <w:rPr>
          <w:rFonts w:ascii="Baskerville" w:hAnsi="Baskerville" w:cs="Baskerville"/>
          <w:sz w:val="22"/>
          <w:szCs w:val="22"/>
        </w:rPr>
        <w:t xml:space="preserve"> </w:t>
      </w:r>
      <w:r>
        <w:rPr>
          <w:rFonts w:ascii="Baskerville" w:hAnsi="Baskerville" w:cs="Baskerville"/>
          <w:sz w:val="22"/>
          <w:szCs w:val="22"/>
        </w:rPr>
        <w:t>Accordingly, we do not believe that the mandated elimination of that provision represented an invalid impairment of contract.</w:t>
      </w:r>
    </w:p>
    <w:p w14:paraId="70B913E1" w14:textId="77777777" w:rsidR="00655396" w:rsidRDefault="00655396" w:rsidP="008B512B">
      <w:pPr>
        <w:pStyle w:val="BodyText"/>
        <w:spacing w:line="240" w:lineRule="auto"/>
      </w:pPr>
    </w:p>
    <w:p w14:paraId="073C961A" w14:textId="77777777" w:rsidR="00655396" w:rsidRDefault="00655396" w:rsidP="008B512B">
      <w:pPr>
        <w:pStyle w:val="BodyText"/>
        <w:spacing w:line="240" w:lineRule="auto"/>
      </w:pPr>
      <w:r>
        <w:rPr>
          <w:i/>
          <w:iCs/>
        </w:rPr>
        <w:t>Id.</w:t>
      </w:r>
      <w:r>
        <w:t xml:space="preserve"> at 482, 230 Ill. Dec. at 241, 693 N.E.2d at 370 (citation omitted as noted).</w:t>
      </w:r>
    </w:p>
    <w:p w14:paraId="3A57248F" w14:textId="77777777" w:rsidR="00655396" w:rsidRDefault="00655396" w:rsidP="008B512B">
      <w:pPr>
        <w:pStyle w:val="BodyText"/>
        <w:spacing w:line="240" w:lineRule="auto"/>
      </w:pPr>
    </w:p>
    <w:p w14:paraId="3C2255DF" w14:textId="77777777" w:rsidR="00655396" w:rsidRDefault="00655396" w:rsidP="008B512B">
      <w:pPr>
        <w:pStyle w:val="AdditionalTopicsSectionHeadings"/>
        <w:spacing w:line="240" w:lineRule="auto"/>
      </w:pPr>
      <w:r>
        <w:t>Securities Fraud</w:t>
      </w:r>
    </w:p>
    <w:p w14:paraId="0C451046" w14:textId="77777777" w:rsidR="00655396" w:rsidRDefault="00655396" w:rsidP="008B512B">
      <w:pPr>
        <w:pStyle w:val="BodyText"/>
        <w:spacing w:line="240" w:lineRule="auto"/>
      </w:pPr>
    </w:p>
    <w:p w14:paraId="508E131D" w14:textId="75590CA9" w:rsidR="00655396" w:rsidRDefault="00655396" w:rsidP="008B512B">
      <w:pPr>
        <w:pStyle w:val="BodyText"/>
        <w:spacing w:line="240" w:lineRule="auto"/>
        <w:rPr>
          <w:i/>
          <w:iCs/>
        </w:rPr>
      </w:pPr>
      <w:r>
        <w:tab/>
        <w:t>No action for securities fraud under §10(b) of the Securities Exchange Act of 1934, 15 U.S.C. §78j(b), is stated by the sellers of the shares of corporation who claim that they were fraudulently induced to sell their shares based upon the buyer’s representations that the sellers could retain their wholesale merchandising customers and key employees where the sellers could not reasonably rely on such representations.</w:t>
      </w:r>
      <w:r w:rsidR="00FB1D09">
        <w:t xml:space="preserve"> </w:t>
      </w:r>
      <w:r>
        <w:rPr>
          <w:i/>
          <w:iCs/>
        </w:rPr>
        <w:t>Terrific Promotions, Inc. v. Dollar Tree Stores, Inc.</w:t>
      </w:r>
      <w:r>
        <w:t>, 947 F. Supp. 1243, 1249 (N.D. Ill. 1996).</w:t>
      </w:r>
      <w:r w:rsidR="00FB1D09">
        <w:t xml:space="preserve"> </w:t>
      </w:r>
      <w:r>
        <w:t>Such reliance would not be reasonable where the contract for the sale of the shares did not so provide and any oral representations were superseded by contract.</w:t>
      </w:r>
      <w:r w:rsidR="00FB1D09">
        <w:t xml:space="preserve"> </w:t>
      </w:r>
      <w:r>
        <w:rPr>
          <w:i/>
          <w:iCs/>
        </w:rPr>
        <w:t>Id.</w:t>
      </w:r>
    </w:p>
    <w:p w14:paraId="75801686" w14:textId="77777777" w:rsidR="00655396" w:rsidRDefault="00655396" w:rsidP="008B512B">
      <w:pPr>
        <w:pStyle w:val="BodyText"/>
        <w:spacing w:line="240" w:lineRule="auto"/>
        <w:rPr>
          <w:i/>
          <w:iCs/>
        </w:rPr>
      </w:pPr>
    </w:p>
    <w:p w14:paraId="4DED0E76" w14:textId="77777777" w:rsidR="00655396" w:rsidRDefault="00655396" w:rsidP="008B512B">
      <w:pPr>
        <w:pStyle w:val="AdditionalTopicsSectionHeadings"/>
        <w:spacing w:line="240" w:lineRule="auto"/>
      </w:pPr>
      <w:r>
        <w:t>Selective Enforcement</w:t>
      </w:r>
    </w:p>
    <w:p w14:paraId="1A50A168" w14:textId="77777777" w:rsidR="00655396" w:rsidRDefault="00655396" w:rsidP="008B512B">
      <w:pPr>
        <w:pStyle w:val="BodyText"/>
        <w:spacing w:line="240" w:lineRule="auto"/>
      </w:pPr>
    </w:p>
    <w:p w14:paraId="224CD2C6" w14:textId="63E56E2E" w:rsidR="00655396" w:rsidRDefault="00655396" w:rsidP="008B512B">
      <w:pPr>
        <w:pStyle w:val="BodyText"/>
        <w:spacing w:line="240" w:lineRule="auto"/>
      </w:pPr>
      <w:r>
        <w:tab/>
        <w:t>An employer does not waive the right to enforce a covenant not to compete against a former employee merely because it has not enforced similar covenants against other employees, at least where the other employees’ situations involved different circumstances as to the length of time before they took competitive employment (e.g., near the end of the restricted period), the type of subsequent employment they took (e.g., different types of positions), or the place within the restricted geographic area in which they took competitive employment (e.g., on the fringe).</w:t>
      </w:r>
      <w:r w:rsidR="00FB1D09">
        <w:t xml:space="preserve"> </w:t>
      </w:r>
      <w:r>
        <w:rPr>
          <w:i/>
          <w:iCs/>
        </w:rPr>
        <w:t>Midwest Tel., Inc. v. Oloffson</w:t>
      </w:r>
      <w:r>
        <w:t>, 298 Ill. App. 3d 548, 559, 232 Ill. Dec. 783, 789–90, 699 N.E.2d 230, 236–37 (3d Dist. 1998).</w:t>
      </w:r>
      <w:r w:rsidR="00FB1D09">
        <w:t xml:space="preserve"> </w:t>
      </w:r>
      <w:r>
        <w:t xml:space="preserve">In </w:t>
      </w:r>
      <w:r>
        <w:rPr>
          <w:i/>
          <w:iCs/>
        </w:rPr>
        <w:t>Midwest Telephone</w:t>
      </w:r>
      <w:r>
        <w:t>, the court observed:</w:t>
      </w:r>
    </w:p>
    <w:p w14:paraId="783EAE0C" w14:textId="77777777" w:rsidR="00655396" w:rsidRDefault="00655396" w:rsidP="008B512B">
      <w:pPr>
        <w:pStyle w:val="BodyText"/>
        <w:spacing w:line="240" w:lineRule="auto"/>
      </w:pPr>
    </w:p>
    <w:p w14:paraId="17A80470" w14:textId="04EED6D8"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r>
      <w:r w:rsidR="00944F63">
        <w:rPr>
          <w:rFonts w:ascii="Baskerville" w:hAnsi="Baskerville" w:cs="Baskerville"/>
          <w:sz w:val="22"/>
          <w:szCs w:val="22"/>
        </w:rPr>
        <w:t>…</w:t>
      </w:r>
      <w:r>
        <w:rPr>
          <w:rFonts w:ascii="Baskerville" w:hAnsi="Baskerville" w:cs="Baskerville"/>
          <w:sz w:val="22"/>
          <w:szCs w:val="22"/>
        </w:rPr>
        <w:t xml:space="preserve"> [Former employee] Oloffson contends that [former employer] Midwest’s failure to strictly enforce the non-compete restriction against previous employees should be deemed a waiver of its rights under the contract.</w:t>
      </w:r>
    </w:p>
    <w:p w14:paraId="23BEFCC1" w14:textId="2CEB2A38"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“Waiver” is the voluntary relinquishment of a known right.</w:t>
      </w:r>
      <w:r w:rsidR="00FB1D09">
        <w:rPr>
          <w:rFonts w:ascii="Baskerville" w:hAnsi="Baskerville" w:cs="Baskerville"/>
          <w:sz w:val="22"/>
          <w:szCs w:val="22"/>
        </w:rPr>
        <w:t xml:space="preserve"> </w:t>
      </w:r>
      <w:r>
        <w:rPr>
          <w:rFonts w:ascii="Baskerville" w:hAnsi="Baskerville" w:cs="Baskerville"/>
          <w:i/>
          <w:iCs/>
          <w:sz w:val="22"/>
          <w:szCs w:val="22"/>
        </w:rPr>
        <w:t>Williams &amp; Montgomery, Ltd. v. Stellato</w:t>
      </w:r>
      <w:r>
        <w:rPr>
          <w:rFonts w:ascii="Baskerville" w:hAnsi="Baskerville" w:cs="Baskerville"/>
          <w:sz w:val="22"/>
          <w:szCs w:val="22"/>
        </w:rPr>
        <w:t>, 195 Ill. App. 3d 544, 552, 142 Ill. Dec. 359, 552 N.E.2d 1100, 1105 ([1st Dist.] 1990).</w:t>
      </w:r>
      <w:r w:rsidR="00FB1D09">
        <w:rPr>
          <w:rFonts w:ascii="Baskerville" w:hAnsi="Baskerville" w:cs="Baskerville"/>
          <w:sz w:val="22"/>
          <w:szCs w:val="22"/>
        </w:rPr>
        <w:t xml:space="preserve"> </w:t>
      </w:r>
      <w:r>
        <w:rPr>
          <w:rFonts w:ascii="Baskerville" w:hAnsi="Baskerville" w:cs="Baskerville"/>
          <w:sz w:val="22"/>
          <w:szCs w:val="22"/>
        </w:rPr>
        <w:t xml:space="preserve">If the facts necessary to support a finding of waiver are disputed, or if reasonable </w:t>
      </w:r>
      <w:r>
        <w:rPr>
          <w:rFonts w:ascii="Baskerville" w:hAnsi="Baskerville" w:cs="Baskerville"/>
          <w:sz w:val="22"/>
          <w:szCs w:val="22"/>
        </w:rPr>
        <w:lastRenderedPageBreak/>
        <w:t>minds could draw different inferences from the evidence, waiver becomes a question of fact.</w:t>
      </w:r>
      <w:r w:rsidR="00FB1D09">
        <w:rPr>
          <w:rFonts w:ascii="Baskerville" w:hAnsi="Baskerville" w:cs="Baskerville"/>
          <w:sz w:val="22"/>
          <w:szCs w:val="22"/>
        </w:rPr>
        <w:t xml:space="preserve"> </w:t>
      </w:r>
      <w:r>
        <w:rPr>
          <w:rFonts w:ascii="Baskerville" w:hAnsi="Baskerville" w:cs="Baskerville"/>
          <w:sz w:val="22"/>
          <w:szCs w:val="22"/>
        </w:rPr>
        <w:t>[Citation omitted.]</w:t>
      </w:r>
      <w:r w:rsidR="00FB1D09">
        <w:rPr>
          <w:rFonts w:ascii="Baskerville" w:hAnsi="Baskerville" w:cs="Baskerville"/>
          <w:sz w:val="22"/>
          <w:szCs w:val="22"/>
        </w:rPr>
        <w:t xml:space="preserve"> </w:t>
      </w:r>
      <w:r>
        <w:rPr>
          <w:rFonts w:ascii="Baskerville" w:hAnsi="Baskerville" w:cs="Baskerville"/>
          <w:sz w:val="22"/>
          <w:szCs w:val="22"/>
        </w:rPr>
        <w:t>We will not overturn the factual findings of a trier of fact unless they are against the manifest weight of the evidence.</w:t>
      </w:r>
      <w:r w:rsidR="00FB1D09">
        <w:rPr>
          <w:rFonts w:ascii="Baskerville" w:hAnsi="Baskerville" w:cs="Baskerville"/>
          <w:sz w:val="22"/>
          <w:szCs w:val="22"/>
        </w:rPr>
        <w:t xml:space="preserve"> </w:t>
      </w:r>
      <w:r>
        <w:rPr>
          <w:rFonts w:ascii="Baskerville" w:hAnsi="Baskerville" w:cs="Baskerville"/>
          <w:sz w:val="22"/>
          <w:szCs w:val="22"/>
        </w:rPr>
        <w:t>[Citation omitted.]</w:t>
      </w:r>
    </w:p>
    <w:p w14:paraId="70F33733" w14:textId="4C922596"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Oloffson cites </w:t>
      </w:r>
      <w:r>
        <w:rPr>
          <w:rFonts w:ascii="Baskerville" w:hAnsi="Baskerville" w:cs="Baskerville"/>
          <w:i/>
          <w:iCs/>
          <w:sz w:val="22"/>
          <w:szCs w:val="22"/>
        </w:rPr>
        <w:t>Surgidev Corp. v. Eye Technology, Inc.</w:t>
      </w:r>
      <w:r>
        <w:rPr>
          <w:rFonts w:ascii="Baskerville" w:hAnsi="Baskerville" w:cs="Baskerville"/>
          <w:sz w:val="22"/>
          <w:szCs w:val="22"/>
        </w:rPr>
        <w:t>, 648 F. Supp. 661, 698 (D. Minn. 1986), [</w:t>
      </w:r>
      <w:r>
        <w:rPr>
          <w:rFonts w:ascii="Baskerville" w:hAnsi="Baskerville" w:cs="Baskerville"/>
          <w:i/>
          <w:iCs/>
          <w:sz w:val="22"/>
          <w:szCs w:val="22"/>
        </w:rPr>
        <w:t>aff’d</w:t>
      </w:r>
      <w:r>
        <w:rPr>
          <w:rFonts w:ascii="Baskerville" w:hAnsi="Baskerville" w:cs="Baskerville"/>
          <w:sz w:val="22"/>
          <w:szCs w:val="22"/>
        </w:rPr>
        <w:t>, 828 F.2d 452 (8th Cir. 1987),] where a federal district court found that the employer had waived its right to enforce a non-compete covenant after it had “blithely ignored” the provision with prior employees.</w:t>
      </w:r>
      <w:r w:rsidR="00FB1D09">
        <w:rPr>
          <w:rFonts w:ascii="Baskerville" w:hAnsi="Baskerville" w:cs="Baskerville"/>
          <w:sz w:val="22"/>
          <w:szCs w:val="22"/>
        </w:rPr>
        <w:t xml:space="preserve"> </w:t>
      </w:r>
      <w:r>
        <w:rPr>
          <w:rFonts w:ascii="Baskerville" w:hAnsi="Baskerville" w:cs="Baskerville"/>
          <w:sz w:val="22"/>
          <w:szCs w:val="22"/>
        </w:rPr>
        <w:t>The evidence in this case does not support a similar finding.</w:t>
      </w:r>
    </w:p>
    <w:p w14:paraId="3D999D7B" w14:textId="27CD89A7"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On the contrary, Midwest had previously required two former employees to specifically obtain releases from the covenant that were narrowly tailored to specific jobs in the restricted area.</w:t>
      </w:r>
      <w:r w:rsidR="00FB1D09">
        <w:rPr>
          <w:rFonts w:ascii="Baskerville" w:hAnsi="Baskerville" w:cs="Baskerville"/>
          <w:sz w:val="22"/>
          <w:szCs w:val="22"/>
        </w:rPr>
        <w:t xml:space="preserve"> </w:t>
      </w:r>
      <w:r>
        <w:rPr>
          <w:rFonts w:ascii="Baskerville" w:hAnsi="Baskerville" w:cs="Baskerville"/>
          <w:sz w:val="22"/>
          <w:szCs w:val="22"/>
        </w:rPr>
        <w:t>It is clear from the testimony that those instances involved unique circumstances that do not exist in Oloffson’s case.</w:t>
      </w:r>
      <w:r w:rsidR="00FB1D09">
        <w:rPr>
          <w:rFonts w:ascii="Baskerville" w:hAnsi="Baskerville" w:cs="Baskerville"/>
          <w:sz w:val="22"/>
          <w:szCs w:val="22"/>
        </w:rPr>
        <w:t xml:space="preserve"> </w:t>
      </w:r>
      <w:r>
        <w:rPr>
          <w:rFonts w:ascii="Baskerville" w:hAnsi="Baskerville" w:cs="Baskerville"/>
          <w:sz w:val="22"/>
          <w:szCs w:val="22"/>
        </w:rPr>
        <w:t>Other former Midwest employees accepted different types of positions than they held at Midwest, worked in areas on the extreme fringe of the restricted zone, or, in one case, began working only after sitting out approximately 10 months.</w:t>
      </w:r>
    </w:p>
    <w:p w14:paraId="493B5E8F" w14:textId="4C96FEAD"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Furthermore, in this case Midwest repeatedly informed Oloffson that it would enforce the restrictive covenant.</w:t>
      </w:r>
      <w:r w:rsidR="00FB1D09">
        <w:rPr>
          <w:rFonts w:ascii="Baskerville" w:hAnsi="Baskerville" w:cs="Baskerville"/>
          <w:sz w:val="22"/>
          <w:szCs w:val="22"/>
        </w:rPr>
        <w:t xml:space="preserve"> </w:t>
      </w:r>
      <w:r>
        <w:rPr>
          <w:rFonts w:ascii="Baskerville" w:hAnsi="Baskerville" w:cs="Baskerville"/>
          <w:sz w:val="22"/>
          <w:szCs w:val="22"/>
        </w:rPr>
        <w:t>Oloffson’s subsequent job search outside the restricted area indicates that he knew Midwest intended to enforce the provision.</w:t>
      </w:r>
    </w:p>
    <w:p w14:paraId="05A77CDA" w14:textId="47A514EB" w:rsidR="00655396" w:rsidRDefault="00655396" w:rsidP="008B512B">
      <w:pPr>
        <w:pStyle w:val="NoParagraphStyle"/>
        <w:tabs>
          <w:tab w:val="left" w:pos="960"/>
          <w:tab w:val="left" w:pos="1440"/>
        </w:tabs>
        <w:spacing w:line="240" w:lineRule="auto"/>
        <w:ind w:left="480"/>
        <w:jc w:val="both"/>
        <w:rPr>
          <w:rFonts w:ascii="Baskerville" w:hAnsi="Baskerville" w:cs="Baskerville"/>
          <w:sz w:val="22"/>
          <w:szCs w:val="22"/>
        </w:rPr>
      </w:pPr>
      <w:r>
        <w:rPr>
          <w:rFonts w:ascii="Baskerville" w:hAnsi="Baskerville" w:cs="Baskerville"/>
          <w:sz w:val="22"/>
          <w:szCs w:val="22"/>
        </w:rPr>
        <w:tab/>
        <w:t xml:space="preserve">Because the evidence supports more than one possible </w:t>
      </w:r>
      <w:r>
        <w:rPr>
          <w:rFonts w:ascii="Baskerville" w:hAnsi="Baskerville" w:cs="Baskerville"/>
          <w:sz w:val="22"/>
          <w:szCs w:val="22"/>
        </w:rPr>
        <w:br/>
        <w:t>inference, it creates a question of fact regarding whether Midwest voluntarily waived its rights.</w:t>
      </w:r>
      <w:r w:rsidR="00FB1D09">
        <w:rPr>
          <w:rFonts w:ascii="Baskerville" w:hAnsi="Baskerville" w:cs="Baskerville"/>
          <w:sz w:val="22"/>
          <w:szCs w:val="22"/>
        </w:rPr>
        <w:t xml:space="preserve"> </w:t>
      </w:r>
      <w:r>
        <w:rPr>
          <w:rFonts w:ascii="Baskerville" w:hAnsi="Baskerville" w:cs="Baskerville"/>
          <w:sz w:val="22"/>
          <w:szCs w:val="22"/>
        </w:rPr>
        <w:t>[Citation omitted.]</w:t>
      </w:r>
      <w:r w:rsidR="00FB1D09">
        <w:rPr>
          <w:rFonts w:ascii="Baskerville" w:hAnsi="Baskerville" w:cs="Baskerville"/>
          <w:sz w:val="22"/>
          <w:szCs w:val="22"/>
        </w:rPr>
        <w:t xml:space="preserve"> </w:t>
      </w:r>
      <w:r>
        <w:rPr>
          <w:rFonts w:ascii="Baskerville" w:hAnsi="Baskerville" w:cs="Baskerville"/>
          <w:sz w:val="22"/>
          <w:szCs w:val="22"/>
        </w:rPr>
        <w:t>Based on our review of the record on appeal, we cannot say that the trial court’s finding that no waiver occurred is against the manifest weight of the evidence.</w:t>
      </w:r>
    </w:p>
    <w:p w14:paraId="056D7610" w14:textId="77777777" w:rsidR="00655396" w:rsidRDefault="00655396" w:rsidP="008B512B">
      <w:pPr>
        <w:pStyle w:val="BodyText"/>
        <w:spacing w:line="240" w:lineRule="auto"/>
      </w:pPr>
    </w:p>
    <w:p w14:paraId="5357067F" w14:textId="77777777" w:rsidR="00655396" w:rsidRDefault="00655396" w:rsidP="008B512B">
      <w:pPr>
        <w:pStyle w:val="BodyText"/>
        <w:spacing w:line="240" w:lineRule="auto"/>
      </w:pPr>
      <w:r>
        <w:rPr>
          <w:i/>
          <w:iCs/>
        </w:rPr>
        <w:t>Id.</w:t>
      </w:r>
      <w:r>
        <w:t xml:space="preserve"> at 558–59, 232 Ill. Dec. at 789–90, 699 N.E.2d at 236–37.</w:t>
      </w:r>
    </w:p>
    <w:p w14:paraId="4CA1294D" w14:textId="77777777" w:rsidR="00655396" w:rsidRDefault="00655396" w:rsidP="008B512B">
      <w:pPr>
        <w:pStyle w:val="BodyText"/>
        <w:spacing w:line="240" w:lineRule="auto"/>
        <w:rPr>
          <w:b/>
          <w:bCs/>
        </w:rPr>
      </w:pPr>
    </w:p>
    <w:p w14:paraId="5DBA4FC7" w14:textId="77777777" w:rsidR="00655396" w:rsidRDefault="00655396" w:rsidP="008B512B">
      <w:pPr>
        <w:pStyle w:val="AdditionalTopicsSectionHeadings"/>
        <w:spacing w:line="240" w:lineRule="auto"/>
      </w:pPr>
      <w:r>
        <w:t>Settlements/Settlement Agreements</w:t>
      </w:r>
    </w:p>
    <w:p w14:paraId="4F937935" w14:textId="77777777" w:rsidR="00655396" w:rsidRDefault="00655396" w:rsidP="008B512B">
      <w:pPr>
        <w:pStyle w:val="BodyText"/>
        <w:spacing w:line="240" w:lineRule="auto"/>
      </w:pPr>
    </w:p>
    <w:p w14:paraId="679DC004" w14:textId="53318A4D" w:rsidR="00655396" w:rsidRDefault="00655396" w:rsidP="008B512B">
      <w:pPr>
        <w:pStyle w:val="BodyText"/>
        <w:spacing w:line="240" w:lineRule="auto"/>
      </w:pPr>
      <w:r>
        <w:tab/>
        <w:t xml:space="preserve">• </w:t>
      </w:r>
      <w:r>
        <w:rPr>
          <w:i/>
          <w:iCs/>
        </w:rPr>
        <w:t>Construction</w:t>
      </w:r>
      <w:r>
        <w:t>.</w:t>
      </w:r>
      <w:r w:rsidR="00FB1D09">
        <w:t xml:space="preserve"> </w:t>
      </w:r>
      <w:r>
        <w:t>Because an agreed order is considered a contract between the parties to the litigation as a part of which it is entered, the construction of such an order is governed by principles of contract law.</w:t>
      </w:r>
      <w:r w:rsidR="00FB1D09">
        <w:t xml:space="preserve"> </w:t>
      </w:r>
      <w:r>
        <w:rPr>
          <w:i/>
          <w:iCs/>
        </w:rPr>
        <w:t>Bloomington Urological Assocs., SC v. Scaglia</w:t>
      </w:r>
      <w:r>
        <w:t>, 292 Ill. App. 3d 793, 798, 226 Ill. Dec. 759, 763, 686 N.E.2d 389, 393 (4th Dist. 1997).</w:t>
      </w:r>
    </w:p>
    <w:p w14:paraId="29DC4A86" w14:textId="6B33DD3C" w:rsidR="00655396" w:rsidRDefault="00655396" w:rsidP="008B512B">
      <w:pPr>
        <w:pStyle w:val="BodyText"/>
        <w:spacing w:line="240" w:lineRule="auto"/>
      </w:pPr>
      <w:r>
        <w:tab/>
        <w:t>The primary consideration in interpreting an agreed order is “to effectuate the parties’ intent.”</w:t>
      </w:r>
      <w:r w:rsidR="00FB1D09">
        <w:t xml:space="preserve"> </w:t>
      </w:r>
      <w:r>
        <w:rPr>
          <w:i/>
          <w:iCs/>
        </w:rPr>
        <w:t>Id.</w:t>
      </w:r>
      <w:r>
        <w:t>, 226 Ill. Dec. at 763, 686 N.E.2d at 393.</w:t>
      </w:r>
    </w:p>
    <w:p w14:paraId="0323ADD5" w14:textId="0B750138" w:rsidR="00655396" w:rsidRDefault="00655396" w:rsidP="008B512B">
      <w:pPr>
        <w:pStyle w:val="BodyText"/>
        <w:spacing w:line="240" w:lineRule="auto"/>
      </w:pPr>
      <w:r>
        <w:lastRenderedPageBreak/>
        <w:tab/>
        <w:t>Such an order “must be interpreted in its entirety, considering all facts and circumstances surrounding its execution, as well as pleadings and motions from which it emanates.”</w:t>
      </w:r>
      <w:r w:rsidR="00FB1D09">
        <w:t xml:space="preserve"> </w:t>
      </w:r>
      <w:r>
        <w:rPr>
          <w:i/>
          <w:iCs/>
        </w:rPr>
        <w:t>Id.</w:t>
      </w:r>
      <w:r>
        <w:t>, 226 Ill. Dec. at 763, 686 N.E.2d at 393.</w:t>
      </w:r>
    </w:p>
    <w:p w14:paraId="0AD06BDF" w14:textId="3583AF50" w:rsidR="00655396" w:rsidRDefault="00655396" w:rsidP="008B512B">
      <w:pPr>
        <w:pStyle w:val="BodyText"/>
        <w:spacing w:line="240" w:lineRule="auto"/>
      </w:pPr>
      <w:r>
        <w:tab/>
        <w:t>Where an agreed order emanates from a restrictive covenant, “the court must strictly construe it and resolve any doubts or ambiguities in favor of natural rights and against restriction.”</w:t>
      </w:r>
      <w:r w:rsidR="00FB1D09">
        <w:t xml:space="preserve"> </w:t>
      </w:r>
      <w:r>
        <w:rPr>
          <w:i/>
          <w:iCs/>
        </w:rPr>
        <w:t>Id.</w:t>
      </w:r>
      <w:r>
        <w:t xml:space="preserve">, 226 Ill. Dec. at 763, 686 N.E.2d at 393 (citing </w:t>
      </w:r>
      <w:r>
        <w:rPr>
          <w:i/>
          <w:iCs/>
        </w:rPr>
        <w:t>Lempa v. Finkel</w:t>
      </w:r>
      <w:r>
        <w:t>, 278 Ill. App. 3d 417, 427–28, 215 Ill. Dec. 408, 416, 663 N.E.2d 158, 166 (1996)).</w:t>
      </w:r>
    </w:p>
    <w:p w14:paraId="78C6F2EC" w14:textId="63F5A768" w:rsidR="00655396" w:rsidRDefault="00655396" w:rsidP="008B512B">
      <w:pPr>
        <w:pStyle w:val="BodyText"/>
        <w:spacing w:line="240" w:lineRule="auto"/>
      </w:pPr>
      <w:r>
        <w:tab/>
        <w:t>As with any contract, the question whether an agreed order emanating from a restrictive covenant is ambiguous is a question of law.</w:t>
      </w:r>
      <w:r w:rsidR="00FB1D09">
        <w:t xml:space="preserve"> </w:t>
      </w:r>
      <w:r>
        <w:rPr>
          <w:i/>
          <w:iCs/>
        </w:rPr>
        <w:t>Id.</w:t>
      </w:r>
      <w:r>
        <w:t xml:space="preserve">, 226 Ill. Dec. at 763, 686 N.E.2d at 393 (quoting </w:t>
      </w:r>
      <w:r>
        <w:rPr>
          <w:i/>
          <w:iCs/>
        </w:rPr>
        <w:t>Fick v. Weedon</w:t>
      </w:r>
      <w:r>
        <w:t>, 24 Ill. App. 3d 413, 416, 184 Ill. Dec. 335, 337, 613 N.E.2d 362, 364 (1993)).</w:t>
      </w:r>
      <w:r w:rsidR="00FB1D09">
        <w:t xml:space="preserve"> </w:t>
      </w:r>
      <w:r>
        <w:t>Accordingly, an agreed order is interpreted de novo.</w:t>
      </w:r>
      <w:r w:rsidR="00FB1D09">
        <w:t xml:space="preserve"> </w:t>
      </w:r>
      <w:r>
        <w:rPr>
          <w:i/>
          <w:iCs/>
        </w:rPr>
        <w:t>Id.</w:t>
      </w:r>
      <w:r>
        <w:t>, 226 Ill. Dec. at 763, 686 N.E.2d at 393.</w:t>
      </w:r>
    </w:p>
    <w:p w14:paraId="03623F51" w14:textId="77777777" w:rsidR="00655396" w:rsidRDefault="00655396" w:rsidP="008B512B">
      <w:pPr>
        <w:pStyle w:val="BodyText"/>
        <w:spacing w:line="240" w:lineRule="auto"/>
      </w:pPr>
    </w:p>
    <w:p w14:paraId="6B23A6DE" w14:textId="45A84E38" w:rsidR="00655396" w:rsidRDefault="00655396" w:rsidP="008B512B">
      <w:pPr>
        <w:pStyle w:val="BodyText"/>
        <w:spacing w:line="240" w:lineRule="auto"/>
      </w:pPr>
      <w:r>
        <w:tab/>
        <w:t xml:space="preserve">• </w:t>
      </w:r>
      <w:r>
        <w:rPr>
          <w:i/>
          <w:iCs/>
        </w:rPr>
        <w:t>Determining whether amount-in-controversy requirement has been met for purposes of subject matter jurisdiction in diversity cases involving covenants not to compete</w:t>
      </w:r>
      <w:r>
        <w:t>.</w:t>
      </w:r>
      <w:r w:rsidR="00FB1D09">
        <w:t xml:space="preserve"> </w:t>
      </w:r>
      <w:r>
        <w:t>In the Seventh Circuit, evidence of a settlement offer is admissible and may be taken into account in determining whether the amount-in-controversy requirement has been met for purposes of establishing subject matter jurisdiction in a diversity case involving a covenant not to compete, according to a federal district court sitting in Illinois.</w:t>
      </w:r>
      <w:r w:rsidR="00FB1D09">
        <w:t xml:space="preserve"> </w:t>
      </w:r>
      <w:r>
        <w:rPr>
          <w:i/>
          <w:iCs/>
        </w:rPr>
        <w:t>Integrated Genomics, Inc. v. Kyrpides</w:t>
      </w:r>
      <w:r>
        <w:t>, 2008 U.S. Dist. LEXIS 16838, at *15 (N.D. Ill. Mar. 4, 2008).</w:t>
      </w:r>
      <w:r w:rsidR="00FB1D09">
        <w:t xml:space="preserve"> </w:t>
      </w:r>
      <w:r>
        <w:t>In order to determine the value of the settlement offer where the party seeking to enforce the covenant seeks injunctive relief, “the court would need to determine the value of the injunction to [the party seeking enforcement] (or the cost of enforcing it to [the party against whom enforcement is sought]).”</w:t>
      </w:r>
      <w:r w:rsidR="00FB1D09">
        <w:t xml:space="preserve"> </w:t>
      </w:r>
      <w:r>
        <w:rPr>
          <w:i/>
          <w:iCs/>
        </w:rPr>
        <w:t>Id.</w:t>
      </w:r>
      <w:r>
        <w:t xml:space="preserve"> (citing, inter alia, </w:t>
      </w:r>
      <w:r>
        <w:rPr>
          <w:i/>
          <w:iCs/>
        </w:rPr>
        <w:t>MAILwaukee Mailing, Shipment &amp; Equip., Inc. v. Neopost, Inc.,</w:t>
      </w:r>
      <w:r>
        <w:t xml:space="preserve"> 259 F. Supp. 2d 769, 773 (E.D. Wis. 2003) (discussing proper way to show value of injunctive relief in noncompetition covenant case)).</w:t>
      </w:r>
    </w:p>
    <w:p w14:paraId="51C58570" w14:textId="77777777" w:rsidR="00655396" w:rsidRDefault="00655396" w:rsidP="008B512B">
      <w:pPr>
        <w:pStyle w:val="BodyText"/>
        <w:spacing w:line="240" w:lineRule="auto"/>
      </w:pPr>
    </w:p>
    <w:p w14:paraId="219CFE05" w14:textId="492C20A6" w:rsidR="00655396" w:rsidRDefault="00655396" w:rsidP="008B512B">
      <w:pPr>
        <w:pStyle w:val="BodyText"/>
        <w:spacing w:line="240" w:lineRule="auto"/>
      </w:pPr>
      <w:r>
        <w:tab/>
        <w:t>•</w:t>
      </w:r>
      <w:r>
        <w:rPr>
          <w:i/>
          <w:iCs/>
        </w:rPr>
        <w:t xml:space="preserve"> Inapplicability of unjust enrichment doctrine where settlement exists</w:t>
      </w:r>
      <w:r>
        <w:t>.</w:t>
      </w:r>
      <w:r w:rsidR="00FB1D09">
        <w:t xml:space="preserve"> </w:t>
      </w:r>
      <w:r>
        <w:t xml:space="preserve">Because the doctrine of unjust enrichment is based on the existence of an </w:t>
      </w:r>
      <w:r>
        <w:rPr>
          <w:i/>
          <w:iCs/>
        </w:rPr>
        <w:t>implied</w:t>
      </w:r>
      <w:r>
        <w:t xml:space="preserve"> contract, it is inapplicable under Illinois law where a specific contract—such as a settlement agreement—governs the claims or relationship of the parties at issue.</w:t>
      </w:r>
      <w:r w:rsidR="00FB1D09">
        <w:t xml:space="preserve"> </w:t>
      </w:r>
      <w:r>
        <w:rPr>
          <w:i/>
          <w:iCs/>
        </w:rPr>
        <w:t xml:space="preserve">AA Sales &amp; Assocs., </w:t>
      </w:r>
      <w:r>
        <w:rPr>
          <w:i/>
          <w:iCs/>
        </w:rPr>
        <w:lastRenderedPageBreak/>
        <w:t>Inc. v. JT &amp; T Prods. Corp.</w:t>
      </w:r>
      <w:r>
        <w:t>, 48 F. Supp. 2d 805, 807 (N.D. Ill. 1999) (holding that seller of assets of business was not unjustly enriched when he received sum of money as consideration for execution of covenant not to compete, alleged to represent commissions on future sales</w:t>
      </w:r>
      <w:r w:rsidR="00D47546">
        <w:t xml:space="preserve">; </w:t>
      </w:r>
      <w:r>
        <w:t xml:space="preserve">reasoning that unjust enrichment doctrine was unavailable because of existence of settlement agreement governing resolved commission dispute between seller and party bringing claim for unjust </w:t>
      </w:r>
      <w:r>
        <w:br/>
        <w:t>enrichment).</w:t>
      </w:r>
    </w:p>
    <w:p w14:paraId="1EC9C19D" w14:textId="77777777" w:rsidR="00655396" w:rsidRDefault="00655396" w:rsidP="008B512B">
      <w:pPr>
        <w:pStyle w:val="BodyText"/>
        <w:spacing w:line="240" w:lineRule="auto"/>
      </w:pPr>
    </w:p>
    <w:p w14:paraId="3D155590" w14:textId="77777777" w:rsidR="00655396" w:rsidRDefault="00655396" w:rsidP="008B512B">
      <w:pPr>
        <w:pStyle w:val="BodyText"/>
        <w:spacing w:line="240" w:lineRule="auto"/>
      </w:pPr>
      <w:r>
        <w:tab/>
        <w:t xml:space="preserve">• </w:t>
      </w:r>
      <w:r>
        <w:rPr>
          <w:i/>
          <w:iCs/>
        </w:rPr>
        <w:t>Low-wage workers</w:t>
      </w:r>
      <w:r>
        <w:t xml:space="preserve">. On December 5, 2016, submarine sandwich seller Jimmy John’s Enterprises settled litigation in which the Illinois Attorney General had challenged the legality of the chain’s policy of requiring low-wage workers to execute noncompetition covenants. </w:t>
      </w:r>
      <w:r>
        <w:rPr>
          <w:i/>
          <w:iCs/>
        </w:rPr>
        <w:t>Illinois v. Jimmy John’s Enters. LLC,</w:t>
      </w:r>
      <w:r>
        <w:t xml:space="preserve"> Ill. Cir. Ct., No. 2016 CH 07746, Dec. 5, 2016 (settlement).</w:t>
      </w:r>
    </w:p>
    <w:p w14:paraId="7680519F" w14:textId="77777777" w:rsidR="00655396" w:rsidRDefault="00655396" w:rsidP="008B512B">
      <w:pPr>
        <w:pStyle w:val="BodyText"/>
        <w:spacing w:line="240" w:lineRule="auto"/>
      </w:pPr>
    </w:p>
    <w:p w14:paraId="33C83893" w14:textId="77777777" w:rsidR="00655396" w:rsidRDefault="00655396" w:rsidP="008B512B">
      <w:pPr>
        <w:pStyle w:val="AdditionalTopicsSectionHeadings"/>
        <w:spacing w:line="240" w:lineRule="auto"/>
      </w:pPr>
      <w:r>
        <w:t>Severability</w:t>
      </w:r>
    </w:p>
    <w:p w14:paraId="232F23F7" w14:textId="77777777" w:rsidR="00655396" w:rsidRDefault="00655396" w:rsidP="008B512B">
      <w:pPr>
        <w:pStyle w:val="BodyText"/>
        <w:spacing w:line="240" w:lineRule="auto"/>
      </w:pPr>
    </w:p>
    <w:p w14:paraId="628375EC" w14:textId="76FEA240" w:rsidR="00655396" w:rsidRDefault="00655396" w:rsidP="008B512B">
      <w:pPr>
        <w:pStyle w:val="BodyText"/>
        <w:spacing w:line="240" w:lineRule="auto"/>
      </w:pPr>
      <w:r>
        <w:tab/>
        <w:t>Where a purchase agreement and a noncompetition covenant are severable, the rescission of the purchase agreement does not operate to rescind the noncompetition covenant.</w:t>
      </w:r>
      <w:r w:rsidR="00FB1D09">
        <w:t xml:space="preserve"> </w:t>
      </w:r>
      <w:r>
        <w:rPr>
          <w:i/>
          <w:iCs/>
        </w:rPr>
        <w:t>Kel-Keef Enters., Inc. v. Quality Components Corp.</w:t>
      </w:r>
      <w:r>
        <w:t>, 316 Ill. App. 3d 998, 250 Ill. Dec. 308, 738 N.E.2d 524, 539 (1st Dist. 2000).</w:t>
      </w:r>
    </w:p>
    <w:p w14:paraId="684FCB9A" w14:textId="77777777" w:rsidR="00655396" w:rsidRDefault="00655396" w:rsidP="008B512B">
      <w:pPr>
        <w:pStyle w:val="BodyText"/>
        <w:spacing w:line="240" w:lineRule="auto"/>
      </w:pPr>
    </w:p>
    <w:p w14:paraId="5842D039" w14:textId="77777777" w:rsidR="00655396" w:rsidRDefault="00655396" w:rsidP="008B512B">
      <w:pPr>
        <w:pStyle w:val="AdditionalTopicsSectionHeadings"/>
        <w:spacing w:line="240" w:lineRule="auto"/>
      </w:pPr>
      <w:r>
        <w:t>Severance Benefits</w:t>
      </w:r>
    </w:p>
    <w:p w14:paraId="163B0F86" w14:textId="77777777" w:rsidR="00655396" w:rsidRDefault="00655396" w:rsidP="008B512B">
      <w:pPr>
        <w:pStyle w:val="BodyText"/>
        <w:spacing w:line="240" w:lineRule="auto"/>
      </w:pPr>
    </w:p>
    <w:p w14:paraId="72CF41F9" w14:textId="159D8864" w:rsidR="00655396" w:rsidRDefault="00655396" w:rsidP="008B512B">
      <w:pPr>
        <w:pStyle w:val="BodyText"/>
        <w:spacing w:line="240" w:lineRule="auto"/>
      </w:pPr>
      <w:r>
        <w:tab/>
        <w:t>A senior executive who, in addition to receiving benefits pursuant to a change of control agreement, negotiates an additional agreement with the acquiring company that extends his noncompete agreement, is not entitled to both the severance benefits he received upon his discharge and the pay he would have received had he stayed.</w:t>
      </w:r>
      <w:r w:rsidR="00FB1D09">
        <w:t xml:space="preserve"> </w:t>
      </w:r>
      <w:r>
        <w:rPr>
          <w:i/>
          <w:iCs/>
        </w:rPr>
        <w:t>Gerow v. Rohm &amp; Haas Co.</w:t>
      </w:r>
      <w:r>
        <w:t>, 308 F.3d 721, 723 (7th Cir. 2002).</w:t>
      </w:r>
    </w:p>
    <w:p w14:paraId="1422D370" w14:textId="77777777" w:rsidR="00655396" w:rsidRDefault="00655396" w:rsidP="008B512B">
      <w:pPr>
        <w:pStyle w:val="BodyText"/>
        <w:spacing w:line="240" w:lineRule="auto"/>
      </w:pPr>
    </w:p>
    <w:p w14:paraId="17162B68" w14:textId="77777777" w:rsidR="00655396" w:rsidRDefault="00655396" w:rsidP="008B512B">
      <w:pPr>
        <w:pStyle w:val="BodyText"/>
        <w:spacing w:line="240" w:lineRule="auto"/>
        <w:rPr>
          <w:b/>
          <w:bCs/>
        </w:rPr>
      </w:pPr>
      <w:r>
        <w:rPr>
          <w:b/>
          <w:bCs/>
        </w:rPr>
        <w:t>Signing in Individual Versus Official Capacity</w:t>
      </w:r>
    </w:p>
    <w:p w14:paraId="488C05B4" w14:textId="77777777" w:rsidR="00655396" w:rsidRDefault="00655396" w:rsidP="008B512B">
      <w:pPr>
        <w:pStyle w:val="BodyText"/>
        <w:spacing w:line="240" w:lineRule="auto"/>
        <w:rPr>
          <w:b/>
          <w:bCs/>
        </w:rPr>
      </w:pPr>
    </w:p>
    <w:p w14:paraId="3EC3AAD3" w14:textId="7E1701B8" w:rsidR="00655396" w:rsidRDefault="00655396" w:rsidP="008B512B">
      <w:pPr>
        <w:pStyle w:val="BodyText"/>
        <w:spacing w:line="240" w:lineRule="auto"/>
      </w:pPr>
      <w:r>
        <w:tab/>
        <w:t>In connection with a noncompetition covenant signed by a pet grooming business, the business’s owner is not bound by the agreement merely because she was the owner of the selling party.</w:t>
      </w:r>
      <w:r w:rsidR="00FB1D09">
        <w:t xml:space="preserve"> </w:t>
      </w:r>
      <w:r>
        <w:rPr>
          <w:i/>
          <w:iCs/>
        </w:rPr>
        <w:t>Berg v. Groomsmart, Inc.</w:t>
      </w:r>
      <w:r>
        <w:t xml:space="preserve">, 2014 IL App (2d) 130686-U (2d Dist. Apr. 7, </w:t>
      </w:r>
      <w:r>
        <w:lastRenderedPageBreak/>
        <w:t>2014) (not citable as precedent except as permitted by Illinois Supreme Court Rule 23).</w:t>
      </w:r>
      <w:r w:rsidR="00FB1D09">
        <w:t xml:space="preserve"> </w:t>
      </w:r>
      <w:r>
        <w:rPr>
          <w:i/>
          <w:iCs/>
        </w:rPr>
        <w:t>In Berg</w:t>
      </w:r>
      <w:r>
        <w:t>, the company that purchased the owner’s pet grooming business refused to make the last balloon payment on the basis that the former owner had begun working as a receptionist for a competing entity.</w:t>
      </w:r>
      <w:r w:rsidR="00FB1D09">
        <w:t xml:space="preserve"> </w:t>
      </w:r>
      <w:r>
        <w:rPr>
          <w:i/>
          <w:iCs/>
        </w:rPr>
        <w:t>Id.</w:t>
      </w:r>
      <w:r>
        <w:t xml:space="preserve"> at ¶12.</w:t>
      </w:r>
      <w:r w:rsidR="00FB1D09">
        <w:t xml:space="preserve"> </w:t>
      </w:r>
      <w:r>
        <w:t>The Illinois Appellate Court held that the contract only identified the owner’s business as a party to the agreement and that the owner herself was not a party, as agents are not bound by the terms of a contract under Illinois law and there was no evidence within the body of the agreement that the agreement was intended to bind the owner.</w:t>
      </w:r>
      <w:r w:rsidR="00FB1D09">
        <w:t xml:space="preserve"> </w:t>
      </w:r>
      <w:r>
        <w:rPr>
          <w:i/>
          <w:iCs/>
        </w:rPr>
        <w:t>Id.</w:t>
      </w:r>
      <w:r>
        <w:t xml:space="preserve"> at ¶18–24.</w:t>
      </w:r>
    </w:p>
    <w:p w14:paraId="737D31B9" w14:textId="77777777" w:rsidR="00655396" w:rsidRDefault="00655396" w:rsidP="008B512B">
      <w:pPr>
        <w:pStyle w:val="BodyText"/>
        <w:spacing w:line="240" w:lineRule="auto"/>
      </w:pPr>
    </w:p>
    <w:p w14:paraId="24E97494" w14:textId="77777777" w:rsidR="00655396" w:rsidRDefault="00655396" w:rsidP="008B512B">
      <w:pPr>
        <w:pStyle w:val="AdditionalTopicsSectionHeadings"/>
        <w:spacing w:line="240" w:lineRule="auto"/>
      </w:pPr>
      <w:r>
        <w:t>Subject Matter Jurisdiction</w:t>
      </w:r>
    </w:p>
    <w:p w14:paraId="2B2A1AAC" w14:textId="77777777" w:rsidR="00655396" w:rsidRDefault="00655396" w:rsidP="008B512B">
      <w:pPr>
        <w:pStyle w:val="BodyText"/>
        <w:spacing w:line="240" w:lineRule="auto"/>
      </w:pPr>
    </w:p>
    <w:p w14:paraId="094E0836" w14:textId="459B5810" w:rsidR="00655396" w:rsidRDefault="00655396" w:rsidP="008B512B">
      <w:pPr>
        <w:pStyle w:val="BodyText"/>
        <w:spacing w:line="240" w:lineRule="auto"/>
      </w:pPr>
      <w:r>
        <w:tab/>
        <w:t xml:space="preserve">• </w:t>
      </w:r>
      <w:r>
        <w:rPr>
          <w:i/>
          <w:iCs/>
        </w:rPr>
        <w:t>Determining whether amount-in-controversy requirement has been met for purposes of subject matter jurisdiction in diversity cases involving covenants not to compete</w:t>
      </w:r>
      <w:r>
        <w:t>.</w:t>
      </w:r>
      <w:r w:rsidR="00FB1D09">
        <w:t xml:space="preserve"> </w:t>
      </w:r>
      <w:r>
        <w:t>In the Seventh Circuit, evidence of a settlement offer is admissible and may be taken into account in determining whether the amount-in-controversy requirement has been met for purposes of establishing subject matter jurisdiction in a diversity case involving a covenant not to compete, according to a federal district court sitting in Illinois.</w:t>
      </w:r>
      <w:r w:rsidR="00FB1D09">
        <w:t xml:space="preserve"> </w:t>
      </w:r>
      <w:r>
        <w:rPr>
          <w:i/>
          <w:iCs/>
        </w:rPr>
        <w:t>Integrated Genomics, Inc. v. Kyrpides</w:t>
      </w:r>
      <w:r>
        <w:t>, 2008 U.S. Dist. LEXIS 16838, at *15 (N.D. Ill. Mar. 4, 2008).</w:t>
      </w:r>
      <w:r w:rsidR="00FB1D09">
        <w:t xml:space="preserve"> </w:t>
      </w:r>
      <w:r>
        <w:t>In order to determine the value of the settlement offer where the party seeking to enforce the covenant seeks injunctive relief, “the court would need to determine the value of the injunction to [the party seeking enforcement] (or the cost of enforcing it to [the party against whom enforcement is sought]).”</w:t>
      </w:r>
      <w:r w:rsidR="00FB1D09">
        <w:t xml:space="preserve"> </w:t>
      </w:r>
      <w:r>
        <w:rPr>
          <w:i/>
          <w:iCs/>
        </w:rPr>
        <w:t>Id.</w:t>
      </w:r>
      <w:r>
        <w:t xml:space="preserve"> (citing, inter alia, </w:t>
      </w:r>
      <w:r>
        <w:rPr>
          <w:i/>
          <w:iCs/>
        </w:rPr>
        <w:t>MAILwaukee Mailing, Shipment &amp; Equip., Inc. v. Neopost, Inc.,</w:t>
      </w:r>
      <w:r>
        <w:t xml:space="preserve"> 259 F. Supp. 2d 769, 773 (E.D. Wis. 2003) (discussing proper way to show value of injunctive relief in noncompetition covenant case)).</w:t>
      </w:r>
    </w:p>
    <w:p w14:paraId="119DBD49" w14:textId="304D869C" w:rsidR="00655396" w:rsidRDefault="00655396" w:rsidP="008B512B">
      <w:pPr>
        <w:pStyle w:val="BodyText"/>
        <w:spacing w:line="240" w:lineRule="auto"/>
      </w:pPr>
      <w:r>
        <w:tab/>
        <w:t>However, the amount it would cost the former employer to hire and train someone to replace a former employee allegedly bound by a covenant not to compete “cannot establish the amount in controversy,” according to the U.S. District Court for the Northern District of Illinois.</w:t>
      </w:r>
      <w:r w:rsidR="00FB1D09">
        <w:t xml:space="preserve"> </w:t>
      </w:r>
      <w:r>
        <w:rPr>
          <w:i/>
          <w:iCs/>
        </w:rPr>
        <w:t>Id.</w:t>
      </w:r>
      <w:r>
        <w:t xml:space="preserve"> at *16.</w:t>
      </w:r>
    </w:p>
    <w:p w14:paraId="6B735FCD" w14:textId="77777777" w:rsidR="00655396" w:rsidRDefault="00655396" w:rsidP="008B512B">
      <w:pPr>
        <w:pStyle w:val="BodyText"/>
        <w:spacing w:line="240" w:lineRule="auto"/>
      </w:pPr>
    </w:p>
    <w:p w14:paraId="442F23D9" w14:textId="77777777" w:rsidR="00655396" w:rsidRDefault="00655396" w:rsidP="008B512B">
      <w:pPr>
        <w:pStyle w:val="AdditionalTopicsSectionHeadings"/>
        <w:spacing w:line="240" w:lineRule="auto"/>
      </w:pPr>
      <w:r>
        <w:t>Successor Employers</w:t>
      </w:r>
    </w:p>
    <w:p w14:paraId="5F7F16B8" w14:textId="77777777" w:rsidR="00655396" w:rsidRDefault="00655396" w:rsidP="008B512B">
      <w:pPr>
        <w:pStyle w:val="BodyText"/>
        <w:spacing w:line="240" w:lineRule="auto"/>
        <w:rPr>
          <w:b/>
          <w:bCs/>
        </w:rPr>
      </w:pPr>
    </w:p>
    <w:p w14:paraId="29977759" w14:textId="77777777" w:rsidR="00655396" w:rsidRDefault="00655396" w:rsidP="008B512B">
      <w:pPr>
        <w:pStyle w:val="BodyText"/>
        <w:spacing w:line="240" w:lineRule="auto"/>
      </w:pPr>
      <w:r>
        <w:tab/>
        <w:t xml:space="preserve">A company may assign or transfer some or all of its rights in an </w:t>
      </w:r>
      <w:r>
        <w:lastRenderedPageBreak/>
        <w:t xml:space="preserve">asset purchase, including its right to prohibit employees from revealing confidential information during and after employment, and have that prohibition inure to the benefit of the company’s successors and assigns. </w:t>
      </w:r>
      <w:r>
        <w:rPr>
          <w:i/>
          <w:iCs/>
        </w:rPr>
        <w:t>Chemetall GMBH v. ZR Energy, Inc.</w:t>
      </w:r>
      <w:r>
        <w:t>, 320 F.3d 714, 721 (7th Cir. 2003).</w:t>
      </w:r>
    </w:p>
    <w:p w14:paraId="32CA5764" w14:textId="50D44E5C" w:rsidR="00655396" w:rsidRDefault="00655396" w:rsidP="008B512B">
      <w:pPr>
        <w:pStyle w:val="BodyText"/>
        <w:spacing w:line="240" w:lineRule="auto"/>
        <w:rPr>
          <w:i/>
          <w:iCs/>
        </w:rPr>
      </w:pPr>
      <w:r>
        <w:tab/>
        <w:t>There is no Illinois state-court precedent holding that restrictive covenants may never be assigned without employee consent.</w:t>
      </w:r>
      <w:r w:rsidR="00FB1D09">
        <w:t xml:space="preserve"> </w:t>
      </w:r>
      <w:r>
        <w:rPr>
          <w:i/>
          <w:iCs/>
        </w:rPr>
        <w:t>AutoMed Techs., Inc. v. Eller</w:t>
      </w:r>
      <w:r>
        <w:t>, 160 F. Supp. 2d 915, 924 (N.D. Ill. 2001).</w:t>
      </w:r>
      <w:r w:rsidR="00FB1D09">
        <w:t xml:space="preserve"> </w:t>
      </w:r>
      <w:r>
        <w:t xml:space="preserve">In </w:t>
      </w:r>
      <w:r>
        <w:rPr>
          <w:i/>
          <w:iCs/>
        </w:rPr>
        <w:t>AutoMed</w:t>
      </w:r>
      <w:r>
        <w:t>, the U.S. District Court for the Northern District of Illinois predicted that, under Illinois law, where the employment contract is silent as to the assignability of a restrictive covenant contained therein, assignment to—and enforcement by—a corporate acquirer is permitted.</w:t>
      </w:r>
      <w:r w:rsidR="00FB1D09">
        <w:t xml:space="preserve"> </w:t>
      </w:r>
      <w:r>
        <w:rPr>
          <w:i/>
          <w:iCs/>
        </w:rPr>
        <w:t>Id.</w:t>
      </w:r>
    </w:p>
    <w:p w14:paraId="17876ACD" w14:textId="2BCBABB7" w:rsidR="00655396" w:rsidRDefault="00655396" w:rsidP="008B512B">
      <w:pPr>
        <w:pStyle w:val="BodyText"/>
        <w:spacing w:line="240" w:lineRule="auto"/>
      </w:pPr>
      <w:r>
        <w:tab/>
        <w:t xml:space="preserve">In </w:t>
      </w:r>
      <w:r>
        <w:rPr>
          <w:i/>
          <w:iCs/>
        </w:rPr>
        <w:t>Cronimet Holdings, Inc. v. Keywell Metals, LLC,</w:t>
      </w:r>
      <w:r>
        <w:t xml:space="preserve"> No. 14 C 3503, 2</w:t>
      </w:r>
      <w:r>
        <w:rPr>
          <w:spacing w:val="-2"/>
        </w:rPr>
        <w:t xml:space="preserve">014 BL 315275, 2014 IER Cases 171287 (N.D. Ill. 2014), the U.S. </w:t>
      </w:r>
      <w:r>
        <w:rPr>
          <w:spacing w:val="-2"/>
        </w:rPr>
        <w:br/>
        <w:t>District Court for the Northern District of Illinois dismissed counterclaims by a purchaser of assets of a bankrupt titanium recycling firm against an unsuccessful bidder for its assets and two former firm employees now working for the bidder.</w:t>
      </w:r>
      <w:r w:rsidR="00FB1D09">
        <w:rPr>
          <w:spacing w:val="-2"/>
        </w:rPr>
        <w:t xml:space="preserve"> </w:t>
      </w:r>
      <w:r>
        <w:rPr>
          <w:spacing w:val="-2"/>
        </w:rPr>
        <w:t xml:space="preserve">The court held that the </w:t>
      </w:r>
      <w:r>
        <w:t>purchaser of assets was not a successor in interest because it did not purchase the noncompetition and nondisclosure agreements, signed by the employees, in the asset purchase contract.</w:t>
      </w:r>
      <w:r w:rsidR="00FB1D09">
        <w:t xml:space="preserve"> </w:t>
      </w:r>
      <w:r>
        <w:rPr>
          <w:i/>
          <w:iCs/>
        </w:rPr>
        <w:t>Id.,</w:t>
      </w:r>
      <w:r>
        <w:t xml:space="preserve"> 2014 BL 315275, at *10.</w:t>
      </w:r>
    </w:p>
    <w:p w14:paraId="4118FB49" w14:textId="77777777" w:rsidR="00655396" w:rsidRDefault="00655396" w:rsidP="008B512B">
      <w:pPr>
        <w:pStyle w:val="BodyText"/>
        <w:spacing w:line="240" w:lineRule="auto"/>
      </w:pPr>
    </w:p>
    <w:p w14:paraId="766CFDED" w14:textId="77777777" w:rsidR="00655396" w:rsidRDefault="00655396" w:rsidP="008B512B">
      <w:pPr>
        <w:pStyle w:val="AdditionalTopicsSectionHeadings"/>
        <w:spacing w:line="240" w:lineRule="auto"/>
      </w:pPr>
      <w:r>
        <w:t>Summary Judgment</w:t>
      </w:r>
    </w:p>
    <w:p w14:paraId="4E566834"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63E87D83" w14:textId="486F0AA6" w:rsidR="00655396" w:rsidRDefault="00655396" w:rsidP="008B512B">
      <w:pPr>
        <w:pStyle w:val="BodyText"/>
        <w:spacing w:line="240" w:lineRule="auto"/>
      </w:pPr>
      <w:r>
        <w:tab/>
        <w:t>On appellate review of a summary judgment ruling in state court actions, “</w:t>
      </w:r>
      <w:r>
        <w:rPr>
          <w:rFonts w:ascii="Times New Roman" w:hAnsi="Times New Roman" w:cs="Times New Roman"/>
        </w:rPr>
        <w:t> </w:t>
      </w:r>
      <w:r>
        <w:t xml:space="preserve">‘the appellant may only refer to the record as it </w:t>
      </w:r>
      <w:r>
        <w:br/>
        <w:t>existed at the time the trial court ruled, outline the arguments made at that time, and explain why the trial court erred in granting summary judgment.’</w:t>
      </w:r>
      <w:r>
        <w:rPr>
          <w:rFonts w:ascii="Times New Roman" w:hAnsi="Times New Roman" w:cs="Times New Roman"/>
        </w:rPr>
        <w:t> </w:t>
      </w:r>
      <w:r>
        <w:t>”</w:t>
      </w:r>
      <w:r w:rsidR="00FB1D09">
        <w:t xml:space="preserve"> </w:t>
      </w:r>
      <w:r>
        <w:rPr>
          <w:i/>
          <w:iCs/>
        </w:rPr>
        <w:t>Lawrence &amp; Allen, Inc. v. Cambridge Human Res. Grp., Inc.</w:t>
      </w:r>
      <w:r>
        <w:t xml:space="preserve">, 226 Ill. Dec. 331, 336, 685 N.E.2d 434, 439 (Ct. App. 2d Dist. 1997) (quoting </w:t>
      </w:r>
      <w:r>
        <w:rPr>
          <w:i/>
          <w:iCs/>
        </w:rPr>
        <w:t>Rayner Covering Sys., Inc. v. Danvers Farmers Elevator Co.</w:t>
      </w:r>
      <w:r>
        <w:t>, 226 Ill. App. 3d 507, 509–10, 168 Ill. Dec. 634, 589 N.E.2d 1034 (1992)).</w:t>
      </w:r>
    </w:p>
    <w:p w14:paraId="6923F6A2" w14:textId="63BCA90A" w:rsidR="00655396" w:rsidRDefault="00655396" w:rsidP="008B512B">
      <w:pPr>
        <w:pStyle w:val="BodyText"/>
        <w:spacing w:line="240" w:lineRule="auto"/>
      </w:pPr>
      <w:r>
        <w:tab/>
        <w:t xml:space="preserve">“[O]n </w:t>
      </w:r>
      <w:r>
        <w:rPr>
          <w:i/>
          <w:iCs/>
        </w:rPr>
        <w:t>de novo</w:t>
      </w:r>
      <w:r>
        <w:t xml:space="preserve"> review, [Illinois state courts of appeal] are free to consider any pleadings, depositions, admissions, and affidavits on file at the time of the hearing regardless of whether facts contained therein </w:t>
      </w:r>
      <w:r>
        <w:lastRenderedPageBreak/>
        <w:t>were presented to the trial court in response to the motion for summary judgment.”</w:t>
      </w:r>
      <w:r w:rsidR="00FB1D09">
        <w:t xml:space="preserve"> </w:t>
      </w:r>
      <w:r>
        <w:rPr>
          <w:i/>
          <w:iCs/>
        </w:rPr>
        <w:t>Id.</w:t>
      </w:r>
      <w:r>
        <w:t xml:space="preserve"> at 337, 685 N.E.2d at 440 (citing, inter alia, 735 </w:t>
      </w:r>
      <w:r>
        <w:rPr>
          <w:smallCaps/>
        </w:rPr>
        <w:t>Ill. Comp. Stat.</w:t>
      </w:r>
      <w:r>
        <w:t xml:space="preserve"> 5/2-1005 (West 1996); distinguishing </w:t>
      </w:r>
      <w:r>
        <w:rPr>
          <w:i/>
          <w:iCs/>
        </w:rPr>
        <w:t>Rayner Covering Sys</w:t>
      </w:r>
      <w:r>
        <w:t xml:space="preserve">., 226 Ill. App. 3d at 510, 168 Ill. Dec. 634, 589 N.E.2d 1034, on ground that appellant in that case attempted to rely on facts added to the record </w:t>
      </w:r>
      <w:r>
        <w:rPr>
          <w:i/>
          <w:iCs/>
        </w:rPr>
        <w:t>after</w:t>
      </w:r>
      <w:r>
        <w:t xml:space="preserve"> the trial court had ruled on motion for summary judgment: appellant in that case referred to facts from trial testimony and an affidavit attached to a motion to reconsider which were not yet of record when the trial court granted summary judgment).</w:t>
      </w:r>
    </w:p>
    <w:p w14:paraId="23B9A235" w14:textId="45CAE148" w:rsidR="00655396" w:rsidRDefault="00655396" w:rsidP="008B512B">
      <w:pPr>
        <w:pStyle w:val="BodyText"/>
        <w:spacing w:line="240" w:lineRule="auto"/>
      </w:pPr>
      <w:r>
        <w:tab/>
        <w:t>The denial of previous motions for summary judgment in the same litigation does not compel denial of a subsequent motion for summary judgment.</w:t>
      </w:r>
      <w:r w:rsidR="00FB1D09">
        <w:t xml:space="preserve"> </w:t>
      </w:r>
      <w:r>
        <w:rPr>
          <w:i/>
          <w:iCs/>
        </w:rPr>
        <w:t>Id.</w:t>
      </w:r>
      <w:r>
        <w:t xml:space="preserve">, 685 N.E.2d at 440 (citing 735 </w:t>
      </w:r>
      <w:r>
        <w:rPr>
          <w:smallCaps/>
        </w:rPr>
        <w:t>Ill. Comp. Stat.</w:t>
      </w:r>
      <w:r>
        <w:t xml:space="preserve"> 5/2-1005).</w:t>
      </w:r>
      <w:r w:rsidR="00FB1D09">
        <w:t xml:space="preserve"> </w:t>
      </w:r>
      <w:r>
        <w:t>Likewise, “a defendant may move at any time for summary judgment on all or any part of the relief sought against him.”</w:t>
      </w:r>
      <w:r w:rsidR="00FB1D09">
        <w:t xml:space="preserve"> </w:t>
      </w:r>
      <w:r>
        <w:rPr>
          <w:i/>
          <w:iCs/>
        </w:rPr>
        <w:t>Id.</w:t>
      </w:r>
      <w:r>
        <w:t>, 685 N.E.2d at 440 (citation omitted).</w:t>
      </w:r>
      <w:r w:rsidR="00FB1D09">
        <w:t xml:space="preserve"> </w:t>
      </w:r>
      <w:r>
        <w:t>In addition, “the denial of a motion for summary judgment is an interlocutory order which is neither final nor appealable and, thus, cannot form the basis for a claim of res judicata.”</w:t>
      </w:r>
      <w:r w:rsidR="00FB1D09">
        <w:t xml:space="preserve"> </w:t>
      </w:r>
      <w:r>
        <w:rPr>
          <w:i/>
          <w:iCs/>
        </w:rPr>
        <w:t>Id.</w:t>
      </w:r>
      <w:r>
        <w:t>, 685 N.E.2d at 440 (citation omitted).</w:t>
      </w:r>
      <w:r w:rsidR="00FB1D09">
        <w:t xml:space="preserve"> </w:t>
      </w:r>
      <w:r>
        <w:t>Moreover, “a trial court may deny a motion for summary judgment and later change its position and grant that same motion.”</w:t>
      </w:r>
      <w:r w:rsidR="00FB1D09">
        <w:t xml:space="preserve"> </w:t>
      </w:r>
      <w:r>
        <w:rPr>
          <w:i/>
          <w:iCs/>
        </w:rPr>
        <w:t>Id.</w:t>
      </w:r>
      <w:r>
        <w:t>, 685 N.E.2d at 440 (citation omitted).</w:t>
      </w:r>
    </w:p>
    <w:p w14:paraId="2390A0AD" w14:textId="692C1F41"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On review of a federal district court’s summary judgment ruling, the U.S. Court of Appeals for the Seventh Circuit reviews that ruling, “including [any] conclusion that [a] contractual provision in question is unambiguous, </w:t>
      </w:r>
      <w:r>
        <w:rPr>
          <w:rFonts w:ascii="Baskerville" w:hAnsi="Baskerville" w:cs="Baskerville"/>
          <w:i/>
          <w:iCs/>
        </w:rPr>
        <w:t>de novo</w:t>
      </w:r>
      <w:r>
        <w:rPr>
          <w:rFonts w:ascii="Baskerville" w:hAnsi="Baskerville" w:cs="Baskerville"/>
        </w:rPr>
        <w:t>, applying the usual standards.”</w:t>
      </w:r>
      <w:r w:rsidR="00FB1D09">
        <w:rPr>
          <w:rFonts w:ascii="Baskerville" w:hAnsi="Baskerville" w:cs="Baskerville"/>
        </w:rPr>
        <w:t xml:space="preserve"> </w:t>
      </w:r>
      <w:r>
        <w:rPr>
          <w:rFonts w:ascii="Baskerville" w:hAnsi="Baskerville" w:cs="Baskerville"/>
          <w:i/>
          <w:iCs/>
        </w:rPr>
        <w:t>Emergency Med. Care, Inc. v. Marion Mem’l Hosp.</w:t>
      </w:r>
      <w:r>
        <w:rPr>
          <w:rFonts w:ascii="Baskerville" w:hAnsi="Baskerville" w:cs="Baskerville"/>
        </w:rPr>
        <w:t xml:space="preserve">, 94 F.3d 1059, 1061 (7th Cir. 1996) (citing </w:t>
      </w:r>
      <w:r>
        <w:rPr>
          <w:rFonts w:ascii="Baskerville" w:hAnsi="Baskerville" w:cs="Baskerville"/>
          <w:smallCaps/>
        </w:rPr>
        <w:t>Fed.R.Civ.P.</w:t>
      </w:r>
      <w:r>
        <w:rPr>
          <w:rFonts w:ascii="Baskerville" w:hAnsi="Baskerville" w:cs="Baskerville"/>
        </w:rPr>
        <w:t xml:space="preserve"> 56; affirming, at 1062, district court’s finding that restriction was not ambiguous and affirming district court’s entry of summary judgment for party against whom enforcement of restriction was sought).</w:t>
      </w:r>
    </w:p>
    <w:p w14:paraId="7E70C304" w14:textId="16F646C7" w:rsidR="00655396" w:rsidRDefault="00655396" w:rsidP="008B512B">
      <w:pPr>
        <w:pStyle w:val="BodyText"/>
        <w:spacing w:line="240" w:lineRule="auto"/>
      </w:pPr>
      <w:r>
        <w:tab/>
        <w:t>After a trial on the merits regarding breach of a confidentiality covenant by an employee, a federal court of appeals can review a district court’s interpretation of an underlying asset purchase agreement de novo. When the denial of summary judgment is not based on the adequacy of the evidence, the legal question can be separated from the factual one and the legal question can be reviewed by the court of appeals notwithstanding the party’s failure to raise it in a motion for judgment as a matter of law at trial.</w:t>
      </w:r>
      <w:r w:rsidR="00FB1D09">
        <w:t xml:space="preserve"> </w:t>
      </w:r>
      <w:r>
        <w:rPr>
          <w:i/>
          <w:iCs/>
        </w:rPr>
        <w:t>Chemetall GMBH v. ZR Energy, Inc.</w:t>
      </w:r>
      <w:r>
        <w:t>, 320 F.3d 714, 720 (7th Cir. 2003).</w:t>
      </w:r>
    </w:p>
    <w:p w14:paraId="46F67D2B" w14:textId="77777777" w:rsidR="00655396" w:rsidRDefault="00655396" w:rsidP="008B512B">
      <w:pPr>
        <w:pStyle w:val="BodyText"/>
        <w:spacing w:line="240" w:lineRule="auto"/>
      </w:pPr>
    </w:p>
    <w:p w14:paraId="792CB941" w14:textId="77777777" w:rsidR="00655396" w:rsidRDefault="00655396" w:rsidP="008B512B">
      <w:pPr>
        <w:pStyle w:val="BodyText"/>
        <w:spacing w:line="240" w:lineRule="auto"/>
        <w:rPr>
          <w:b/>
          <w:bCs/>
        </w:rPr>
      </w:pPr>
      <w:r>
        <w:rPr>
          <w:b/>
          <w:bCs/>
        </w:rPr>
        <w:t>Superseding Agreements/Contracts</w:t>
      </w:r>
    </w:p>
    <w:p w14:paraId="43CBDC43" w14:textId="77777777" w:rsidR="00655396" w:rsidRDefault="00655396" w:rsidP="008B512B">
      <w:pPr>
        <w:pStyle w:val="BodyText"/>
        <w:spacing w:line="240" w:lineRule="auto"/>
      </w:pPr>
    </w:p>
    <w:p w14:paraId="7ECDD4AC" w14:textId="2795E630" w:rsidR="00655396" w:rsidRDefault="00655396" w:rsidP="008B512B">
      <w:pPr>
        <w:pStyle w:val="BodyText"/>
        <w:spacing w:line="240" w:lineRule="auto"/>
      </w:pPr>
      <w:r>
        <w:tab/>
      </w:r>
      <w:r w:rsidR="00585C30" w:rsidRPr="00585C30">
        <w:t xml:space="preserve">When a valid integration clause is included in a contract, Illinois courts and courts applying Illinois law accept such a clause as an expression of the parties’ intent that the contract is “the final deal.” </w:t>
      </w:r>
      <w:r w:rsidR="00585C30" w:rsidRPr="00585C30">
        <w:rPr>
          <w:i/>
          <w:iCs/>
        </w:rPr>
        <w:t>Mission Measurement Corp. v. Blackbaud, Inc</w:t>
      </w:r>
      <w:r w:rsidR="00585C30" w:rsidRPr="00585C30">
        <w:t xml:space="preserve">., 287 F. Supp. 3d 691, 713 (N.D. Ill. Dec. 13, 2017) (citation omitted). </w:t>
      </w:r>
      <w:r w:rsidR="00585C30" w:rsidRPr="00585C30">
        <w:rPr>
          <w:i/>
          <w:iCs/>
        </w:rPr>
        <w:t>See Atkore Int’l v. Fay</w:t>
      </w:r>
      <w:r w:rsidR="00585C30" w:rsidRPr="00585C30">
        <w:t>, 2018 BL 439249, at *3 (N.D. Ill. Nov. 29, 2018) (“It is plain from the face of the Separation Agreement that its provisions supersede those established in the parties’ previous agreements. The Separation Agreement contains two separate paragraphs entitled ‘Entire Agreement.’</w:t>
      </w:r>
      <w:r w:rsidR="00585C30" w:rsidRPr="00585C30">
        <w:rPr>
          <w:rFonts w:ascii="Times New Roman" w:hAnsi="Times New Roman" w:cs="Times New Roman"/>
        </w:rPr>
        <w:t> </w:t>
      </w:r>
      <w:r w:rsidR="00944F63">
        <w:t>…</w:t>
      </w:r>
      <w:r w:rsidR="00585C30" w:rsidRPr="00585C30">
        <w:rPr>
          <w:rFonts w:ascii="Times New Roman" w:hAnsi="Times New Roman" w:cs="Times New Roman"/>
        </w:rPr>
        <w:t> </w:t>
      </w:r>
      <w:r w:rsidR="00585C30" w:rsidRPr="00585C30">
        <w:t>Each of these provisions expressly acknowledges the parties</w:t>
      </w:r>
      <w:r w:rsidR="00585C30" w:rsidRPr="00585C30">
        <w:rPr>
          <w:rFonts w:ascii="Goudy Old Style" w:hAnsi="Goudy Old Style" w:cs="Goudy Old Style"/>
        </w:rPr>
        <w:t>’</w:t>
      </w:r>
      <w:r w:rsidR="00585C30" w:rsidRPr="00585C30">
        <w:t xml:space="preserve"> previous agreements and affirmatively states that they are superseded.</w:t>
      </w:r>
      <w:r w:rsidR="00585C30" w:rsidRPr="00585C30">
        <w:rPr>
          <w:rFonts w:ascii="Goudy Old Style" w:hAnsi="Goudy Old Style" w:cs="Goudy Old Style"/>
        </w:rPr>
        <w:t>”</w:t>
      </w:r>
      <w:r w:rsidR="00585C30" w:rsidRPr="00585C30">
        <w:t>).</w:t>
      </w:r>
    </w:p>
    <w:p w14:paraId="3964BEA0"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68F1C894" w14:textId="77777777" w:rsidR="00655396" w:rsidRDefault="00655396" w:rsidP="008B512B">
      <w:pPr>
        <w:pStyle w:val="AdditionalTopicsSectionHeadings"/>
        <w:spacing w:line="240" w:lineRule="auto"/>
      </w:pPr>
      <w:r>
        <w:t>Termination for Refusal to Sign</w:t>
      </w:r>
    </w:p>
    <w:p w14:paraId="1EA8C869" w14:textId="77777777" w:rsidR="00655396" w:rsidRDefault="00655396" w:rsidP="008B512B">
      <w:pPr>
        <w:pStyle w:val="BodyText"/>
        <w:spacing w:line="240" w:lineRule="auto"/>
      </w:pPr>
    </w:p>
    <w:p w14:paraId="7ED24A1D" w14:textId="3CAC8220" w:rsidR="00BC0313" w:rsidRDefault="00655396" w:rsidP="008B512B">
      <w:pPr>
        <w:pStyle w:val="BodyText"/>
        <w:spacing w:line="240" w:lineRule="auto"/>
      </w:pPr>
      <w:r>
        <w:tab/>
        <w:t>An employee fails to allege that her termination for refusing to sign a covenant not to compete could have been in retaliation for her reports to the employer’s board of directors concerning, among other things, age and gender discrimination, where</w:t>
      </w:r>
      <w:r w:rsidR="00D47546">
        <w:t xml:space="preserve">: </w:t>
      </w:r>
      <w:r>
        <w:t>(1) the covenant came into existence and was circulated to some employees before the plaintiff employee made her reports to the employer’s board; and (2) the plaintiff employee failed to allege that she was being treated differently vis-a-vis other employees with respect to her refusal to sign the covenant.</w:t>
      </w:r>
      <w:r w:rsidR="00FB1D09">
        <w:t xml:space="preserve"> </w:t>
      </w:r>
      <w:r>
        <w:rPr>
          <w:i/>
          <w:iCs/>
        </w:rPr>
        <w:t>O’Regan v. Arbitration Forums, Inc.</w:t>
      </w:r>
      <w:r>
        <w:t xml:space="preserve">, 121 F.3d 1060, 1064–65, 80 FEP Cases 1738, 13 IER Cases 448 (7th Cir. 1997), </w:t>
      </w:r>
      <w:r>
        <w:rPr>
          <w:i/>
          <w:iCs/>
        </w:rPr>
        <w:t>aff’d</w:t>
      </w:r>
      <w:r>
        <w:t>, 246 F.3d 975 (7th Cir. 2001).</w:t>
      </w:r>
    </w:p>
    <w:p w14:paraId="0DC59084" w14:textId="77777777" w:rsidR="00BC0313" w:rsidRDefault="00BC0313" w:rsidP="008B512B">
      <w:pPr>
        <w:pStyle w:val="BodyText"/>
        <w:spacing w:line="240" w:lineRule="auto"/>
      </w:pPr>
    </w:p>
    <w:p w14:paraId="1B3DE6F0" w14:textId="77777777" w:rsidR="00BC0313" w:rsidRPr="00BC0313" w:rsidRDefault="00BC0313" w:rsidP="008B512B">
      <w:pPr>
        <w:pStyle w:val="BodyText"/>
        <w:spacing w:line="240" w:lineRule="auto"/>
        <w:rPr>
          <w:b/>
          <w:bCs/>
        </w:rPr>
      </w:pPr>
      <w:r w:rsidRPr="00BC0313">
        <w:rPr>
          <w:b/>
          <w:bCs/>
        </w:rPr>
        <w:t>Third-Party Beneficiaries</w:t>
      </w:r>
    </w:p>
    <w:p w14:paraId="4C1D142C" w14:textId="25BD73CE" w:rsidR="00655396" w:rsidRDefault="00655396" w:rsidP="008B512B">
      <w:pPr>
        <w:pStyle w:val="BodyText"/>
        <w:spacing w:line="240" w:lineRule="auto"/>
      </w:pPr>
      <w:r>
        <w:t xml:space="preserve"> </w:t>
      </w:r>
    </w:p>
    <w:p w14:paraId="6133701E" w14:textId="1910C0F2" w:rsidR="00526402" w:rsidRPr="00207102" w:rsidRDefault="00526402" w:rsidP="00526402">
      <w:pPr>
        <w:shd w:val="clear" w:color="auto" w:fill="FFFFFF"/>
        <w:rPr>
          <w:rFonts w:ascii="Baskerville" w:hAnsi="Baskerville" w:cs="Open Sans"/>
          <w:color w:val="505558"/>
        </w:rPr>
      </w:pPr>
      <w:r>
        <w:rPr>
          <w:rStyle w:val="legalprinciplestatement"/>
          <w:rFonts w:ascii="Open Sans" w:hAnsi="Open Sans" w:cs="Open Sans"/>
          <w:color w:val="505558"/>
        </w:rPr>
        <w:tab/>
      </w:r>
      <w:r w:rsidRPr="00207102">
        <w:rPr>
          <w:rStyle w:val="legalprinciplestatement"/>
          <w:rFonts w:ascii="Baskerville" w:hAnsi="Baskerville" w:cs="Open Sans"/>
          <w:color w:val="000000" w:themeColor="text1"/>
        </w:rPr>
        <w:t>Illinois courts and courts applying Illinois law recognize a “strong presumption against conferring contractual benefits on noncontracting third parties.”</w:t>
      </w:r>
      <w:r w:rsidRPr="00207102">
        <w:rPr>
          <w:rStyle w:val="Emphasis"/>
          <w:rFonts w:ascii="Baskerville" w:hAnsi="Baskerville" w:cs="Open Sans"/>
          <w:color w:val="000000" w:themeColor="text1"/>
        </w:rPr>
        <w:t xml:space="preserve"> Marque Medicos Farnsworth, LLC v. Liberty Mut. Ins. Co.</w:t>
      </w:r>
      <w:r w:rsidRPr="00207102">
        <w:rPr>
          <w:rFonts w:ascii="Baskerville" w:hAnsi="Baskerville" w:cs="Open Sans"/>
          <w:color w:val="000000" w:themeColor="text1"/>
        </w:rPr>
        <w:t xml:space="preserve">, 427 Ill. Dec. 218, 117 N.E.3d 1155, 1159 (Ill. Ct. App. 1st Dist. 2018) (quoted in </w:t>
      </w:r>
      <w:r w:rsidRPr="00207102">
        <w:rPr>
          <w:rStyle w:val="Emphasis"/>
          <w:rFonts w:ascii="Baskerville" w:hAnsi="Baskerville" w:cs="Open Sans"/>
          <w:color w:val="000000" w:themeColor="text1"/>
        </w:rPr>
        <w:t>Sosa v. Onfido, Inc.</w:t>
      </w:r>
      <w:r w:rsidRPr="00207102">
        <w:rPr>
          <w:rFonts w:ascii="Baskerville" w:hAnsi="Baskerville" w:cs="Open Sans"/>
          <w:color w:val="000000" w:themeColor="text1"/>
        </w:rPr>
        <w:t xml:space="preserve">, 8 F.4th </w:t>
      </w:r>
      <w:r w:rsidRPr="00207102">
        <w:rPr>
          <w:rFonts w:ascii="Baskerville" w:hAnsi="Baskerville" w:cs="Open Sans"/>
          <w:color w:val="000000" w:themeColor="text1"/>
        </w:rPr>
        <w:lastRenderedPageBreak/>
        <w:t xml:space="preserve">631, 639 (7th Cir. 2021) (quoted, in turn, in </w:t>
      </w:r>
      <w:r w:rsidRPr="00207102">
        <w:rPr>
          <w:rFonts w:ascii="Baskerville" w:hAnsi="Baskerville" w:cs="Open Sans"/>
          <w:i/>
          <w:iCs/>
          <w:color w:val="000000" w:themeColor="text1"/>
        </w:rPr>
        <w:t>Medcor, Inc. v. Garcia</w:t>
      </w:r>
      <w:r w:rsidRPr="00207102">
        <w:rPr>
          <w:rFonts w:ascii="Baskerville" w:hAnsi="Baskerville" w:cs="Open Sans"/>
          <w:color w:val="000000" w:themeColor="text1"/>
        </w:rPr>
        <w:t>, 2022 BL 12783, at *8 (N.D. Ill. Jan. 13, 2022))).</w:t>
      </w:r>
    </w:p>
    <w:p w14:paraId="6A1ACE04" w14:textId="77777777" w:rsidR="00BC0313" w:rsidRDefault="00BC0313" w:rsidP="008B512B">
      <w:pPr>
        <w:pStyle w:val="BodyText"/>
        <w:spacing w:line="240" w:lineRule="auto"/>
      </w:pPr>
    </w:p>
    <w:p w14:paraId="7D1674BD" w14:textId="77777777" w:rsidR="00655396" w:rsidRDefault="00655396" w:rsidP="008B512B">
      <w:pPr>
        <w:pStyle w:val="AdditionalTopicsSectionHeadings"/>
        <w:spacing w:line="240" w:lineRule="auto"/>
      </w:pPr>
      <w:r>
        <w:t>Tortious Interference</w:t>
      </w:r>
    </w:p>
    <w:p w14:paraId="61898060" w14:textId="77777777" w:rsidR="00585C30" w:rsidRPr="00585C30" w:rsidRDefault="00655396" w:rsidP="00585C30">
      <w:pPr>
        <w:pStyle w:val="BodyText"/>
        <w:spacing w:line="240" w:lineRule="auto"/>
      </w:pPr>
      <w:r>
        <w:tab/>
        <w:t xml:space="preserve"> </w:t>
      </w:r>
    </w:p>
    <w:p w14:paraId="730EDDAE" w14:textId="77777777" w:rsidR="00585C30" w:rsidRPr="00585C30" w:rsidRDefault="006532A6" w:rsidP="00585C30">
      <w:pPr>
        <w:pStyle w:val="BodyText"/>
        <w:spacing w:line="240" w:lineRule="auto"/>
      </w:pPr>
      <w:r>
        <w:tab/>
      </w:r>
      <w:r w:rsidR="00585C30" w:rsidRPr="00585C30">
        <w:t>The elements of a claim for tortious interference with contract are:</w:t>
      </w:r>
    </w:p>
    <w:p w14:paraId="1C5B5140" w14:textId="77777777" w:rsidR="00585C30" w:rsidRPr="00585C30" w:rsidRDefault="00585C30">
      <w:pPr>
        <w:pStyle w:val="BodyText"/>
      </w:pPr>
      <w:r>
        <w:tab/>
      </w:r>
      <w:r w:rsidRPr="00585C30">
        <w:t>(1) the existence of a valid and enforceable contract between the plaintiff and another;</w:t>
      </w:r>
    </w:p>
    <w:p w14:paraId="7648D399" w14:textId="77777777" w:rsidR="00585C30" w:rsidRPr="00585C30" w:rsidRDefault="00585C30" w:rsidP="00585C30">
      <w:pPr>
        <w:pStyle w:val="BodyText"/>
      </w:pPr>
      <w:r>
        <w:tab/>
      </w:r>
      <w:r w:rsidRPr="00585C30">
        <w:t>(2) the defendant’s awareness of this contractual relationship;</w:t>
      </w:r>
    </w:p>
    <w:p w14:paraId="62EA7C22" w14:textId="77777777" w:rsidR="00585C30" w:rsidRPr="00585C30" w:rsidRDefault="00585C30">
      <w:pPr>
        <w:pStyle w:val="BodyText"/>
      </w:pPr>
      <w:r>
        <w:tab/>
      </w:r>
      <w:r w:rsidRPr="00585C30">
        <w:t>(3) the defendant’s intentional and unjustified inducement of a breach of the contract;</w:t>
      </w:r>
    </w:p>
    <w:p w14:paraId="58A8FF63" w14:textId="77777777" w:rsidR="00585C30" w:rsidRPr="00585C30" w:rsidRDefault="00585C30">
      <w:pPr>
        <w:pStyle w:val="BodyText"/>
      </w:pPr>
      <w:r>
        <w:tab/>
      </w:r>
      <w:r w:rsidRPr="00585C30">
        <w:t xml:space="preserve">(4) a subsequent breach by the other, caused by the defendant’s wrongful conduct; and </w:t>
      </w:r>
    </w:p>
    <w:p w14:paraId="665A6D67" w14:textId="77777777" w:rsidR="00585C30" w:rsidRPr="00585C30" w:rsidRDefault="00585C30">
      <w:pPr>
        <w:pStyle w:val="BodyText"/>
      </w:pPr>
      <w:r>
        <w:tab/>
      </w:r>
      <w:r w:rsidRPr="00585C30">
        <w:t xml:space="preserve">(5) damages. </w:t>
      </w:r>
      <w:r w:rsidRPr="00585C30">
        <w:rPr>
          <w:i/>
          <w:iCs/>
        </w:rPr>
        <w:t>Lawrence &amp; Allen, Inc. v. Cambridge Human Res. Grp., Inc.</w:t>
      </w:r>
      <w:r w:rsidRPr="00585C30">
        <w:t xml:space="preserve">, 226 Ill. Dec. 331, 334, 685 N.E.2d 434, 437 (Ct. App. 2d Dist. 1997) (citing </w:t>
      </w:r>
      <w:r w:rsidRPr="00585C30">
        <w:rPr>
          <w:i/>
          <w:iCs/>
        </w:rPr>
        <w:t>HPI Health Care Servs., Inc. v. Mt. Vernon Hosp., Inc.</w:t>
      </w:r>
      <w:r w:rsidRPr="00585C30">
        <w:t xml:space="preserve">, 131 Ill. 2d 145, 154–55, 137 Ill. Dec. 19, 545 N.E.2d 672 (1989)); </w:t>
      </w:r>
      <w:r w:rsidRPr="00585C30">
        <w:rPr>
          <w:i/>
          <w:iCs/>
        </w:rPr>
        <w:t>Lawson Prods., Inc. v. Chromate Indus. Corp.</w:t>
      </w:r>
      <w:r w:rsidRPr="00585C30">
        <w:t>, 158 F. Supp. 2d 860, 865 (N.D. Ill. 2001) (stating claim for tortious interference with nondisclosure covenants of rival’s former employees).</w:t>
      </w:r>
    </w:p>
    <w:p w14:paraId="3623EC99" w14:textId="77777777" w:rsidR="00585C30" w:rsidRPr="00585C30" w:rsidRDefault="00585C30" w:rsidP="00585C30">
      <w:pPr>
        <w:pStyle w:val="BodyText"/>
      </w:pPr>
      <w:r>
        <w:tab/>
      </w:r>
      <w:r w:rsidRPr="00585C30">
        <w:t xml:space="preserve">In connection with the first element, invalid and unenforceable restrictive covenants cannot form the basis for a claim for tortious interference with contract. </w:t>
      </w:r>
      <w:r w:rsidRPr="00585C30">
        <w:rPr>
          <w:i/>
          <w:iCs/>
        </w:rPr>
        <w:t>See Lawrence &amp; Allen</w:t>
      </w:r>
      <w:r w:rsidRPr="00585C30">
        <w:t>, 226 Ill. Dec. at 335, 685 N.E.2d at 438.</w:t>
      </w:r>
    </w:p>
    <w:p w14:paraId="1B387DCE" w14:textId="0A7D8069" w:rsidR="00585C30" w:rsidRPr="00585C30" w:rsidRDefault="00585C30" w:rsidP="00585C30">
      <w:pPr>
        <w:pStyle w:val="BodyText"/>
      </w:pPr>
      <w:r>
        <w:rPr>
          <w:i/>
          <w:iCs/>
        </w:rPr>
        <w:tab/>
      </w:r>
      <w:r w:rsidRPr="00585C30">
        <w:rPr>
          <w:i/>
          <w:iCs/>
        </w:rPr>
        <w:t>See Hamilton Mem’l Hosp. Dist. v. Toelle</w:t>
      </w:r>
      <w:r w:rsidRPr="00585C30">
        <w:t xml:space="preserve">, No. 12-cv-1004-JPG-PMF, 2014 BL 94836 (S.D. Ill. Apr. 7, 2014) (holding that hospital—that a medical director left her former employer to work for prior to the end of her employment contract—was entitled to summary judgment on former employer’s claim of tortious interference with contract given that hospital merely responded to director’s inquiries regarding potential employment and made job offer that would begin when director said she was available and free from agreement); </w:t>
      </w:r>
      <w:r w:rsidRPr="00585C30">
        <w:rPr>
          <w:i/>
          <w:iCs/>
        </w:rPr>
        <w:t>see generally</w:t>
      </w:r>
      <w:r w:rsidRPr="00585C30">
        <w:t xml:space="preserve"> this state’s chapter in </w:t>
      </w:r>
      <w:r w:rsidRPr="006532A6">
        <w:rPr>
          <w:smallCaps/>
        </w:rPr>
        <w:t>Brian M. Malsberger, Tortious Interference in the Employment Context: A State-by-State Survey</w:t>
      </w:r>
      <w:r w:rsidRPr="00585C30">
        <w:t xml:space="preserve"> (Arlington, Va.: Bloomberg Law, </w:t>
      </w:r>
      <w:r w:rsidR="004A3D31">
        <w:t>2023</w:t>
      </w:r>
      <w:r w:rsidR="009060B6">
        <w:t xml:space="preserve"> </w:t>
      </w:r>
      <w:r w:rsidRPr="00585C30">
        <w:t>ed.</w:t>
      </w:r>
      <w:r w:rsidR="009060B6">
        <w:t xml:space="preserve">) </w:t>
      </w:r>
      <w:r w:rsidR="003207CE">
        <w:t>(ebook)</w:t>
      </w:r>
      <w:r w:rsidRPr="00585C30">
        <w:t>.</w:t>
      </w:r>
    </w:p>
    <w:p w14:paraId="613F019B" w14:textId="77777777" w:rsidR="006532A6" w:rsidRDefault="006532A6" w:rsidP="00585C30">
      <w:pPr>
        <w:pStyle w:val="BodyText"/>
      </w:pPr>
    </w:p>
    <w:p w14:paraId="492D72DF" w14:textId="77777777" w:rsidR="00585C30" w:rsidRPr="00585C30" w:rsidRDefault="00585C30" w:rsidP="00585C30">
      <w:pPr>
        <w:pStyle w:val="BodyText"/>
      </w:pPr>
      <w:r>
        <w:tab/>
      </w:r>
      <w:r w:rsidRPr="00585C30">
        <w:t xml:space="preserve">• </w:t>
      </w:r>
      <w:r w:rsidRPr="00585C30">
        <w:rPr>
          <w:i/>
          <w:iCs/>
        </w:rPr>
        <w:t xml:space="preserve">Tortious interference with noncompetition and nondisclosure </w:t>
      </w:r>
      <w:r w:rsidRPr="00585C30">
        <w:rPr>
          <w:i/>
          <w:iCs/>
        </w:rPr>
        <w:lastRenderedPageBreak/>
        <w:t xml:space="preserve">covenants signed by bankrupt corporation that has sold its assets. </w:t>
      </w:r>
      <w:r w:rsidRPr="00585C30">
        <w:t xml:space="preserve">In a case involving claims of tortious interference with noncompetition and nondisclosure agreements, brought by a purchaser of assets of a bankrupt titanium recycling firm against an unsuccessful bidder for the assets and two firm employees who now worked for the bidder, the U.S. District Court for the Northern District of Illinois held that the purchaser had no standing to enforce the agreements because it did not acquire them in the asset purchase agreement. </w:t>
      </w:r>
      <w:r w:rsidRPr="00585C30">
        <w:rPr>
          <w:i/>
          <w:iCs/>
        </w:rPr>
        <w:t>Cronimet Holdings, Inc. v. Keywell Metals, LLC,</w:t>
      </w:r>
      <w:r w:rsidRPr="00585C30">
        <w:t xml:space="preserve"> No. 14 C 3503, 2014 BL 315275, at *11, 2014 IER Cases 171287 (N.D. Ill. 2014). In the absence of standing, and in light of the fact that the bankrupt firm no longer existed and could not enforce the underlying contracts, a claim of tortious interference could not be brought. </w:t>
      </w:r>
      <w:r w:rsidRPr="00585C30">
        <w:rPr>
          <w:i/>
          <w:iCs/>
        </w:rPr>
        <w:t>Id.</w:t>
      </w:r>
      <w:r w:rsidRPr="00585C30">
        <w:t>, 2014 BL 315275, at *11.</w:t>
      </w:r>
    </w:p>
    <w:p w14:paraId="6F9CAD80" w14:textId="77777777" w:rsidR="00585C30" w:rsidRPr="00585C30" w:rsidRDefault="00585C30" w:rsidP="00585C30">
      <w:pPr>
        <w:pStyle w:val="BodyText"/>
      </w:pPr>
      <w:r>
        <w:tab/>
      </w:r>
      <w:r w:rsidRPr="00585C30">
        <w:t xml:space="preserve">• </w:t>
      </w:r>
      <w:r w:rsidRPr="00585C30">
        <w:rPr>
          <w:i/>
          <w:iCs/>
        </w:rPr>
        <w:t>Tortious interference with prospective economic advantage</w:t>
      </w:r>
      <w:r w:rsidRPr="00585C30">
        <w:t xml:space="preserve">. Under Illinois law, the elements of a claim for tortious interference with prospective economic advantage are: (1) that the plaintiff had a reasonable expectation of entering into a valid business relationship; (2) that the defendant knew of this expectancy; (3) that the defendant intentionally and unjustifiedly interfered to prevent the expectancy from being fulfilled; and (4) that damages to the plaintiff resulted from the interference. </w:t>
      </w:r>
      <w:r w:rsidRPr="00585C30">
        <w:rPr>
          <w:i/>
          <w:iCs/>
        </w:rPr>
        <w:t>Taimoorazy v. Bloomington Anesthesiology Serv., Ltd.</w:t>
      </w:r>
      <w:r w:rsidRPr="00585C30">
        <w:t>, 122 F. Supp. 2d 967, 976 (C.D. Ill. 2000) (existence of genuine issue of material fact as to whether anesthesiologists who had executed covenants not to compete had suffered monetary losses as a result of their former employer’s attempts to prevent them from practicing in the same county operated to preclude entry of summary judgment in the anesthesiologists’ action against their former employer for tortious interference with prospective economic advantage).</w:t>
      </w:r>
    </w:p>
    <w:p w14:paraId="68B8F531" w14:textId="0F250DA5" w:rsidR="00655396" w:rsidRDefault="00585C30" w:rsidP="00585C30">
      <w:pPr>
        <w:pStyle w:val="BodyText"/>
        <w:spacing w:line="240" w:lineRule="auto"/>
      </w:pPr>
      <w:r>
        <w:rPr>
          <w:i/>
          <w:iCs/>
        </w:rPr>
        <w:tab/>
      </w:r>
      <w:r w:rsidRPr="00585C30">
        <w:rPr>
          <w:i/>
          <w:iCs/>
        </w:rPr>
        <w:t>See generally</w:t>
      </w:r>
      <w:r w:rsidRPr="00585C30">
        <w:t xml:space="preserve"> this state’s chapter in </w:t>
      </w:r>
      <w:r w:rsidRPr="000C462B">
        <w:rPr>
          <w:smallCaps/>
        </w:rPr>
        <w:t>Brian M. Malsberger, Tortious Interference in the Employment Context: A State-by-State Survey</w:t>
      </w:r>
      <w:r w:rsidRPr="00585C30">
        <w:t xml:space="preserve"> (Arlington, Va.: Bloomberg Law, </w:t>
      </w:r>
      <w:r w:rsidR="004A3D31">
        <w:t>2023</w:t>
      </w:r>
      <w:r w:rsidR="009060B6">
        <w:t xml:space="preserve"> </w:t>
      </w:r>
      <w:r w:rsidRPr="00585C30">
        <w:t>ed.)</w:t>
      </w:r>
      <w:r w:rsidR="009060B6">
        <w:t xml:space="preserve"> </w:t>
      </w:r>
      <w:r w:rsidR="003207CE">
        <w:t>(ebook)</w:t>
      </w:r>
      <w:r w:rsidRPr="00585C30">
        <w:t>.</w:t>
      </w:r>
    </w:p>
    <w:p w14:paraId="1AA35602" w14:textId="77777777" w:rsidR="00655396" w:rsidRDefault="00655396" w:rsidP="008B512B">
      <w:pPr>
        <w:pStyle w:val="AdditionalTopicsSectionHeadings"/>
        <w:spacing w:line="240" w:lineRule="auto"/>
      </w:pPr>
    </w:p>
    <w:p w14:paraId="07275236" w14:textId="77777777" w:rsidR="00655396" w:rsidRDefault="00655396" w:rsidP="008B512B">
      <w:pPr>
        <w:pStyle w:val="AdditionalTopicsSectionHeadings"/>
        <w:spacing w:line="240" w:lineRule="auto"/>
      </w:pPr>
      <w:r>
        <w:t>Trade Secrets</w:t>
      </w:r>
    </w:p>
    <w:p w14:paraId="0A89A009" w14:textId="77777777" w:rsidR="00655396" w:rsidRDefault="00655396" w:rsidP="008B512B">
      <w:pPr>
        <w:pStyle w:val="BodyText"/>
        <w:spacing w:line="240" w:lineRule="auto"/>
      </w:pPr>
    </w:p>
    <w:p w14:paraId="5CCD3882" w14:textId="77777777" w:rsidR="00585C30" w:rsidRPr="00585C30" w:rsidRDefault="00655396" w:rsidP="00585C30">
      <w:pPr>
        <w:pStyle w:val="BodyText"/>
        <w:spacing w:line="240" w:lineRule="auto"/>
      </w:pPr>
      <w:r>
        <w:tab/>
      </w:r>
    </w:p>
    <w:p w14:paraId="47FDB8C1" w14:textId="5B696563" w:rsidR="00585C30" w:rsidRPr="00585C30" w:rsidRDefault="00585C30" w:rsidP="00585C30">
      <w:pPr>
        <w:pStyle w:val="BodyText"/>
        <w:spacing w:line="240" w:lineRule="auto"/>
      </w:pPr>
      <w:r>
        <w:tab/>
      </w:r>
      <w:r w:rsidRPr="00585C30">
        <w:t xml:space="preserve">“Normally, confidentiality agreements lacking geographic or time limitations will be found invalid. The exception to the rule is </w:t>
      </w:r>
      <w:r w:rsidRPr="00585C30">
        <w:lastRenderedPageBreak/>
        <w:t>where</w:t>
      </w:r>
      <w:r w:rsidRPr="00585C30">
        <w:rPr>
          <w:rFonts w:ascii="Times New Roman" w:hAnsi="Times New Roman" w:cs="Times New Roman"/>
        </w:rPr>
        <w:t> </w:t>
      </w:r>
      <w:r w:rsidR="00944F63">
        <w:t>…</w:t>
      </w:r>
      <w:r w:rsidRPr="00585C30">
        <w:rPr>
          <w:rFonts w:ascii="Times New Roman" w:hAnsi="Times New Roman" w:cs="Times New Roman"/>
        </w:rPr>
        <w:t> </w:t>
      </w:r>
      <w:r w:rsidRPr="00585C30">
        <w:t>trade secrets and confidential information are involved.</w:t>
      </w:r>
      <w:r w:rsidRPr="00585C30">
        <w:rPr>
          <w:rFonts w:ascii="Goudy Old Style" w:hAnsi="Goudy Old Style" w:cs="Goudy Old Style"/>
        </w:rPr>
        <w:t>”</w:t>
      </w:r>
      <w:r w:rsidRPr="00585C30">
        <w:rPr>
          <w:i/>
          <w:iCs/>
        </w:rPr>
        <w:t xml:space="preserve"> First Health Grp. Corp. v. National Prescription Adm’rs, Inc.</w:t>
      </w:r>
      <w:r w:rsidRPr="00585C30">
        <w:t>, 155 F. Supp. 2d 194, 229 (M.D. Pa. 2001) (applying Illinois substantive law).</w:t>
      </w:r>
    </w:p>
    <w:p w14:paraId="6BA5A2AC" w14:textId="77777777" w:rsidR="00585C30" w:rsidRPr="00585C30" w:rsidRDefault="00585C30" w:rsidP="00585C30">
      <w:pPr>
        <w:pStyle w:val="BodyText"/>
      </w:pPr>
      <w:r>
        <w:tab/>
      </w:r>
      <w:r w:rsidRPr="00585C30">
        <w:t xml:space="preserve">Where a former employer asserts that it has a legitimate business interest in allegedly confidential information—such as its pricing structure, future bids, marketing plans, key contact persons, and a computer database—the former employer must be able to offer evidence that the former employee actually tried to use any such confidential information for his own benefit. </w:t>
      </w:r>
      <w:r w:rsidRPr="00585C30">
        <w:rPr>
          <w:i/>
          <w:iCs/>
        </w:rPr>
        <w:t>Lawrence &amp; Allen, Inc. v. Cambridge Human Res. Grp., Inc.</w:t>
      </w:r>
      <w:r w:rsidRPr="00585C30">
        <w:t xml:space="preserve">, 226 Ill. Dec. 331, 342, 685 N.E.2d 434, 445 (Ct. App. 2d Dist. 1997) (“beyond bald conclusions, plaintiff failed to offer any evidence that [the former employee in the instant case] actually tried to use any confidential information for his own benefit”; citing </w:t>
      </w:r>
      <w:r w:rsidRPr="00585C30">
        <w:rPr>
          <w:i/>
          <w:iCs/>
        </w:rPr>
        <w:t>Capsonic Grp. v. Swick</w:t>
      </w:r>
      <w:r w:rsidRPr="00585C30">
        <w:t>, 181 Ill. App. 3d 988, 993, 130 Ill. Dec. 909, 537 N.E.2d 1378 (1989)).</w:t>
      </w:r>
    </w:p>
    <w:p w14:paraId="4C5E832A" w14:textId="77777777" w:rsidR="00585C30" w:rsidRPr="00585C30" w:rsidRDefault="00585C30" w:rsidP="00585C30">
      <w:pPr>
        <w:pStyle w:val="BodyText"/>
      </w:pPr>
      <w:r>
        <w:tab/>
      </w:r>
      <w:r w:rsidRPr="00585C30">
        <w:t xml:space="preserve">In 1988, Illinois enacted the Illinois Trade Secrets Act, 765 ILCS 1065/1, et seq., which was derived from the Uniform Trade Secrets Act “and constitut[ed] the Illinois legislature’s resolve to adopt the Uniform Act and to correct aberrations appearing within </w:t>
      </w:r>
      <w:r w:rsidRPr="00585C30">
        <w:br/>
        <w:t xml:space="preserve">Illinois trade secret case law.” </w:t>
      </w:r>
      <w:r w:rsidRPr="00585C30">
        <w:rPr>
          <w:i/>
          <w:iCs/>
        </w:rPr>
        <w:t>Gillis Associated</w:t>
      </w:r>
      <w:r w:rsidRPr="00585C30">
        <w:rPr>
          <w:rFonts w:ascii="Times New Roman" w:hAnsi="Times New Roman" w:cs="Times New Roman"/>
          <w:i/>
          <w:iCs/>
        </w:rPr>
        <w:t> </w:t>
      </w:r>
      <w:r w:rsidRPr="00585C30">
        <w:rPr>
          <w:i/>
          <w:iCs/>
        </w:rPr>
        <w:t>Indus., Inc. v. Cari-All, Inc.</w:t>
      </w:r>
      <w:r w:rsidRPr="00585C30">
        <w:t>, 206 Ill. App.</w:t>
      </w:r>
      <w:r w:rsidRPr="00585C30">
        <w:rPr>
          <w:rFonts w:ascii="Times New Roman" w:hAnsi="Times New Roman" w:cs="Times New Roman"/>
        </w:rPr>
        <w:t> </w:t>
      </w:r>
      <w:r w:rsidRPr="00585C30">
        <w:t>3d 184, 189, 564 N.E.2d 881, 884 (1st Dist. 1990).</w:t>
      </w:r>
    </w:p>
    <w:p w14:paraId="60DAC4A3" w14:textId="77777777" w:rsidR="00585C30" w:rsidRPr="00585C30" w:rsidRDefault="00585C30" w:rsidP="00585C30">
      <w:pPr>
        <w:pStyle w:val="BodyText"/>
      </w:pPr>
      <w:r>
        <w:tab/>
      </w:r>
      <w:r w:rsidRPr="00585C30">
        <w:t xml:space="preserve">In a twist on the garden variety covenant not to compete and misappropriation of trade secrets case, the plaintiff in </w:t>
      </w:r>
      <w:r w:rsidRPr="00585C30">
        <w:rPr>
          <w:i/>
          <w:iCs/>
        </w:rPr>
        <w:t>Mackie v. Vaughan Chapter-Paralyzed Veterans of America, Inc.,</w:t>
      </w:r>
      <w:r w:rsidRPr="00585C30">
        <w:t xml:space="preserve"> 354 Ill. App. 3d 731, 820 N.E.2d 1042 (1st Dist. 2004) (released for publication Jan. 14, 2005) (not a covenant case, but citing a covenant case in which a plaintiff failed to state a cause of action for retaliatory discharge when he alleged conspiracy and the court determined that public policies surrounding covenants not to compete and unfair competition do not affect overall public welfare), worked for a charitable organization and believed his co-worker had downloaded mailing lists from the organization’s computers for the co-worker’s own use in both his medical equipment sales business and his wife’s chiropractic practice. Mackie reported his suspicions to his employer and thereafter, began receiving complaints about his performance, leading to his termination. He filed a retaliatory discharge claim, alleging that the employer’s termination of his employment was done in retaliation for his </w:t>
      </w:r>
      <w:r w:rsidRPr="00585C30">
        <w:lastRenderedPageBreak/>
        <w:t xml:space="preserve">reporting the commission of a crime that violated public policy. The court disagreed and dismissed his claim. On appeal, Mackie claimed he had, in fact, stated sufficient facts to assert retaliatory discharge under the “citizen crime-fighter” theory recognized by Illinois courts. </w:t>
      </w:r>
    </w:p>
    <w:p w14:paraId="43B68E03" w14:textId="77777777" w:rsidR="00585C30" w:rsidRPr="00585C30" w:rsidRDefault="00585C30" w:rsidP="00585C30">
      <w:pPr>
        <w:pStyle w:val="BodyText"/>
      </w:pPr>
      <w:r>
        <w:tab/>
      </w:r>
      <w:r w:rsidRPr="00585C30">
        <w:t>In reversing the lower court and remanding the case for trial, the appellate court found that the mailing list Mackie had reported “stolen” by his co-worker could be worth between $500 and $1,000 and, thus, considered “property” under Illinois’ theft statute. Because Mackie could reasonably have thought his co-worker’s conduct constituted a crime—theft—Mackie had a good faith belief that the co-worker’s downloading of the organization’s mailing list was a criminal act and properly reported the misconduct.</w:t>
      </w:r>
    </w:p>
    <w:p w14:paraId="4D72D90A" w14:textId="01B922AD" w:rsidR="00585C30" w:rsidRPr="00585C30" w:rsidRDefault="00585C30" w:rsidP="00585C30">
      <w:pPr>
        <w:pStyle w:val="BodyText"/>
      </w:pPr>
      <w:r>
        <w:tab/>
      </w:r>
      <w:r w:rsidRPr="00585C30">
        <w:t xml:space="preserve">For a complete examination of the law of trade secrets in Illinois, see the Illinois chapter in </w:t>
      </w:r>
      <w:r w:rsidRPr="000C462B">
        <w:rPr>
          <w:smallCaps/>
        </w:rPr>
        <w:t>Brian M. Malsberger, Trade Secrets: A State-by-State Survey</w:t>
      </w:r>
      <w:r w:rsidRPr="00585C30">
        <w:t xml:space="preserve"> (Arlington, Va.: Bloomberg Law, </w:t>
      </w:r>
      <w:r w:rsidR="004A3D31">
        <w:t>2023</w:t>
      </w:r>
      <w:r w:rsidR="009060B6">
        <w:t xml:space="preserve"> </w:t>
      </w:r>
      <w:r w:rsidRPr="00585C30">
        <w:t>ed.</w:t>
      </w:r>
      <w:r w:rsidR="009060B6">
        <w:t xml:space="preserve">) </w:t>
      </w:r>
      <w:r w:rsidR="003207CE">
        <w:t>(ebook)</w:t>
      </w:r>
      <w:r w:rsidR="00F46976">
        <w:t>.</w:t>
      </w:r>
    </w:p>
    <w:p w14:paraId="49FD2734" w14:textId="17717532" w:rsidR="00655396" w:rsidRDefault="00585C30" w:rsidP="00585C30">
      <w:pPr>
        <w:pStyle w:val="BodyText"/>
        <w:spacing w:line="240" w:lineRule="auto"/>
      </w:pPr>
      <w:r>
        <w:tab/>
      </w:r>
      <w:r w:rsidRPr="00585C30">
        <w:t xml:space="preserve">For an in-depth discussion of the protection afforded by Illinois law to confidential employer information not rising to the level of a trade secret where no restrictive covenant is involved, see the Illinois chapter in </w:t>
      </w:r>
      <w:r w:rsidRPr="000C462B">
        <w:rPr>
          <w:smallCaps/>
        </w:rPr>
        <w:t>Brian M. Malsberger, Employee Duty of Loyalty: A State-by-State Survey</w:t>
      </w:r>
      <w:r w:rsidRPr="00585C30">
        <w:t xml:space="preserve"> (Arlington, Va.: Bloomberg Law, </w:t>
      </w:r>
      <w:r w:rsidR="004A3D31">
        <w:t>2023</w:t>
      </w:r>
      <w:r w:rsidR="009060B6">
        <w:t xml:space="preserve"> </w:t>
      </w:r>
      <w:r w:rsidRPr="00585C30">
        <w:t>ed.)</w:t>
      </w:r>
      <w:r w:rsidR="009060B6">
        <w:t xml:space="preserve"> </w:t>
      </w:r>
      <w:r w:rsidR="003207CE">
        <w:t>(ebook)</w:t>
      </w:r>
      <w:r w:rsidR="00F46976">
        <w:t>.</w:t>
      </w:r>
    </w:p>
    <w:p w14:paraId="0FD5D62D"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19863F7C" w14:textId="77777777" w:rsidR="00655396" w:rsidRDefault="00655396" w:rsidP="008B512B">
      <w:pPr>
        <w:pStyle w:val="AdditionalTopicsSectionHeadings"/>
        <w:spacing w:line="240" w:lineRule="auto"/>
      </w:pPr>
      <w:r>
        <w:t>Trade Secrets (Clauses Acknowledging), Effect of</w:t>
      </w:r>
    </w:p>
    <w:p w14:paraId="4E3E484B"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466853B1" w14:textId="06B52769"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Matters generally known in the industry at issue cannot be made “secret” merely by being so labelled in an agreement.</w:t>
      </w:r>
      <w:r w:rsidR="00FB1D09">
        <w:rPr>
          <w:rFonts w:ascii="Baskerville" w:hAnsi="Baskerville" w:cs="Baskerville"/>
        </w:rPr>
        <w:t xml:space="preserve"> </w:t>
      </w:r>
      <w:r>
        <w:rPr>
          <w:rFonts w:ascii="Baskerville" w:hAnsi="Baskerville" w:cs="Baskerville"/>
          <w:i/>
          <w:iCs/>
        </w:rPr>
        <w:t>Packard Instrument Co. v. Reich</w:t>
      </w:r>
      <w:r>
        <w:rPr>
          <w:rFonts w:ascii="Baskerville" w:hAnsi="Baskerville" w:cs="Baskerville"/>
        </w:rPr>
        <w:t xml:space="preserve">, 89 Ill. App. 3d 908, 916, 45 Ill. Dec. 266, 272, 412 N.E.2d 617, 623 (1980) (quoted in </w:t>
      </w:r>
      <w:r>
        <w:rPr>
          <w:rFonts w:ascii="Baskerville" w:hAnsi="Baskerville" w:cs="Baskerville"/>
          <w:i/>
          <w:iCs/>
        </w:rPr>
        <w:t>Eaton Corp. v. Appliance Valves Corp.</w:t>
      </w:r>
      <w:r>
        <w:rPr>
          <w:rFonts w:ascii="Baskerville" w:hAnsi="Baskerville" w:cs="Baskerville"/>
        </w:rPr>
        <w:t xml:space="preserve">, 526 F. Supp. 1172, 1179 (N.D. Ind. 1981), </w:t>
      </w:r>
      <w:r>
        <w:rPr>
          <w:rFonts w:ascii="Baskerville" w:hAnsi="Baskerville" w:cs="Baskerville"/>
          <w:i/>
          <w:iCs/>
        </w:rPr>
        <w:t>aff’d by unpublished order</w:t>
      </w:r>
      <w:r>
        <w:rPr>
          <w:rFonts w:ascii="Baskerville" w:hAnsi="Baskerville" w:cs="Baskerville"/>
        </w:rPr>
        <w:t xml:space="preserve">, 688 F.2d 842 (7th Cir. 1982) (quoted, in turn, in </w:t>
      </w:r>
      <w:r>
        <w:rPr>
          <w:rFonts w:ascii="Baskerville" w:hAnsi="Baskerville" w:cs="Baskerville"/>
          <w:i/>
          <w:iCs/>
        </w:rPr>
        <w:t>Buckley v. Seymour</w:t>
      </w:r>
      <w:r>
        <w:rPr>
          <w:rFonts w:ascii="Baskerville" w:hAnsi="Baskerville" w:cs="Baskerville"/>
        </w:rPr>
        <w:t>, 679 So. 2d 220, 223–24 (Ala. 1996) (applying Indiana law on this issue pursuant to parties’ choice of law clause))).</w:t>
      </w:r>
    </w:p>
    <w:p w14:paraId="2B5F7D1A"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094F1315" w14:textId="77777777" w:rsidR="00655396" w:rsidRDefault="00655396" w:rsidP="008B512B">
      <w:pPr>
        <w:pStyle w:val="AdditionalTopicsSectionHeadings"/>
        <w:spacing w:line="240" w:lineRule="auto"/>
      </w:pPr>
      <w:r>
        <w:t>Unclean Hands</w:t>
      </w:r>
    </w:p>
    <w:p w14:paraId="399BCECB" w14:textId="77777777" w:rsidR="00655396" w:rsidRDefault="00655396" w:rsidP="008B512B">
      <w:pPr>
        <w:pStyle w:val="BodyText"/>
        <w:spacing w:line="240" w:lineRule="auto"/>
      </w:pPr>
    </w:p>
    <w:p w14:paraId="29590422" w14:textId="46364BBD" w:rsidR="00655396" w:rsidRDefault="00655396" w:rsidP="008B512B">
      <w:pPr>
        <w:pStyle w:val="BodyText"/>
        <w:spacing w:line="240" w:lineRule="auto"/>
      </w:pPr>
      <w:r>
        <w:tab/>
        <w:t xml:space="preserve">An employer’s minor delays in making bonus payments “do not constitute substantial nonperformance and a material breach of contract” such as to provide a former employee with an unclean hands </w:t>
      </w:r>
      <w:r>
        <w:lastRenderedPageBreak/>
        <w:t>defense to covenant enforcement.</w:t>
      </w:r>
      <w:r w:rsidR="00FB1D09">
        <w:t xml:space="preserve"> </w:t>
      </w:r>
      <w:r>
        <w:rPr>
          <w:i/>
          <w:iCs/>
        </w:rPr>
        <w:t>Midwest Tel., Inc. v. Oloffson</w:t>
      </w:r>
      <w:r>
        <w:t xml:space="preserve">, 298 Ill. App. 3d 548, 558, 232 Ill. Dec. 783, 789, 699 N.E.2d 230, 236 (3d Dist. 1998) (noting that contract did not specify payment dates for bonuses but, instead, simply stated that payments would be made “on customary payroll dates”; citing </w:t>
      </w:r>
      <w:r>
        <w:rPr>
          <w:i/>
          <w:iCs/>
        </w:rPr>
        <w:t>Wyatt v. Dishong</w:t>
      </w:r>
      <w:r>
        <w:t>, 127 Ill. App. 3d 716, 720, 83 Ill. Dec. 1, 469 N.E.2d 608, 611 (1984)).</w:t>
      </w:r>
    </w:p>
    <w:p w14:paraId="570063A4" w14:textId="77777777" w:rsidR="00655396" w:rsidRDefault="00655396" w:rsidP="008B512B">
      <w:pPr>
        <w:pStyle w:val="BodyText"/>
        <w:spacing w:line="240" w:lineRule="auto"/>
      </w:pPr>
      <w:r>
        <w:tab/>
        <w:t xml:space="preserve">Likewise, where an employment contract specifically permits the employer to shift the employee’s job site between two facilities, the employer’s exercise of that right does not constitute a breach of contract such as to provide the former employee with an unclean hands defense to covenant enforcement. </w:t>
      </w:r>
      <w:r>
        <w:rPr>
          <w:i/>
          <w:iCs/>
        </w:rPr>
        <w:t>Id.</w:t>
      </w:r>
      <w:r>
        <w:t>, 232 Ill. Dec. at 789, 699 N.E.2d at 236.</w:t>
      </w:r>
    </w:p>
    <w:p w14:paraId="44FB7BDF" w14:textId="4CB02618" w:rsidR="00655396" w:rsidRDefault="00655396" w:rsidP="008B512B">
      <w:pPr>
        <w:pStyle w:val="BodyText"/>
        <w:spacing w:line="240" w:lineRule="auto"/>
      </w:pPr>
      <w:r>
        <w:tab/>
      </w:r>
      <w:r>
        <w:rPr>
          <w:i/>
          <w:iCs/>
        </w:rPr>
        <w:t>See generally</w:t>
      </w:r>
      <w:r>
        <w:t xml:space="preserve"> T. Leigh Anenson, </w:t>
      </w:r>
      <w:r>
        <w:rPr>
          <w:i/>
          <w:iCs/>
        </w:rPr>
        <w:t>The Role of Equity in Employment Noncompetition Cases</w:t>
      </w:r>
      <w:r>
        <w:t xml:space="preserve">, 42 </w:t>
      </w:r>
      <w:r>
        <w:rPr>
          <w:smallCaps/>
        </w:rPr>
        <w:t>Am. Bus. L.J.</w:t>
      </w:r>
      <w:r>
        <w:t xml:space="preserve"> 1 (Winter/Spring 2005) (positing, </w:t>
      </w:r>
      <w:r>
        <w:rPr>
          <w:i/>
          <w:iCs/>
        </w:rPr>
        <w:t xml:space="preserve">id. </w:t>
      </w:r>
      <w:r>
        <w:t>at 53, that “[t]he familiar maxim in equity of ‘he who comes into equity must come with clean hands’ is instructive in a case between business competitors for tortious interference with contract;”</w:t>
      </w:r>
      <w:r w:rsidR="00FB1D09">
        <w:t xml:space="preserve"> </w:t>
      </w:r>
      <w:r>
        <w:t xml:space="preserve">adding, </w:t>
      </w:r>
      <w:r>
        <w:rPr>
          <w:i/>
          <w:iCs/>
        </w:rPr>
        <w:t>id.</w:t>
      </w:r>
      <w:r>
        <w:t>, that although not limited to barring inconsistent positions, a party can avail itself of the unclean hands doctrine “to defend against a challenge to the validity of its agreements when a competitor required its own employees to execute identical agreements.</w:t>
      </w:r>
      <w:r w:rsidR="00FB1D09">
        <w:t xml:space="preserve"> </w:t>
      </w:r>
      <w:r>
        <w:t>Moreover, a competitor’s duplicity in enforcing its own agreements while challenging those of a competitor reaches the threshold of unfairness for a court to find the challenging party to have unclean hands.”).</w:t>
      </w:r>
    </w:p>
    <w:p w14:paraId="7ECBE60F"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6F45DBA9" w14:textId="77777777" w:rsidR="00655396" w:rsidRDefault="00655396" w:rsidP="008B512B">
      <w:pPr>
        <w:pStyle w:val="AdditionalTopicsSectionHeadings"/>
        <w:spacing w:line="240" w:lineRule="auto"/>
      </w:pPr>
      <w:r>
        <w:t>Vendor-Vendee Relationships</w:t>
      </w:r>
    </w:p>
    <w:p w14:paraId="6608D94E"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7C85695D"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The analysis used to determine the enforceability of covenants not to compete in vendor-vendee agreements is “similar”—if not identical—to that used to determine the enforceability of covenants not to compete in employment agreements. </w:t>
      </w:r>
      <w:r>
        <w:rPr>
          <w:rFonts w:ascii="Baskerville" w:hAnsi="Baskerville" w:cs="Baskerville"/>
          <w:i/>
          <w:iCs/>
        </w:rPr>
        <w:t>A.J. Dralle, Inc. v. Air Techs.</w:t>
      </w:r>
      <w:r>
        <w:rPr>
          <w:rFonts w:ascii="Baskerville" w:hAnsi="Baskerville" w:cs="Baskerville"/>
        </w:rPr>
        <w:t>, 255 Ill. App. 3d 982, 992, 194 Ill. Dec. 353, 360, 627 N.E.2d 690, 697 (2d Dist. 1994) (finding that vendee lacked protectable interest in customer list that would permit enforcement of restrictive covenant; vendee failed to show customer relationships were near permanent).</w:t>
      </w:r>
    </w:p>
    <w:p w14:paraId="2528016F"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0ACBC17D" w14:textId="77777777" w:rsidR="00655396" w:rsidRDefault="00655396" w:rsidP="008B512B">
      <w:pPr>
        <w:pStyle w:val="AdditionalTopicsSectionHeadings"/>
        <w:spacing w:line="240" w:lineRule="auto"/>
      </w:pPr>
      <w:r>
        <w:t>Venue</w:t>
      </w:r>
    </w:p>
    <w:p w14:paraId="45CA9ACC" w14:textId="77777777" w:rsidR="00655396" w:rsidRDefault="00655396" w:rsidP="008B512B">
      <w:pPr>
        <w:pStyle w:val="BodyText"/>
        <w:spacing w:line="240" w:lineRule="auto"/>
      </w:pPr>
    </w:p>
    <w:p w14:paraId="08A15B68" w14:textId="3FE7F2AC" w:rsidR="00655396" w:rsidRDefault="00655396" w:rsidP="008B512B">
      <w:pPr>
        <w:pStyle w:val="BodyText"/>
        <w:spacing w:line="240" w:lineRule="auto"/>
      </w:pPr>
      <w:r>
        <w:lastRenderedPageBreak/>
        <w:tab/>
        <w:t>Where acts giving rise to claims for breach of covenants not to compete did not occur in Illinois, a federal district court sitting in Illinois is not the proper venue, which is, instead, the state in which the acts occurred.</w:t>
      </w:r>
      <w:r w:rsidR="00FB1D09">
        <w:t xml:space="preserve"> </w:t>
      </w:r>
      <w:r>
        <w:rPr>
          <w:i/>
          <w:iCs/>
        </w:rPr>
        <w:t>Moran Indus., Inc. v. Higdon</w:t>
      </w:r>
      <w:r>
        <w:t xml:space="preserve">, 2008 U.S. Dist. LEXIS 51430, at *18 (N.D. Ill. June 26, 2008) (ruling that, because acts giving rise to claims arose in Kentucky, Illinois was not the proper venue; citing, in relevant part, </w:t>
      </w:r>
      <w:r>
        <w:rPr>
          <w:i/>
          <w:iCs/>
        </w:rPr>
        <w:t>Jenkins Brick Co. v. Bremer</w:t>
      </w:r>
      <w:r>
        <w:t xml:space="preserve">, 321 F.3d 1366, 1372 (11th Cir. 2003) (holding that Georgia was the proper venue for Alabama company’s claim that its Georgia-based salesman had breached his noncompete agreement because “the contract was breached when [the defendant] failed to perform his post-employment obligation to refrain from competing </w:t>
      </w:r>
      <w:r w:rsidR="00944F63">
        <w:t>…</w:t>
      </w:r>
      <w:r>
        <w:t xml:space="preserve"> in Georgia”)). </w:t>
      </w:r>
    </w:p>
    <w:p w14:paraId="313C4959" w14:textId="77777777" w:rsidR="00655396" w:rsidRDefault="00655396" w:rsidP="008B512B">
      <w:pPr>
        <w:pStyle w:val="BodyText"/>
        <w:spacing w:line="240" w:lineRule="auto"/>
      </w:pPr>
      <w:r>
        <w:tab/>
        <w:t>When multiple causes of action are joined, venue must be proper as to each one.</w:t>
      </w:r>
      <w:r>
        <w:rPr>
          <w:i/>
          <w:iCs/>
        </w:rPr>
        <w:t xml:space="preserve"> Transportation Drivers, Inc. v. Roy</w:t>
      </w:r>
      <w:r>
        <w:t xml:space="preserve">, 2015 BL 80752, at *3 (N.D. Ill. Mar. 23, 2015) (as to cause of action for breach of noncompetition covenant, ruling, </w:t>
      </w:r>
      <w:r>
        <w:rPr>
          <w:i/>
          <w:iCs/>
        </w:rPr>
        <w:t>id.</w:t>
      </w:r>
      <w:r>
        <w:t xml:space="preserve"> at *4, that venue was proper in California, as opposed to Illinois, because allegedly breaching conduct “allegedly occurred in California; Roy did not violate the confidentiality provision simply by obtaining confidential information in or from Illinois”).</w:t>
      </w:r>
    </w:p>
    <w:p w14:paraId="70D6A762" w14:textId="77777777" w:rsidR="00655396" w:rsidRDefault="00655396" w:rsidP="008B512B">
      <w:pPr>
        <w:pStyle w:val="BodyText"/>
        <w:spacing w:line="240" w:lineRule="auto"/>
      </w:pPr>
    </w:p>
    <w:p w14:paraId="75E04273" w14:textId="77777777" w:rsidR="00655396" w:rsidRDefault="00655396" w:rsidP="008B512B">
      <w:pPr>
        <w:pStyle w:val="AdditionalTopicsSectionHeadings"/>
        <w:spacing w:line="240" w:lineRule="auto"/>
      </w:pPr>
      <w:r>
        <w:t>Waiver</w:t>
      </w:r>
    </w:p>
    <w:p w14:paraId="16CBF2F2" w14:textId="77777777" w:rsidR="00EC73C0" w:rsidRDefault="00EC73C0" w:rsidP="008B512B">
      <w:pPr>
        <w:pStyle w:val="NoParagraphStyle"/>
        <w:tabs>
          <w:tab w:val="left" w:pos="480"/>
          <w:tab w:val="left" w:pos="960"/>
          <w:tab w:val="left" w:pos="1440"/>
        </w:tabs>
        <w:spacing w:line="240" w:lineRule="auto"/>
        <w:jc w:val="both"/>
        <w:rPr>
          <w:rFonts w:ascii="Baskerville" w:hAnsi="Baskerville" w:cs="Baskerville"/>
        </w:rPr>
      </w:pPr>
    </w:p>
    <w:p w14:paraId="4C593FF7" w14:textId="2C24A6B3" w:rsidR="00655396" w:rsidRDefault="00655396" w:rsidP="008B512B">
      <w:pPr>
        <w:pStyle w:val="BodyText"/>
        <w:spacing w:line="240" w:lineRule="auto"/>
        <w:rPr>
          <w:sz w:val="20"/>
          <w:szCs w:val="20"/>
        </w:rPr>
      </w:pPr>
      <w:r>
        <w:tab/>
        <w:t>A former employer’s failure to assert in the court of first instance the reasonableness of the terms of a noncompetition covenant it seeks to enforce operates as a</w:t>
      </w:r>
      <w:r w:rsidR="00FB1D09">
        <w:t xml:space="preserve"> </w:t>
      </w:r>
      <w:r>
        <w:t>waiver of the right to present the argument on appeal, the U.S. Court of Appeals for the Seventh Circuit pointed out in a covenant case handed up by the U.S. District Court for the Northern District of Illinois.</w:t>
      </w:r>
      <w:r w:rsidR="00FB1D09">
        <w:t xml:space="preserve"> </w:t>
      </w:r>
      <w:r>
        <w:rPr>
          <w:i/>
          <w:iCs/>
        </w:rPr>
        <w:t>Cintas Corp. v. Perry</w:t>
      </w:r>
      <w:r>
        <w:t>, 517 F.3d 459, 466 (7th Cir. 2008).</w:t>
      </w:r>
    </w:p>
    <w:p w14:paraId="16F7D361" w14:textId="6D150C96"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Similarly, where assertion of a nonsolicitation clause as a separate ground for recovery arises for the first time on appeal, it will be considered as having been waived. </w:t>
      </w:r>
      <w:r>
        <w:rPr>
          <w:rFonts w:ascii="Baskerville" w:hAnsi="Baskerville" w:cs="Baskerville"/>
          <w:i/>
          <w:iCs/>
        </w:rPr>
        <w:t xml:space="preserve">Cambridge Eng’g, Inc. v. Mercury Partners 90 </w:t>
      </w:r>
      <w:r>
        <w:rPr>
          <w:rFonts w:ascii="Baskerville" w:hAnsi="Baskerville" w:cs="Baskerville"/>
          <w:i/>
          <w:iCs/>
          <w:caps/>
        </w:rPr>
        <w:t>Bi</w:t>
      </w:r>
      <w:r>
        <w:rPr>
          <w:rFonts w:ascii="Baskerville" w:hAnsi="Baskerville" w:cs="Baskerville"/>
          <w:i/>
          <w:iCs/>
        </w:rPr>
        <w:t>, Inc.</w:t>
      </w:r>
      <w:r>
        <w:rPr>
          <w:rFonts w:ascii="Baskerville" w:hAnsi="Baskerville" w:cs="Baskerville"/>
        </w:rPr>
        <w:t>, 378 Ill. App. 3d 437, 454, 879 N.E.2d 512, 527 (1st Dist. 2007).</w:t>
      </w:r>
      <w:r w:rsidR="00FB1D09">
        <w:rPr>
          <w:rFonts w:ascii="Baskerville" w:hAnsi="Baskerville" w:cs="Baskerville"/>
        </w:rPr>
        <w:t xml:space="preserve"> </w:t>
      </w:r>
      <w:r>
        <w:rPr>
          <w:rFonts w:ascii="Baskerville" w:hAnsi="Baskerville" w:cs="Baskerville"/>
        </w:rPr>
        <w:t xml:space="preserve">In </w:t>
      </w:r>
      <w:r>
        <w:rPr>
          <w:rFonts w:ascii="Baskerville" w:hAnsi="Baskerville" w:cs="Baskerville"/>
          <w:i/>
          <w:iCs/>
        </w:rPr>
        <w:t>Mercury Partners</w:t>
      </w:r>
      <w:r>
        <w:rPr>
          <w:rFonts w:ascii="Baskerville" w:hAnsi="Baskerville" w:cs="Baskerville"/>
        </w:rPr>
        <w:t>, the plaintiff former employer mentioned both the covenant not compete and the nonsolicitation clause in the complaint, but it failed to present them as separate and independent grounds for recovery until the appeal stage.</w:t>
      </w:r>
    </w:p>
    <w:p w14:paraId="3C74F240"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sz w:val="16"/>
          <w:szCs w:val="16"/>
        </w:rPr>
      </w:pPr>
    </w:p>
    <w:p w14:paraId="6D7E5C10" w14:textId="07A0F929"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lastRenderedPageBreak/>
        <w:tab/>
      </w:r>
      <w:r>
        <w:rPr>
          <w:rFonts w:ascii="Baskerville" w:hAnsi="Baskerville" w:cs="Baskerville"/>
          <w:b/>
          <w:bCs/>
        </w:rPr>
        <w:t>•</w:t>
      </w:r>
      <w:r>
        <w:rPr>
          <w:rFonts w:ascii="Baskerville" w:hAnsi="Baskerville" w:cs="Baskerville"/>
        </w:rPr>
        <w:t xml:space="preserve"> </w:t>
      </w:r>
      <w:r>
        <w:rPr>
          <w:rFonts w:ascii="Baskerville" w:hAnsi="Baskerville" w:cs="Baskerville"/>
          <w:i/>
          <w:iCs/>
        </w:rPr>
        <w:t>Selective enforcement</w:t>
      </w:r>
      <w:r>
        <w:rPr>
          <w:rFonts w:ascii="Baskerville" w:hAnsi="Baskerville" w:cs="Baskerville"/>
        </w:rPr>
        <w:t>.</w:t>
      </w:r>
      <w:r w:rsidR="00FB1D09">
        <w:rPr>
          <w:rFonts w:ascii="Baskerville" w:hAnsi="Baskerville" w:cs="Baskerville"/>
        </w:rPr>
        <w:t xml:space="preserve"> </w:t>
      </w:r>
      <w:r>
        <w:rPr>
          <w:rFonts w:ascii="Baskerville" w:hAnsi="Baskerville" w:cs="Baskerville"/>
        </w:rPr>
        <w:t>An employer does not waive the right to enforce a covenant not to compete against a former employee merely because it has not enforced similar covenants against other employees, at least where the other employees’ situations involved different circumstances as to the length of time before they took competitive employment (e.g., near the end of the restricted period), the type of subsequent employment they took (e.g., different types of positions), or the place within the restricted geographic area in which they took competitive employment (e.g., on the fringe).</w:t>
      </w:r>
      <w:r w:rsidR="00FB1D09">
        <w:rPr>
          <w:rFonts w:ascii="Baskerville" w:hAnsi="Baskerville" w:cs="Baskerville"/>
        </w:rPr>
        <w:t xml:space="preserve"> </w:t>
      </w:r>
      <w:r>
        <w:rPr>
          <w:rFonts w:ascii="Baskerville" w:hAnsi="Baskerville" w:cs="Baskerville"/>
          <w:i/>
          <w:iCs/>
        </w:rPr>
        <w:t>Midwest Tel., Inc. v. Oloffson</w:t>
      </w:r>
      <w:r>
        <w:rPr>
          <w:rFonts w:ascii="Baskerville" w:hAnsi="Baskerville" w:cs="Baskerville"/>
        </w:rPr>
        <w:t>, 298 Ill. App. 3d 548, 559, 232 Ill. Dec. 783, 789–90, 699 N.E.2d 230, 236–37 (3d Dist. 1998).</w:t>
      </w:r>
      <w:r w:rsidR="00FB1D09">
        <w:rPr>
          <w:rFonts w:ascii="Baskerville" w:hAnsi="Baskerville" w:cs="Baskerville"/>
        </w:rPr>
        <w:t xml:space="preserve"> </w:t>
      </w:r>
      <w:r>
        <w:rPr>
          <w:rFonts w:ascii="Baskerville" w:hAnsi="Baskerville" w:cs="Baskerville"/>
        </w:rPr>
        <w:t xml:space="preserve">In </w:t>
      </w:r>
      <w:r>
        <w:rPr>
          <w:rFonts w:ascii="Baskerville" w:hAnsi="Baskerville" w:cs="Baskerville"/>
          <w:i/>
          <w:iCs/>
        </w:rPr>
        <w:t>Midwest Telephone</w:t>
      </w:r>
      <w:r>
        <w:rPr>
          <w:rFonts w:ascii="Baskerville" w:hAnsi="Baskerville" w:cs="Baskerville"/>
        </w:rPr>
        <w:t>, the court observed:</w:t>
      </w:r>
    </w:p>
    <w:p w14:paraId="239EB159"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sz w:val="12"/>
          <w:szCs w:val="12"/>
        </w:rPr>
      </w:pPr>
    </w:p>
    <w:p w14:paraId="1A066D97" w14:textId="0E3C695E" w:rsidR="00655396" w:rsidRPr="0036473D" w:rsidRDefault="00655396" w:rsidP="008B512B">
      <w:pPr>
        <w:pStyle w:val="BQ"/>
        <w:spacing w:line="240" w:lineRule="auto"/>
        <w:rPr>
          <w:b/>
        </w:rPr>
      </w:pPr>
      <w:r w:rsidRPr="0036473D">
        <w:tab/>
      </w:r>
      <w:r w:rsidR="00944F63">
        <w:t>…</w:t>
      </w:r>
      <w:r w:rsidRPr="0036473D">
        <w:t xml:space="preserve"> [Former employee] Oloffson contends that [former employer] Midwest’s failure to strictly enforce the non-compete restriction against previous employees should be deemed a waiver of its rights under the contract.</w:t>
      </w:r>
    </w:p>
    <w:p w14:paraId="03A6ED8F" w14:textId="1DDC4D2B" w:rsidR="00655396" w:rsidRPr="0036473D" w:rsidRDefault="00655396" w:rsidP="008B512B">
      <w:pPr>
        <w:pStyle w:val="BQ"/>
        <w:spacing w:line="240" w:lineRule="auto"/>
        <w:rPr>
          <w:b/>
        </w:rPr>
      </w:pPr>
      <w:r w:rsidRPr="0036473D">
        <w:tab/>
        <w:t>“Waiver” is the voluntary relinquishment of a known right.</w:t>
      </w:r>
      <w:r w:rsidR="00FB1D09">
        <w:t xml:space="preserve"> </w:t>
      </w:r>
      <w:r w:rsidRPr="0036473D">
        <w:rPr>
          <w:bCs w:val="0"/>
          <w:i/>
          <w:iCs/>
        </w:rPr>
        <w:t>Williams &amp; Montgomery, Ltd. v. Stellato</w:t>
      </w:r>
      <w:r w:rsidRPr="0036473D">
        <w:t>, 195 Ill. App. 3d 544, 552, 142 Ill. Dec. 359, 552 N.E.2d 1100, 1105 ([1st Dist.] 1990).</w:t>
      </w:r>
      <w:r w:rsidR="00FB1D09">
        <w:t xml:space="preserve"> </w:t>
      </w:r>
      <w:r w:rsidRPr="0036473D">
        <w:t>If the facts necessary to support a finding of waiver are disputed, or reasonable minds could draw different inferences from the evidence, waiver becomes a question of fact.</w:t>
      </w:r>
      <w:r w:rsidR="00FB1D09">
        <w:t xml:space="preserve"> </w:t>
      </w:r>
      <w:r w:rsidRPr="0036473D">
        <w:t>[Citation omitted.]</w:t>
      </w:r>
      <w:r w:rsidR="00FB1D09">
        <w:t xml:space="preserve"> </w:t>
      </w:r>
      <w:r w:rsidRPr="0036473D">
        <w:t>We will not overturn the factual findings of a trier of fact unless they are against the manifest weight of the evidence.</w:t>
      </w:r>
      <w:r w:rsidR="00FB1D09">
        <w:t xml:space="preserve"> </w:t>
      </w:r>
      <w:r w:rsidRPr="0036473D">
        <w:t>[Citation omitted.]</w:t>
      </w:r>
    </w:p>
    <w:p w14:paraId="35F4472A" w14:textId="567C06E7" w:rsidR="00655396" w:rsidRPr="0036473D" w:rsidRDefault="00655396" w:rsidP="008B512B">
      <w:pPr>
        <w:pStyle w:val="BQ"/>
        <w:spacing w:line="240" w:lineRule="auto"/>
        <w:rPr>
          <w:b/>
        </w:rPr>
      </w:pPr>
      <w:r w:rsidRPr="0036473D">
        <w:tab/>
        <w:t xml:space="preserve">Oloffson cites </w:t>
      </w:r>
      <w:r w:rsidRPr="0036473D">
        <w:rPr>
          <w:bCs w:val="0"/>
          <w:i/>
          <w:iCs/>
        </w:rPr>
        <w:t>Surgidev Corp. v. Eye Technology, Inc.</w:t>
      </w:r>
      <w:r w:rsidRPr="0036473D">
        <w:t>, 648 F. Supp. 661, 698 (D. Minn. 1986), [</w:t>
      </w:r>
      <w:r w:rsidRPr="0036473D">
        <w:rPr>
          <w:bCs w:val="0"/>
          <w:i/>
          <w:iCs/>
        </w:rPr>
        <w:t>aff’d</w:t>
      </w:r>
      <w:r w:rsidRPr="0036473D">
        <w:t>, 828 F.2d 452 (8th Cir. 1987),] where a federal district court found that the employer had waived its right to enforce a non-compete covenant after it had “blithely ignored” the provision with prior employees.</w:t>
      </w:r>
      <w:r w:rsidR="00FB1D09">
        <w:t xml:space="preserve"> </w:t>
      </w:r>
      <w:r w:rsidRPr="0036473D">
        <w:t>The evidence in this case does not support a similar finding.</w:t>
      </w:r>
    </w:p>
    <w:p w14:paraId="775AE348" w14:textId="1B37A15A" w:rsidR="00655396" w:rsidRPr="0036473D" w:rsidRDefault="00655396" w:rsidP="008B512B">
      <w:pPr>
        <w:pStyle w:val="BQ"/>
        <w:spacing w:line="240" w:lineRule="auto"/>
        <w:rPr>
          <w:b/>
        </w:rPr>
      </w:pPr>
      <w:r w:rsidRPr="0036473D">
        <w:tab/>
        <w:t>On the contrary, Midwest had previously required two former employees to specifically obtain releases from the covenant that were narrowly tailored to specific jobs in the restricted area.</w:t>
      </w:r>
      <w:r w:rsidR="00FB1D09">
        <w:t xml:space="preserve"> </w:t>
      </w:r>
      <w:r w:rsidRPr="0036473D">
        <w:t>It is clear from the testimony that those instances involved unique circumstances that do not exist in Oloffson’s case.</w:t>
      </w:r>
      <w:r w:rsidR="00FB1D09">
        <w:t xml:space="preserve"> </w:t>
      </w:r>
      <w:r w:rsidRPr="0036473D">
        <w:t>Other former Midwest employees accepted different types of positions than they held at Midwest, worked in areas on the extreme fringe of the restricted zone, or, in one case, began working only after sitting out approximately 10 months.</w:t>
      </w:r>
    </w:p>
    <w:p w14:paraId="74CE36DE" w14:textId="6780544D" w:rsidR="00655396" w:rsidRPr="0036473D" w:rsidRDefault="00655396" w:rsidP="008B512B">
      <w:pPr>
        <w:pStyle w:val="BQ"/>
        <w:spacing w:line="240" w:lineRule="auto"/>
        <w:rPr>
          <w:b/>
        </w:rPr>
      </w:pPr>
      <w:r w:rsidRPr="0036473D">
        <w:tab/>
        <w:t>Furthermore, in this case Midwest repeatedly informed Oloffson that it would enforce the restrictive covenant.</w:t>
      </w:r>
      <w:r w:rsidR="00FB1D09">
        <w:t xml:space="preserve"> </w:t>
      </w:r>
      <w:r w:rsidRPr="0036473D">
        <w:t xml:space="preserve">Oloffson’s subsequent </w:t>
      </w:r>
      <w:r w:rsidRPr="0036473D">
        <w:lastRenderedPageBreak/>
        <w:t>job search outside the restricted area indicates that he knew Midwest intended to enforce the provision.</w:t>
      </w:r>
    </w:p>
    <w:p w14:paraId="261BCA47" w14:textId="7E78995A" w:rsidR="00655396" w:rsidRPr="0036473D" w:rsidRDefault="00655396" w:rsidP="008B512B">
      <w:pPr>
        <w:pStyle w:val="BQ"/>
        <w:spacing w:line="240" w:lineRule="auto"/>
        <w:rPr>
          <w:b/>
        </w:rPr>
      </w:pPr>
      <w:r w:rsidRPr="0036473D">
        <w:tab/>
        <w:t>Because the evidence supports more than one possible inference, it creates a question of fact regarding whether Midwest voluntarily waived its rights.</w:t>
      </w:r>
      <w:r w:rsidR="00FB1D09">
        <w:t xml:space="preserve"> </w:t>
      </w:r>
      <w:r w:rsidRPr="0036473D">
        <w:t>[Citation omitted.]</w:t>
      </w:r>
      <w:r w:rsidR="00FB1D09">
        <w:t xml:space="preserve"> </w:t>
      </w:r>
      <w:r w:rsidRPr="0036473D">
        <w:t>Based on our review of the record on appeal, we cannot say that the trial court’s finding that no waiver occurred is against the manifest weight of the evidence.</w:t>
      </w:r>
    </w:p>
    <w:p w14:paraId="132BC15D" w14:textId="77777777" w:rsidR="00655396" w:rsidRDefault="00655396" w:rsidP="008B512B">
      <w:pPr>
        <w:pStyle w:val="BodyText"/>
        <w:spacing w:line="240" w:lineRule="auto"/>
      </w:pPr>
    </w:p>
    <w:p w14:paraId="10A5CFC6"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xml:space="preserve"> at 558–59, 232 Ill. Dec. at 789–90, 699 N.E.2d at 236–37.</w:t>
      </w:r>
    </w:p>
    <w:p w14:paraId="4420A13E" w14:textId="77777777" w:rsidR="00655396" w:rsidRDefault="00655396" w:rsidP="008B512B">
      <w:pPr>
        <w:pStyle w:val="BodyText"/>
        <w:spacing w:line="240" w:lineRule="auto"/>
      </w:pPr>
    </w:p>
    <w:p w14:paraId="32D697D9"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 </w:t>
      </w:r>
      <w:r>
        <w:rPr>
          <w:rFonts w:ascii="Baskerville" w:hAnsi="Baskerville" w:cs="Baskerville"/>
          <w:i/>
          <w:iCs/>
        </w:rPr>
        <w:t>Bankruptcy context:</w:t>
      </w:r>
      <w:r>
        <w:rPr>
          <w:rFonts w:ascii="Baskerville" w:hAnsi="Baskerville" w:cs="Baskerville"/>
        </w:rPr>
        <w:t xml:space="preserve"> </w:t>
      </w:r>
      <w:r>
        <w:rPr>
          <w:rFonts w:ascii="Baskerville" w:hAnsi="Baskerville" w:cs="Baskerville"/>
          <w:i/>
          <w:iCs/>
        </w:rPr>
        <w:t>Balance of purchase price</w:t>
      </w:r>
      <w:r>
        <w:rPr>
          <w:rFonts w:ascii="Baskerville" w:hAnsi="Baskerville" w:cs="Baskerville"/>
        </w:rPr>
        <w:t xml:space="preserve">. When the seller of a business that declares bankruptcy receives consideration for entering into a covenant not to compete upon the sale of his business, the balance of the purchase price becomes the property of the bankruptcy estate if the seller waits too long to assert a claim against the trustee. </w:t>
      </w:r>
      <w:r>
        <w:rPr>
          <w:rFonts w:ascii="Baskerville" w:hAnsi="Baskerville" w:cs="Baskerville"/>
          <w:i/>
          <w:iCs/>
        </w:rPr>
        <w:t>T&amp;M Enters., Inc. v. Muller</w:t>
      </w:r>
      <w:r>
        <w:rPr>
          <w:rFonts w:ascii="Baskerville" w:hAnsi="Baskerville" w:cs="Baskerville"/>
        </w:rPr>
        <w:t>, 284 B.R. 256, 260–61 (Bankr. N.D. Ill. 2002) (seller who received down payment of $25,000 for covenant not to compete waived her right to seek balance of purchase price where she knew that trustee of Chapter 7 bankruptcy estate was collecting installment payments and she waited almost 4 years to initiate legal action against trustee).</w:t>
      </w:r>
    </w:p>
    <w:p w14:paraId="6D8C2EE1" w14:textId="77777777" w:rsidR="00655396" w:rsidRDefault="00655396" w:rsidP="008B512B">
      <w:pPr>
        <w:pStyle w:val="BodyText"/>
        <w:spacing w:line="240" w:lineRule="auto"/>
      </w:pPr>
    </w:p>
    <w:p w14:paraId="35EF5FC8" w14:textId="77777777" w:rsidR="00655396" w:rsidRDefault="00655396" w:rsidP="008B512B">
      <w:pPr>
        <w:pStyle w:val="AdditionalTopicsSectionHeadings"/>
        <w:spacing w:line="240" w:lineRule="auto"/>
      </w:pPr>
      <w:r>
        <w:t>Waiver of Defenses</w:t>
      </w:r>
    </w:p>
    <w:p w14:paraId="3B3A40D1"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44D55E81" w14:textId="115A8BCE"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t xml:space="preserve">• </w:t>
      </w:r>
      <w:r>
        <w:rPr>
          <w:rFonts w:ascii="Baskerville" w:hAnsi="Baskerville" w:cs="Baskerville"/>
          <w:i/>
          <w:iCs/>
        </w:rPr>
        <w:t>Delay in exiting partnership</w:t>
      </w:r>
      <w:r>
        <w:rPr>
          <w:rFonts w:ascii="Baskerville" w:hAnsi="Baskerville" w:cs="Baskerville"/>
        </w:rPr>
        <w:t>.</w:t>
      </w:r>
      <w:r w:rsidR="00FB1D09">
        <w:rPr>
          <w:rFonts w:ascii="Baskerville" w:hAnsi="Baskerville" w:cs="Baskerville"/>
        </w:rPr>
        <w:t xml:space="preserve"> </w:t>
      </w:r>
      <w:r>
        <w:rPr>
          <w:rFonts w:ascii="Baskerville" w:hAnsi="Baskerville" w:cs="Baskerville"/>
        </w:rPr>
        <w:t>A one-year delay in exiting a partnership due to the partnership’s breach of contract does not constitute a waiver of the exiting partners’ right to assert the partnership’s breach as a defense to an action for covenant enforcement.</w:t>
      </w:r>
      <w:r w:rsidR="00FB1D09">
        <w:rPr>
          <w:rFonts w:ascii="Baskerville" w:hAnsi="Baskerville" w:cs="Baskerville"/>
        </w:rPr>
        <w:t xml:space="preserve"> </w:t>
      </w:r>
      <w:r>
        <w:rPr>
          <w:rFonts w:ascii="Baskerville" w:hAnsi="Baskerville" w:cs="Baskerville"/>
          <w:i/>
          <w:iCs/>
        </w:rPr>
        <w:t>Galesburg Clinic Ass’n v. West,</w:t>
      </w:r>
      <w:r>
        <w:rPr>
          <w:rFonts w:ascii="Baskerville" w:hAnsi="Baskerville" w:cs="Baskerville"/>
        </w:rPr>
        <w:t xml:space="preserve"> 302 Ill. App. 3d 1016, 1019–20, 706 N.E.2d 1035, 1037–38 (3d Dist. 1999).</w:t>
      </w:r>
    </w:p>
    <w:p w14:paraId="489746C4" w14:textId="77777777" w:rsidR="00655396" w:rsidRDefault="00655396" w:rsidP="008B512B">
      <w:pPr>
        <w:pStyle w:val="BodyText"/>
        <w:spacing w:line="240" w:lineRule="auto"/>
      </w:pPr>
    </w:p>
    <w:p w14:paraId="6E82A71D" w14:textId="712A4C78" w:rsidR="00655396" w:rsidRPr="0036473D" w:rsidRDefault="00655396" w:rsidP="008B512B">
      <w:pPr>
        <w:pStyle w:val="BQ"/>
        <w:spacing w:line="240" w:lineRule="auto"/>
        <w:rPr>
          <w:b/>
        </w:rPr>
      </w:pPr>
      <w:r w:rsidRPr="0036473D">
        <w:t>In the context of a breach of contract, waiver is the express or implied voluntary and intentional relinquishment of a known and existing right.</w:t>
      </w:r>
      <w:r w:rsidR="00FB1D09">
        <w:t xml:space="preserve"> </w:t>
      </w:r>
      <w:r w:rsidRPr="0036473D">
        <w:rPr>
          <w:bCs w:val="0"/>
          <w:i/>
          <w:iCs/>
        </w:rPr>
        <w:t>National Tea Co. v. Commerce &amp; Industry Insurance Co.</w:t>
      </w:r>
      <w:r w:rsidRPr="0036473D">
        <w:t>, 119 Ill. App. 3d 195, 205, 74 Ill. Dec. 704, 456 N.E.2d 206, 213 (1983) [(not a covenant case)].</w:t>
      </w:r>
      <w:r w:rsidR="00FB1D09">
        <w:t xml:space="preserve"> </w:t>
      </w:r>
      <w:r w:rsidRPr="0036473D">
        <w:t>Waiver is a question of fact when the facts necessary to support waiver are disputed or reasonable minds could draw different inferences from the evidence.</w:t>
      </w:r>
      <w:r w:rsidR="00FB1D09">
        <w:t xml:space="preserve"> </w:t>
      </w:r>
      <w:r w:rsidRPr="0036473D">
        <w:rPr>
          <w:bCs w:val="0"/>
          <w:i/>
          <w:iCs/>
        </w:rPr>
        <w:t>Midwest Television, Inc. v. Oloffson</w:t>
      </w:r>
      <w:r w:rsidRPr="0036473D">
        <w:t>, 298 Ill. App. 3d 548, 558, 232 Ill. Dec. 783, 699 N.E.2d 230, 232 (1998) [(covenant case)].</w:t>
      </w:r>
      <w:r w:rsidR="00FB1D09">
        <w:t xml:space="preserve"> </w:t>
      </w:r>
      <w:r w:rsidRPr="0036473D">
        <w:t xml:space="preserve">The factual findings of a trial court </w:t>
      </w:r>
      <w:r w:rsidRPr="0036473D">
        <w:lastRenderedPageBreak/>
        <w:t>will not be overturned unless they are against the manifest weight of the evidence.</w:t>
      </w:r>
      <w:r w:rsidR="00FB1D09">
        <w:t xml:space="preserve"> </w:t>
      </w:r>
      <w:r w:rsidRPr="0036473D">
        <w:rPr>
          <w:bCs w:val="0"/>
          <w:i/>
          <w:iCs/>
        </w:rPr>
        <w:t>Midwest Television</w:t>
      </w:r>
      <w:r w:rsidRPr="0036473D">
        <w:t>, 298 Ill. App. 3d at 558, 232 Ill. Dec. 783, 699 N.E.2d at 232.</w:t>
      </w:r>
      <w:r w:rsidR="00FB1D09">
        <w:t xml:space="preserve"> </w:t>
      </w:r>
      <w:r w:rsidRPr="0036473D">
        <w:t>Although waiver may be implied, the act relied on to constitute the waiver must be clear, unequivocal and decisive.</w:t>
      </w:r>
      <w:r w:rsidR="00FB1D09">
        <w:t xml:space="preserve"> </w:t>
      </w:r>
      <w:r w:rsidRPr="0036473D">
        <w:rPr>
          <w:bCs w:val="0"/>
          <w:i/>
          <w:iCs/>
        </w:rPr>
        <w:t>National Tea Co.</w:t>
      </w:r>
      <w:r w:rsidRPr="0036473D">
        <w:t>, 119 Ill. App. 3d at 205, 74 Ill. Dec. 704, 456 N.E.2d at 213.</w:t>
      </w:r>
      <w:r w:rsidR="00FB1D09">
        <w:t xml:space="preserve"> </w:t>
      </w:r>
      <w:r w:rsidRPr="0036473D">
        <w:t>The victim of a breach is not required to act immediately upon suspicion of a breach.</w:t>
      </w:r>
      <w:r w:rsidR="00FB1D09">
        <w:t xml:space="preserve"> </w:t>
      </w:r>
      <w:r w:rsidRPr="0036473D">
        <w:rPr>
          <w:bCs w:val="0"/>
          <w:i/>
          <w:iCs/>
        </w:rPr>
        <w:t>Cole Taylor Bank v. Truck Insurance Exchange</w:t>
      </w:r>
      <w:r w:rsidRPr="0036473D">
        <w:t>, 51 F.3d 736, 740 (7th Cir. 1995) [(not a covenant case)].</w:t>
      </w:r>
    </w:p>
    <w:p w14:paraId="2552028A" w14:textId="77777777" w:rsidR="00655396" w:rsidRDefault="00655396" w:rsidP="008B512B">
      <w:pPr>
        <w:pStyle w:val="BodyText"/>
        <w:spacing w:line="240" w:lineRule="auto"/>
      </w:pPr>
    </w:p>
    <w:p w14:paraId="56383D7A" w14:textId="7F8391FE"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706 N.E.2d at 1037.</w:t>
      </w:r>
      <w:r w:rsidR="00FB1D09">
        <w:rPr>
          <w:rFonts w:ascii="Baskerville" w:hAnsi="Baskerville" w:cs="Baskerville"/>
        </w:rPr>
        <w:t xml:space="preserve"> </w:t>
      </w:r>
      <w:r>
        <w:rPr>
          <w:rFonts w:ascii="Baskerville" w:hAnsi="Baskerville" w:cs="Baskerville"/>
        </w:rPr>
        <w:t xml:space="preserve">In </w:t>
      </w:r>
      <w:r>
        <w:rPr>
          <w:rFonts w:ascii="Baskerville" w:hAnsi="Baskerville" w:cs="Baskerville"/>
          <w:i/>
          <w:iCs/>
        </w:rPr>
        <w:t>Galesburg</w:t>
      </w:r>
      <w:r>
        <w:rPr>
          <w:rFonts w:ascii="Baskerville" w:hAnsi="Baskerville" w:cs="Baskerville"/>
        </w:rPr>
        <w:t>, the court of appeals affirmed the circuit court’s ruling that the one-year delay by partners in resigning (following the breaches of the underlying agreement by their medical partnership when its executive committee held a secret meeting and took certain votes) did not constitute a waiver of their right to defend against enforcement on the ground of breach.</w:t>
      </w:r>
      <w:r w:rsidR="00FB1D09">
        <w:rPr>
          <w:rFonts w:ascii="Baskerville" w:hAnsi="Baskerville" w:cs="Baskerville"/>
        </w:rPr>
        <w:t xml:space="preserve"> </w:t>
      </w:r>
      <w:r>
        <w:rPr>
          <w:rFonts w:ascii="Baskerville" w:hAnsi="Baskerville" w:cs="Baskerville"/>
        </w:rPr>
        <w:t xml:space="preserve">The </w:t>
      </w:r>
      <w:r>
        <w:rPr>
          <w:rFonts w:ascii="Baskerville" w:hAnsi="Baskerville" w:cs="Baskerville"/>
          <w:i/>
          <w:iCs/>
        </w:rPr>
        <w:t>Galesburg</w:t>
      </w:r>
      <w:r>
        <w:rPr>
          <w:rFonts w:ascii="Baskerville" w:hAnsi="Baskerville" w:cs="Baskerville"/>
        </w:rPr>
        <w:t xml:space="preserve"> court explained that the exiting partners</w:t>
      </w:r>
    </w:p>
    <w:p w14:paraId="469B46E3" w14:textId="77777777" w:rsidR="0036473D" w:rsidRDefault="0036473D" w:rsidP="008B512B">
      <w:pPr>
        <w:pStyle w:val="NoParagraphStyle"/>
        <w:tabs>
          <w:tab w:val="left" w:pos="480"/>
          <w:tab w:val="left" w:pos="960"/>
          <w:tab w:val="left" w:pos="1440"/>
        </w:tabs>
        <w:spacing w:line="240" w:lineRule="auto"/>
        <w:jc w:val="both"/>
        <w:rPr>
          <w:rFonts w:ascii="Baskerville" w:hAnsi="Baskerville" w:cs="Baskerville"/>
        </w:rPr>
      </w:pPr>
    </w:p>
    <w:p w14:paraId="4DFB5CF0" w14:textId="6210EC0C" w:rsidR="00655396" w:rsidRPr="0036473D" w:rsidRDefault="00655396" w:rsidP="008B512B">
      <w:pPr>
        <w:pStyle w:val="BQ"/>
        <w:spacing w:line="240" w:lineRule="auto"/>
        <w:rPr>
          <w:b/>
        </w:rPr>
      </w:pPr>
      <w:r w:rsidRPr="0036473D">
        <w:t>resigned just over a year after the executive committee breached article X.</w:t>
      </w:r>
      <w:r w:rsidR="00FB1D09">
        <w:t xml:space="preserve"> </w:t>
      </w:r>
      <w:r w:rsidRPr="0036473D">
        <w:t>During that year, however, the [exiting partners] continued their normal work while protesting the executive committee’s actions.</w:t>
      </w:r>
      <w:r w:rsidR="00FB1D09">
        <w:t xml:space="preserve"> </w:t>
      </w:r>
      <w:r w:rsidRPr="0036473D">
        <w:t>Their delay in exiting the partnership was reasonable considering the complexity of the partnership, the nature of the practice of medicine, and the professional and personal ramifications of their exit.</w:t>
      </w:r>
      <w:r w:rsidR="00FB1D09">
        <w:t xml:space="preserve"> </w:t>
      </w:r>
      <w:r w:rsidRPr="0036473D">
        <w:t xml:space="preserve">The defendants’ delay in resigning cannot be considered a clear and unequivocal waiver of the right to declare a breach. </w:t>
      </w:r>
    </w:p>
    <w:p w14:paraId="3F29414C"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2CBADFD8" w14:textId="2EA123EA"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i/>
          <w:iCs/>
        </w:rPr>
        <w:t>Id</w:t>
      </w:r>
      <w:r>
        <w:rPr>
          <w:rFonts w:ascii="Baskerville" w:hAnsi="Baskerville" w:cs="Baskerville"/>
        </w:rPr>
        <w:t>., 706 N.E.2d at 1037–38.</w:t>
      </w:r>
      <w:r w:rsidR="00FB1D09">
        <w:rPr>
          <w:rFonts w:ascii="Baskerville" w:hAnsi="Baskerville" w:cs="Baskerville"/>
        </w:rPr>
        <w:t xml:space="preserve"> </w:t>
      </w:r>
      <w:r>
        <w:rPr>
          <w:rFonts w:ascii="Baskerville" w:hAnsi="Baskerville" w:cs="Baskerville"/>
        </w:rPr>
        <w:t xml:space="preserve">For a discussion of the executive committee’s breaches, see the discussion of </w:t>
      </w:r>
      <w:r>
        <w:rPr>
          <w:rFonts w:ascii="Baskerville" w:hAnsi="Baskerville" w:cs="Baskerville"/>
          <w:i/>
          <w:iCs/>
        </w:rPr>
        <w:t>Galesburg</w:t>
      </w:r>
      <w:r>
        <w:rPr>
          <w:rFonts w:ascii="Baskerville" w:hAnsi="Baskerville" w:cs="Baskerville"/>
        </w:rPr>
        <w:t xml:space="preserve"> under the </w:t>
      </w:r>
      <w:r>
        <w:rPr>
          <w:rFonts w:ascii="Baskerville" w:hAnsi="Baskerville" w:cs="Baskerville"/>
          <w:i/>
          <w:iCs/>
        </w:rPr>
        <w:t>Employer’s Breach, Effect of</w:t>
      </w:r>
      <w:r>
        <w:rPr>
          <w:rFonts w:ascii="Baskerville" w:hAnsi="Baskerville" w:cs="Baskerville"/>
        </w:rPr>
        <w:t xml:space="preserve">, entry, </w:t>
      </w:r>
      <w:r>
        <w:rPr>
          <w:rFonts w:ascii="Baskerville" w:hAnsi="Baskerville" w:cs="Baskerville"/>
          <w:i/>
          <w:iCs/>
        </w:rPr>
        <w:t>supra</w:t>
      </w:r>
      <w:r>
        <w:rPr>
          <w:rFonts w:ascii="Baskerville" w:hAnsi="Baskerville" w:cs="Baskerville"/>
        </w:rPr>
        <w:t xml:space="preserve">, in this </w:t>
      </w:r>
      <w:r>
        <w:rPr>
          <w:rFonts w:ascii="Baskerville" w:hAnsi="Baskerville" w:cs="Baskerville"/>
          <w:i/>
          <w:iCs/>
        </w:rPr>
        <w:t>Additional Topics</w:t>
      </w:r>
      <w:r>
        <w:rPr>
          <w:rFonts w:ascii="Baskerville" w:hAnsi="Baskerville" w:cs="Baskerville"/>
        </w:rPr>
        <w:t xml:space="preserve"> section.</w:t>
      </w:r>
    </w:p>
    <w:p w14:paraId="182A3624" w14:textId="77777777" w:rsidR="00655396" w:rsidRDefault="00655396" w:rsidP="008B512B">
      <w:pPr>
        <w:pStyle w:val="NoParagraphStyle"/>
        <w:tabs>
          <w:tab w:val="left" w:pos="480"/>
          <w:tab w:val="left" w:pos="960"/>
          <w:tab w:val="left" w:pos="1440"/>
        </w:tabs>
        <w:spacing w:line="240" w:lineRule="auto"/>
        <w:jc w:val="both"/>
        <w:rPr>
          <w:rFonts w:ascii="Baskerville" w:hAnsi="Baskerville" w:cs="Baskerville"/>
        </w:rPr>
      </w:pPr>
    </w:p>
    <w:p w14:paraId="266BC04C" w14:textId="63000633" w:rsidR="00655396" w:rsidRPr="00CF2F25" w:rsidRDefault="00655396" w:rsidP="008B512B">
      <w:pPr>
        <w:pStyle w:val="NoParagraphStyle"/>
        <w:tabs>
          <w:tab w:val="left" w:pos="480"/>
          <w:tab w:val="left" w:pos="960"/>
          <w:tab w:val="left" w:pos="1440"/>
        </w:tabs>
        <w:spacing w:line="240" w:lineRule="auto"/>
        <w:jc w:val="both"/>
        <w:rPr>
          <w:rFonts w:ascii="Baskerville" w:hAnsi="Baskerville" w:cs="Baskerville"/>
        </w:rPr>
      </w:pPr>
      <w:r>
        <w:rPr>
          <w:rFonts w:ascii="Baskerville" w:hAnsi="Baskerville" w:cs="Baskerville"/>
        </w:rPr>
        <w:tab/>
      </w:r>
      <w:r>
        <w:rPr>
          <w:rFonts w:ascii="Baskerville" w:hAnsi="Baskerville" w:cs="Baskerville"/>
          <w:b/>
          <w:bCs/>
        </w:rPr>
        <w:t>•</w:t>
      </w:r>
      <w:r>
        <w:rPr>
          <w:rFonts w:ascii="Baskerville" w:hAnsi="Baskerville" w:cs="Baskerville"/>
        </w:rPr>
        <w:t xml:space="preserve"> </w:t>
      </w:r>
      <w:r>
        <w:rPr>
          <w:rFonts w:ascii="Baskerville" w:hAnsi="Baskerville" w:cs="Baskerville"/>
          <w:i/>
          <w:iCs/>
        </w:rPr>
        <w:t>Delay in raising issue</w:t>
      </w:r>
      <w:r>
        <w:rPr>
          <w:rFonts w:ascii="Baskerville" w:hAnsi="Baskerville" w:cs="Baskerville"/>
        </w:rPr>
        <w:t>.</w:t>
      </w:r>
      <w:r w:rsidR="00FB1D09">
        <w:rPr>
          <w:rFonts w:ascii="Baskerville" w:hAnsi="Baskerville" w:cs="Baskerville"/>
        </w:rPr>
        <w:t xml:space="preserve"> </w:t>
      </w:r>
      <w:r>
        <w:rPr>
          <w:rFonts w:ascii="Baskerville" w:hAnsi="Baskerville" w:cs="Baskerville"/>
        </w:rPr>
        <w:t>When a former employee belatedly attempts to challenge a covenant’s consideration by raising the issue for the first time in her reply memorandum, the court will not consider the challenge in that the failure to raise it in her opening brief operates as a waiver of the issue.</w:t>
      </w:r>
      <w:r w:rsidR="00FB1D09">
        <w:rPr>
          <w:rFonts w:ascii="Baskerville" w:hAnsi="Baskerville" w:cs="Baskerville"/>
        </w:rPr>
        <w:t xml:space="preserve"> </w:t>
      </w:r>
      <w:r>
        <w:rPr>
          <w:rFonts w:ascii="Baskerville" w:hAnsi="Baskerville" w:cs="Baskerville"/>
          <w:i/>
          <w:iCs/>
        </w:rPr>
        <w:t>Applied Micro, Inc. v. SJI Fulfillment, Inc.</w:t>
      </w:r>
      <w:r>
        <w:rPr>
          <w:rFonts w:ascii="Baskerville" w:hAnsi="Baskerville" w:cs="Baskerville"/>
        </w:rPr>
        <w:t>, 941 F. Supp. 750, 753 n.4 (N.D. Ill. 1996).</w:t>
      </w:r>
    </w:p>
    <w:sectPr w:rsidR="00655396" w:rsidRPr="00CF2F25">
      <w:pgSz w:w="8640" w:h="12960"/>
      <w:pgMar w:top="1200" w:right="1440" w:bottom="108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skerville">
    <w:altName w:val="Baskerville Old Face"/>
    <w:charset w:val="00"/>
    <w:family w:val="roman"/>
    <w:pitch w:val="variable"/>
    <w:sig w:usb0="80000067" w:usb1="02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LT Std">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 SC">
    <w:panose1 w:val="00000000000000000000"/>
    <w:charset w:val="00"/>
    <w:family w:val="roman"/>
    <w:notTrueType/>
    <w:pitch w:val="variable"/>
    <w:sig w:usb0="00000003" w:usb1="00000000" w:usb2="00000000" w:usb3="00000000" w:csb0="00000001" w:csb1="00000000"/>
  </w:font>
  <w:font w:name="NewCenturySchlbk">
    <w:panose1 w:val="00000000000000000000"/>
    <w:charset w:val="00"/>
    <w:family w:val="roman"/>
    <w:notTrueType/>
    <w:pitch w:val="variable"/>
    <w:sig w:usb0="00000003" w:usb1="00000000" w:usb2="00000000" w:usb3="00000000" w:csb0="00000001" w:csb1="00000000"/>
  </w:font>
  <w:font w:name="NewCenturySchlbk LT Std">
    <w:panose1 w:val="00000000000000000000"/>
    <w:charset w:val="00"/>
    <w:family w:val="roman"/>
    <w:notTrueType/>
    <w:pitch w:val="variable"/>
    <w:sig w:usb0="800000AF" w:usb1="4000204A" w:usb2="00000000" w:usb3="00000000" w:csb0="00000001" w:csb1="00000000"/>
  </w:font>
  <w:font w:name="Times">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Goudy Old Style">
    <w:panose1 w:val="020205020503050203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A34A7B"/>
    <w:multiLevelType w:val="hybridMultilevel"/>
    <w:tmpl w:val="139A39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num w:numId="1" w16cid:durableId="2095781554">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trackRevision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25"/>
    <w:rsid w:val="000115D5"/>
    <w:rsid w:val="00020BD9"/>
    <w:rsid w:val="0003011E"/>
    <w:rsid w:val="00031493"/>
    <w:rsid w:val="00035B27"/>
    <w:rsid w:val="00040613"/>
    <w:rsid w:val="00053469"/>
    <w:rsid w:val="0005413E"/>
    <w:rsid w:val="000549A4"/>
    <w:rsid w:val="00055D37"/>
    <w:rsid w:val="0005787C"/>
    <w:rsid w:val="00083D4D"/>
    <w:rsid w:val="000871DD"/>
    <w:rsid w:val="000A454A"/>
    <w:rsid w:val="000A5ADC"/>
    <w:rsid w:val="000A6505"/>
    <w:rsid w:val="000C462B"/>
    <w:rsid w:val="000C56BA"/>
    <w:rsid w:val="000C7BD8"/>
    <w:rsid w:val="000D7B9B"/>
    <w:rsid w:val="000F32E7"/>
    <w:rsid w:val="00101545"/>
    <w:rsid w:val="00102180"/>
    <w:rsid w:val="00121FAC"/>
    <w:rsid w:val="001342CF"/>
    <w:rsid w:val="00153B59"/>
    <w:rsid w:val="001601E0"/>
    <w:rsid w:val="0016514A"/>
    <w:rsid w:val="00170EAA"/>
    <w:rsid w:val="001749E9"/>
    <w:rsid w:val="00177E17"/>
    <w:rsid w:val="00182187"/>
    <w:rsid w:val="00184AF9"/>
    <w:rsid w:val="001913B8"/>
    <w:rsid w:val="001A419C"/>
    <w:rsid w:val="001A47CF"/>
    <w:rsid w:val="001C07F1"/>
    <w:rsid w:val="001F566D"/>
    <w:rsid w:val="00204FD8"/>
    <w:rsid w:val="00207102"/>
    <w:rsid w:val="00217AC8"/>
    <w:rsid w:val="00221624"/>
    <w:rsid w:val="00230163"/>
    <w:rsid w:val="002451D0"/>
    <w:rsid w:val="00245C88"/>
    <w:rsid w:val="0024719D"/>
    <w:rsid w:val="00257D96"/>
    <w:rsid w:val="002720C7"/>
    <w:rsid w:val="00291E2C"/>
    <w:rsid w:val="00293970"/>
    <w:rsid w:val="002A2D88"/>
    <w:rsid w:val="002B1245"/>
    <w:rsid w:val="002B3BD8"/>
    <w:rsid w:val="002B3C3E"/>
    <w:rsid w:val="002B5B80"/>
    <w:rsid w:val="002C42B2"/>
    <w:rsid w:val="002C55F7"/>
    <w:rsid w:val="002D26CB"/>
    <w:rsid w:val="003162C2"/>
    <w:rsid w:val="003207CE"/>
    <w:rsid w:val="003355A1"/>
    <w:rsid w:val="00337E64"/>
    <w:rsid w:val="00345082"/>
    <w:rsid w:val="0035223B"/>
    <w:rsid w:val="00352F86"/>
    <w:rsid w:val="0036473D"/>
    <w:rsid w:val="00365054"/>
    <w:rsid w:val="00374D56"/>
    <w:rsid w:val="0037547D"/>
    <w:rsid w:val="00386DE5"/>
    <w:rsid w:val="003A055F"/>
    <w:rsid w:val="003A111A"/>
    <w:rsid w:val="003A67A2"/>
    <w:rsid w:val="003C15AA"/>
    <w:rsid w:val="003C2788"/>
    <w:rsid w:val="003C294A"/>
    <w:rsid w:val="003C3D55"/>
    <w:rsid w:val="003D4127"/>
    <w:rsid w:val="003D740C"/>
    <w:rsid w:val="003E2616"/>
    <w:rsid w:val="003F5A4A"/>
    <w:rsid w:val="003F661B"/>
    <w:rsid w:val="0042249A"/>
    <w:rsid w:val="00423C4B"/>
    <w:rsid w:val="004240BE"/>
    <w:rsid w:val="004279AA"/>
    <w:rsid w:val="00445B33"/>
    <w:rsid w:val="00453ADF"/>
    <w:rsid w:val="004577A4"/>
    <w:rsid w:val="004644F9"/>
    <w:rsid w:val="004738F8"/>
    <w:rsid w:val="004751DB"/>
    <w:rsid w:val="00480D88"/>
    <w:rsid w:val="00485851"/>
    <w:rsid w:val="0048747E"/>
    <w:rsid w:val="004918E1"/>
    <w:rsid w:val="004932F8"/>
    <w:rsid w:val="00495F5C"/>
    <w:rsid w:val="004A1B83"/>
    <w:rsid w:val="004A3D31"/>
    <w:rsid w:val="004B25C0"/>
    <w:rsid w:val="004E041A"/>
    <w:rsid w:val="004E4908"/>
    <w:rsid w:val="004F2174"/>
    <w:rsid w:val="004F5319"/>
    <w:rsid w:val="0050278F"/>
    <w:rsid w:val="005052B9"/>
    <w:rsid w:val="005148C3"/>
    <w:rsid w:val="00521CA9"/>
    <w:rsid w:val="00522826"/>
    <w:rsid w:val="005230B1"/>
    <w:rsid w:val="00523218"/>
    <w:rsid w:val="00526402"/>
    <w:rsid w:val="005373F0"/>
    <w:rsid w:val="005435AA"/>
    <w:rsid w:val="00544C95"/>
    <w:rsid w:val="005670EC"/>
    <w:rsid w:val="005817FF"/>
    <w:rsid w:val="00581B30"/>
    <w:rsid w:val="005846D4"/>
    <w:rsid w:val="00585C30"/>
    <w:rsid w:val="00592E67"/>
    <w:rsid w:val="00596505"/>
    <w:rsid w:val="005A1B51"/>
    <w:rsid w:val="005A4749"/>
    <w:rsid w:val="005C0184"/>
    <w:rsid w:val="005C1F33"/>
    <w:rsid w:val="005C6F0C"/>
    <w:rsid w:val="005D1D9F"/>
    <w:rsid w:val="005D22DA"/>
    <w:rsid w:val="005E4F6B"/>
    <w:rsid w:val="005F106B"/>
    <w:rsid w:val="005F2515"/>
    <w:rsid w:val="005F2911"/>
    <w:rsid w:val="0061628C"/>
    <w:rsid w:val="006211F1"/>
    <w:rsid w:val="00622D6E"/>
    <w:rsid w:val="00622FD9"/>
    <w:rsid w:val="00633330"/>
    <w:rsid w:val="0063588C"/>
    <w:rsid w:val="006532A6"/>
    <w:rsid w:val="00655396"/>
    <w:rsid w:val="006902CA"/>
    <w:rsid w:val="006A121F"/>
    <w:rsid w:val="006A7B3B"/>
    <w:rsid w:val="006B14C5"/>
    <w:rsid w:val="006B3DAE"/>
    <w:rsid w:val="006D0405"/>
    <w:rsid w:val="006F260F"/>
    <w:rsid w:val="006F739F"/>
    <w:rsid w:val="006F7AED"/>
    <w:rsid w:val="00701603"/>
    <w:rsid w:val="00707115"/>
    <w:rsid w:val="00713726"/>
    <w:rsid w:val="00714682"/>
    <w:rsid w:val="00735754"/>
    <w:rsid w:val="00746A5D"/>
    <w:rsid w:val="007501C4"/>
    <w:rsid w:val="00750798"/>
    <w:rsid w:val="00755325"/>
    <w:rsid w:val="00761539"/>
    <w:rsid w:val="007668C2"/>
    <w:rsid w:val="007800AF"/>
    <w:rsid w:val="007869D8"/>
    <w:rsid w:val="00792B53"/>
    <w:rsid w:val="007B7B1F"/>
    <w:rsid w:val="007D1417"/>
    <w:rsid w:val="007D1A80"/>
    <w:rsid w:val="007D1E15"/>
    <w:rsid w:val="007D7213"/>
    <w:rsid w:val="007D7606"/>
    <w:rsid w:val="007E0786"/>
    <w:rsid w:val="007F4DE6"/>
    <w:rsid w:val="007F72D1"/>
    <w:rsid w:val="0080161E"/>
    <w:rsid w:val="0080240E"/>
    <w:rsid w:val="00807A93"/>
    <w:rsid w:val="008126CF"/>
    <w:rsid w:val="00815DAF"/>
    <w:rsid w:val="00822B4E"/>
    <w:rsid w:val="00822E35"/>
    <w:rsid w:val="008249EB"/>
    <w:rsid w:val="008317AD"/>
    <w:rsid w:val="0085106B"/>
    <w:rsid w:val="00855076"/>
    <w:rsid w:val="008606C4"/>
    <w:rsid w:val="008652F3"/>
    <w:rsid w:val="0087477E"/>
    <w:rsid w:val="00876D21"/>
    <w:rsid w:val="00887BB4"/>
    <w:rsid w:val="0089491F"/>
    <w:rsid w:val="008A1975"/>
    <w:rsid w:val="008A6627"/>
    <w:rsid w:val="008A7919"/>
    <w:rsid w:val="008B512B"/>
    <w:rsid w:val="008B69C3"/>
    <w:rsid w:val="008D028F"/>
    <w:rsid w:val="008D4D24"/>
    <w:rsid w:val="008D78D9"/>
    <w:rsid w:val="008E1A63"/>
    <w:rsid w:val="008E53BE"/>
    <w:rsid w:val="008E5910"/>
    <w:rsid w:val="008E6F33"/>
    <w:rsid w:val="0090071E"/>
    <w:rsid w:val="00901E43"/>
    <w:rsid w:val="00904110"/>
    <w:rsid w:val="00904515"/>
    <w:rsid w:val="009060B6"/>
    <w:rsid w:val="00906867"/>
    <w:rsid w:val="009252CB"/>
    <w:rsid w:val="00927DF8"/>
    <w:rsid w:val="00944F63"/>
    <w:rsid w:val="0094536C"/>
    <w:rsid w:val="00956975"/>
    <w:rsid w:val="0095772D"/>
    <w:rsid w:val="00965A4D"/>
    <w:rsid w:val="0096756D"/>
    <w:rsid w:val="009679F7"/>
    <w:rsid w:val="009724F2"/>
    <w:rsid w:val="00974AF2"/>
    <w:rsid w:val="00974D48"/>
    <w:rsid w:val="00982882"/>
    <w:rsid w:val="00997921"/>
    <w:rsid w:val="009A2E92"/>
    <w:rsid w:val="009E522E"/>
    <w:rsid w:val="009E7189"/>
    <w:rsid w:val="009F4CF5"/>
    <w:rsid w:val="00A05661"/>
    <w:rsid w:val="00A05A11"/>
    <w:rsid w:val="00A11995"/>
    <w:rsid w:val="00A24D39"/>
    <w:rsid w:val="00A26D21"/>
    <w:rsid w:val="00A342FE"/>
    <w:rsid w:val="00A347CB"/>
    <w:rsid w:val="00A42A7F"/>
    <w:rsid w:val="00A47EAE"/>
    <w:rsid w:val="00A52BEA"/>
    <w:rsid w:val="00A63DD7"/>
    <w:rsid w:val="00AA02F6"/>
    <w:rsid w:val="00AB2A86"/>
    <w:rsid w:val="00AD5960"/>
    <w:rsid w:val="00AD628F"/>
    <w:rsid w:val="00AF4CC3"/>
    <w:rsid w:val="00AF7541"/>
    <w:rsid w:val="00B0371B"/>
    <w:rsid w:val="00B10B97"/>
    <w:rsid w:val="00B124D4"/>
    <w:rsid w:val="00B15445"/>
    <w:rsid w:val="00B22766"/>
    <w:rsid w:val="00B24D98"/>
    <w:rsid w:val="00B37064"/>
    <w:rsid w:val="00B43F99"/>
    <w:rsid w:val="00B60049"/>
    <w:rsid w:val="00B6454E"/>
    <w:rsid w:val="00B766E3"/>
    <w:rsid w:val="00B80EC2"/>
    <w:rsid w:val="00B82C6F"/>
    <w:rsid w:val="00B831F4"/>
    <w:rsid w:val="00B91471"/>
    <w:rsid w:val="00B95ED6"/>
    <w:rsid w:val="00BB1206"/>
    <w:rsid w:val="00BB2591"/>
    <w:rsid w:val="00BC0313"/>
    <w:rsid w:val="00BD1985"/>
    <w:rsid w:val="00BD6DD4"/>
    <w:rsid w:val="00C0291B"/>
    <w:rsid w:val="00C06911"/>
    <w:rsid w:val="00C10685"/>
    <w:rsid w:val="00C113DC"/>
    <w:rsid w:val="00C127A5"/>
    <w:rsid w:val="00C37C8F"/>
    <w:rsid w:val="00C42801"/>
    <w:rsid w:val="00C45169"/>
    <w:rsid w:val="00C4584C"/>
    <w:rsid w:val="00C55775"/>
    <w:rsid w:val="00C62F54"/>
    <w:rsid w:val="00C871CE"/>
    <w:rsid w:val="00CA446A"/>
    <w:rsid w:val="00CA5C90"/>
    <w:rsid w:val="00CC29C0"/>
    <w:rsid w:val="00CC4ACA"/>
    <w:rsid w:val="00CD7A12"/>
    <w:rsid w:val="00CE53DF"/>
    <w:rsid w:val="00CF0364"/>
    <w:rsid w:val="00CF2F25"/>
    <w:rsid w:val="00D04A83"/>
    <w:rsid w:val="00D1564A"/>
    <w:rsid w:val="00D15EA3"/>
    <w:rsid w:val="00D20875"/>
    <w:rsid w:val="00D244B8"/>
    <w:rsid w:val="00D42341"/>
    <w:rsid w:val="00D45C90"/>
    <w:rsid w:val="00D47546"/>
    <w:rsid w:val="00D5039E"/>
    <w:rsid w:val="00D633F1"/>
    <w:rsid w:val="00D67B25"/>
    <w:rsid w:val="00D738C2"/>
    <w:rsid w:val="00D757DA"/>
    <w:rsid w:val="00D8145F"/>
    <w:rsid w:val="00D8286E"/>
    <w:rsid w:val="00D942B2"/>
    <w:rsid w:val="00DA5785"/>
    <w:rsid w:val="00DA68CA"/>
    <w:rsid w:val="00DB6773"/>
    <w:rsid w:val="00DB7C79"/>
    <w:rsid w:val="00DC0E39"/>
    <w:rsid w:val="00DC2816"/>
    <w:rsid w:val="00DC6055"/>
    <w:rsid w:val="00DD239C"/>
    <w:rsid w:val="00DE2618"/>
    <w:rsid w:val="00DE2779"/>
    <w:rsid w:val="00DE724F"/>
    <w:rsid w:val="00E10C69"/>
    <w:rsid w:val="00E146CF"/>
    <w:rsid w:val="00E17850"/>
    <w:rsid w:val="00E22509"/>
    <w:rsid w:val="00E2705B"/>
    <w:rsid w:val="00E27AD6"/>
    <w:rsid w:val="00E44716"/>
    <w:rsid w:val="00E50105"/>
    <w:rsid w:val="00E547EA"/>
    <w:rsid w:val="00E56CAB"/>
    <w:rsid w:val="00E70ED1"/>
    <w:rsid w:val="00E93484"/>
    <w:rsid w:val="00E93DA9"/>
    <w:rsid w:val="00E97E5E"/>
    <w:rsid w:val="00EA0413"/>
    <w:rsid w:val="00EA6DCC"/>
    <w:rsid w:val="00EA7EC2"/>
    <w:rsid w:val="00EC73C0"/>
    <w:rsid w:val="00ED7E21"/>
    <w:rsid w:val="00EE3A1E"/>
    <w:rsid w:val="00EF0789"/>
    <w:rsid w:val="00F17E66"/>
    <w:rsid w:val="00F40D98"/>
    <w:rsid w:val="00F40E64"/>
    <w:rsid w:val="00F46976"/>
    <w:rsid w:val="00F56C33"/>
    <w:rsid w:val="00F63C8D"/>
    <w:rsid w:val="00F6745A"/>
    <w:rsid w:val="00F700B8"/>
    <w:rsid w:val="00F85D4C"/>
    <w:rsid w:val="00F91E53"/>
    <w:rsid w:val="00F93941"/>
    <w:rsid w:val="00FA2D88"/>
    <w:rsid w:val="00FB1D09"/>
    <w:rsid w:val="00FB2169"/>
    <w:rsid w:val="00FB23EF"/>
    <w:rsid w:val="00FC0B42"/>
    <w:rsid w:val="00FC15A5"/>
    <w:rsid w:val="00FC62B3"/>
    <w:rsid w:val="00FC70C2"/>
    <w:rsid w:val="00FD6DB8"/>
    <w:rsid w:val="00FE18BF"/>
    <w:rsid w:val="00FE472E"/>
    <w:rsid w:val="00FE65D6"/>
    <w:rsid w:val="00FE7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E17E26"/>
  <w14:defaultImageDpi w14:val="0"/>
  <w15:docId w15:val="{27AD5ED0-DE73-4A5F-857C-4157C0E4A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E66"/>
    <w:pPr>
      <w:spacing w:after="0" w:line="240" w:lineRule="auto"/>
    </w:pPr>
    <w:rPr>
      <w:rFonts w:ascii="Times New Roman" w:eastAsia="Times New Roman" w:hAnsi="Times New Roman"/>
      <w:sz w:val="24"/>
      <w:szCs w:val="24"/>
      <w:lang w:eastAsia="zh-CN"/>
    </w:rPr>
  </w:style>
  <w:style w:type="paragraph" w:styleId="Heading1">
    <w:name w:val="heading 1"/>
    <w:basedOn w:val="Normal"/>
    <w:next w:val="Normal"/>
    <w:link w:val="Heading1Char"/>
    <w:uiPriority w:val="9"/>
    <w:qFormat/>
    <w:rsid w:val="00FC70C2"/>
    <w:pPr>
      <w:keepNext/>
      <w:keepLines/>
      <w:spacing w:before="240" w:line="259" w:lineRule="auto"/>
      <w:outlineLvl w:val="0"/>
    </w:pPr>
    <w:rPr>
      <w:rFonts w:asciiTheme="majorHAnsi" w:eastAsiaTheme="majorEastAsia" w:hAnsiTheme="majorHAnsi" w:cstheme="majorBidi"/>
      <w:color w:val="2F5496" w:themeColor="accent1" w:themeShade="BF"/>
      <w:sz w:val="32"/>
      <w:szCs w:val="32"/>
      <w:u w:val="single"/>
      <w:lang w:eastAsia="en-US"/>
    </w:rPr>
  </w:style>
  <w:style w:type="paragraph" w:styleId="Heading2">
    <w:name w:val="heading 2"/>
    <w:basedOn w:val="Normal"/>
    <w:next w:val="Normal"/>
    <w:link w:val="Heading2Char"/>
    <w:uiPriority w:val="9"/>
    <w:semiHidden/>
    <w:unhideWhenUsed/>
    <w:qFormat/>
    <w:rsid w:val="00A24D39"/>
    <w:pPr>
      <w:keepNext/>
      <w:keepLines/>
      <w:spacing w:before="40"/>
      <w:ind w:firstLine="720"/>
      <w:outlineLvl w:val="1"/>
    </w:pPr>
    <w:rPr>
      <w:rFonts w:eastAsiaTheme="majorEastAsia" w:cstheme="majorBidi"/>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pPr>
      <w:widowControl w:val="0"/>
      <w:autoSpaceDE w:val="0"/>
      <w:autoSpaceDN w:val="0"/>
      <w:adjustRightInd w:val="0"/>
      <w:spacing w:after="0" w:line="288" w:lineRule="auto"/>
      <w:textAlignment w:val="center"/>
    </w:pPr>
    <w:rPr>
      <w:rFonts w:ascii="Times New Roman" w:hAnsi="Times New Roman"/>
      <w:color w:val="000000"/>
      <w:sz w:val="24"/>
      <w:szCs w:val="24"/>
    </w:rPr>
  </w:style>
  <w:style w:type="paragraph" w:styleId="BodyText">
    <w:name w:val="Body Text"/>
    <w:basedOn w:val="NoParagraphStyle"/>
    <w:link w:val="BodyTextChar"/>
    <w:uiPriority w:val="99"/>
    <w:pPr>
      <w:tabs>
        <w:tab w:val="left" w:pos="480"/>
        <w:tab w:val="left" w:pos="960"/>
        <w:tab w:val="left" w:pos="1440"/>
        <w:tab w:val="left" w:pos="1920"/>
        <w:tab w:val="left" w:pos="2400"/>
        <w:tab w:val="left" w:pos="2880"/>
      </w:tabs>
      <w:spacing w:line="260" w:lineRule="atLeast"/>
      <w:jc w:val="both"/>
    </w:pPr>
    <w:rPr>
      <w:rFonts w:ascii="Baskerville" w:hAnsi="Baskerville" w:cs="Baskerville"/>
    </w:rPr>
  </w:style>
  <w:style w:type="character" w:customStyle="1" w:styleId="BodyTextChar">
    <w:name w:val="Body Text Char"/>
    <w:basedOn w:val="DefaultParagraphFont"/>
    <w:link w:val="BodyText"/>
    <w:uiPriority w:val="99"/>
    <w:locked/>
    <w:rPr>
      <w:rFonts w:cs="Times New Roman"/>
    </w:rPr>
  </w:style>
  <w:style w:type="paragraph" w:customStyle="1" w:styleId="Question">
    <w:name w:val="Question"/>
    <w:basedOn w:val="BodyText"/>
    <w:uiPriority w:val="99"/>
    <w:pPr>
      <w:ind w:left="480" w:hanging="480"/>
    </w:pPr>
    <w:rPr>
      <w:b/>
      <w:bCs/>
    </w:rPr>
  </w:style>
  <w:style w:type="paragraph" w:customStyle="1" w:styleId="ContentQuestion">
    <w:name w:val="Content Question"/>
    <w:basedOn w:val="Question"/>
    <w:uiPriority w:val="99"/>
    <w:pPr>
      <w:tabs>
        <w:tab w:val="clear" w:pos="1440"/>
        <w:tab w:val="clear" w:pos="1920"/>
        <w:tab w:val="clear" w:pos="2400"/>
        <w:tab w:val="clear" w:pos="2880"/>
        <w:tab w:val="right" w:leader="dot" w:pos="5760"/>
        <w:tab w:val="right" w:pos="6480"/>
      </w:tabs>
    </w:pPr>
  </w:style>
  <w:style w:type="paragraph" w:customStyle="1" w:styleId="ContentQuestionlastline">
    <w:name w:val="Content Question last line"/>
    <w:basedOn w:val="ContentQuestion"/>
    <w:uiPriority w:val="99"/>
    <w:pPr>
      <w:ind w:left="960"/>
    </w:pPr>
  </w:style>
  <w:style w:type="paragraph" w:customStyle="1" w:styleId="SubQuestion">
    <w:name w:val="SubQuestion"/>
    <w:basedOn w:val="Question"/>
    <w:uiPriority w:val="99"/>
    <w:pPr>
      <w:tabs>
        <w:tab w:val="clear" w:pos="480"/>
      </w:tabs>
      <w:spacing w:line="240" w:lineRule="atLeast"/>
      <w:ind w:left="960"/>
    </w:pPr>
    <w:rPr>
      <w:sz w:val="22"/>
      <w:szCs w:val="22"/>
    </w:rPr>
  </w:style>
  <w:style w:type="paragraph" w:customStyle="1" w:styleId="ContentSubquestion">
    <w:name w:val="Content Subquestion"/>
    <w:basedOn w:val="SubQuestion"/>
    <w:uiPriority w:val="99"/>
    <w:pPr>
      <w:tabs>
        <w:tab w:val="clear" w:pos="1440"/>
        <w:tab w:val="clear" w:pos="1920"/>
        <w:tab w:val="clear" w:pos="2400"/>
        <w:tab w:val="clear" w:pos="2880"/>
        <w:tab w:val="right" w:leader="dot" w:pos="5040"/>
        <w:tab w:val="right" w:pos="5760"/>
        <w:tab w:val="right" w:pos="6480"/>
      </w:tabs>
      <w:spacing w:line="260" w:lineRule="atLeast"/>
      <w:ind w:right="840"/>
      <w:jc w:val="left"/>
    </w:pPr>
    <w:rPr>
      <w:sz w:val="24"/>
      <w:szCs w:val="24"/>
    </w:rPr>
  </w:style>
  <w:style w:type="paragraph" w:customStyle="1" w:styleId="ContentSubquestionlastline">
    <w:name w:val="Content Subquestion last line"/>
    <w:basedOn w:val="ContentSubquestion"/>
    <w:uiPriority w:val="99"/>
    <w:pPr>
      <w:tabs>
        <w:tab w:val="clear" w:pos="5040"/>
        <w:tab w:val="left" w:pos="1440"/>
        <w:tab w:val="right" w:leader="dot" w:pos="5760"/>
      </w:tabs>
      <w:ind w:left="1440" w:right="0"/>
    </w:pPr>
  </w:style>
  <w:style w:type="paragraph" w:customStyle="1" w:styleId="Heading">
    <w:name w:val="Heading"/>
    <w:basedOn w:val="BodyText"/>
    <w:uiPriority w:val="99"/>
    <w:rPr>
      <w:b/>
      <w:bCs/>
    </w:rPr>
  </w:style>
  <w:style w:type="paragraph" w:customStyle="1" w:styleId="HeadingCenter11">
    <w:name w:val="Heading Center 11"/>
    <w:basedOn w:val="Heading"/>
    <w:uiPriority w:val="99"/>
    <w:pPr>
      <w:spacing w:after="120" w:line="240" w:lineRule="atLeast"/>
      <w:jc w:val="center"/>
    </w:pPr>
    <w:rPr>
      <w:sz w:val="22"/>
      <w:szCs w:val="22"/>
      <w:u w:val="thick"/>
    </w:rPr>
  </w:style>
  <w:style w:type="paragraph" w:customStyle="1" w:styleId="BQ">
    <w:name w:val="BQ"/>
    <w:basedOn w:val="SubQuestion"/>
    <w:uiPriority w:val="99"/>
    <w:rsid w:val="00F40E64"/>
    <w:pPr>
      <w:ind w:left="480" w:firstLine="0"/>
    </w:pPr>
    <w:rPr>
      <w:b w:val="0"/>
    </w:rPr>
  </w:style>
  <w:style w:type="paragraph" w:customStyle="1" w:styleId="BQ2">
    <w:name w:val="BQ2"/>
    <w:basedOn w:val="BQ"/>
    <w:uiPriority w:val="99"/>
    <w:pPr>
      <w:tabs>
        <w:tab w:val="clear" w:pos="960"/>
      </w:tabs>
      <w:ind w:left="960"/>
    </w:pPr>
  </w:style>
  <w:style w:type="paragraph" w:styleId="BodyTextIndent">
    <w:name w:val="Body Text Indent"/>
    <w:basedOn w:val="BodyText"/>
    <w:link w:val="BodyTextIndentChar"/>
    <w:uiPriority w:val="99"/>
    <w:pPr>
      <w:tabs>
        <w:tab w:val="clear" w:pos="480"/>
      </w:tabs>
      <w:ind w:left="480"/>
    </w:pPr>
  </w:style>
  <w:style w:type="character" w:customStyle="1" w:styleId="BodyTextIndentChar">
    <w:name w:val="Body Text Indent Char"/>
    <w:basedOn w:val="DefaultParagraphFont"/>
    <w:link w:val="BodyTextIndent"/>
    <w:uiPriority w:val="99"/>
    <w:semiHidden/>
    <w:locked/>
    <w:rPr>
      <w:rFonts w:cs="Times New Roman"/>
    </w:rPr>
  </w:style>
  <w:style w:type="paragraph" w:customStyle="1" w:styleId="Indpara">
    <w:name w:val="Indpara"/>
    <w:basedOn w:val="NoParagraphStyle"/>
    <w:uiPriority w:val="99"/>
    <w:pPr>
      <w:tabs>
        <w:tab w:val="left" w:pos="960"/>
        <w:tab w:val="left" w:pos="1440"/>
      </w:tabs>
      <w:spacing w:line="260" w:lineRule="atLeast"/>
      <w:ind w:left="480"/>
      <w:jc w:val="both"/>
    </w:pPr>
    <w:rPr>
      <w:rFonts w:ascii="Baskerville" w:hAnsi="Baskerville" w:cs="Baskerville"/>
    </w:rPr>
  </w:style>
  <w:style w:type="paragraph" w:customStyle="1" w:styleId="AdditionalTopics">
    <w:name w:val="Additional Topics"/>
    <w:basedOn w:val="HeadingCenter11"/>
    <w:uiPriority w:val="99"/>
  </w:style>
  <w:style w:type="paragraph" w:customStyle="1" w:styleId="AdditionalTopicsSectionHeadings">
    <w:name w:val="Additional Topics Section Headings"/>
    <w:basedOn w:val="NoParagraphStyle"/>
    <w:uiPriority w:val="99"/>
    <w:pPr>
      <w:tabs>
        <w:tab w:val="left" w:pos="480"/>
        <w:tab w:val="left" w:pos="960"/>
        <w:tab w:val="left" w:pos="1440"/>
        <w:tab w:val="left" w:pos="1920"/>
        <w:tab w:val="left" w:pos="2400"/>
        <w:tab w:val="left" w:pos="2880"/>
      </w:tabs>
      <w:spacing w:line="260" w:lineRule="atLeast"/>
      <w:jc w:val="both"/>
    </w:pPr>
    <w:rPr>
      <w:rFonts w:ascii="Baskerville" w:hAnsi="Baskerville" w:cs="Baskerville"/>
      <w:b/>
      <w:bCs/>
    </w:rPr>
  </w:style>
  <w:style w:type="paragraph" w:customStyle="1" w:styleId="ChapterTitle">
    <w:name w:val="Chapter Title"/>
    <w:basedOn w:val="NoParagraphStyle"/>
    <w:uiPriority w:val="99"/>
    <w:qFormat/>
    <w:pPr>
      <w:tabs>
        <w:tab w:val="left" w:pos="480"/>
        <w:tab w:val="left" w:pos="960"/>
        <w:tab w:val="left" w:pos="1440"/>
        <w:tab w:val="left" w:pos="1920"/>
      </w:tabs>
      <w:jc w:val="center"/>
    </w:pPr>
    <w:rPr>
      <w:rFonts w:ascii="Baskerville" w:hAnsi="Baskerville" w:cs="Baskerville"/>
      <w:sz w:val="40"/>
      <w:szCs w:val="40"/>
    </w:rPr>
  </w:style>
  <w:style w:type="paragraph" w:customStyle="1" w:styleId="text">
    <w:name w:val="text"/>
    <w:basedOn w:val="Normal"/>
    <w:next w:val="Normal"/>
    <w:autoRedefine/>
    <w:uiPriority w:val="99"/>
    <w:qFormat/>
    <w:rsid w:val="00A24D39"/>
    <w:pPr>
      <w:tabs>
        <w:tab w:val="left" w:pos="0"/>
        <w:tab w:val="left" w:pos="720"/>
        <w:tab w:val="left" w:pos="1440"/>
        <w:tab w:val="left" w:pos="2160"/>
        <w:tab w:val="left" w:pos="2880"/>
        <w:tab w:val="left" w:pos="3600"/>
        <w:tab w:val="left" w:pos="4320"/>
        <w:tab w:val="left" w:pos="5040"/>
        <w:tab w:val="left" w:pos="5760"/>
      </w:tabs>
      <w:ind w:firstLine="720"/>
    </w:pPr>
    <w:rPr>
      <w:rFonts w:eastAsia="Calibri"/>
      <w:lang w:eastAsia="pt-PT"/>
    </w:rPr>
  </w:style>
  <w:style w:type="paragraph" w:customStyle="1" w:styleId="block-f">
    <w:name w:val="block-f +/+"/>
    <w:basedOn w:val="Normal"/>
    <w:autoRedefine/>
    <w:uiPriority w:val="99"/>
    <w:qFormat/>
    <w:rsid w:val="00020BD9"/>
    <w:pPr>
      <w:spacing w:before="240" w:after="240"/>
      <w:ind w:left="720"/>
    </w:pPr>
    <w:rPr>
      <w:rFonts w:eastAsiaTheme="minorEastAsia" w:cstheme="minorBidi"/>
      <w:sz w:val="20"/>
      <w:lang w:eastAsia="en-US"/>
    </w:rPr>
  </w:style>
  <w:style w:type="paragraph" w:customStyle="1" w:styleId="block-f-">
    <w:name w:val="block-f +/-"/>
    <w:basedOn w:val="Normal"/>
    <w:autoRedefine/>
    <w:uiPriority w:val="99"/>
    <w:rsid w:val="00020BD9"/>
    <w:pPr>
      <w:widowControl w:val="0"/>
      <w:autoSpaceDE w:val="0"/>
      <w:autoSpaceDN w:val="0"/>
      <w:adjustRightInd w:val="0"/>
      <w:spacing w:before="240"/>
      <w:ind w:left="720"/>
      <w:textAlignment w:val="center"/>
    </w:pPr>
    <w:rPr>
      <w:rFonts w:eastAsiaTheme="minorEastAsia" w:cs="ITC New Baskerville Std"/>
      <w:color w:val="000000"/>
      <w:sz w:val="20"/>
      <w:szCs w:val="20"/>
      <w:lang w:eastAsia="en-US"/>
    </w:rPr>
  </w:style>
  <w:style w:type="paragraph" w:customStyle="1" w:styleId="block-f--">
    <w:name w:val="block-f -/-"/>
    <w:basedOn w:val="Normal"/>
    <w:autoRedefine/>
    <w:uiPriority w:val="99"/>
    <w:qFormat/>
    <w:rsid w:val="00020BD9"/>
    <w:pPr>
      <w:spacing w:after="240"/>
      <w:ind w:left="720"/>
    </w:pPr>
    <w:rPr>
      <w:rFonts w:eastAsiaTheme="minorEastAsia" w:cstheme="minorBidi"/>
      <w:sz w:val="20"/>
      <w:szCs w:val="22"/>
      <w:lang w:eastAsia="en-US"/>
    </w:rPr>
  </w:style>
  <w:style w:type="paragraph" w:customStyle="1" w:styleId="block-p-">
    <w:name w:val="block-p -/+"/>
    <w:basedOn w:val="Normal"/>
    <w:autoRedefine/>
    <w:uiPriority w:val="99"/>
    <w:qFormat/>
    <w:rsid w:val="00020BD9"/>
    <w:pPr>
      <w:spacing w:after="240"/>
      <w:ind w:left="720" w:firstLine="720"/>
    </w:pPr>
    <w:rPr>
      <w:rFonts w:eastAsiaTheme="minorEastAsia" w:cstheme="minorBidi"/>
      <w:sz w:val="20"/>
      <w:szCs w:val="22"/>
      <w:lang w:eastAsia="en-US"/>
    </w:rPr>
  </w:style>
  <w:style w:type="paragraph" w:customStyle="1" w:styleId="block-p--">
    <w:name w:val="block-p -/-"/>
    <w:basedOn w:val="block-p-"/>
    <w:autoRedefine/>
    <w:uiPriority w:val="99"/>
    <w:qFormat/>
    <w:rsid w:val="00020BD9"/>
    <w:pPr>
      <w:spacing w:after="0"/>
    </w:pPr>
  </w:style>
  <w:style w:type="paragraph" w:customStyle="1" w:styleId="block-p-0">
    <w:name w:val="block-p +/-"/>
    <w:basedOn w:val="Normal"/>
    <w:autoRedefine/>
    <w:uiPriority w:val="99"/>
    <w:qFormat/>
    <w:rsid w:val="00020BD9"/>
    <w:pPr>
      <w:spacing w:before="240"/>
      <w:ind w:left="720" w:firstLine="720"/>
    </w:pPr>
    <w:rPr>
      <w:rFonts w:eastAsiaTheme="minorEastAsia" w:cstheme="minorBidi"/>
      <w:sz w:val="20"/>
      <w:szCs w:val="22"/>
      <w:lang w:eastAsia="en-US"/>
    </w:rPr>
  </w:style>
  <w:style w:type="paragraph" w:customStyle="1" w:styleId="block-p">
    <w:name w:val="block-p +/+"/>
    <w:basedOn w:val="Normal"/>
    <w:autoRedefine/>
    <w:uiPriority w:val="99"/>
    <w:qFormat/>
    <w:rsid w:val="00020BD9"/>
    <w:pPr>
      <w:spacing w:before="240" w:after="240"/>
      <w:ind w:left="720" w:firstLine="720"/>
    </w:pPr>
    <w:rPr>
      <w:rFonts w:eastAsiaTheme="minorEastAsia"/>
      <w:sz w:val="20"/>
      <w:szCs w:val="22"/>
      <w:lang w:eastAsia="en-US"/>
    </w:rPr>
  </w:style>
  <w:style w:type="paragraph" w:customStyle="1" w:styleId="textflush">
    <w:name w:val="text flush"/>
    <w:basedOn w:val="Normal"/>
    <w:autoRedefine/>
    <w:uiPriority w:val="99"/>
    <w:qFormat/>
    <w:rsid w:val="00020BD9"/>
    <w:rPr>
      <w:rFonts w:eastAsia="Calibri" w:cs="ITC New Baskerville Std"/>
      <w:color w:val="000000"/>
      <w:lang w:eastAsia="en-US"/>
    </w:rPr>
  </w:style>
  <w:style w:type="paragraph" w:customStyle="1" w:styleId="block-f2ndindent">
    <w:name w:val="block-f 2nd indent"/>
    <w:basedOn w:val="text"/>
    <w:autoRedefine/>
    <w:uiPriority w:val="99"/>
    <w:rsid w:val="00A24D39"/>
    <w:pPr>
      <w:widowControl w:val="0"/>
      <w:tabs>
        <w:tab w:val="clear" w:pos="0"/>
        <w:tab w:val="clear" w:pos="720"/>
        <w:tab w:val="clear" w:pos="2160"/>
        <w:tab w:val="clear" w:pos="3600"/>
        <w:tab w:val="clear" w:pos="4320"/>
        <w:tab w:val="clear" w:pos="5040"/>
        <w:tab w:val="clear" w:pos="5760"/>
        <w:tab w:val="left" w:pos="480"/>
        <w:tab w:val="left" w:pos="960"/>
        <w:tab w:val="left" w:pos="1920"/>
        <w:tab w:val="left" w:pos="2400"/>
      </w:tabs>
      <w:autoSpaceDE w:val="0"/>
      <w:autoSpaceDN w:val="0"/>
      <w:adjustRightInd w:val="0"/>
      <w:ind w:left="1440" w:firstLine="0"/>
      <w:textAlignment w:val="center"/>
    </w:pPr>
    <w:rPr>
      <w:rFonts w:eastAsiaTheme="minorEastAsia" w:cs="ITC New Baskerville Std"/>
      <w:color w:val="000000"/>
      <w:sz w:val="20"/>
      <w:szCs w:val="22"/>
      <w:lang w:eastAsia="en-US"/>
    </w:rPr>
  </w:style>
  <w:style w:type="paragraph" w:customStyle="1" w:styleId="HeadingCenter11Underscore">
    <w:name w:val="Heading Center 11 Underscore"/>
    <w:basedOn w:val="Normal"/>
    <w:autoRedefine/>
    <w:uiPriority w:val="99"/>
    <w:rsid w:val="00020BD9"/>
    <w:pPr>
      <w:keepNext/>
      <w:widowControl w:val="0"/>
      <w:tabs>
        <w:tab w:val="left" w:pos="480"/>
        <w:tab w:val="left" w:pos="960"/>
        <w:tab w:val="left" w:pos="1440"/>
        <w:tab w:val="left" w:pos="1920"/>
        <w:tab w:val="left" w:pos="2400"/>
        <w:tab w:val="left" w:pos="2880"/>
      </w:tabs>
      <w:autoSpaceDE w:val="0"/>
      <w:autoSpaceDN w:val="0"/>
      <w:adjustRightInd w:val="0"/>
      <w:spacing w:before="240" w:after="120" w:line="240" w:lineRule="atLeast"/>
      <w:jc w:val="center"/>
      <w:textAlignment w:val="center"/>
    </w:pPr>
    <w:rPr>
      <w:rFonts w:ascii="ITC New Baskerville Std" w:eastAsiaTheme="minorEastAsia" w:hAnsi="ITC New Baskerville Std" w:cs="ITC New Baskerville Std"/>
      <w:bCs/>
      <w:color w:val="000000"/>
      <w:sz w:val="22"/>
      <w:szCs w:val="22"/>
      <w:u w:val="thick"/>
      <w:lang w:eastAsia="en-US"/>
    </w:rPr>
  </w:style>
  <w:style w:type="paragraph" w:customStyle="1" w:styleId="bulletedparagraph-">
    <w:name w:val="bulleted paragraph +/-"/>
    <w:basedOn w:val="text"/>
    <w:autoRedefine/>
    <w:uiPriority w:val="99"/>
    <w:rsid w:val="00020BD9"/>
    <w:pPr>
      <w:widowControl w:val="0"/>
      <w:tabs>
        <w:tab w:val="clear" w:pos="0"/>
        <w:tab w:val="clear" w:pos="720"/>
        <w:tab w:val="clear" w:pos="2160"/>
        <w:tab w:val="clear" w:pos="3600"/>
        <w:tab w:val="clear" w:pos="4320"/>
        <w:tab w:val="clear" w:pos="5040"/>
        <w:tab w:val="clear" w:pos="5760"/>
        <w:tab w:val="left" w:pos="480"/>
        <w:tab w:val="left" w:pos="960"/>
        <w:tab w:val="left" w:pos="1920"/>
        <w:tab w:val="left" w:pos="2400"/>
      </w:tabs>
      <w:autoSpaceDE w:val="0"/>
      <w:autoSpaceDN w:val="0"/>
      <w:adjustRightInd w:val="0"/>
      <w:spacing w:before="240"/>
      <w:ind w:firstLine="480"/>
      <w:textAlignment w:val="center"/>
    </w:pPr>
    <w:rPr>
      <w:rFonts w:eastAsiaTheme="minorEastAsia" w:cs="ITC New Baskerville Std"/>
      <w:color w:val="000000"/>
      <w:lang w:eastAsia="en-US"/>
    </w:rPr>
  </w:style>
  <w:style w:type="paragraph" w:customStyle="1" w:styleId="toc5a">
    <w:name w:val="toc 5(a)"/>
    <w:basedOn w:val="Normal"/>
    <w:autoRedefine/>
    <w:uiPriority w:val="99"/>
    <w:rsid w:val="00020BD9"/>
    <w:pPr>
      <w:tabs>
        <w:tab w:val="left" w:pos="2100"/>
        <w:tab w:val="left" w:leader="dot" w:pos="6240"/>
        <w:tab w:val="left" w:pos="6960"/>
      </w:tabs>
      <w:suppressAutoHyphens/>
      <w:autoSpaceDE w:val="0"/>
      <w:autoSpaceDN w:val="0"/>
      <w:adjustRightInd w:val="0"/>
      <w:spacing w:line="240" w:lineRule="atLeast"/>
      <w:ind w:left="2580" w:hanging="480"/>
      <w:textAlignment w:val="center"/>
    </w:pPr>
    <w:rPr>
      <w:rFonts w:eastAsiaTheme="minorEastAsia" w:cs="ITC New Baskerville Std"/>
      <w:color w:val="000000"/>
      <w:sz w:val="22"/>
      <w:szCs w:val="22"/>
      <w:lang w:eastAsia="en-US"/>
    </w:rPr>
  </w:style>
  <w:style w:type="paragraph" w:customStyle="1" w:styleId="block-f-0">
    <w:name w:val="block-f -/+"/>
    <w:basedOn w:val="Normal"/>
    <w:autoRedefine/>
    <w:uiPriority w:val="99"/>
    <w:qFormat/>
    <w:rsid w:val="00020BD9"/>
    <w:pPr>
      <w:spacing w:after="240"/>
      <w:ind w:left="720"/>
    </w:pPr>
    <w:rPr>
      <w:rFonts w:eastAsiaTheme="minorEastAsia" w:cstheme="minorBidi"/>
      <w:sz w:val="20"/>
      <w:szCs w:val="22"/>
      <w:lang w:eastAsia="en-US"/>
    </w:rPr>
  </w:style>
  <w:style w:type="paragraph" w:customStyle="1" w:styleId="Asterisk">
    <w:name w:val="Asterisk"/>
    <w:basedOn w:val="HeadingCenter11Underscore"/>
    <w:uiPriority w:val="99"/>
    <w:rsid w:val="00020BD9"/>
    <w:pPr>
      <w:spacing w:before="0" w:after="0"/>
    </w:pPr>
    <w:rPr>
      <w:b/>
      <w:u w:val="none"/>
    </w:rPr>
  </w:style>
  <w:style w:type="paragraph" w:customStyle="1" w:styleId="1stlevelheadIr">
    <w:name w:val="1st level head_I._r"/>
    <w:basedOn w:val="Normal"/>
    <w:autoRedefine/>
    <w:uiPriority w:val="99"/>
    <w:rsid w:val="00020BD9"/>
    <w:pPr>
      <w:widowControl w:val="0"/>
      <w:autoSpaceDE w:val="0"/>
      <w:autoSpaceDN w:val="0"/>
      <w:adjustRightInd w:val="0"/>
      <w:spacing w:before="480" w:after="360"/>
      <w:jc w:val="center"/>
      <w:textAlignment w:val="center"/>
    </w:pPr>
    <w:rPr>
      <w:rFonts w:eastAsiaTheme="minorEastAsia" w:cs="ITC New Baskerville Std"/>
      <w:smallCaps/>
      <w:color w:val="000000"/>
      <w:sz w:val="25"/>
      <w:szCs w:val="25"/>
      <w:lang w:eastAsia="en-US"/>
    </w:rPr>
  </w:style>
  <w:style w:type="paragraph" w:customStyle="1" w:styleId="HeadingCenter11underscore-">
    <w:name w:val="Heading Center 11 underscore -/+"/>
    <w:basedOn w:val="HeadingCenter11Underscore"/>
    <w:autoRedefine/>
    <w:uiPriority w:val="99"/>
    <w:rsid w:val="00020BD9"/>
    <w:pPr>
      <w:keepNext w:val="0"/>
      <w:spacing w:before="0"/>
      <w:ind w:firstLine="480"/>
    </w:pPr>
    <w:rPr>
      <w:rFonts w:ascii="Times New Roman" w:hAnsi="Times New Roman"/>
    </w:rPr>
  </w:style>
  <w:style w:type="paragraph" w:customStyle="1" w:styleId="text-">
    <w:name w:val="text -/+"/>
    <w:basedOn w:val="text"/>
    <w:autoRedefine/>
    <w:uiPriority w:val="99"/>
    <w:rsid w:val="00A05A11"/>
    <w:pPr>
      <w:widowControl w:val="0"/>
      <w:autoSpaceDE w:val="0"/>
      <w:autoSpaceDN w:val="0"/>
      <w:adjustRightInd w:val="0"/>
      <w:spacing w:after="120"/>
      <w:jc w:val="both"/>
      <w:textAlignment w:val="center"/>
    </w:pPr>
    <w:rPr>
      <w:rFonts w:eastAsiaTheme="minorEastAsia" w:cs="ITC New Baskerville Std"/>
      <w:color w:val="000000"/>
      <w:szCs w:val="22"/>
    </w:rPr>
  </w:style>
  <w:style w:type="paragraph" w:styleId="BalloonText">
    <w:name w:val="Balloon Text"/>
    <w:basedOn w:val="Normal"/>
    <w:link w:val="BalloonTextChar"/>
    <w:uiPriority w:val="99"/>
    <w:semiHidden/>
    <w:unhideWhenUsed/>
    <w:rsid w:val="00792B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2B53"/>
    <w:rPr>
      <w:rFonts w:ascii="Segoe UI" w:hAnsi="Segoe UI" w:cs="Segoe UI"/>
      <w:sz w:val="18"/>
      <w:szCs w:val="18"/>
    </w:rPr>
  </w:style>
  <w:style w:type="character" w:customStyle="1" w:styleId="Heading1Char">
    <w:name w:val="Heading 1 Char"/>
    <w:basedOn w:val="DefaultParagraphFont"/>
    <w:link w:val="Heading1"/>
    <w:uiPriority w:val="9"/>
    <w:rsid w:val="00FC70C2"/>
    <w:rPr>
      <w:rFonts w:asciiTheme="majorHAnsi" w:eastAsiaTheme="majorEastAsia" w:hAnsiTheme="majorHAnsi" w:cstheme="majorBidi"/>
      <w:color w:val="2F5496" w:themeColor="accent1" w:themeShade="BF"/>
      <w:sz w:val="32"/>
      <w:szCs w:val="32"/>
      <w:u w:val="single"/>
    </w:rPr>
  </w:style>
  <w:style w:type="character" w:styleId="Hyperlink">
    <w:name w:val="Hyperlink"/>
    <w:basedOn w:val="DefaultParagraphFont"/>
    <w:uiPriority w:val="99"/>
    <w:unhideWhenUsed/>
    <w:rsid w:val="00FC70C2"/>
    <w:rPr>
      <w:color w:val="0563C1" w:themeColor="hyperlink"/>
      <w:u w:val="single"/>
    </w:rPr>
  </w:style>
  <w:style w:type="character" w:styleId="UnresolvedMention">
    <w:name w:val="Unresolved Mention"/>
    <w:basedOn w:val="DefaultParagraphFont"/>
    <w:uiPriority w:val="99"/>
    <w:semiHidden/>
    <w:unhideWhenUsed/>
    <w:rsid w:val="00257D96"/>
    <w:rPr>
      <w:color w:val="605E5C"/>
      <w:shd w:val="clear" w:color="auto" w:fill="E1DFDD"/>
    </w:rPr>
  </w:style>
  <w:style w:type="character" w:styleId="FollowedHyperlink">
    <w:name w:val="FollowedHyperlink"/>
    <w:basedOn w:val="DefaultParagraphFont"/>
    <w:uiPriority w:val="99"/>
    <w:semiHidden/>
    <w:unhideWhenUsed/>
    <w:rsid w:val="008E53BE"/>
    <w:rPr>
      <w:color w:val="954F72" w:themeColor="followedHyperlink"/>
      <w:u w:val="single"/>
    </w:rPr>
  </w:style>
  <w:style w:type="character" w:customStyle="1" w:styleId="enum">
    <w:name w:val="enum"/>
    <w:basedOn w:val="DefaultParagraphFont"/>
    <w:rsid w:val="00E547EA"/>
  </w:style>
  <w:style w:type="character" w:customStyle="1" w:styleId="removedlink">
    <w:name w:val="removedlink"/>
    <w:basedOn w:val="DefaultParagraphFont"/>
    <w:rsid w:val="00E547EA"/>
  </w:style>
  <w:style w:type="character" w:customStyle="1" w:styleId="pageno">
    <w:name w:val="page_no"/>
    <w:basedOn w:val="DefaultParagraphFont"/>
    <w:rsid w:val="00485851"/>
  </w:style>
  <w:style w:type="paragraph" w:styleId="NormalWeb">
    <w:name w:val="Normal (Web)"/>
    <w:basedOn w:val="Normal"/>
    <w:uiPriority w:val="99"/>
    <w:unhideWhenUsed/>
    <w:rsid w:val="005670EC"/>
    <w:pPr>
      <w:spacing w:before="100" w:beforeAutospacing="1" w:after="100" w:afterAutospacing="1"/>
    </w:pPr>
  </w:style>
  <w:style w:type="character" w:customStyle="1" w:styleId="hlfld-contribauthor">
    <w:name w:val="hlfld-contribauthor"/>
    <w:basedOn w:val="DefaultParagraphFont"/>
    <w:rsid w:val="005670EC"/>
  </w:style>
  <w:style w:type="character" w:customStyle="1" w:styleId="seriestitle">
    <w:name w:val="seriestitle"/>
    <w:basedOn w:val="DefaultParagraphFont"/>
    <w:rsid w:val="005670EC"/>
  </w:style>
  <w:style w:type="character" w:customStyle="1" w:styleId="pub-date">
    <w:name w:val="pub-date"/>
    <w:basedOn w:val="DefaultParagraphFont"/>
    <w:rsid w:val="005670EC"/>
  </w:style>
  <w:style w:type="paragraph" w:customStyle="1" w:styleId="level1">
    <w:name w:val="level1"/>
    <w:basedOn w:val="Normal"/>
    <w:rsid w:val="003F5A4A"/>
    <w:pPr>
      <w:spacing w:before="100" w:beforeAutospacing="1" w:after="100" w:afterAutospacing="1"/>
    </w:pPr>
  </w:style>
  <w:style w:type="character" w:customStyle="1" w:styleId="legalprinciplestatement">
    <w:name w:val="legalprinciplestatement"/>
    <w:basedOn w:val="DefaultParagraphFont"/>
    <w:rsid w:val="003F5A4A"/>
  </w:style>
  <w:style w:type="character" w:styleId="Emphasis">
    <w:name w:val="Emphasis"/>
    <w:basedOn w:val="DefaultParagraphFont"/>
    <w:uiPriority w:val="20"/>
    <w:qFormat/>
    <w:rsid w:val="003F5A4A"/>
    <w:rPr>
      <w:i/>
      <w:iCs/>
    </w:rPr>
  </w:style>
  <w:style w:type="character" w:customStyle="1" w:styleId="fn">
    <w:name w:val="fn"/>
    <w:basedOn w:val="DefaultParagraphFont"/>
    <w:rsid w:val="004918E1"/>
  </w:style>
  <w:style w:type="character" w:styleId="Strong">
    <w:name w:val="Strong"/>
    <w:basedOn w:val="DefaultParagraphFont"/>
    <w:uiPriority w:val="22"/>
    <w:qFormat/>
    <w:rsid w:val="00345082"/>
    <w:rPr>
      <w:b/>
      <w:bCs/>
    </w:rPr>
  </w:style>
  <w:style w:type="character" w:customStyle="1" w:styleId="apple-converted-space">
    <w:name w:val="apple-converted-space"/>
    <w:basedOn w:val="DefaultParagraphFont"/>
    <w:rsid w:val="00345082"/>
  </w:style>
  <w:style w:type="character" w:styleId="HTMLCite">
    <w:name w:val="HTML Cite"/>
    <w:basedOn w:val="DefaultParagraphFont"/>
    <w:uiPriority w:val="99"/>
    <w:semiHidden/>
    <w:unhideWhenUsed/>
    <w:rsid w:val="00581B30"/>
    <w:rPr>
      <w:i/>
      <w:iCs/>
    </w:rPr>
  </w:style>
  <w:style w:type="character" w:customStyle="1" w:styleId="Heading2Char">
    <w:name w:val="Heading 2 Char"/>
    <w:basedOn w:val="DefaultParagraphFont"/>
    <w:link w:val="Heading2"/>
    <w:uiPriority w:val="9"/>
    <w:semiHidden/>
    <w:rsid w:val="00A24D39"/>
    <w:rPr>
      <w:rFonts w:ascii="Times New Roman" w:eastAsiaTheme="majorEastAsia" w:hAnsi="Times New Roman" w:cstheme="majorBidi"/>
      <w:sz w:val="26"/>
      <w:szCs w:val="26"/>
    </w:rPr>
  </w:style>
  <w:style w:type="paragraph" w:customStyle="1" w:styleId="1stlevelheadIrb">
    <w:name w:val="1st level head I._rb"/>
    <w:basedOn w:val="Normal"/>
    <w:autoRedefine/>
    <w:uiPriority w:val="99"/>
    <w:rsid w:val="00A24D39"/>
    <w:pPr>
      <w:keepNext/>
      <w:widowControl w:val="0"/>
      <w:suppressAutoHyphens/>
      <w:autoSpaceDE w:val="0"/>
      <w:autoSpaceDN w:val="0"/>
      <w:adjustRightInd w:val="0"/>
      <w:spacing w:before="360" w:after="240"/>
      <w:textAlignment w:val="center"/>
    </w:pPr>
    <w:rPr>
      <w:rFonts w:eastAsiaTheme="minorEastAsia" w:cs="Times LT Std"/>
      <w:b/>
      <w:bCs/>
      <w:color w:val="000000"/>
      <w:lang w:eastAsia="en-US"/>
    </w:rPr>
  </w:style>
  <w:style w:type="paragraph" w:customStyle="1" w:styleId="1stlevehead10ES">
    <w:name w:val="1st leve head 10. ES"/>
    <w:basedOn w:val="1stlevelheadIrb"/>
    <w:autoRedefine/>
    <w:qFormat/>
    <w:rsid w:val="00A24D39"/>
    <w:pPr>
      <w:tabs>
        <w:tab w:val="left" w:pos="960"/>
      </w:tabs>
      <w:ind w:left="960" w:hanging="960"/>
    </w:pPr>
    <w:rPr>
      <w:rFonts w:cs="Times New Roman"/>
    </w:rPr>
  </w:style>
  <w:style w:type="paragraph" w:customStyle="1" w:styleId="1stlevelheadboldcentered">
    <w:name w:val="1st level head / bold centered"/>
    <w:basedOn w:val="Normal"/>
    <w:autoRedefine/>
    <w:uiPriority w:val="99"/>
    <w:rsid w:val="00A24D39"/>
    <w:pPr>
      <w:keepNext/>
      <w:widowControl w:val="0"/>
      <w:suppressAutoHyphens/>
      <w:autoSpaceDE w:val="0"/>
      <w:autoSpaceDN w:val="0"/>
      <w:adjustRightInd w:val="0"/>
      <w:spacing w:before="240" w:after="240"/>
      <w:jc w:val="center"/>
      <w:textAlignment w:val="center"/>
    </w:pPr>
    <w:rPr>
      <w:rFonts w:eastAsiaTheme="minorEastAsia" w:cs="ITC New Baskerville Std"/>
      <w:b/>
      <w:bCs/>
      <w:color w:val="000000"/>
      <w:szCs w:val="22"/>
      <w:lang w:eastAsia="en-US"/>
    </w:rPr>
  </w:style>
  <w:style w:type="paragraph" w:customStyle="1" w:styleId="1stLevelHeadI">
    <w:name w:val="1st Level Head I."/>
    <w:basedOn w:val="Normal"/>
    <w:autoRedefine/>
    <w:uiPriority w:val="99"/>
    <w:rsid w:val="00A24D39"/>
    <w:pPr>
      <w:keepNext/>
      <w:widowControl w:val="0"/>
      <w:suppressAutoHyphens/>
      <w:autoSpaceDE w:val="0"/>
      <w:autoSpaceDN w:val="0"/>
      <w:adjustRightInd w:val="0"/>
      <w:spacing w:before="360" w:after="240"/>
      <w:jc w:val="center"/>
      <w:textAlignment w:val="center"/>
    </w:pPr>
    <w:rPr>
      <w:rFonts w:ascii="Times New Roman Bold" w:eastAsiaTheme="minorEastAsia" w:hAnsi="Times New Roman Bold" w:cs="Times SC"/>
      <w:b/>
      <w:bCs/>
      <w:smallCaps/>
      <w:color w:val="000000"/>
      <w:lang w:eastAsia="en-US"/>
    </w:rPr>
  </w:style>
  <w:style w:type="paragraph" w:customStyle="1" w:styleId="1stlevelheadI0">
    <w:name w:val="1st level head I."/>
    <w:basedOn w:val="Normal"/>
    <w:autoRedefine/>
    <w:uiPriority w:val="99"/>
    <w:rsid w:val="00A24D39"/>
    <w:pPr>
      <w:keepNext/>
      <w:keepLines/>
      <w:widowControl w:val="0"/>
      <w:suppressAutoHyphens/>
      <w:autoSpaceDE w:val="0"/>
      <w:autoSpaceDN w:val="0"/>
      <w:adjustRightInd w:val="0"/>
      <w:spacing w:before="360" w:after="240"/>
      <w:jc w:val="center"/>
      <w:textAlignment w:val="center"/>
    </w:pPr>
    <w:rPr>
      <w:rFonts w:eastAsiaTheme="minorEastAsia" w:cs="ITC New Baskerville Std"/>
      <w:smallCaps/>
      <w:color w:val="000000"/>
      <w:szCs w:val="22"/>
      <w:lang w:eastAsia="en-US"/>
    </w:rPr>
  </w:style>
  <w:style w:type="paragraph" w:customStyle="1" w:styleId="1stlevelheadIb">
    <w:name w:val="1st level head I._b"/>
    <w:basedOn w:val="Normal"/>
    <w:autoRedefine/>
    <w:uiPriority w:val="99"/>
    <w:qFormat/>
    <w:rsid w:val="00A24D39"/>
    <w:pPr>
      <w:tabs>
        <w:tab w:val="left" w:pos="1200"/>
      </w:tabs>
      <w:spacing w:before="360" w:after="240"/>
    </w:pPr>
    <w:rPr>
      <w:rFonts w:ascii="Times New Roman Bold" w:eastAsiaTheme="minorEastAsia" w:hAnsi="Times New Roman Bold" w:cstheme="minorBidi"/>
      <w:b/>
      <w:szCs w:val="22"/>
      <w:lang w:eastAsia="en-US"/>
    </w:rPr>
  </w:style>
  <w:style w:type="paragraph" w:customStyle="1" w:styleId="1stlevelheadIbfl">
    <w:name w:val="1st level head I._b_fl"/>
    <w:basedOn w:val="1stlevelheadIb"/>
    <w:autoRedefine/>
    <w:qFormat/>
    <w:rsid w:val="00A24D39"/>
    <w:rPr>
      <w:rFonts w:cs="Times New Roman"/>
      <w:smallCaps/>
    </w:rPr>
  </w:style>
  <w:style w:type="paragraph" w:customStyle="1" w:styleId="1stlevelheadIr0">
    <w:name w:val="1st level head I._r"/>
    <w:basedOn w:val="1stlevelheadIb"/>
    <w:autoRedefine/>
    <w:uiPriority w:val="99"/>
    <w:qFormat/>
    <w:rsid w:val="00A24D39"/>
    <w:pPr>
      <w:spacing w:after="360"/>
      <w:jc w:val="center"/>
    </w:pPr>
    <w:rPr>
      <w:rFonts w:ascii="Times New Roman" w:hAnsi="Times New Roman"/>
      <w:b w:val="0"/>
      <w:smallCaps/>
    </w:rPr>
  </w:style>
  <w:style w:type="paragraph" w:customStyle="1" w:styleId="1stlevelRomanhead11pt">
    <w:name w:val="1st level_Roman head 11 pt."/>
    <w:basedOn w:val="Normal"/>
    <w:autoRedefine/>
    <w:uiPriority w:val="99"/>
    <w:rsid w:val="00A24D39"/>
    <w:pPr>
      <w:keepNext/>
      <w:widowControl w:val="0"/>
      <w:suppressAutoHyphens/>
      <w:autoSpaceDE w:val="0"/>
      <w:autoSpaceDN w:val="0"/>
      <w:adjustRightInd w:val="0"/>
      <w:spacing w:before="240" w:after="240"/>
      <w:jc w:val="center"/>
      <w:textAlignment w:val="center"/>
    </w:pPr>
    <w:rPr>
      <w:rFonts w:eastAsiaTheme="minorEastAsia" w:cs="ITC New Baskerville Std"/>
      <w:smallCaps/>
      <w:color w:val="000000"/>
      <w:szCs w:val="22"/>
      <w:lang w:eastAsia="en-US"/>
    </w:rPr>
  </w:style>
  <w:style w:type="paragraph" w:customStyle="1" w:styleId="2ndlevelheadbolditaliccentered">
    <w:name w:val="2nd level head / bold italic centered"/>
    <w:basedOn w:val="Normal"/>
    <w:autoRedefine/>
    <w:uiPriority w:val="99"/>
    <w:rsid w:val="00A24D39"/>
    <w:pPr>
      <w:keepNext/>
      <w:widowControl w:val="0"/>
      <w:suppressAutoHyphens/>
      <w:autoSpaceDE w:val="0"/>
      <w:autoSpaceDN w:val="0"/>
      <w:adjustRightInd w:val="0"/>
      <w:spacing w:before="240" w:after="240"/>
      <w:jc w:val="center"/>
      <w:textAlignment w:val="center"/>
    </w:pPr>
    <w:rPr>
      <w:rFonts w:eastAsiaTheme="minorEastAsia" w:cs="ITC New Baskerville Std"/>
      <w:b/>
      <w:bCs/>
      <w:i/>
      <w:iCs/>
      <w:color w:val="000000"/>
      <w:szCs w:val="22"/>
      <w:lang w:eastAsia="en-US"/>
    </w:rPr>
  </w:style>
  <w:style w:type="paragraph" w:customStyle="1" w:styleId="2ndLevelHeadA">
    <w:name w:val="2nd Level Head A."/>
    <w:basedOn w:val="Normal"/>
    <w:autoRedefine/>
    <w:uiPriority w:val="99"/>
    <w:rsid w:val="00A24D39"/>
    <w:pPr>
      <w:keepNext/>
      <w:widowControl w:val="0"/>
      <w:tabs>
        <w:tab w:val="left" w:pos="360"/>
      </w:tabs>
      <w:suppressAutoHyphens/>
      <w:autoSpaceDE w:val="0"/>
      <w:autoSpaceDN w:val="0"/>
      <w:adjustRightInd w:val="0"/>
      <w:spacing w:before="240" w:after="240"/>
      <w:ind w:left="360" w:hanging="360"/>
      <w:textAlignment w:val="center"/>
    </w:pPr>
    <w:rPr>
      <w:rFonts w:eastAsiaTheme="minorEastAsia" w:cs="Times LT Std"/>
      <w:b/>
      <w:bCs/>
      <w:color w:val="000000"/>
      <w:szCs w:val="22"/>
      <w:lang w:eastAsia="en-US"/>
    </w:rPr>
  </w:style>
  <w:style w:type="paragraph" w:customStyle="1" w:styleId="2ndlevelheadAb">
    <w:name w:val="2nd level head A._b"/>
    <w:basedOn w:val="Normal"/>
    <w:autoRedefine/>
    <w:uiPriority w:val="99"/>
    <w:qFormat/>
    <w:rsid w:val="00A24D39"/>
    <w:pPr>
      <w:tabs>
        <w:tab w:val="left" w:pos="360"/>
      </w:tabs>
      <w:spacing w:before="240" w:after="240"/>
      <w:ind w:left="360" w:hanging="360"/>
    </w:pPr>
    <w:rPr>
      <w:rFonts w:ascii="Times New Roman Bold" w:eastAsiaTheme="minorEastAsia" w:hAnsi="Times New Roman Bold" w:cstheme="minorBidi"/>
      <w:b/>
      <w:szCs w:val="22"/>
      <w:lang w:eastAsia="en-US"/>
    </w:rPr>
  </w:style>
  <w:style w:type="paragraph" w:customStyle="1" w:styleId="2ndlevelheadAbi">
    <w:name w:val="2nd level head A._bi"/>
    <w:basedOn w:val="2ndlevelheadAb"/>
    <w:qFormat/>
    <w:rsid w:val="00A24D39"/>
    <w:rPr>
      <w:i/>
    </w:rPr>
  </w:style>
  <w:style w:type="paragraph" w:customStyle="1" w:styleId="2ndlevelheadBb">
    <w:name w:val="2nd level head B._b"/>
    <w:basedOn w:val="Normal"/>
    <w:autoRedefine/>
    <w:uiPriority w:val="99"/>
    <w:rsid w:val="00A24D39"/>
    <w:pPr>
      <w:keepNext/>
      <w:widowControl w:val="0"/>
      <w:tabs>
        <w:tab w:val="left" w:pos="360"/>
      </w:tabs>
      <w:suppressAutoHyphens/>
      <w:autoSpaceDE w:val="0"/>
      <w:autoSpaceDN w:val="0"/>
      <w:adjustRightInd w:val="0"/>
      <w:spacing w:before="240" w:after="240"/>
      <w:ind w:left="360" w:hanging="360"/>
      <w:textAlignment w:val="center"/>
    </w:pPr>
    <w:rPr>
      <w:rFonts w:eastAsiaTheme="minorEastAsia" w:cs="NewCenturySchlbk"/>
      <w:b/>
      <w:bCs/>
      <w:color w:val="000000"/>
      <w:szCs w:val="22"/>
      <w:lang w:eastAsia="en-US"/>
    </w:rPr>
  </w:style>
  <w:style w:type="paragraph" w:customStyle="1" w:styleId="2ndlevelheadBbi">
    <w:name w:val="2nd level head B._bi"/>
    <w:basedOn w:val="Normal"/>
    <w:autoRedefine/>
    <w:uiPriority w:val="99"/>
    <w:rsid w:val="00A24D39"/>
    <w:pPr>
      <w:widowControl w:val="0"/>
      <w:tabs>
        <w:tab w:val="left" w:pos="360"/>
      </w:tabs>
      <w:suppressAutoHyphens/>
      <w:autoSpaceDE w:val="0"/>
      <w:autoSpaceDN w:val="0"/>
      <w:adjustRightInd w:val="0"/>
      <w:spacing w:before="480" w:after="360"/>
      <w:ind w:left="360" w:hanging="360"/>
      <w:textAlignment w:val="center"/>
    </w:pPr>
    <w:rPr>
      <w:rFonts w:eastAsiaTheme="minorEastAsia" w:cs="Times LT Std"/>
      <w:b/>
      <w:bCs/>
      <w:i/>
      <w:iCs/>
      <w:color w:val="000000"/>
      <w:szCs w:val="22"/>
      <w:lang w:eastAsia="en-US"/>
    </w:rPr>
  </w:style>
  <w:style w:type="paragraph" w:customStyle="1" w:styleId="2ndlevelheadnospace">
    <w:name w:val="2nd level head no space"/>
    <w:basedOn w:val="2ndlevelheadAb"/>
    <w:autoRedefine/>
    <w:uiPriority w:val="99"/>
    <w:rsid w:val="00A24D39"/>
    <w:pPr>
      <w:keepNext/>
      <w:widowControl w:val="0"/>
      <w:suppressAutoHyphens/>
      <w:autoSpaceDE w:val="0"/>
      <w:autoSpaceDN w:val="0"/>
      <w:adjustRightInd w:val="0"/>
      <w:spacing w:before="0"/>
      <w:textAlignment w:val="center"/>
    </w:pPr>
    <w:rPr>
      <w:rFonts w:ascii="Times New Roman" w:hAnsi="Times New Roman" w:cs="ITC New Baskerville Std"/>
      <w:bCs/>
      <w:color w:val="000000"/>
    </w:rPr>
  </w:style>
  <w:style w:type="paragraph" w:customStyle="1" w:styleId="2ndlevelheadnospaceb">
    <w:name w:val="2nd level head no space_b"/>
    <w:basedOn w:val="2ndlevelheadAb"/>
    <w:autoRedefine/>
    <w:uiPriority w:val="99"/>
    <w:rsid w:val="00A24D39"/>
    <w:pPr>
      <w:widowControl w:val="0"/>
      <w:autoSpaceDE w:val="0"/>
      <w:autoSpaceDN w:val="0"/>
      <w:adjustRightInd w:val="0"/>
      <w:spacing w:before="0"/>
      <w:textAlignment w:val="center"/>
    </w:pPr>
    <w:rPr>
      <w:rFonts w:ascii="Times New Roman" w:hAnsi="Times New Roman" w:cs="Times LT Std"/>
      <w:bCs/>
      <w:color w:val="000000"/>
    </w:rPr>
  </w:style>
  <w:style w:type="paragraph" w:customStyle="1" w:styleId="2ndlevelheadAbi0">
    <w:name w:val="2nd level headA._bi"/>
    <w:basedOn w:val="2ndlevelheadAb"/>
    <w:qFormat/>
    <w:rsid w:val="00A24D39"/>
    <w:rPr>
      <w:i/>
    </w:rPr>
  </w:style>
  <w:style w:type="paragraph" w:customStyle="1" w:styleId="2ndlevelheadnospacebi">
    <w:name w:val="2nd level head no space_bi"/>
    <w:basedOn w:val="2ndlevelheadAbi0"/>
    <w:qFormat/>
    <w:rsid w:val="00A24D39"/>
  </w:style>
  <w:style w:type="paragraph" w:customStyle="1" w:styleId="2ndlevelheadnospace-b">
    <w:name w:val="2nd level head no space-b"/>
    <w:basedOn w:val="2ndlevelheadBb"/>
    <w:autoRedefine/>
    <w:uiPriority w:val="99"/>
    <w:rsid w:val="00A24D39"/>
    <w:pPr>
      <w:spacing w:before="0"/>
    </w:pPr>
  </w:style>
  <w:style w:type="paragraph" w:customStyle="1" w:styleId="2ndlevelheadAb0">
    <w:name w:val="2nd level head_A._b"/>
    <w:basedOn w:val="Normal"/>
    <w:autoRedefine/>
    <w:uiPriority w:val="99"/>
    <w:rsid w:val="00A24D39"/>
    <w:pPr>
      <w:widowControl w:val="0"/>
      <w:tabs>
        <w:tab w:val="left" w:pos="340"/>
      </w:tabs>
      <w:autoSpaceDE w:val="0"/>
      <w:autoSpaceDN w:val="0"/>
      <w:adjustRightInd w:val="0"/>
      <w:spacing w:before="360" w:after="240"/>
      <w:ind w:left="360" w:hanging="360"/>
      <w:textAlignment w:val="center"/>
    </w:pPr>
    <w:rPr>
      <w:rFonts w:eastAsiaTheme="minorEastAsia" w:cs="ITC New Baskerville Std"/>
      <w:b/>
      <w:bCs/>
      <w:color w:val="000000"/>
      <w:lang w:eastAsia="en-US"/>
    </w:rPr>
  </w:style>
  <w:style w:type="paragraph" w:customStyle="1" w:styleId="2ndlevelheadAbi1">
    <w:name w:val="2nd level head_A._bi"/>
    <w:basedOn w:val="Normal"/>
    <w:autoRedefine/>
    <w:uiPriority w:val="99"/>
    <w:qFormat/>
    <w:rsid w:val="00A24D39"/>
    <w:pPr>
      <w:keepNext/>
      <w:widowControl w:val="0"/>
      <w:tabs>
        <w:tab w:val="left" w:pos="360"/>
      </w:tabs>
      <w:suppressAutoHyphens/>
      <w:autoSpaceDE w:val="0"/>
      <w:autoSpaceDN w:val="0"/>
      <w:adjustRightInd w:val="0"/>
      <w:spacing w:before="360" w:after="240"/>
      <w:ind w:left="360" w:hanging="360"/>
      <w:textAlignment w:val="center"/>
    </w:pPr>
    <w:rPr>
      <w:rFonts w:eastAsiaTheme="minorEastAsia" w:cs="ITC New Baskerville Std"/>
      <w:b/>
      <w:bCs/>
      <w:i/>
      <w:iCs/>
      <w:color w:val="000000"/>
      <w:lang w:eastAsia="en-US"/>
    </w:rPr>
  </w:style>
  <w:style w:type="paragraph" w:customStyle="1" w:styleId="3rdLevelHead1">
    <w:name w:val="3rd Level Head 1."/>
    <w:basedOn w:val="Normal"/>
    <w:autoRedefine/>
    <w:uiPriority w:val="99"/>
    <w:rsid w:val="00A24D39"/>
    <w:pPr>
      <w:keepNext/>
      <w:widowControl w:val="0"/>
      <w:tabs>
        <w:tab w:val="left" w:pos="360"/>
      </w:tabs>
      <w:suppressAutoHyphens/>
      <w:autoSpaceDE w:val="0"/>
      <w:autoSpaceDN w:val="0"/>
      <w:adjustRightInd w:val="0"/>
      <w:spacing w:before="240" w:after="240"/>
      <w:ind w:left="360" w:hanging="360"/>
      <w:textAlignment w:val="center"/>
    </w:pPr>
    <w:rPr>
      <w:rFonts w:eastAsiaTheme="minorEastAsia" w:cs="ITC New Baskerville Std"/>
      <w:i/>
      <w:iCs/>
      <w:color w:val="000000"/>
      <w:szCs w:val="22"/>
      <w:lang w:eastAsia="en-US"/>
    </w:rPr>
  </w:style>
  <w:style w:type="paragraph" w:customStyle="1" w:styleId="3rdlevelhead10">
    <w:name w:val="3rd level head 1."/>
    <w:basedOn w:val="Normal"/>
    <w:autoRedefine/>
    <w:uiPriority w:val="99"/>
    <w:rsid w:val="00A24D39"/>
    <w:pPr>
      <w:keepNext/>
      <w:widowControl w:val="0"/>
      <w:tabs>
        <w:tab w:val="left" w:pos="360"/>
      </w:tabs>
      <w:suppressAutoHyphens/>
      <w:autoSpaceDE w:val="0"/>
      <w:autoSpaceDN w:val="0"/>
      <w:adjustRightInd w:val="0"/>
      <w:spacing w:before="240" w:line="480" w:lineRule="auto"/>
      <w:ind w:left="360" w:hanging="360"/>
      <w:textAlignment w:val="center"/>
    </w:pPr>
    <w:rPr>
      <w:rFonts w:cs="ITC New Baskerville Std"/>
      <w:b/>
      <w:bCs/>
      <w:i/>
      <w:iCs/>
      <w:color w:val="000000"/>
      <w:szCs w:val="22"/>
      <w:lang w:eastAsia="en-US"/>
    </w:rPr>
  </w:style>
  <w:style w:type="paragraph" w:customStyle="1" w:styleId="3rdlevelhead1i">
    <w:name w:val="3rd level head 1._i"/>
    <w:basedOn w:val="Normal"/>
    <w:autoRedefine/>
    <w:uiPriority w:val="99"/>
    <w:qFormat/>
    <w:rsid w:val="00A24D39"/>
    <w:pPr>
      <w:tabs>
        <w:tab w:val="left" w:pos="360"/>
      </w:tabs>
      <w:spacing w:before="240" w:after="240"/>
      <w:ind w:left="360" w:hanging="360"/>
    </w:pPr>
    <w:rPr>
      <w:rFonts w:eastAsiaTheme="minorEastAsia" w:cstheme="minorBidi"/>
      <w:i/>
      <w:szCs w:val="22"/>
      <w:lang w:eastAsia="en-US"/>
    </w:rPr>
  </w:style>
  <w:style w:type="paragraph" w:customStyle="1" w:styleId="3rdlevelhead1bi">
    <w:name w:val="3rd level head 1._bi"/>
    <w:basedOn w:val="3rdlevelhead1i"/>
    <w:qFormat/>
    <w:rsid w:val="00A24D39"/>
    <w:rPr>
      <w:b/>
    </w:rPr>
  </w:style>
  <w:style w:type="paragraph" w:customStyle="1" w:styleId="3rdlevelhead10bi">
    <w:name w:val="3rd level head 10._bi"/>
    <w:basedOn w:val="3rdlevelhead1bi"/>
    <w:autoRedefine/>
    <w:uiPriority w:val="99"/>
    <w:rsid w:val="00A24D39"/>
    <w:pPr>
      <w:keepNext/>
      <w:widowControl w:val="0"/>
      <w:tabs>
        <w:tab w:val="clear" w:pos="360"/>
        <w:tab w:val="left" w:pos="480"/>
      </w:tabs>
      <w:suppressAutoHyphens/>
      <w:autoSpaceDE w:val="0"/>
      <w:autoSpaceDN w:val="0"/>
      <w:adjustRightInd w:val="0"/>
      <w:ind w:left="480" w:hanging="480"/>
      <w:textAlignment w:val="center"/>
    </w:pPr>
    <w:rPr>
      <w:rFonts w:cs="NewCenturySchlbk"/>
      <w:bCs/>
      <w:iCs/>
      <w:color w:val="000000"/>
    </w:rPr>
  </w:style>
  <w:style w:type="paragraph" w:customStyle="1" w:styleId="3rdlevelhead3i">
    <w:name w:val="3rd level head 3._i"/>
    <w:basedOn w:val="Normal"/>
    <w:autoRedefine/>
    <w:uiPriority w:val="99"/>
    <w:rsid w:val="00A24D39"/>
    <w:pPr>
      <w:widowControl w:val="0"/>
      <w:tabs>
        <w:tab w:val="left" w:pos="920"/>
      </w:tabs>
      <w:suppressAutoHyphens/>
      <w:autoSpaceDE w:val="0"/>
      <w:autoSpaceDN w:val="0"/>
      <w:adjustRightInd w:val="0"/>
      <w:spacing w:before="240" w:after="120"/>
      <w:ind w:left="919" w:hanging="480"/>
      <w:textAlignment w:val="center"/>
    </w:pPr>
    <w:rPr>
      <w:rFonts w:eastAsiaTheme="minorEastAsia" w:cs="NewCenturySchlbk"/>
      <w:i/>
      <w:iCs/>
      <w:color w:val="000000"/>
      <w:szCs w:val="22"/>
      <w:lang w:eastAsia="en-US"/>
    </w:rPr>
  </w:style>
  <w:style w:type="paragraph" w:customStyle="1" w:styleId="3rdLevelHeadfrom2">
    <w:name w:val="3rd Level Head from 2"/>
    <w:basedOn w:val="3rdLevelHead1"/>
    <w:autoRedefine/>
    <w:uiPriority w:val="99"/>
    <w:rsid w:val="00A24D39"/>
    <w:pPr>
      <w:spacing w:before="0"/>
    </w:pPr>
    <w:rPr>
      <w:rFonts w:cs="Times LT Std"/>
    </w:rPr>
  </w:style>
  <w:style w:type="paragraph" w:customStyle="1" w:styleId="3rdlevelheadheadnospacei">
    <w:name w:val="3rd level head head no space_i"/>
    <w:basedOn w:val="3rdlevelhead1i"/>
    <w:autoRedefine/>
    <w:uiPriority w:val="99"/>
    <w:rsid w:val="00A24D39"/>
    <w:pPr>
      <w:widowControl w:val="0"/>
      <w:autoSpaceDE w:val="0"/>
      <w:autoSpaceDN w:val="0"/>
      <w:adjustRightInd w:val="0"/>
      <w:spacing w:before="0"/>
      <w:textAlignment w:val="center"/>
    </w:pPr>
    <w:rPr>
      <w:rFonts w:cs="Times LT Std"/>
      <w:color w:val="000000"/>
    </w:rPr>
  </w:style>
  <w:style w:type="paragraph" w:customStyle="1" w:styleId="3rdlevelheadibi">
    <w:name w:val="3rd level head i._bi"/>
    <w:basedOn w:val="Normal"/>
    <w:autoRedefine/>
    <w:uiPriority w:val="99"/>
    <w:rsid w:val="00A24D39"/>
    <w:pPr>
      <w:keepNext/>
      <w:widowControl w:val="0"/>
      <w:tabs>
        <w:tab w:val="left" w:pos="360"/>
      </w:tabs>
      <w:suppressAutoHyphens/>
      <w:autoSpaceDE w:val="0"/>
      <w:autoSpaceDN w:val="0"/>
      <w:adjustRightInd w:val="0"/>
      <w:spacing w:before="240" w:after="240" w:line="240" w:lineRule="atLeast"/>
      <w:ind w:left="360" w:hanging="360"/>
      <w:textAlignment w:val="center"/>
    </w:pPr>
    <w:rPr>
      <w:rFonts w:eastAsiaTheme="minorEastAsia" w:cs="NewCenturySchlbk"/>
      <w:b/>
      <w:bCs/>
      <w:i/>
      <w:iCs/>
      <w:color w:val="000000"/>
      <w:szCs w:val="22"/>
      <w:lang w:eastAsia="en-US"/>
    </w:rPr>
  </w:style>
  <w:style w:type="paragraph" w:customStyle="1" w:styleId="3rdlevelheadnospace">
    <w:name w:val="3rd level head no space"/>
    <w:basedOn w:val="3rdlevelhead1bi"/>
    <w:autoRedefine/>
    <w:uiPriority w:val="99"/>
    <w:rsid w:val="00A24D39"/>
    <w:pPr>
      <w:keepNext/>
      <w:widowControl w:val="0"/>
      <w:suppressAutoHyphens/>
      <w:autoSpaceDE w:val="0"/>
      <w:autoSpaceDN w:val="0"/>
      <w:adjustRightInd w:val="0"/>
      <w:spacing w:before="0"/>
      <w:textAlignment w:val="center"/>
    </w:pPr>
    <w:rPr>
      <w:rFonts w:cs="ITC New Baskerville Std"/>
      <w:bCs/>
      <w:iCs/>
      <w:color w:val="000000"/>
    </w:rPr>
  </w:style>
  <w:style w:type="paragraph" w:customStyle="1" w:styleId="3rdlevelheadnospacebi">
    <w:name w:val="3rd level head no space_bi"/>
    <w:basedOn w:val="3rdlevelhead1bi"/>
    <w:autoRedefine/>
    <w:qFormat/>
    <w:rsid w:val="00A24D39"/>
    <w:pPr>
      <w:spacing w:before="0"/>
    </w:pPr>
  </w:style>
  <w:style w:type="paragraph" w:customStyle="1" w:styleId="3rdlevelheadnospacei">
    <w:name w:val="3rd level head no space_i"/>
    <w:basedOn w:val="3rdlevelhead1i"/>
    <w:autoRedefine/>
    <w:uiPriority w:val="99"/>
    <w:qFormat/>
    <w:rsid w:val="00A24D39"/>
    <w:pPr>
      <w:spacing w:before="0"/>
      <w:ind w:left="799"/>
    </w:pPr>
  </w:style>
  <w:style w:type="paragraph" w:customStyle="1" w:styleId="3rdlevelhead1bi0">
    <w:name w:val="3rd level head_1._bi"/>
    <w:basedOn w:val="Normal"/>
    <w:autoRedefine/>
    <w:uiPriority w:val="99"/>
    <w:rsid w:val="00A24D39"/>
    <w:pPr>
      <w:widowControl w:val="0"/>
      <w:tabs>
        <w:tab w:val="left" w:pos="360"/>
      </w:tabs>
      <w:autoSpaceDE w:val="0"/>
      <w:autoSpaceDN w:val="0"/>
      <w:adjustRightInd w:val="0"/>
      <w:spacing w:before="240" w:after="240" w:line="260" w:lineRule="atLeast"/>
      <w:ind w:left="360" w:hanging="360"/>
      <w:textAlignment w:val="center"/>
    </w:pPr>
    <w:rPr>
      <w:rFonts w:eastAsiaTheme="minorEastAsia" w:cs="ITC New Baskerville Std"/>
      <w:b/>
      <w:bCs/>
      <w:i/>
      <w:iCs/>
      <w:color w:val="000000"/>
      <w:lang w:eastAsia="en-US"/>
    </w:rPr>
  </w:style>
  <w:style w:type="paragraph" w:customStyle="1" w:styleId="3rdlevellevel1bi">
    <w:name w:val="3rd level level 1._bi"/>
    <w:basedOn w:val="Normal"/>
    <w:autoRedefine/>
    <w:uiPriority w:val="99"/>
    <w:rsid w:val="00A24D39"/>
    <w:pPr>
      <w:widowControl w:val="0"/>
      <w:tabs>
        <w:tab w:val="left" w:pos="360"/>
      </w:tabs>
      <w:suppressAutoHyphens/>
      <w:autoSpaceDE w:val="0"/>
      <w:autoSpaceDN w:val="0"/>
      <w:adjustRightInd w:val="0"/>
      <w:spacing w:before="240" w:after="240"/>
      <w:ind w:left="360" w:hanging="360"/>
      <w:textAlignment w:val="center"/>
    </w:pPr>
    <w:rPr>
      <w:rFonts w:eastAsiaTheme="minorEastAsia" w:cs="ITC New Baskerville Std"/>
      <w:b/>
      <w:bCs/>
      <w:i/>
      <w:iCs/>
      <w:color w:val="000000"/>
      <w:lang w:eastAsia="en-US"/>
    </w:rPr>
  </w:style>
  <w:style w:type="paragraph" w:customStyle="1" w:styleId="4thHeadfrom3">
    <w:name w:val="4th Head from 3"/>
    <w:basedOn w:val="Normal"/>
    <w:autoRedefine/>
    <w:uiPriority w:val="99"/>
    <w:rsid w:val="00A24D39"/>
    <w:pPr>
      <w:keepNext/>
      <w:widowControl w:val="0"/>
      <w:tabs>
        <w:tab w:val="left" w:pos="800"/>
      </w:tabs>
      <w:suppressAutoHyphens/>
      <w:autoSpaceDE w:val="0"/>
      <w:autoSpaceDN w:val="0"/>
      <w:adjustRightInd w:val="0"/>
      <w:spacing w:after="240"/>
      <w:ind w:left="799" w:hanging="360"/>
      <w:textAlignment w:val="center"/>
    </w:pPr>
    <w:rPr>
      <w:rFonts w:eastAsiaTheme="minorEastAsia" w:cs="Times LT Std"/>
      <w:i/>
      <w:iCs/>
      <w:color w:val="000000"/>
      <w:szCs w:val="22"/>
      <w:lang w:eastAsia="en-US"/>
    </w:rPr>
  </w:style>
  <w:style w:type="paragraph" w:customStyle="1" w:styleId="4thLevelHead">
    <w:name w:val="4th Level Head"/>
    <w:basedOn w:val="Normal"/>
    <w:autoRedefine/>
    <w:uiPriority w:val="99"/>
    <w:qFormat/>
    <w:rsid w:val="00A24D39"/>
    <w:pPr>
      <w:keepNext/>
      <w:widowControl w:val="0"/>
      <w:tabs>
        <w:tab w:val="left" w:pos="800"/>
      </w:tabs>
      <w:suppressAutoHyphens/>
      <w:autoSpaceDE w:val="0"/>
      <w:autoSpaceDN w:val="0"/>
      <w:adjustRightInd w:val="0"/>
      <w:spacing w:before="240" w:after="240"/>
      <w:ind w:left="799" w:hanging="360"/>
      <w:contextualSpacing/>
      <w:textAlignment w:val="center"/>
    </w:pPr>
    <w:rPr>
      <w:rFonts w:eastAsiaTheme="minorEastAsia" w:cs="Times LT Std"/>
      <w:i/>
      <w:iCs/>
      <w:color w:val="000000"/>
      <w:szCs w:val="22"/>
      <w:lang w:eastAsia="en-US"/>
    </w:rPr>
  </w:style>
  <w:style w:type="paragraph" w:customStyle="1" w:styleId="4thLevelHeada">
    <w:name w:val="4th Level Head a."/>
    <w:basedOn w:val="Normal"/>
    <w:autoRedefine/>
    <w:uiPriority w:val="99"/>
    <w:rsid w:val="00A24D39"/>
    <w:pPr>
      <w:keepNext/>
      <w:widowControl w:val="0"/>
      <w:tabs>
        <w:tab w:val="left" w:pos="800"/>
      </w:tabs>
      <w:suppressAutoHyphens/>
      <w:autoSpaceDE w:val="0"/>
      <w:autoSpaceDN w:val="0"/>
      <w:adjustRightInd w:val="0"/>
      <w:spacing w:before="240" w:after="240"/>
      <w:ind w:left="799" w:hanging="360"/>
      <w:textAlignment w:val="center"/>
    </w:pPr>
    <w:rPr>
      <w:rFonts w:eastAsiaTheme="minorEastAsia" w:cs="Times LT Std"/>
      <w:i/>
      <w:iCs/>
      <w:color w:val="000000"/>
      <w:szCs w:val="22"/>
      <w:lang w:eastAsia="en-US"/>
    </w:rPr>
  </w:style>
  <w:style w:type="paragraph" w:customStyle="1" w:styleId="4thlevelheadai">
    <w:name w:val="4th level head a._i"/>
    <w:basedOn w:val="Normal"/>
    <w:autoRedefine/>
    <w:uiPriority w:val="99"/>
    <w:qFormat/>
    <w:rsid w:val="00A24D39"/>
    <w:pPr>
      <w:tabs>
        <w:tab w:val="left" w:pos="720"/>
      </w:tabs>
      <w:spacing w:before="240" w:after="240"/>
      <w:ind w:left="720" w:hanging="360"/>
    </w:pPr>
    <w:rPr>
      <w:rFonts w:eastAsiaTheme="minorEastAsia" w:cstheme="minorBidi"/>
      <w:i/>
      <w:szCs w:val="22"/>
      <w:lang w:eastAsia="en-US"/>
    </w:rPr>
  </w:style>
  <w:style w:type="paragraph" w:customStyle="1" w:styleId="4thlevelheadab">
    <w:name w:val="4th level head a._b"/>
    <w:basedOn w:val="4thlevelheadai"/>
    <w:autoRedefine/>
    <w:uiPriority w:val="99"/>
    <w:qFormat/>
    <w:rsid w:val="00A24D39"/>
    <w:rPr>
      <w:rFonts w:ascii="Times New Roman Bold" w:hAnsi="Times New Roman Bold"/>
      <w:b/>
      <w:i w:val="0"/>
    </w:rPr>
  </w:style>
  <w:style w:type="paragraph" w:customStyle="1" w:styleId="4thlevelheadascb">
    <w:name w:val="4th level head a._scb"/>
    <w:basedOn w:val="4thlevelheadab"/>
    <w:autoRedefine/>
    <w:qFormat/>
    <w:rsid w:val="00A24D39"/>
    <w:rPr>
      <w:rFonts w:cs="Times New Roman"/>
      <w:smallCaps/>
    </w:rPr>
  </w:style>
  <w:style w:type="paragraph" w:customStyle="1" w:styleId="4thlevelheadabsc">
    <w:name w:val="4th level head a_bsc"/>
    <w:basedOn w:val="4thlevelheadab"/>
    <w:autoRedefine/>
    <w:qFormat/>
    <w:rsid w:val="00A24D39"/>
    <w:rPr>
      <w:rFonts w:cs="Times New Roman"/>
      <w:smallCaps/>
    </w:rPr>
  </w:style>
  <w:style w:type="paragraph" w:customStyle="1" w:styleId="4thlevelheadnospace">
    <w:name w:val="4th level head no space"/>
    <w:basedOn w:val="4thlevelheadai"/>
    <w:autoRedefine/>
    <w:uiPriority w:val="99"/>
    <w:rsid w:val="00A24D39"/>
    <w:pPr>
      <w:keepNext/>
      <w:widowControl w:val="0"/>
      <w:tabs>
        <w:tab w:val="clear" w:pos="720"/>
        <w:tab w:val="left" w:pos="740"/>
      </w:tabs>
      <w:suppressAutoHyphens/>
      <w:autoSpaceDE w:val="0"/>
      <w:autoSpaceDN w:val="0"/>
      <w:adjustRightInd w:val="0"/>
      <w:spacing w:before="0"/>
      <w:ind w:left="701"/>
      <w:textAlignment w:val="center"/>
    </w:pPr>
    <w:rPr>
      <w:rFonts w:cs="ITC New Baskerville Std"/>
      <w:iCs/>
      <w:color w:val="000000"/>
    </w:rPr>
  </w:style>
  <w:style w:type="paragraph" w:customStyle="1" w:styleId="4thlevelheadnospaceb">
    <w:name w:val="4th level head no space_b"/>
    <w:basedOn w:val="4thlevelheadab"/>
    <w:autoRedefine/>
    <w:uiPriority w:val="99"/>
    <w:qFormat/>
    <w:rsid w:val="00A24D39"/>
    <w:pPr>
      <w:spacing w:before="0"/>
    </w:pPr>
  </w:style>
  <w:style w:type="paragraph" w:customStyle="1" w:styleId="4thlevelheadnospacei">
    <w:name w:val="4th level head no space_i"/>
    <w:basedOn w:val="4thlevelheadai"/>
    <w:autoRedefine/>
    <w:uiPriority w:val="99"/>
    <w:qFormat/>
    <w:rsid w:val="00A24D39"/>
    <w:pPr>
      <w:spacing w:before="0"/>
    </w:pPr>
  </w:style>
  <w:style w:type="paragraph" w:customStyle="1" w:styleId="4thlevelheadai0">
    <w:name w:val="4th level head_a._i"/>
    <w:basedOn w:val="Normal"/>
    <w:autoRedefine/>
    <w:uiPriority w:val="99"/>
    <w:qFormat/>
    <w:rsid w:val="00A24D39"/>
    <w:pPr>
      <w:widowControl w:val="0"/>
      <w:tabs>
        <w:tab w:val="left" w:pos="780"/>
      </w:tabs>
      <w:autoSpaceDE w:val="0"/>
      <w:autoSpaceDN w:val="0"/>
      <w:adjustRightInd w:val="0"/>
      <w:spacing w:before="240" w:after="240"/>
      <w:ind w:left="780" w:hanging="300"/>
      <w:textAlignment w:val="center"/>
    </w:pPr>
    <w:rPr>
      <w:rFonts w:eastAsiaTheme="minorEastAsia" w:cs="ITC New Baskerville Std"/>
      <w:i/>
      <w:iCs/>
      <w:color w:val="000000"/>
      <w:lang w:eastAsia="en-US"/>
    </w:rPr>
  </w:style>
  <w:style w:type="paragraph" w:customStyle="1" w:styleId="5hlevelhead1i">
    <w:name w:val="5h level head (1)_i"/>
    <w:basedOn w:val="4thlevelheadnospacei"/>
    <w:autoRedefine/>
    <w:uiPriority w:val="99"/>
    <w:rsid w:val="00A24D39"/>
    <w:pPr>
      <w:keepNext/>
      <w:widowControl w:val="0"/>
      <w:tabs>
        <w:tab w:val="clear" w:pos="720"/>
        <w:tab w:val="left" w:pos="360"/>
      </w:tabs>
      <w:suppressAutoHyphens/>
      <w:autoSpaceDE w:val="0"/>
      <w:autoSpaceDN w:val="0"/>
      <w:adjustRightInd w:val="0"/>
      <w:spacing w:before="240"/>
      <w:ind w:left="919" w:hanging="480"/>
      <w:textAlignment w:val="center"/>
    </w:pPr>
    <w:rPr>
      <w:rFonts w:cs="NewCenturySchlbk"/>
      <w:iCs/>
      <w:color w:val="000000"/>
    </w:rPr>
  </w:style>
  <w:style w:type="paragraph" w:customStyle="1" w:styleId="5thlevelheadiir">
    <w:name w:val="5th level head ii._r"/>
    <w:basedOn w:val="Normal"/>
    <w:autoRedefine/>
    <w:uiPriority w:val="99"/>
    <w:rsid w:val="00A24D39"/>
    <w:pPr>
      <w:keepNext/>
      <w:widowControl w:val="0"/>
      <w:tabs>
        <w:tab w:val="left" w:pos="800"/>
      </w:tabs>
      <w:suppressAutoHyphens/>
      <w:autoSpaceDE w:val="0"/>
      <w:autoSpaceDN w:val="0"/>
      <w:adjustRightInd w:val="0"/>
      <w:spacing w:before="240" w:after="240"/>
      <w:ind w:left="799" w:hanging="360"/>
      <w:textAlignment w:val="center"/>
    </w:pPr>
    <w:rPr>
      <w:rFonts w:eastAsiaTheme="minorEastAsia" w:cs="ITC New Baskerville Std"/>
      <w:color w:val="000000"/>
      <w:szCs w:val="22"/>
      <w:lang w:eastAsia="en-US"/>
    </w:rPr>
  </w:style>
  <w:style w:type="paragraph" w:customStyle="1" w:styleId="5thleveheadnospacer">
    <w:name w:val="5th leve head no space_r"/>
    <w:basedOn w:val="5thlevelheadiir"/>
    <w:autoRedefine/>
    <w:uiPriority w:val="99"/>
    <w:rsid w:val="00A24D39"/>
    <w:pPr>
      <w:spacing w:before="0"/>
    </w:pPr>
    <w:rPr>
      <w:rFonts w:cs="Times New Roman"/>
      <w:caps/>
      <w:spacing w:val="2"/>
    </w:rPr>
  </w:style>
  <w:style w:type="paragraph" w:customStyle="1" w:styleId="5thLevelHead">
    <w:name w:val="5th Level Head"/>
    <w:basedOn w:val="Normal"/>
    <w:autoRedefine/>
    <w:uiPriority w:val="99"/>
    <w:qFormat/>
    <w:rsid w:val="00A24D39"/>
    <w:pPr>
      <w:keepNext/>
      <w:widowControl w:val="0"/>
      <w:tabs>
        <w:tab w:val="left" w:pos="1240"/>
      </w:tabs>
      <w:suppressAutoHyphens/>
      <w:autoSpaceDE w:val="0"/>
      <w:autoSpaceDN w:val="0"/>
      <w:adjustRightInd w:val="0"/>
      <w:spacing w:before="240" w:after="240"/>
      <w:ind w:left="1241" w:hanging="360"/>
      <w:textAlignment w:val="center"/>
    </w:pPr>
    <w:rPr>
      <w:rFonts w:eastAsiaTheme="minorEastAsia" w:cs="Times LT Std"/>
      <w:i/>
      <w:iCs/>
      <w:color w:val="000000"/>
      <w:szCs w:val="22"/>
      <w:lang w:eastAsia="en-US"/>
    </w:rPr>
  </w:style>
  <w:style w:type="paragraph" w:customStyle="1" w:styleId="5thlevelhead1i">
    <w:name w:val="5th level head (1)_i"/>
    <w:basedOn w:val="Normal"/>
    <w:autoRedefine/>
    <w:uiPriority w:val="99"/>
    <w:rsid w:val="00A24D39"/>
    <w:pPr>
      <w:keepNext/>
      <w:widowControl w:val="0"/>
      <w:tabs>
        <w:tab w:val="left" w:pos="800"/>
      </w:tabs>
      <w:suppressAutoHyphens/>
      <w:autoSpaceDE w:val="0"/>
      <w:autoSpaceDN w:val="0"/>
      <w:adjustRightInd w:val="0"/>
      <w:spacing w:before="240" w:after="240"/>
      <w:ind w:left="1020" w:hanging="360"/>
      <w:textAlignment w:val="center"/>
    </w:pPr>
    <w:rPr>
      <w:rFonts w:eastAsiaTheme="minorEastAsia" w:cs="ITC New Baskerville Std"/>
      <w:i/>
      <w:iCs/>
      <w:color w:val="000000"/>
      <w:szCs w:val="22"/>
      <w:lang w:eastAsia="en-US"/>
    </w:rPr>
  </w:style>
  <w:style w:type="paragraph" w:customStyle="1" w:styleId="5thlevelheadai">
    <w:name w:val="5th level head (a)_i"/>
    <w:basedOn w:val="4thlevelheadnospacei"/>
    <w:autoRedefine/>
    <w:uiPriority w:val="99"/>
    <w:rsid w:val="00A24D39"/>
    <w:pPr>
      <w:keepNext/>
      <w:widowControl w:val="0"/>
      <w:tabs>
        <w:tab w:val="clear" w:pos="720"/>
        <w:tab w:val="left" w:pos="1240"/>
      </w:tabs>
      <w:suppressAutoHyphens/>
      <w:autoSpaceDE w:val="0"/>
      <w:autoSpaceDN w:val="0"/>
      <w:adjustRightInd w:val="0"/>
      <w:spacing w:before="240"/>
      <w:ind w:left="1241"/>
      <w:textAlignment w:val="center"/>
    </w:pPr>
    <w:rPr>
      <w:rFonts w:cs="Times LT Std"/>
      <w:iCs/>
      <w:color w:val="000000"/>
    </w:rPr>
  </w:style>
  <w:style w:type="paragraph" w:customStyle="1" w:styleId="5thlevelheadii">
    <w:name w:val="5th level head (i)_i"/>
    <w:basedOn w:val="4thlevelheadai"/>
    <w:autoRedefine/>
    <w:uiPriority w:val="99"/>
    <w:rsid w:val="00A24D39"/>
    <w:pPr>
      <w:widowControl w:val="0"/>
      <w:tabs>
        <w:tab w:val="clear" w:pos="720"/>
        <w:tab w:val="left" w:pos="960"/>
      </w:tabs>
      <w:suppressAutoHyphens/>
      <w:autoSpaceDE w:val="0"/>
      <w:autoSpaceDN w:val="0"/>
      <w:adjustRightInd w:val="0"/>
      <w:ind w:left="1440" w:hanging="480"/>
      <w:textAlignment w:val="center"/>
    </w:pPr>
    <w:rPr>
      <w:rFonts w:cs="Times LT Std"/>
      <w:iCs/>
      <w:color w:val="000000"/>
    </w:rPr>
  </w:style>
  <w:style w:type="paragraph" w:customStyle="1" w:styleId="5thlevelheadii0">
    <w:name w:val="5th level head (i.)_i"/>
    <w:basedOn w:val="Normal"/>
    <w:autoRedefine/>
    <w:uiPriority w:val="99"/>
    <w:qFormat/>
    <w:rsid w:val="00A24D39"/>
    <w:pPr>
      <w:widowControl w:val="0"/>
      <w:tabs>
        <w:tab w:val="left" w:pos="1280"/>
      </w:tabs>
      <w:autoSpaceDE w:val="0"/>
      <w:autoSpaceDN w:val="0"/>
      <w:adjustRightInd w:val="0"/>
      <w:spacing w:before="240" w:after="240"/>
      <w:ind w:left="1279" w:hanging="360"/>
      <w:textAlignment w:val="center"/>
    </w:pPr>
    <w:rPr>
      <w:rFonts w:eastAsiaTheme="minorEastAsia" w:cs="Times LT Std"/>
      <w:i/>
      <w:iCs/>
      <w:color w:val="000000"/>
      <w:szCs w:val="23"/>
      <w:lang w:eastAsia="en-US"/>
    </w:rPr>
  </w:style>
  <w:style w:type="paragraph" w:customStyle="1" w:styleId="5thlevelheadii1">
    <w:name w:val="5th level head i._i"/>
    <w:basedOn w:val="Normal"/>
    <w:autoRedefine/>
    <w:uiPriority w:val="99"/>
    <w:qFormat/>
    <w:rsid w:val="00A24D39"/>
    <w:pPr>
      <w:tabs>
        <w:tab w:val="left" w:pos="960"/>
      </w:tabs>
      <w:spacing w:before="240" w:after="240"/>
      <w:ind w:left="960" w:hanging="480"/>
    </w:pPr>
    <w:rPr>
      <w:rFonts w:eastAsiaTheme="minorEastAsia" w:cstheme="minorBidi"/>
      <w:i/>
      <w:szCs w:val="22"/>
      <w:lang w:eastAsia="en-US"/>
    </w:rPr>
  </w:style>
  <w:style w:type="paragraph" w:customStyle="1" w:styleId="5thlevelheadiii">
    <w:name w:val="5th level head ii._i"/>
    <w:basedOn w:val="Normal"/>
    <w:autoRedefine/>
    <w:uiPriority w:val="99"/>
    <w:rsid w:val="00A24D39"/>
    <w:pPr>
      <w:keepNext/>
      <w:widowControl w:val="0"/>
      <w:tabs>
        <w:tab w:val="left" w:pos="1020"/>
      </w:tabs>
      <w:suppressAutoHyphens/>
      <w:autoSpaceDE w:val="0"/>
      <w:autoSpaceDN w:val="0"/>
      <w:adjustRightInd w:val="0"/>
      <w:spacing w:before="240" w:after="240"/>
      <w:ind w:left="1020" w:hanging="360"/>
      <w:textAlignment w:val="center"/>
    </w:pPr>
    <w:rPr>
      <w:rFonts w:eastAsiaTheme="minorEastAsia" w:cs="ITC New Baskerville Std"/>
      <w:i/>
      <w:iCs/>
      <w:color w:val="000000"/>
      <w:szCs w:val="22"/>
      <w:lang w:eastAsia="en-US"/>
    </w:rPr>
  </w:style>
  <w:style w:type="paragraph" w:customStyle="1" w:styleId="5thlevelheadnospace">
    <w:name w:val="5th level head no space"/>
    <w:basedOn w:val="Normal"/>
    <w:autoRedefine/>
    <w:uiPriority w:val="99"/>
    <w:rsid w:val="00A24D39"/>
    <w:pPr>
      <w:keepNext/>
      <w:widowControl w:val="0"/>
      <w:suppressAutoHyphens/>
      <w:autoSpaceDE w:val="0"/>
      <w:autoSpaceDN w:val="0"/>
      <w:adjustRightInd w:val="0"/>
      <w:spacing w:before="240" w:after="240"/>
      <w:ind w:left="821" w:hanging="360"/>
      <w:textAlignment w:val="center"/>
    </w:pPr>
    <w:rPr>
      <w:rFonts w:eastAsiaTheme="minorEastAsia" w:cs="ITC New Baskerville Std"/>
      <w:i/>
      <w:iCs/>
      <w:color w:val="000000"/>
      <w:lang w:eastAsia="en-US"/>
    </w:rPr>
  </w:style>
  <w:style w:type="paragraph" w:customStyle="1" w:styleId="5thlevelheadnospacei">
    <w:name w:val="5th level head no space_i"/>
    <w:basedOn w:val="Normal"/>
    <w:autoRedefine/>
    <w:uiPriority w:val="99"/>
    <w:qFormat/>
    <w:rsid w:val="00A24D39"/>
    <w:pPr>
      <w:keepNext/>
      <w:widowControl w:val="0"/>
      <w:tabs>
        <w:tab w:val="left" w:pos="960"/>
      </w:tabs>
      <w:suppressAutoHyphens/>
      <w:autoSpaceDE w:val="0"/>
      <w:autoSpaceDN w:val="0"/>
      <w:adjustRightInd w:val="0"/>
      <w:spacing w:after="240"/>
      <w:ind w:left="1440" w:hanging="480"/>
      <w:textAlignment w:val="center"/>
    </w:pPr>
    <w:rPr>
      <w:rFonts w:eastAsiaTheme="minorEastAsia" w:cs="Times LT Std"/>
      <w:i/>
      <w:iCs/>
      <w:color w:val="000000"/>
      <w:szCs w:val="22"/>
      <w:lang w:eastAsia="en-US"/>
    </w:rPr>
  </w:style>
  <w:style w:type="paragraph" w:customStyle="1" w:styleId="toc1">
    <w:name w:val="toc1"/>
    <w:basedOn w:val="text"/>
    <w:autoRedefine/>
    <w:uiPriority w:val="99"/>
    <w:qFormat/>
    <w:rsid w:val="00A24D39"/>
    <w:pPr>
      <w:widowControl w:val="0"/>
      <w:tabs>
        <w:tab w:val="clear" w:pos="0"/>
        <w:tab w:val="clear" w:pos="1440"/>
        <w:tab w:val="clear" w:pos="2160"/>
        <w:tab w:val="clear" w:pos="2880"/>
        <w:tab w:val="clear" w:pos="3600"/>
        <w:tab w:val="clear" w:pos="4320"/>
        <w:tab w:val="clear" w:pos="5040"/>
        <w:tab w:val="clear" w:pos="5760"/>
        <w:tab w:val="right" w:leader="dot" w:pos="6240"/>
        <w:tab w:val="left" w:pos="6960"/>
      </w:tabs>
      <w:autoSpaceDE w:val="0"/>
      <w:autoSpaceDN w:val="0"/>
      <w:adjustRightInd w:val="0"/>
      <w:ind w:left="720" w:hanging="720"/>
      <w:textAlignment w:val="center"/>
    </w:pPr>
    <w:rPr>
      <w:rFonts w:cs="ITC New Baskerville Std"/>
      <w:color w:val="000000"/>
      <w:sz w:val="22"/>
    </w:rPr>
  </w:style>
  <w:style w:type="paragraph" w:customStyle="1" w:styleId="5thlevelheadiii0">
    <w:name w:val="5th level head_ii._i"/>
    <w:basedOn w:val="toc1"/>
    <w:autoRedefine/>
    <w:uiPriority w:val="99"/>
    <w:rsid w:val="00A24D39"/>
    <w:pPr>
      <w:keepNext/>
      <w:tabs>
        <w:tab w:val="clear" w:pos="6240"/>
        <w:tab w:val="clear" w:pos="6960"/>
        <w:tab w:val="left" w:pos="1080"/>
      </w:tabs>
      <w:spacing w:before="120" w:after="120"/>
      <w:ind w:left="1080" w:hanging="300"/>
    </w:pPr>
    <w:rPr>
      <w:rFonts w:eastAsiaTheme="minorEastAsia"/>
      <w:i/>
      <w:iCs/>
    </w:rPr>
  </w:style>
  <w:style w:type="paragraph" w:customStyle="1" w:styleId="5thlevelheadiiii">
    <w:name w:val="5th level head_iii._i"/>
    <w:basedOn w:val="Normal"/>
    <w:autoRedefine/>
    <w:uiPriority w:val="99"/>
    <w:rsid w:val="00A24D39"/>
    <w:pPr>
      <w:widowControl w:val="0"/>
      <w:tabs>
        <w:tab w:val="left" w:pos="1200"/>
      </w:tabs>
      <w:autoSpaceDE w:val="0"/>
      <w:autoSpaceDN w:val="0"/>
      <w:adjustRightInd w:val="0"/>
      <w:spacing w:before="120" w:after="120"/>
      <w:ind w:left="1200" w:hanging="420"/>
      <w:textAlignment w:val="center"/>
    </w:pPr>
    <w:rPr>
      <w:rFonts w:eastAsiaTheme="minorEastAsia" w:cs="ITC New Baskerville Std"/>
      <w:i/>
      <w:iCs/>
      <w:color w:val="000000"/>
      <w:lang w:eastAsia="en-US"/>
    </w:rPr>
  </w:style>
  <w:style w:type="paragraph" w:customStyle="1" w:styleId="6thlevelheadai">
    <w:name w:val="6th level head (a)_i"/>
    <w:basedOn w:val="5thlevelhead1i"/>
    <w:autoRedefine/>
    <w:uiPriority w:val="99"/>
    <w:rsid w:val="00A24D39"/>
    <w:pPr>
      <w:tabs>
        <w:tab w:val="clear" w:pos="800"/>
      </w:tabs>
      <w:ind w:left="1159"/>
    </w:pPr>
  </w:style>
  <w:style w:type="paragraph" w:customStyle="1" w:styleId="6thlevelheadai0">
    <w:name w:val="6th level head (a.)_i"/>
    <w:basedOn w:val="5thlevelheadii"/>
    <w:autoRedefine/>
    <w:uiPriority w:val="99"/>
    <w:rsid w:val="00A24D39"/>
    <w:pPr>
      <w:tabs>
        <w:tab w:val="clear" w:pos="960"/>
        <w:tab w:val="left" w:pos="1680"/>
      </w:tabs>
      <w:spacing w:after="120"/>
      <w:ind w:left="1680" w:hanging="360"/>
    </w:pPr>
  </w:style>
  <w:style w:type="paragraph" w:customStyle="1" w:styleId="6thLevelHead1">
    <w:name w:val="6th Level Head 1)"/>
    <w:basedOn w:val="Normal"/>
    <w:autoRedefine/>
    <w:uiPriority w:val="99"/>
    <w:rsid w:val="00A24D39"/>
    <w:pPr>
      <w:keepNext/>
      <w:widowControl w:val="0"/>
      <w:tabs>
        <w:tab w:val="left" w:pos="800"/>
      </w:tabs>
      <w:suppressAutoHyphens/>
      <w:autoSpaceDE w:val="0"/>
      <w:autoSpaceDN w:val="0"/>
      <w:adjustRightInd w:val="0"/>
      <w:spacing w:before="240" w:after="240"/>
      <w:ind w:left="799" w:hanging="360"/>
      <w:textAlignment w:val="center"/>
    </w:pPr>
    <w:rPr>
      <w:rFonts w:eastAsiaTheme="minorEastAsia" w:cs="ITC New Baskerville Std"/>
      <w:color w:val="000000"/>
      <w:szCs w:val="22"/>
      <w:lang w:eastAsia="en-US"/>
    </w:rPr>
  </w:style>
  <w:style w:type="paragraph" w:customStyle="1" w:styleId="6thlevelhead1r">
    <w:name w:val="6th level head 1)_r"/>
    <w:basedOn w:val="Normal"/>
    <w:autoRedefine/>
    <w:uiPriority w:val="99"/>
    <w:rsid w:val="00A24D39"/>
    <w:pPr>
      <w:keepNext/>
      <w:widowControl w:val="0"/>
      <w:tabs>
        <w:tab w:val="left" w:pos="800"/>
      </w:tabs>
      <w:suppressAutoHyphens/>
      <w:autoSpaceDE w:val="0"/>
      <w:autoSpaceDN w:val="0"/>
      <w:adjustRightInd w:val="0"/>
      <w:spacing w:before="240" w:after="240"/>
      <w:ind w:left="799" w:hanging="360"/>
      <w:textAlignment w:val="center"/>
    </w:pPr>
    <w:rPr>
      <w:rFonts w:eastAsiaTheme="minorEastAsia" w:cs="ITC New Baskerville Std"/>
      <w:color w:val="000000"/>
      <w:szCs w:val="22"/>
      <w:lang w:eastAsia="en-US"/>
    </w:rPr>
  </w:style>
  <w:style w:type="paragraph" w:customStyle="1" w:styleId="7thLevelHeada">
    <w:name w:val="7th Level Head a)"/>
    <w:basedOn w:val="6thlevelhead1r"/>
    <w:autoRedefine/>
    <w:uiPriority w:val="99"/>
    <w:rsid w:val="00A24D39"/>
    <w:pPr>
      <w:spacing w:line="240" w:lineRule="atLeast"/>
      <w:ind w:left="800"/>
    </w:pPr>
    <w:rPr>
      <w:i/>
      <w:iCs/>
    </w:rPr>
  </w:style>
  <w:style w:type="paragraph" w:customStyle="1" w:styleId="7thlevelheadnospacei">
    <w:name w:val="7th level head no space_i"/>
    <w:basedOn w:val="Normal"/>
    <w:autoRedefine/>
    <w:uiPriority w:val="99"/>
    <w:qFormat/>
    <w:rsid w:val="00A24D39"/>
    <w:pPr>
      <w:keepNext/>
      <w:widowControl w:val="0"/>
      <w:tabs>
        <w:tab w:val="left" w:pos="800"/>
      </w:tabs>
      <w:suppressAutoHyphens/>
      <w:autoSpaceDE w:val="0"/>
      <w:autoSpaceDN w:val="0"/>
      <w:adjustRightInd w:val="0"/>
      <w:spacing w:after="240"/>
      <w:ind w:left="799" w:hanging="360"/>
      <w:textAlignment w:val="center"/>
    </w:pPr>
    <w:rPr>
      <w:rFonts w:eastAsiaTheme="minorEastAsia" w:cs="ITC New Baskerville Std"/>
      <w:i/>
      <w:iCs/>
      <w:color w:val="000000"/>
      <w:szCs w:val="22"/>
      <w:lang w:eastAsia="en-US"/>
    </w:rPr>
  </w:style>
  <w:style w:type="paragraph" w:customStyle="1" w:styleId="appeboldhead">
    <w:name w:val="app e bold head"/>
    <w:basedOn w:val="Normal"/>
    <w:autoRedefine/>
    <w:uiPriority w:val="99"/>
    <w:rsid w:val="00A24D39"/>
    <w:pPr>
      <w:widowControl w:val="0"/>
      <w:autoSpaceDE w:val="0"/>
      <w:autoSpaceDN w:val="0"/>
      <w:adjustRightInd w:val="0"/>
      <w:spacing w:before="240" w:after="240"/>
      <w:textAlignment w:val="center"/>
    </w:pPr>
    <w:rPr>
      <w:rFonts w:eastAsiaTheme="minorEastAsia" w:cs="ITC New Baskerville Std"/>
      <w:b/>
      <w:bCs/>
      <w:color w:val="000000"/>
      <w:szCs w:val="22"/>
      <w:lang w:eastAsia="en-US"/>
    </w:rPr>
  </w:style>
  <w:style w:type="paragraph" w:customStyle="1" w:styleId="appeblditalic">
    <w:name w:val="app e bld italic"/>
    <w:basedOn w:val="appeboldhead"/>
    <w:autoRedefine/>
    <w:uiPriority w:val="99"/>
    <w:rsid w:val="00A24D39"/>
    <w:rPr>
      <w:i/>
      <w:iCs/>
    </w:rPr>
  </w:style>
  <w:style w:type="paragraph" w:customStyle="1" w:styleId="appestate">
    <w:name w:val="app e state"/>
    <w:basedOn w:val="Normal"/>
    <w:autoRedefine/>
    <w:uiPriority w:val="99"/>
    <w:rsid w:val="00A24D39"/>
    <w:pPr>
      <w:widowControl w:val="0"/>
      <w:suppressAutoHyphens/>
      <w:autoSpaceDE w:val="0"/>
      <w:autoSpaceDN w:val="0"/>
      <w:adjustRightInd w:val="0"/>
      <w:spacing w:before="240"/>
      <w:jc w:val="center"/>
      <w:textAlignment w:val="center"/>
    </w:pPr>
    <w:rPr>
      <w:rFonts w:eastAsiaTheme="minorEastAsia" w:cs="ITC New Baskerville Std"/>
      <w:smallCaps/>
      <w:color w:val="000000"/>
      <w:szCs w:val="22"/>
      <w:lang w:eastAsia="en-US"/>
    </w:rPr>
  </w:style>
  <w:style w:type="paragraph" w:customStyle="1" w:styleId="appetext">
    <w:name w:val="app e text"/>
    <w:basedOn w:val="text"/>
    <w:autoRedefine/>
    <w:uiPriority w:val="99"/>
    <w:rsid w:val="00A24D39"/>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after="120"/>
      <w:ind w:firstLine="0"/>
      <w:textAlignment w:val="center"/>
    </w:pPr>
    <w:rPr>
      <w:rFonts w:eastAsiaTheme="minorEastAsia" w:cs="ITC New Baskerville Std"/>
      <w:color w:val="000000"/>
      <w:sz w:val="22"/>
      <w:szCs w:val="22"/>
    </w:rPr>
  </w:style>
  <w:style w:type="paragraph" w:customStyle="1" w:styleId="apptext">
    <w:name w:val="app text"/>
    <w:basedOn w:val="text"/>
    <w:autoRedefine/>
    <w:uiPriority w:val="99"/>
    <w:rsid w:val="00A24D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0"/>
      <w:textAlignment w:val="center"/>
    </w:pPr>
    <w:rPr>
      <w:rFonts w:cs="Times LT Std"/>
      <w:color w:val="000000"/>
      <w:szCs w:val="20"/>
    </w:rPr>
  </w:style>
  <w:style w:type="paragraph" w:customStyle="1" w:styleId="authorname">
    <w:name w:val="author name"/>
    <w:basedOn w:val="Normal"/>
    <w:autoRedefine/>
    <w:uiPriority w:val="99"/>
    <w:rsid w:val="00A24D39"/>
    <w:pPr>
      <w:widowControl w:val="0"/>
      <w:suppressAutoHyphens/>
      <w:autoSpaceDE w:val="0"/>
      <w:autoSpaceDN w:val="0"/>
      <w:adjustRightInd w:val="0"/>
      <w:textAlignment w:val="center"/>
    </w:pPr>
    <w:rPr>
      <w:rFonts w:eastAsiaTheme="minorEastAsia" w:cs="ITC New Baskerville Std"/>
      <w:i/>
      <w:iCs/>
      <w:color w:val="000000"/>
      <w:sz w:val="28"/>
      <w:szCs w:val="28"/>
      <w:lang w:eastAsia="en-US"/>
    </w:rPr>
  </w:style>
  <w:style w:type="paragraph" w:customStyle="1" w:styleId="AuthorAffl">
    <w:name w:val="Author Affl"/>
    <w:basedOn w:val="authorname"/>
    <w:autoRedefine/>
    <w:uiPriority w:val="99"/>
    <w:qFormat/>
    <w:rsid w:val="00A24D39"/>
    <w:pPr>
      <w:spacing w:after="480" w:line="250" w:lineRule="atLeast"/>
      <w:jc w:val="center"/>
    </w:pPr>
    <w:rPr>
      <w:rFonts w:cs="Times LT Std"/>
      <w:sz w:val="24"/>
      <w:szCs w:val="23"/>
    </w:rPr>
  </w:style>
  <w:style w:type="paragraph" w:customStyle="1" w:styleId="AuthorName0">
    <w:name w:val="Author Name"/>
    <w:basedOn w:val="text"/>
    <w:autoRedefine/>
    <w:uiPriority w:val="99"/>
    <w:qFormat/>
    <w:rsid w:val="00A24D39"/>
    <w:pPr>
      <w:widowControl w:val="0"/>
      <w:tabs>
        <w:tab w:val="clear" w:pos="0"/>
        <w:tab w:val="clear" w:pos="720"/>
        <w:tab w:val="clear" w:pos="1440"/>
        <w:tab w:val="clear" w:pos="2160"/>
        <w:tab w:val="clear" w:pos="2880"/>
        <w:tab w:val="clear" w:pos="3600"/>
        <w:tab w:val="clear" w:pos="4320"/>
        <w:tab w:val="clear" w:pos="5040"/>
        <w:tab w:val="clear" w:pos="5760"/>
      </w:tabs>
      <w:suppressAutoHyphens/>
      <w:autoSpaceDE w:val="0"/>
      <w:autoSpaceDN w:val="0"/>
      <w:adjustRightInd w:val="0"/>
      <w:ind w:firstLine="0"/>
      <w:jc w:val="center"/>
      <w:textAlignment w:val="center"/>
    </w:pPr>
    <w:rPr>
      <w:rFonts w:eastAsiaTheme="minorEastAsia" w:cs="Times LT Std"/>
      <w:smallCaps/>
      <w:color w:val="000000"/>
      <w:szCs w:val="25"/>
    </w:rPr>
  </w:style>
  <w:style w:type="paragraph" w:customStyle="1" w:styleId="authornameSC">
    <w:name w:val="author name SC"/>
    <w:basedOn w:val="authorname"/>
    <w:autoRedefine/>
    <w:qFormat/>
    <w:rsid w:val="00A24D39"/>
    <w:pPr>
      <w:spacing w:after="240"/>
      <w:jc w:val="center"/>
    </w:pPr>
    <w:rPr>
      <w:rFonts w:cs="Times New Roman"/>
      <w:i w:val="0"/>
      <w:smallCaps/>
      <w:sz w:val="24"/>
    </w:rPr>
  </w:style>
  <w:style w:type="paragraph" w:customStyle="1" w:styleId="authortitle">
    <w:name w:val="author title"/>
    <w:basedOn w:val="Normal"/>
    <w:autoRedefine/>
    <w:uiPriority w:val="99"/>
    <w:rsid w:val="00A24D39"/>
    <w:pPr>
      <w:widowControl w:val="0"/>
      <w:suppressAutoHyphens/>
      <w:autoSpaceDE w:val="0"/>
      <w:autoSpaceDN w:val="0"/>
      <w:adjustRightInd w:val="0"/>
      <w:spacing w:after="240"/>
      <w:ind w:left="240"/>
      <w:textAlignment w:val="center"/>
    </w:pPr>
    <w:rPr>
      <w:rFonts w:eastAsiaTheme="minorEastAsia" w:cs="ITC New Baskerville Std"/>
      <w:i/>
      <w:iCs/>
      <w:color w:val="000000"/>
      <w:sz w:val="22"/>
      <w:szCs w:val="22"/>
      <w:lang w:eastAsia="en-US"/>
    </w:rPr>
  </w:style>
  <w:style w:type="paragraph" w:customStyle="1" w:styleId="block">
    <w:name w:val="block"/>
    <w:basedOn w:val="Normal"/>
    <w:autoRedefine/>
    <w:qFormat/>
    <w:rsid w:val="00A24D39"/>
    <w:pPr>
      <w:spacing w:before="240" w:after="240"/>
      <w:ind w:left="720" w:firstLine="720"/>
    </w:pPr>
    <w:rPr>
      <w:rFonts w:eastAsiaTheme="minorEastAsia" w:cstheme="minorBidi"/>
      <w:sz w:val="20"/>
      <w:szCs w:val="22"/>
      <w:lang w:eastAsia="en-US"/>
    </w:rPr>
  </w:style>
  <w:style w:type="paragraph" w:customStyle="1" w:styleId="block-f--0">
    <w:name w:val="block-f/-/-"/>
    <w:basedOn w:val="Normal"/>
    <w:autoRedefine/>
    <w:qFormat/>
    <w:rsid w:val="00A24D39"/>
    <w:pPr>
      <w:ind w:left="720"/>
    </w:pPr>
    <w:rPr>
      <w:rFonts w:eastAsiaTheme="minorEastAsia" w:cstheme="minorBidi"/>
      <w:sz w:val="20"/>
      <w:szCs w:val="22"/>
      <w:lang w:eastAsia="en-US"/>
    </w:rPr>
  </w:style>
  <w:style w:type="paragraph" w:customStyle="1" w:styleId="block-p0">
    <w:name w:val="block-p/+/+"/>
    <w:basedOn w:val="block-f--0"/>
    <w:uiPriority w:val="99"/>
    <w:qFormat/>
    <w:rsid w:val="00A24D39"/>
    <w:pPr>
      <w:spacing w:before="240" w:after="240"/>
    </w:pPr>
  </w:style>
  <w:style w:type="paragraph" w:customStyle="1" w:styleId="block--">
    <w:name w:val="block- /+/-"/>
    <w:basedOn w:val="block-p0"/>
    <w:autoRedefine/>
    <w:qFormat/>
    <w:rsid w:val="00A24D39"/>
    <w:pPr>
      <w:spacing w:after="0"/>
      <w:ind w:firstLine="720"/>
    </w:pPr>
  </w:style>
  <w:style w:type="paragraph" w:customStyle="1" w:styleId="block---">
    <w:name w:val="block- /-/-"/>
    <w:basedOn w:val="block--"/>
    <w:autoRedefine/>
    <w:qFormat/>
    <w:rsid w:val="00A24D39"/>
    <w:pPr>
      <w:spacing w:before="0"/>
    </w:pPr>
  </w:style>
  <w:style w:type="paragraph" w:customStyle="1" w:styleId="block2ndindent">
    <w:name w:val="block 2nd indent"/>
    <w:basedOn w:val="Normal"/>
    <w:autoRedefine/>
    <w:uiPriority w:val="99"/>
    <w:rsid w:val="00A24D39"/>
    <w:pPr>
      <w:widowControl w:val="0"/>
      <w:autoSpaceDE w:val="0"/>
      <w:autoSpaceDN w:val="0"/>
      <w:adjustRightInd w:val="0"/>
      <w:ind w:left="1440"/>
      <w:textAlignment w:val="center"/>
    </w:pPr>
    <w:rPr>
      <w:rFonts w:eastAsiaTheme="minorEastAsia" w:cs="ITC New Baskerville Std"/>
      <w:color w:val="000000"/>
      <w:sz w:val="20"/>
      <w:szCs w:val="20"/>
      <w:lang w:eastAsia="en-US"/>
    </w:rPr>
  </w:style>
  <w:style w:type="paragraph" w:customStyle="1" w:styleId="block2ndindent-">
    <w:name w:val="block 2nd indent -/+"/>
    <w:basedOn w:val="Normal"/>
    <w:autoRedefine/>
    <w:uiPriority w:val="99"/>
    <w:rsid w:val="00A24D39"/>
    <w:pPr>
      <w:widowControl w:val="0"/>
      <w:autoSpaceDE w:val="0"/>
      <w:autoSpaceDN w:val="0"/>
      <w:adjustRightInd w:val="0"/>
      <w:spacing w:after="240"/>
      <w:ind w:left="1440"/>
      <w:textAlignment w:val="center"/>
    </w:pPr>
    <w:rPr>
      <w:rFonts w:eastAsiaTheme="minorHAnsi" w:cs="ITC New Baskerville Std"/>
      <w:color w:val="000000"/>
      <w:sz w:val="20"/>
      <w:szCs w:val="20"/>
      <w:lang w:eastAsia="en-US"/>
    </w:rPr>
  </w:style>
  <w:style w:type="paragraph" w:customStyle="1" w:styleId="block2ndindent-6">
    <w:name w:val="block 2nd indent -/+ 6"/>
    <w:basedOn w:val="Normal"/>
    <w:autoRedefine/>
    <w:uiPriority w:val="99"/>
    <w:rsid w:val="00A24D39"/>
    <w:pPr>
      <w:widowControl w:val="0"/>
      <w:autoSpaceDE w:val="0"/>
      <w:autoSpaceDN w:val="0"/>
      <w:adjustRightInd w:val="0"/>
      <w:spacing w:after="120"/>
      <w:ind w:left="1440"/>
      <w:textAlignment w:val="center"/>
    </w:pPr>
    <w:rPr>
      <w:rFonts w:eastAsiaTheme="minorEastAsia" w:cs="ITC New Baskerville Std"/>
      <w:color w:val="000000"/>
      <w:sz w:val="20"/>
      <w:szCs w:val="20"/>
      <w:lang w:eastAsia="en-US"/>
    </w:rPr>
  </w:style>
  <w:style w:type="paragraph" w:customStyle="1" w:styleId="block2ndindent-space">
    <w:name w:val="block 2nd indent -/+ space"/>
    <w:basedOn w:val="block2ndindent"/>
    <w:uiPriority w:val="99"/>
    <w:rsid w:val="00A24D39"/>
    <w:pPr>
      <w:spacing w:before="120"/>
    </w:pPr>
  </w:style>
  <w:style w:type="paragraph" w:customStyle="1" w:styleId="block2ndindentspace">
    <w:name w:val="block 2nd indent + space"/>
    <w:basedOn w:val="block2ndindent"/>
    <w:autoRedefine/>
    <w:uiPriority w:val="99"/>
    <w:rsid w:val="00A24D39"/>
    <w:pPr>
      <w:spacing w:before="120"/>
    </w:pPr>
  </w:style>
  <w:style w:type="paragraph" w:customStyle="1" w:styleId="block2ndindentnew-">
    <w:name w:val="block 2nd indent new -/+"/>
    <w:basedOn w:val="Normal"/>
    <w:autoRedefine/>
    <w:qFormat/>
    <w:rsid w:val="00A24D39"/>
    <w:pPr>
      <w:ind w:left="1440"/>
    </w:pPr>
    <w:rPr>
      <w:rFonts w:eastAsiaTheme="minorEastAsia"/>
      <w:sz w:val="20"/>
      <w:szCs w:val="22"/>
      <w:lang w:eastAsia="en-US"/>
    </w:rPr>
  </w:style>
  <w:style w:type="paragraph" w:customStyle="1" w:styleId="block2ndindentnl">
    <w:name w:val="block 2nd indent nl"/>
    <w:basedOn w:val="block2ndindent"/>
    <w:uiPriority w:val="99"/>
    <w:rsid w:val="00A24D39"/>
    <w:pPr>
      <w:tabs>
        <w:tab w:val="left" w:pos="1260"/>
      </w:tabs>
      <w:ind w:left="1920" w:hanging="480"/>
    </w:pPr>
  </w:style>
  <w:style w:type="paragraph" w:customStyle="1" w:styleId="block2ndindent0">
    <w:name w:val="block 2nd indent/+/+"/>
    <w:basedOn w:val="Normal"/>
    <w:autoRedefine/>
    <w:uiPriority w:val="99"/>
    <w:rsid w:val="00A24D39"/>
    <w:pPr>
      <w:spacing w:after="240"/>
      <w:ind w:left="1440" w:firstLine="720"/>
    </w:pPr>
    <w:rPr>
      <w:rFonts w:eastAsiaTheme="minorHAnsi" w:cstheme="minorBidi"/>
      <w:sz w:val="20"/>
      <w:lang w:eastAsia="en-US"/>
    </w:rPr>
  </w:style>
  <w:style w:type="paragraph" w:customStyle="1" w:styleId="block2ndindent-p">
    <w:name w:val="block 2nd indent-p"/>
    <w:basedOn w:val="block2ndindent"/>
    <w:autoRedefine/>
    <w:uiPriority w:val="99"/>
    <w:rsid w:val="00A24D39"/>
    <w:pPr>
      <w:ind w:firstLine="720"/>
    </w:pPr>
  </w:style>
  <w:style w:type="paragraph" w:customStyle="1" w:styleId="block3rdindent">
    <w:name w:val="block 3rd indent"/>
    <w:basedOn w:val="Normal"/>
    <w:autoRedefine/>
    <w:uiPriority w:val="99"/>
    <w:qFormat/>
    <w:rsid w:val="00A24D39"/>
    <w:pPr>
      <w:spacing w:after="240"/>
      <w:ind w:left="2160" w:firstLine="720"/>
    </w:pPr>
    <w:rPr>
      <w:rFonts w:eastAsiaTheme="minorEastAsia"/>
      <w:sz w:val="20"/>
      <w:szCs w:val="22"/>
      <w:lang w:eastAsia="en-US"/>
    </w:rPr>
  </w:style>
  <w:style w:type="paragraph" w:customStyle="1" w:styleId="blockbullet">
    <w:name w:val="block bullet"/>
    <w:basedOn w:val="Normal"/>
    <w:autoRedefine/>
    <w:qFormat/>
    <w:rsid w:val="00A24D39"/>
    <w:pPr>
      <w:ind w:left="900" w:hanging="180"/>
    </w:pPr>
    <w:rPr>
      <w:rFonts w:eastAsiaTheme="minorEastAsia" w:cstheme="minorBidi"/>
      <w:sz w:val="20"/>
      <w:szCs w:val="22"/>
      <w:lang w:eastAsia="en-US"/>
    </w:rPr>
  </w:style>
  <w:style w:type="paragraph" w:customStyle="1" w:styleId="blocknumberlist">
    <w:name w:val="block number list"/>
    <w:basedOn w:val="block-f"/>
    <w:autoRedefine/>
    <w:uiPriority w:val="99"/>
    <w:qFormat/>
    <w:rsid w:val="00A24D39"/>
    <w:pPr>
      <w:widowControl w:val="0"/>
      <w:tabs>
        <w:tab w:val="left" w:pos="1080"/>
      </w:tabs>
      <w:autoSpaceDE w:val="0"/>
      <w:autoSpaceDN w:val="0"/>
      <w:adjustRightInd w:val="0"/>
      <w:spacing w:before="0" w:after="0"/>
      <w:ind w:left="1440" w:hanging="360"/>
      <w:textAlignment w:val="center"/>
    </w:pPr>
    <w:rPr>
      <w:rFonts w:cs="ITC New Baskerville Std"/>
      <w:color w:val="000000"/>
      <w:szCs w:val="21"/>
    </w:rPr>
  </w:style>
  <w:style w:type="paragraph" w:customStyle="1" w:styleId="blocknumberlistnlii">
    <w:name w:val="block number list/nl/(ii)"/>
    <w:basedOn w:val="blocknumberlist"/>
    <w:autoRedefine/>
    <w:uiPriority w:val="99"/>
    <w:qFormat/>
    <w:rsid w:val="00A24D39"/>
    <w:pPr>
      <w:tabs>
        <w:tab w:val="left" w:pos="1400"/>
      </w:tabs>
      <w:ind w:left="2160"/>
    </w:pPr>
  </w:style>
  <w:style w:type="paragraph" w:customStyle="1" w:styleId="blocknumberlistnlii1">
    <w:name w:val="block number list nl/(ii)(1)"/>
    <w:basedOn w:val="blocknumberlistnlii"/>
    <w:autoRedefine/>
    <w:uiPriority w:val="99"/>
    <w:qFormat/>
    <w:rsid w:val="00A24D39"/>
  </w:style>
  <w:style w:type="paragraph" w:customStyle="1" w:styleId="blocknumberlistal">
    <w:name w:val="block number list/al"/>
    <w:basedOn w:val="Normal"/>
    <w:autoRedefine/>
    <w:qFormat/>
    <w:rsid w:val="00A24D39"/>
    <w:pPr>
      <w:widowControl w:val="0"/>
      <w:tabs>
        <w:tab w:val="left" w:pos="1200"/>
      </w:tabs>
      <w:autoSpaceDE w:val="0"/>
      <w:autoSpaceDN w:val="0"/>
      <w:adjustRightInd w:val="0"/>
      <w:ind w:left="1560" w:hanging="360"/>
      <w:textAlignment w:val="center"/>
    </w:pPr>
    <w:rPr>
      <w:rFonts w:eastAsiaTheme="minorEastAsia"/>
      <w:color w:val="000000"/>
      <w:sz w:val="20"/>
      <w:szCs w:val="20"/>
      <w:lang w:eastAsia="en-US"/>
    </w:rPr>
  </w:style>
  <w:style w:type="paragraph" w:customStyle="1" w:styleId="blockquotenumberliststart">
    <w:name w:val="block quote number list start"/>
    <w:basedOn w:val="Normal"/>
    <w:autoRedefine/>
    <w:qFormat/>
    <w:rsid w:val="00A24D39"/>
    <w:pPr>
      <w:tabs>
        <w:tab w:val="left" w:pos="1200"/>
      </w:tabs>
      <w:spacing w:before="240"/>
      <w:ind w:left="1200" w:hanging="480"/>
    </w:pPr>
    <w:rPr>
      <w:rFonts w:eastAsiaTheme="minorEastAsia" w:cstheme="minorBidi"/>
      <w:sz w:val="20"/>
      <w:szCs w:val="20"/>
      <w:lang w:eastAsia="en-US"/>
    </w:rPr>
  </w:style>
  <w:style w:type="paragraph" w:customStyle="1" w:styleId="blocknumbernl">
    <w:name w:val="block number nl"/>
    <w:basedOn w:val="blockquotenumberliststart"/>
    <w:autoRedefine/>
    <w:qFormat/>
    <w:rsid w:val="00A24D39"/>
    <w:pPr>
      <w:spacing w:before="0"/>
    </w:pPr>
  </w:style>
  <w:style w:type="paragraph" w:customStyle="1" w:styleId="footnote">
    <w:name w:val="footnote"/>
    <w:basedOn w:val="Normal"/>
    <w:autoRedefine/>
    <w:uiPriority w:val="99"/>
    <w:qFormat/>
    <w:rsid w:val="00A24D39"/>
    <w:pPr>
      <w:widowControl w:val="0"/>
      <w:ind w:firstLine="720"/>
    </w:pPr>
    <w:rPr>
      <w:sz w:val="20"/>
      <w:szCs w:val="22"/>
      <w:lang w:eastAsia="en-US"/>
    </w:rPr>
  </w:style>
  <w:style w:type="paragraph" w:customStyle="1" w:styleId="blocknumbernlstart">
    <w:name w:val="block number nl start"/>
    <w:basedOn w:val="footnote"/>
    <w:autoRedefine/>
    <w:qFormat/>
    <w:rsid w:val="00A24D39"/>
    <w:pPr>
      <w:spacing w:before="240"/>
      <w:ind w:left="1200" w:hanging="480"/>
    </w:pPr>
  </w:style>
  <w:style w:type="paragraph" w:customStyle="1" w:styleId="blockp">
    <w:name w:val="block p +/+"/>
    <w:basedOn w:val="Normal"/>
    <w:autoRedefine/>
    <w:uiPriority w:val="99"/>
    <w:rsid w:val="00A24D39"/>
    <w:pPr>
      <w:widowControl w:val="0"/>
      <w:autoSpaceDE w:val="0"/>
      <w:autoSpaceDN w:val="0"/>
      <w:adjustRightInd w:val="0"/>
      <w:spacing w:before="240" w:after="240"/>
      <w:ind w:left="439" w:firstLine="439"/>
      <w:textAlignment w:val="center"/>
    </w:pPr>
    <w:rPr>
      <w:rFonts w:eastAsiaTheme="minorEastAsia" w:cs="ITC New Baskerville Std"/>
      <w:color w:val="000000"/>
      <w:sz w:val="20"/>
      <w:szCs w:val="20"/>
      <w:lang w:eastAsia="en-US"/>
    </w:rPr>
  </w:style>
  <w:style w:type="paragraph" w:customStyle="1" w:styleId="blockquote">
    <w:name w:val="block quote"/>
    <w:basedOn w:val="Normal"/>
    <w:autoRedefine/>
    <w:uiPriority w:val="99"/>
    <w:qFormat/>
    <w:rsid w:val="00A24D39"/>
    <w:pPr>
      <w:spacing w:before="240" w:after="240"/>
      <w:ind w:left="720"/>
    </w:pPr>
    <w:rPr>
      <w:rFonts w:eastAsiaTheme="minorEastAsia" w:cstheme="minorBidi"/>
      <w:sz w:val="20"/>
      <w:szCs w:val="28"/>
      <w:lang w:eastAsia="en-US"/>
    </w:rPr>
  </w:style>
  <w:style w:type="paragraph" w:customStyle="1" w:styleId="Blockquote0">
    <w:name w:val="Block quote"/>
    <w:basedOn w:val="text"/>
    <w:autoRedefine/>
    <w:uiPriority w:val="99"/>
    <w:rsid w:val="00A24D39"/>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before="240" w:after="240"/>
      <w:ind w:left="720" w:firstLine="0"/>
      <w:jc w:val="both"/>
      <w:textAlignment w:val="center"/>
    </w:pPr>
    <w:rPr>
      <w:rFonts w:eastAsiaTheme="minorEastAsia" w:cs="NewCenturySchlbk"/>
      <w:color w:val="000000"/>
      <w:sz w:val="20"/>
      <w:szCs w:val="20"/>
    </w:rPr>
  </w:style>
  <w:style w:type="paragraph" w:customStyle="1" w:styleId="blockquotenoparaindent">
    <w:name w:val="block quote / no para indent"/>
    <w:basedOn w:val="Normal"/>
    <w:autoRedefine/>
    <w:uiPriority w:val="99"/>
    <w:rsid w:val="00A24D39"/>
    <w:pPr>
      <w:widowControl w:val="0"/>
      <w:autoSpaceDE w:val="0"/>
      <w:autoSpaceDN w:val="0"/>
      <w:adjustRightInd w:val="0"/>
      <w:spacing w:before="240" w:after="240"/>
      <w:ind w:left="720"/>
      <w:textAlignment w:val="center"/>
    </w:pPr>
    <w:rPr>
      <w:rFonts w:eastAsiaTheme="minorEastAsia" w:cs="ITC New Baskerville Std"/>
      <w:color w:val="000000"/>
      <w:sz w:val="20"/>
      <w:szCs w:val="20"/>
      <w:lang w:eastAsia="en-US"/>
    </w:rPr>
  </w:style>
  <w:style w:type="paragraph" w:customStyle="1" w:styleId="blockquote16pt">
    <w:name w:val="block quote 1/6 pt"/>
    <w:basedOn w:val="block-f-"/>
    <w:autoRedefine/>
    <w:uiPriority w:val="99"/>
    <w:rsid w:val="00A24D39"/>
    <w:pPr>
      <w:spacing w:after="120"/>
    </w:pPr>
  </w:style>
  <w:style w:type="paragraph" w:customStyle="1" w:styleId="blockquote2ndindent-2pt">
    <w:name w:val="block quote 2nd indent -/2 pt"/>
    <w:basedOn w:val="Normal"/>
    <w:autoRedefine/>
    <w:uiPriority w:val="99"/>
    <w:rsid w:val="00A24D39"/>
    <w:pPr>
      <w:widowControl w:val="0"/>
      <w:autoSpaceDE w:val="0"/>
      <w:autoSpaceDN w:val="0"/>
      <w:adjustRightInd w:val="0"/>
      <w:ind w:left="1440"/>
      <w:textAlignment w:val="center"/>
    </w:pPr>
    <w:rPr>
      <w:rFonts w:eastAsiaTheme="minorEastAsia" w:cs="Times LT Std"/>
      <w:color w:val="000000"/>
      <w:sz w:val="20"/>
      <w:szCs w:val="20"/>
      <w:lang w:eastAsia="en-US"/>
    </w:rPr>
  </w:style>
  <w:style w:type="paragraph" w:customStyle="1" w:styleId="blockquote3rdindent">
    <w:name w:val="block quote 3rd indent"/>
    <w:basedOn w:val="Normal"/>
    <w:autoRedefine/>
    <w:uiPriority w:val="99"/>
    <w:rsid w:val="00A24D39"/>
    <w:pPr>
      <w:widowControl w:val="0"/>
      <w:autoSpaceDE w:val="0"/>
      <w:autoSpaceDN w:val="0"/>
      <w:adjustRightInd w:val="0"/>
      <w:ind w:left="2160"/>
      <w:textAlignment w:val="center"/>
    </w:pPr>
    <w:rPr>
      <w:rFonts w:eastAsiaTheme="minorEastAsia" w:cs="Times LT Std"/>
      <w:color w:val="000000"/>
      <w:sz w:val="20"/>
      <w:szCs w:val="20"/>
      <w:lang w:eastAsia="en-US"/>
    </w:rPr>
  </w:style>
  <w:style w:type="paragraph" w:customStyle="1" w:styleId="blockquote62">
    <w:name w:val="block quote 6/2"/>
    <w:basedOn w:val="blockquote"/>
    <w:autoRedefine/>
    <w:uiPriority w:val="99"/>
    <w:rsid w:val="00A24D39"/>
    <w:pPr>
      <w:widowControl w:val="0"/>
      <w:autoSpaceDE w:val="0"/>
      <w:autoSpaceDN w:val="0"/>
      <w:adjustRightInd w:val="0"/>
      <w:spacing w:after="0"/>
      <w:textAlignment w:val="center"/>
    </w:pPr>
    <w:rPr>
      <w:rFonts w:cs="Times LT Std"/>
      <w:color w:val="000000"/>
    </w:rPr>
  </w:style>
  <w:style w:type="paragraph" w:customStyle="1" w:styleId="Blockquoteflush">
    <w:name w:val="Block quote flush"/>
    <w:basedOn w:val="Normal"/>
    <w:autoRedefine/>
    <w:uiPriority w:val="99"/>
    <w:rsid w:val="00A24D39"/>
    <w:pPr>
      <w:spacing w:before="240" w:after="240"/>
      <w:ind w:left="720"/>
    </w:pPr>
    <w:rPr>
      <w:rFonts w:eastAsiaTheme="minorEastAsia" w:cstheme="minorBidi"/>
      <w:sz w:val="20"/>
      <w:szCs w:val="20"/>
      <w:lang w:eastAsia="en-US"/>
    </w:rPr>
  </w:style>
  <w:style w:type="paragraph" w:customStyle="1" w:styleId="blockquotenumberlist">
    <w:name w:val="block quote number list"/>
    <w:basedOn w:val="blockquotenumberliststart"/>
    <w:autoRedefine/>
    <w:qFormat/>
    <w:rsid w:val="00A24D39"/>
    <w:pPr>
      <w:spacing w:before="0"/>
    </w:pPr>
  </w:style>
  <w:style w:type="paragraph" w:customStyle="1" w:styleId="blockquotelist1p6">
    <w:name w:val="block quote list 1p6"/>
    <w:basedOn w:val="blockquotenumberlist"/>
    <w:autoRedefine/>
    <w:uiPriority w:val="99"/>
    <w:rsid w:val="00A24D39"/>
    <w:pPr>
      <w:widowControl w:val="0"/>
      <w:tabs>
        <w:tab w:val="clear" w:pos="1200"/>
        <w:tab w:val="left" w:pos="760"/>
      </w:tabs>
      <w:autoSpaceDE w:val="0"/>
      <w:autoSpaceDN w:val="0"/>
      <w:adjustRightInd w:val="0"/>
      <w:ind w:left="1080" w:hanging="360"/>
      <w:textAlignment w:val="center"/>
    </w:pPr>
    <w:rPr>
      <w:rFonts w:cs="Times LT Std"/>
      <w:color w:val="000000"/>
    </w:rPr>
  </w:style>
  <w:style w:type="paragraph" w:customStyle="1" w:styleId="blockquotenumberlistend">
    <w:name w:val="block quote number list end"/>
    <w:basedOn w:val="Normal"/>
    <w:autoRedefine/>
    <w:qFormat/>
    <w:rsid w:val="00A24D39"/>
    <w:pPr>
      <w:tabs>
        <w:tab w:val="left" w:pos="1200"/>
      </w:tabs>
      <w:spacing w:after="240"/>
      <w:ind w:left="1200" w:hanging="480"/>
    </w:pPr>
    <w:rPr>
      <w:rFonts w:eastAsiaTheme="minorEastAsia" w:cstheme="minorBidi"/>
      <w:sz w:val="20"/>
      <w:szCs w:val="20"/>
      <w:lang w:eastAsia="en-US"/>
    </w:rPr>
  </w:style>
  <w:style w:type="paragraph" w:customStyle="1" w:styleId="blockquotepara02">
    <w:name w:val="block quote para 0/2"/>
    <w:basedOn w:val="Normal"/>
    <w:autoRedefine/>
    <w:uiPriority w:val="99"/>
    <w:rsid w:val="00A24D39"/>
    <w:pPr>
      <w:widowControl w:val="0"/>
      <w:autoSpaceDE w:val="0"/>
      <w:autoSpaceDN w:val="0"/>
      <w:adjustRightInd w:val="0"/>
      <w:ind w:left="720" w:firstLine="720"/>
      <w:textAlignment w:val="center"/>
    </w:pPr>
    <w:rPr>
      <w:rFonts w:eastAsiaTheme="minorEastAsia" w:cs="Times LT Std"/>
      <w:color w:val="000000"/>
      <w:sz w:val="20"/>
      <w:szCs w:val="22"/>
      <w:lang w:eastAsia="en-US"/>
    </w:rPr>
  </w:style>
  <w:style w:type="paragraph" w:customStyle="1" w:styleId="blockquotepara06">
    <w:name w:val="block quote para 0/6"/>
    <w:basedOn w:val="Normal"/>
    <w:autoRedefine/>
    <w:uiPriority w:val="99"/>
    <w:rsid w:val="00A24D39"/>
    <w:pPr>
      <w:widowControl w:val="0"/>
      <w:autoSpaceDE w:val="0"/>
      <w:autoSpaceDN w:val="0"/>
      <w:adjustRightInd w:val="0"/>
      <w:spacing w:after="240"/>
      <w:ind w:left="720" w:firstLine="720"/>
      <w:textAlignment w:val="center"/>
    </w:pPr>
    <w:rPr>
      <w:rFonts w:eastAsiaTheme="minorEastAsia" w:cs="Times LT Std"/>
      <w:color w:val="000000"/>
      <w:sz w:val="20"/>
      <w:szCs w:val="22"/>
      <w:lang w:eastAsia="en-US"/>
    </w:rPr>
  </w:style>
  <w:style w:type="paragraph" w:customStyle="1" w:styleId="blockquotepara62">
    <w:name w:val="block quote para 6/2"/>
    <w:basedOn w:val="Normal"/>
    <w:autoRedefine/>
    <w:uiPriority w:val="99"/>
    <w:rsid w:val="00A24D39"/>
    <w:pPr>
      <w:widowControl w:val="0"/>
      <w:autoSpaceDE w:val="0"/>
      <w:autoSpaceDN w:val="0"/>
      <w:adjustRightInd w:val="0"/>
      <w:spacing w:before="240"/>
      <w:ind w:left="720" w:firstLine="720"/>
      <w:textAlignment w:val="center"/>
    </w:pPr>
    <w:rPr>
      <w:rFonts w:eastAsiaTheme="minorEastAsia" w:cs="Times LT Std"/>
      <w:color w:val="000000"/>
      <w:sz w:val="20"/>
      <w:szCs w:val="22"/>
      <w:lang w:eastAsia="en-US"/>
    </w:rPr>
  </w:style>
  <w:style w:type="paragraph" w:customStyle="1" w:styleId="block-p-1">
    <w:name w:val="block-p/+/-"/>
    <w:basedOn w:val="block-p0"/>
    <w:autoRedefine/>
    <w:qFormat/>
    <w:rsid w:val="00A24D39"/>
    <w:pPr>
      <w:spacing w:after="0"/>
      <w:ind w:firstLine="720"/>
    </w:pPr>
  </w:style>
  <w:style w:type="paragraph" w:customStyle="1" w:styleId="block-p--0">
    <w:name w:val="block-p/-/-"/>
    <w:basedOn w:val="block-p-1"/>
    <w:autoRedefine/>
    <w:qFormat/>
    <w:rsid w:val="00A24D39"/>
    <w:pPr>
      <w:spacing w:before="0"/>
    </w:pPr>
  </w:style>
  <w:style w:type="paragraph" w:customStyle="1" w:styleId="blockquote-f--">
    <w:name w:val="block quote-f /-/-"/>
    <w:basedOn w:val="block-p--0"/>
    <w:autoRedefine/>
    <w:uiPriority w:val="99"/>
    <w:rsid w:val="00A24D39"/>
    <w:pPr>
      <w:widowControl w:val="0"/>
      <w:autoSpaceDE w:val="0"/>
      <w:autoSpaceDN w:val="0"/>
      <w:adjustRightInd w:val="0"/>
      <w:ind w:firstLine="0"/>
      <w:jc w:val="both"/>
      <w:textAlignment w:val="center"/>
    </w:pPr>
    <w:rPr>
      <w:rFonts w:cs="ITC New Baskerville Std"/>
      <w:color w:val="000000"/>
      <w:szCs w:val="20"/>
    </w:rPr>
  </w:style>
  <w:style w:type="paragraph" w:customStyle="1" w:styleId="blockquote-p">
    <w:name w:val="block quote-p"/>
    <w:basedOn w:val="Normal"/>
    <w:autoRedefine/>
    <w:qFormat/>
    <w:rsid w:val="00A24D39"/>
    <w:pPr>
      <w:spacing w:before="240" w:after="240"/>
      <w:ind w:left="720" w:firstLine="720"/>
    </w:pPr>
    <w:rPr>
      <w:rFonts w:eastAsiaTheme="minorEastAsia" w:cstheme="minorBidi"/>
      <w:szCs w:val="22"/>
      <w:lang w:eastAsia="en-US"/>
    </w:rPr>
  </w:style>
  <w:style w:type="paragraph" w:customStyle="1" w:styleId="blockquote-p0">
    <w:name w:val="block quote-p +/+"/>
    <w:basedOn w:val="Normal"/>
    <w:autoRedefine/>
    <w:uiPriority w:val="99"/>
    <w:rsid w:val="00A24D39"/>
    <w:pPr>
      <w:widowControl w:val="0"/>
      <w:autoSpaceDE w:val="0"/>
      <w:autoSpaceDN w:val="0"/>
      <w:adjustRightInd w:val="0"/>
      <w:spacing w:before="240" w:after="240"/>
      <w:ind w:left="720" w:firstLine="720"/>
      <w:jc w:val="both"/>
      <w:textAlignment w:val="center"/>
    </w:pPr>
    <w:rPr>
      <w:rFonts w:eastAsiaTheme="minorEastAsia"/>
      <w:color w:val="000000"/>
      <w:sz w:val="20"/>
      <w:szCs w:val="20"/>
      <w:lang w:eastAsia="en-US"/>
    </w:rPr>
  </w:style>
  <w:style w:type="paragraph" w:styleId="BlockText">
    <w:name w:val="Block Text"/>
    <w:basedOn w:val="Normal"/>
    <w:autoRedefine/>
    <w:uiPriority w:val="99"/>
    <w:semiHidden/>
    <w:unhideWhenUsed/>
    <w:rsid w:val="00A24D39"/>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spacing w:before="240" w:after="240"/>
      <w:ind w:left="720" w:firstLine="720"/>
    </w:pPr>
    <w:rPr>
      <w:rFonts w:eastAsiaTheme="minorEastAsia" w:cstheme="minorBidi"/>
      <w:i/>
      <w:iCs/>
      <w:sz w:val="20"/>
      <w:szCs w:val="22"/>
      <w:lang w:eastAsia="en-US"/>
    </w:rPr>
  </w:style>
  <w:style w:type="paragraph" w:customStyle="1" w:styleId="block-bl">
    <w:name w:val="block-bl"/>
    <w:basedOn w:val="Normal"/>
    <w:autoRedefine/>
    <w:uiPriority w:val="99"/>
    <w:rsid w:val="00A24D39"/>
    <w:pPr>
      <w:widowControl w:val="0"/>
      <w:tabs>
        <w:tab w:val="left" w:pos="900"/>
      </w:tabs>
      <w:autoSpaceDE w:val="0"/>
      <w:autoSpaceDN w:val="0"/>
      <w:adjustRightInd w:val="0"/>
      <w:ind w:left="900" w:hanging="180"/>
      <w:textAlignment w:val="center"/>
    </w:pPr>
    <w:rPr>
      <w:rFonts w:eastAsiaTheme="minorEastAsia" w:cs="ITC New Baskerville Std"/>
      <w:color w:val="000000"/>
      <w:sz w:val="20"/>
      <w:szCs w:val="20"/>
      <w:lang w:eastAsia="en-US"/>
    </w:rPr>
  </w:style>
  <w:style w:type="paragraph" w:customStyle="1" w:styleId="block-f-1">
    <w:name w:val="block-f/+/-"/>
    <w:basedOn w:val="Normal"/>
    <w:autoRedefine/>
    <w:qFormat/>
    <w:rsid w:val="00A24D39"/>
    <w:pPr>
      <w:spacing w:before="240"/>
      <w:ind w:left="720"/>
    </w:pPr>
    <w:rPr>
      <w:rFonts w:eastAsiaTheme="minorEastAsia" w:cstheme="minorBidi"/>
      <w:sz w:val="20"/>
      <w:szCs w:val="22"/>
      <w:lang w:eastAsia="en-US"/>
    </w:rPr>
  </w:style>
  <w:style w:type="paragraph" w:customStyle="1" w:styleId="block-f-6">
    <w:name w:val="block-f -/6"/>
    <w:basedOn w:val="block-f-"/>
    <w:autoRedefine/>
    <w:uiPriority w:val="99"/>
    <w:rsid w:val="00A24D39"/>
    <w:pPr>
      <w:spacing w:before="0" w:after="120"/>
    </w:pPr>
  </w:style>
  <w:style w:type="paragraph" w:customStyle="1" w:styleId="block-f-6pt">
    <w:name w:val="block-f -/6 pt"/>
    <w:basedOn w:val="block-f-"/>
    <w:autoRedefine/>
    <w:uiPriority w:val="99"/>
    <w:qFormat/>
    <w:rsid w:val="00A24D39"/>
    <w:pPr>
      <w:spacing w:before="120"/>
      <w:ind w:left="439"/>
    </w:pPr>
    <w:rPr>
      <w:szCs w:val="21"/>
    </w:rPr>
  </w:style>
  <w:style w:type="paragraph" w:customStyle="1" w:styleId="Block-f-2">
    <w:name w:val="Block-f +/-"/>
    <w:basedOn w:val="blockquote"/>
    <w:autoRedefine/>
    <w:uiPriority w:val="99"/>
    <w:rsid w:val="00A24D39"/>
    <w:pPr>
      <w:widowControl w:val="0"/>
      <w:autoSpaceDE w:val="0"/>
      <w:autoSpaceDN w:val="0"/>
      <w:adjustRightInd w:val="0"/>
      <w:spacing w:after="0"/>
      <w:textAlignment w:val="center"/>
    </w:pPr>
    <w:rPr>
      <w:rFonts w:cs="NewCenturySchlbk"/>
      <w:color w:val="000000"/>
      <w:szCs w:val="20"/>
    </w:rPr>
  </w:style>
  <w:style w:type="paragraph" w:customStyle="1" w:styleId="Block-f0">
    <w:name w:val="Block-f +/+"/>
    <w:basedOn w:val="Normal"/>
    <w:autoRedefine/>
    <w:qFormat/>
    <w:rsid w:val="00A24D39"/>
    <w:pPr>
      <w:spacing w:before="240" w:after="240"/>
      <w:ind w:left="720"/>
    </w:pPr>
    <w:rPr>
      <w:rFonts w:eastAsiaTheme="minorEastAsia" w:cstheme="minorBidi"/>
      <w:sz w:val="20"/>
      <w:szCs w:val="22"/>
      <w:lang w:eastAsia="en-US"/>
    </w:rPr>
  </w:style>
  <w:style w:type="paragraph" w:customStyle="1" w:styleId="block-f-3">
    <w:name w:val="block-f/-/+"/>
    <w:basedOn w:val="block-f-1"/>
    <w:autoRedefine/>
    <w:qFormat/>
    <w:rsid w:val="00A24D39"/>
    <w:pPr>
      <w:spacing w:before="0" w:after="240"/>
    </w:pPr>
  </w:style>
  <w:style w:type="paragraph" w:customStyle="1" w:styleId="Block-p-2">
    <w:name w:val="Block-p -/+"/>
    <w:basedOn w:val="Normal"/>
    <w:autoRedefine/>
    <w:uiPriority w:val="99"/>
    <w:rsid w:val="00A24D39"/>
    <w:pPr>
      <w:widowControl w:val="0"/>
      <w:autoSpaceDE w:val="0"/>
      <w:autoSpaceDN w:val="0"/>
      <w:adjustRightInd w:val="0"/>
      <w:spacing w:after="240"/>
      <w:ind w:left="720" w:firstLine="720"/>
      <w:textAlignment w:val="center"/>
    </w:pPr>
    <w:rPr>
      <w:rFonts w:eastAsiaTheme="minorEastAsia" w:cs="NewCenturySchlbk"/>
      <w:color w:val="000000"/>
      <w:sz w:val="20"/>
      <w:szCs w:val="20"/>
      <w:lang w:eastAsia="en-US"/>
    </w:rPr>
  </w:style>
  <w:style w:type="paragraph" w:customStyle="1" w:styleId="block-p-6">
    <w:name w:val="block-p -/6"/>
    <w:basedOn w:val="block-p-"/>
    <w:autoRedefine/>
    <w:uiPriority w:val="99"/>
    <w:rsid w:val="00A24D39"/>
    <w:pPr>
      <w:widowControl w:val="0"/>
      <w:autoSpaceDE w:val="0"/>
      <w:autoSpaceDN w:val="0"/>
      <w:adjustRightInd w:val="0"/>
      <w:spacing w:after="120"/>
      <w:textAlignment w:val="center"/>
    </w:pPr>
    <w:rPr>
      <w:rFonts w:cs="ITC New Baskerville Std"/>
      <w:color w:val="000000"/>
      <w:szCs w:val="20"/>
    </w:rPr>
  </w:style>
  <w:style w:type="paragraph" w:customStyle="1" w:styleId="Block-p1">
    <w:name w:val="Block-p +/+"/>
    <w:basedOn w:val="Block-f0"/>
    <w:autoRedefine/>
    <w:qFormat/>
    <w:rsid w:val="00A24D39"/>
    <w:pPr>
      <w:ind w:firstLine="720"/>
    </w:pPr>
  </w:style>
  <w:style w:type="paragraph" w:customStyle="1" w:styleId="block-p16pt">
    <w:name w:val="block-p 1/6 pt"/>
    <w:basedOn w:val="Normal"/>
    <w:autoRedefine/>
    <w:uiPriority w:val="99"/>
    <w:rsid w:val="00A24D39"/>
    <w:pPr>
      <w:widowControl w:val="0"/>
      <w:autoSpaceDE w:val="0"/>
      <w:autoSpaceDN w:val="0"/>
      <w:adjustRightInd w:val="0"/>
      <w:spacing w:before="240" w:after="120"/>
      <w:ind w:left="720" w:firstLine="720"/>
      <w:textAlignment w:val="center"/>
    </w:pPr>
    <w:rPr>
      <w:rFonts w:eastAsiaTheme="minorEastAsia" w:cs="ITC New Baskerville Std"/>
      <w:color w:val="000000"/>
      <w:sz w:val="20"/>
      <w:szCs w:val="20"/>
      <w:lang w:eastAsia="en-US"/>
    </w:rPr>
  </w:style>
  <w:style w:type="paragraph" w:customStyle="1" w:styleId="block-p--3p4para">
    <w:name w:val="block-p/-/- 3p4 para"/>
    <w:basedOn w:val="block-p--0"/>
    <w:autoRedefine/>
    <w:uiPriority w:val="99"/>
    <w:rsid w:val="00A24D39"/>
    <w:pPr>
      <w:widowControl w:val="0"/>
      <w:autoSpaceDE w:val="0"/>
      <w:autoSpaceDN w:val="0"/>
      <w:adjustRightInd w:val="0"/>
      <w:ind w:firstLine="1440"/>
      <w:jc w:val="both"/>
      <w:textAlignment w:val="center"/>
    </w:pPr>
    <w:rPr>
      <w:rFonts w:cs="ITC New Baskerville Std"/>
      <w:color w:val="000000"/>
      <w:szCs w:val="20"/>
    </w:rPr>
  </w:style>
  <w:style w:type="paragraph" w:customStyle="1" w:styleId="block-p-3">
    <w:name w:val="block-p/-/+"/>
    <w:basedOn w:val="Normal"/>
    <w:autoRedefine/>
    <w:qFormat/>
    <w:rsid w:val="00A24D39"/>
    <w:pPr>
      <w:spacing w:after="240"/>
      <w:ind w:left="720" w:firstLine="720"/>
    </w:pPr>
    <w:rPr>
      <w:rFonts w:eastAsiaTheme="minorEastAsia" w:cstheme="minorBidi"/>
      <w:sz w:val="20"/>
      <w:szCs w:val="22"/>
      <w:lang w:eastAsia="en-US"/>
    </w:rPr>
  </w:style>
  <w:style w:type="paragraph" w:customStyle="1" w:styleId="boldflush">
    <w:name w:val="bold flush"/>
    <w:basedOn w:val="text"/>
    <w:autoRedefine/>
    <w:uiPriority w:val="99"/>
    <w:rsid w:val="00A24D39"/>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before="240" w:after="240"/>
      <w:ind w:firstLine="0"/>
      <w:textAlignment w:val="center"/>
    </w:pPr>
    <w:rPr>
      <w:rFonts w:eastAsiaTheme="minorEastAsia" w:cs="ITC New Baskerville Std"/>
      <w:b/>
      <w:bCs/>
      <w:color w:val="000000"/>
      <w:szCs w:val="22"/>
    </w:rPr>
  </w:style>
  <w:style w:type="paragraph" w:customStyle="1" w:styleId="boldhead">
    <w:name w:val="bold head"/>
    <w:basedOn w:val="text"/>
    <w:autoRedefine/>
    <w:uiPriority w:val="99"/>
    <w:rsid w:val="00A24D39"/>
    <w:pPr>
      <w:widowControl w:val="0"/>
      <w:tabs>
        <w:tab w:val="clear" w:pos="0"/>
        <w:tab w:val="clear" w:pos="4320"/>
        <w:tab w:val="clear" w:pos="5040"/>
        <w:tab w:val="clear" w:pos="5760"/>
        <w:tab w:val="left" w:pos="360"/>
        <w:tab w:val="left" w:pos="1080"/>
        <w:tab w:val="left" w:pos="1800"/>
      </w:tabs>
      <w:suppressAutoHyphens/>
      <w:autoSpaceDE w:val="0"/>
      <w:autoSpaceDN w:val="0"/>
      <w:adjustRightInd w:val="0"/>
      <w:spacing w:before="240" w:after="240"/>
      <w:ind w:firstLine="0"/>
      <w:textAlignment w:val="center"/>
    </w:pPr>
    <w:rPr>
      <w:rFonts w:eastAsiaTheme="minorEastAsia" w:cs="Times LT Std"/>
      <w:b/>
      <w:bCs/>
      <w:color w:val="000000"/>
      <w:szCs w:val="22"/>
    </w:rPr>
  </w:style>
  <w:style w:type="paragraph" w:customStyle="1" w:styleId="boldheadflush">
    <w:name w:val="bold head flush"/>
    <w:basedOn w:val="textflush"/>
    <w:autoRedefine/>
    <w:uiPriority w:val="99"/>
    <w:rsid w:val="00A24D39"/>
    <w:pPr>
      <w:widowControl w:val="0"/>
      <w:suppressAutoHyphens/>
      <w:autoSpaceDE w:val="0"/>
      <w:autoSpaceDN w:val="0"/>
      <w:adjustRightInd w:val="0"/>
      <w:spacing w:before="240" w:after="240"/>
      <w:textAlignment w:val="center"/>
    </w:pPr>
    <w:rPr>
      <w:rFonts w:eastAsiaTheme="minorEastAsia"/>
      <w:b/>
      <w:bCs/>
      <w:szCs w:val="22"/>
    </w:rPr>
  </w:style>
  <w:style w:type="paragraph" w:customStyle="1" w:styleId="bolditalicflushheadA">
    <w:name w:val="bold italic flush head A."/>
    <w:basedOn w:val="Normal"/>
    <w:autoRedefine/>
    <w:uiPriority w:val="99"/>
    <w:rsid w:val="00A24D39"/>
    <w:pPr>
      <w:widowControl w:val="0"/>
      <w:tabs>
        <w:tab w:val="left" w:pos="360"/>
      </w:tabs>
      <w:suppressAutoHyphens/>
      <w:autoSpaceDE w:val="0"/>
      <w:autoSpaceDN w:val="0"/>
      <w:adjustRightInd w:val="0"/>
      <w:spacing w:before="240" w:after="240"/>
      <w:ind w:left="360" w:hanging="360"/>
      <w:textAlignment w:val="center"/>
    </w:pPr>
    <w:rPr>
      <w:rFonts w:eastAsiaTheme="minorEastAsia" w:cs="ITC New Baskerville Std"/>
      <w:b/>
      <w:bCs/>
      <w:i/>
      <w:iCs/>
      <w:color w:val="000000"/>
      <w:sz w:val="22"/>
      <w:szCs w:val="22"/>
      <w:lang w:eastAsia="en-US"/>
    </w:rPr>
  </w:style>
  <w:style w:type="paragraph" w:customStyle="1" w:styleId="boldnumberlist">
    <w:name w:val="bold number list"/>
    <w:basedOn w:val="textflush"/>
    <w:autoRedefine/>
    <w:uiPriority w:val="99"/>
    <w:rsid w:val="00A24D39"/>
    <w:pPr>
      <w:widowControl w:val="0"/>
      <w:tabs>
        <w:tab w:val="left" w:pos="420"/>
      </w:tabs>
      <w:autoSpaceDE w:val="0"/>
      <w:autoSpaceDN w:val="0"/>
      <w:adjustRightInd w:val="0"/>
      <w:spacing w:before="60"/>
      <w:ind w:left="420" w:hanging="420"/>
      <w:textAlignment w:val="center"/>
    </w:pPr>
    <w:rPr>
      <w:rFonts w:eastAsiaTheme="minorEastAsia" w:cs="Times LT Std"/>
      <w:b/>
      <w:bCs/>
      <w:szCs w:val="22"/>
    </w:rPr>
  </w:style>
  <w:style w:type="paragraph" w:customStyle="1" w:styleId="bulletliststart">
    <w:name w:val="bullet list start"/>
    <w:basedOn w:val="Normal"/>
    <w:autoRedefine/>
    <w:uiPriority w:val="99"/>
    <w:qFormat/>
    <w:rsid w:val="00A24D39"/>
    <w:pPr>
      <w:spacing w:before="240"/>
      <w:ind w:left="619" w:hanging="180"/>
    </w:pPr>
    <w:rPr>
      <w:rFonts w:eastAsiaTheme="minorEastAsia" w:cstheme="minorBidi"/>
      <w:szCs w:val="22"/>
      <w:lang w:eastAsia="en-US"/>
    </w:rPr>
  </w:style>
  <w:style w:type="paragraph" w:customStyle="1" w:styleId="bullet">
    <w:name w:val="bullet"/>
    <w:basedOn w:val="bulletliststart"/>
    <w:autoRedefine/>
    <w:uiPriority w:val="99"/>
    <w:qFormat/>
    <w:rsid w:val="00A24D39"/>
    <w:pPr>
      <w:spacing w:before="0"/>
    </w:pPr>
    <w:rPr>
      <w:rFonts w:eastAsia="Times New Roman" w:cs="Times New Roman"/>
    </w:rPr>
  </w:style>
  <w:style w:type="paragraph" w:customStyle="1" w:styleId="bulletdash">
    <w:name w:val="bullet dash"/>
    <w:basedOn w:val="Normal"/>
    <w:autoRedefine/>
    <w:uiPriority w:val="99"/>
    <w:rsid w:val="00A24D39"/>
    <w:pPr>
      <w:widowControl w:val="0"/>
      <w:tabs>
        <w:tab w:val="left" w:pos="900"/>
      </w:tabs>
      <w:autoSpaceDE w:val="0"/>
      <w:autoSpaceDN w:val="0"/>
      <w:adjustRightInd w:val="0"/>
      <w:ind w:left="900" w:hanging="180"/>
      <w:jc w:val="both"/>
      <w:textAlignment w:val="center"/>
    </w:pPr>
    <w:rPr>
      <w:rFonts w:eastAsiaTheme="minorEastAsia" w:cs="Times LT Std"/>
      <w:color w:val="000000"/>
      <w:szCs w:val="22"/>
      <w:lang w:eastAsia="en-US"/>
    </w:rPr>
  </w:style>
  <w:style w:type="paragraph" w:customStyle="1" w:styleId="bulletend">
    <w:name w:val="bullet end"/>
    <w:basedOn w:val="Normal"/>
    <w:autoRedefine/>
    <w:uiPriority w:val="99"/>
    <w:rsid w:val="00A24D39"/>
    <w:pPr>
      <w:spacing w:after="240"/>
      <w:ind w:left="619" w:hanging="180"/>
    </w:pPr>
    <w:rPr>
      <w:rFonts w:eastAsiaTheme="minorEastAsia"/>
      <w:szCs w:val="22"/>
      <w:lang w:eastAsia="en-US"/>
    </w:rPr>
  </w:style>
  <w:style w:type="paragraph" w:customStyle="1" w:styleId="bulletlist">
    <w:name w:val="bullet list"/>
    <w:basedOn w:val="bulletliststart"/>
    <w:autoRedefine/>
    <w:uiPriority w:val="99"/>
    <w:qFormat/>
    <w:rsid w:val="00A24D39"/>
    <w:pPr>
      <w:spacing w:before="0"/>
    </w:pPr>
  </w:style>
  <w:style w:type="paragraph" w:customStyle="1" w:styleId="BulletList0">
    <w:name w:val="Bullet List"/>
    <w:basedOn w:val="Normal"/>
    <w:autoRedefine/>
    <w:qFormat/>
    <w:rsid w:val="00A24D39"/>
    <w:pPr>
      <w:ind w:left="619" w:hanging="180"/>
    </w:pPr>
    <w:rPr>
      <w:rFonts w:eastAsiaTheme="minorEastAsia" w:cstheme="minorBidi"/>
      <w:szCs w:val="22"/>
      <w:lang w:eastAsia="en-US"/>
    </w:rPr>
  </w:style>
  <w:style w:type="paragraph" w:customStyle="1" w:styleId="bulletlistend">
    <w:name w:val="bullet list end"/>
    <w:basedOn w:val="bulletlist"/>
    <w:autoRedefine/>
    <w:uiPriority w:val="99"/>
    <w:qFormat/>
    <w:rsid w:val="00A24D39"/>
    <w:pPr>
      <w:spacing w:after="240"/>
    </w:pPr>
  </w:style>
  <w:style w:type="paragraph" w:customStyle="1" w:styleId="bulletlistspaceabove">
    <w:name w:val="bullet list space above"/>
    <w:basedOn w:val="bulletlist"/>
    <w:autoRedefine/>
    <w:uiPriority w:val="99"/>
    <w:rsid w:val="00A24D39"/>
    <w:pPr>
      <w:widowControl w:val="0"/>
      <w:tabs>
        <w:tab w:val="left" w:pos="660"/>
      </w:tabs>
      <w:autoSpaceDE w:val="0"/>
      <w:autoSpaceDN w:val="0"/>
      <w:adjustRightInd w:val="0"/>
      <w:spacing w:before="240"/>
      <w:textAlignment w:val="center"/>
    </w:pPr>
    <w:rPr>
      <w:rFonts w:cs="ITC New Baskerville Std"/>
      <w:color w:val="000000"/>
      <w:szCs w:val="24"/>
    </w:rPr>
  </w:style>
  <w:style w:type="paragraph" w:customStyle="1" w:styleId="bulletlistblpnl">
    <w:name w:val="bullet list/ bl/pnl"/>
    <w:basedOn w:val="bulletlist"/>
    <w:autoRedefine/>
    <w:uiPriority w:val="99"/>
    <w:rsid w:val="00A24D39"/>
    <w:pPr>
      <w:widowControl w:val="0"/>
      <w:tabs>
        <w:tab w:val="left" w:pos="1140"/>
      </w:tabs>
      <w:autoSpaceDE w:val="0"/>
      <w:autoSpaceDN w:val="0"/>
      <w:adjustRightInd w:val="0"/>
      <w:ind w:left="1140" w:hanging="480"/>
      <w:textAlignment w:val="center"/>
    </w:pPr>
    <w:rPr>
      <w:rFonts w:cs="Times LT Std"/>
      <w:color w:val="000000"/>
    </w:rPr>
  </w:style>
  <w:style w:type="paragraph" w:customStyle="1" w:styleId="bulletnumberbullet">
    <w:name w:val="bullet number/bullet"/>
    <w:basedOn w:val="Normal"/>
    <w:autoRedefine/>
    <w:uiPriority w:val="99"/>
    <w:rsid w:val="00A24D39"/>
    <w:pPr>
      <w:widowControl w:val="0"/>
      <w:tabs>
        <w:tab w:val="left" w:pos="940"/>
      </w:tabs>
      <w:autoSpaceDE w:val="0"/>
      <w:autoSpaceDN w:val="0"/>
      <w:adjustRightInd w:val="0"/>
      <w:ind w:left="941" w:hanging="180"/>
      <w:textAlignment w:val="center"/>
    </w:pPr>
    <w:rPr>
      <w:rFonts w:eastAsiaTheme="minorEastAsia" w:cs="Times LT Std"/>
      <w:color w:val="000000"/>
      <w:sz w:val="20"/>
      <w:szCs w:val="20"/>
      <w:lang w:eastAsia="en-US"/>
    </w:rPr>
  </w:style>
  <w:style w:type="paragraph" w:customStyle="1" w:styleId="bulletspaceabove">
    <w:name w:val="bullet space above"/>
    <w:basedOn w:val="Normal"/>
    <w:autoRedefine/>
    <w:uiPriority w:val="99"/>
    <w:qFormat/>
    <w:rsid w:val="00A24D39"/>
    <w:pPr>
      <w:spacing w:before="240"/>
      <w:ind w:left="619" w:hanging="180"/>
    </w:pPr>
    <w:rPr>
      <w:rFonts w:eastAsiaTheme="minorEastAsia" w:cstheme="minorBidi"/>
      <w:szCs w:val="22"/>
      <w:lang w:eastAsia="en-US"/>
    </w:rPr>
  </w:style>
  <w:style w:type="paragraph" w:customStyle="1" w:styleId="bulletspacebelow">
    <w:name w:val="bullet space below"/>
    <w:basedOn w:val="bulletspaceabove"/>
    <w:autoRedefine/>
    <w:qFormat/>
    <w:rsid w:val="00A24D39"/>
    <w:pPr>
      <w:spacing w:before="0" w:after="240"/>
    </w:pPr>
  </w:style>
  <w:style w:type="paragraph" w:customStyle="1" w:styleId="bulletstart">
    <w:name w:val="bullet start"/>
    <w:basedOn w:val="bullet"/>
    <w:autoRedefine/>
    <w:uiPriority w:val="99"/>
    <w:rsid w:val="00A24D39"/>
    <w:pPr>
      <w:widowControl w:val="0"/>
      <w:tabs>
        <w:tab w:val="left" w:pos="620"/>
      </w:tabs>
      <w:autoSpaceDE w:val="0"/>
      <w:autoSpaceDN w:val="0"/>
      <w:adjustRightInd w:val="0"/>
      <w:spacing w:before="240"/>
      <w:jc w:val="both"/>
      <w:textAlignment w:val="center"/>
    </w:pPr>
    <w:rPr>
      <w:rFonts w:cs="ITC New Baskerville Std"/>
      <w:color w:val="000000"/>
    </w:rPr>
  </w:style>
  <w:style w:type="paragraph" w:customStyle="1" w:styleId="bulletbullet">
    <w:name w:val="bullet/bullet"/>
    <w:basedOn w:val="bulletlist"/>
    <w:autoRedefine/>
    <w:uiPriority w:val="99"/>
    <w:rsid w:val="00A24D39"/>
    <w:pPr>
      <w:widowControl w:val="0"/>
      <w:tabs>
        <w:tab w:val="left" w:pos="800"/>
      </w:tabs>
      <w:autoSpaceDE w:val="0"/>
      <w:autoSpaceDN w:val="0"/>
      <w:adjustRightInd w:val="0"/>
      <w:ind w:left="1080"/>
      <w:textAlignment w:val="center"/>
    </w:pPr>
    <w:rPr>
      <w:rFonts w:cs="Times LT Std"/>
      <w:color w:val="000000"/>
    </w:rPr>
  </w:style>
  <w:style w:type="paragraph" w:customStyle="1" w:styleId="bulletdash0">
    <w:name w:val="bullet/dash"/>
    <w:basedOn w:val="Normal"/>
    <w:autoRedefine/>
    <w:qFormat/>
    <w:rsid w:val="00A24D39"/>
    <w:pPr>
      <w:tabs>
        <w:tab w:val="left" w:pos="900"/>
      </w:tabs>
      <w:ind w:left="900" w:hanging="180"/>
    </w:pPr>
    <w:rPr>
      <w:rFonts w:eastAsiaTheme="minorEastAsia" w:cstheme="minorBidi"/>
      <w:szCs w:val="22"/>
      <w:lang w:eastAsia="en-US"/>
    </w:rPr>
  </w:style>
  <w:style w:type="paragraph" w:customStyle="1" w:styleId="caseheadbolditalic">
    <w:name w:val="case head (bold italic)"/>
    <w:basedOn w:val="text"/>
    <w:autoRedefine/>
    <w:uiPriority w:val="99"/>
    <w:rsid w:val="00A24D39"/>
    <w:pPr>
      <w:keepNext/>
      <w:widowControl w:val="0"/>
      <w:tabs>
        <w:tab w:val="clear" w:pos="0"/>
        <w:tab w:val="clear" w:pos="720"/>
        <w:tab w:val="clear" w:pos="1440"/>
        <w:tab w:val="clear" w:pos="2160"/>
        <w:tab w:val="clear" w:pos="2880"/>
        <w:tab w:val="clear" w:pos="3600"/>
        <w:tab w:val="clear" w:pos="4320"/>
        <w:tab w:val="clear" w:pos="5040"/>
        <w:tab w:val="clear" w:pos="5760"/>
      </w:tabs>
      <w:suppressAutoHyphens/>
      <w:autoSpaceDE w:val="0"/>
      <w:autoSpaceDN w:val="0"/>
      <w:adjustRightInd w:val="0"/>
      <w:spacing w:before="240" w:after="240"/>
      <w:ind w:firstLine="0"/>
      <w:textAlignment w:val="center"/>
    </w:pPr>
    <w:rPr>
      <w:rFonts w:eastAsiaTheme="minorEastAsia" w:cs="ITC New Baskerville Std"/>
      <w:b/>
      <w:bCs/>
      <w:i/>
      <w:iCs/>
      <w:color w:val="000000"/>
      <w:szCs w:val="22"/>
    </w:rPr>
  </w:style>
  <w:style w:type="paragraph" w:customStyle="1" w:styleId="caseheadunderscore">
    <w:name w:val="case head (underscore)"/>
    <w:basedOn w:val="text"/>
    <w:autoRedefine/>
    <w:uiPriority w:val="99"/>
    <w:rsid w:val="00A24D39"/>
    <w:pPr>
      <w:keepNext/>
      <w:widowControl w:val="0"/>
      <w:tabs>
        <w:tab w:val="clear" w:pos="0"/>
        <w:tab w:val="clear" w:pos="720"/>
        <w:tab w:val="clear" w:pos="1440"/>
        <w:tab w:val="clear" w:pos="2160"/>
        <w:tab w:val="clear" w:pos="2880"/>
        <w:tab w:val="clear" w:pos="3600"/>
        <w:tab w:val="clear" w:pos="4320"/>
        <w:tab w:val="clear" w:pos="5040"/>
        <w:tab w:val="clear" w:pos="5760"/>
      </w:tabs>
      <w:suppressAutoHyphens/>
      <w:autoSpaceDE w:val="0"/>
      <w:autoSpaceDN w:val="0"/>
      <w:adjustRightInd w:val="0"/>
      <w:spacing w:after="120"/>
      <w:ind w:firstLine="0"/>
      <w:textAlignment w:val="center"/>
    </w:pPr>
    <w:rPr>
      <w:rFonts w:eastAsiaTheme="minorEastAsia" w:cs="ITC New Baskerville Std"/>
      <w:color w:val="000000"/>
      <w:szCs w:val="22"/>
      <w:u w:val="thick"/>
    </w:rPr>
  </w:style>
  <w:style w:type="paragraph" w:customStyle="1" w:styleId="caseheadunderscorespaceabove">
    <w:name w:val="case head (underscore + space above)"/>
    <w:basedOn w:val="caseheadunderscore"/>
    <w:autoRedefine/>
    <w:uiPriority w:val="99"/>
    <w:rsid w:val="00A24D39"/>
    <w:pPr>
      <w:spacing w:before="240" w:after="240"/>
    </w:pPr>
  </w:style>
  <w:style w:type="paragraph" w:customStyle="1" w:styleId="chspacebelownoneabove">
    <w:name w:val="ch space below / none above"/>
    <w:basedOn w:val="Normal"/>
    <w:next w:val="Normal"/>
    <w:autoRedefine/>
    <w:uiPriority w:val="99"/>
    <w:rsid w:val="00A24D39"/>
    <w:pPr>
      <w:keepNext/>
      <w:widowControl w:val="0"/>
      <w:suppressAutoHyphens/>
      <w:autoSpaceDE w:val="0"/>
      <w:autoSpaceDN w:val="0"/>
      <w:adjustRightInd w:val="0"/>
      <w:spacing w:after="240"/>
      <w:jc w:val="center"/>
      <w:textAlignment w:val="center"/>
    </w:pPr>
    <w:rPr>
      <w:rFonts w:eastAsiaTheme="minorEastAsia" w:cs="ITC New Baskerville Std"/>
      <w:smallCaps/>
      <w:color w:val="000000"/>
      <w:lang w:eastAsia="en-US"/>
    </w:rPr>
  </w:style>
  <w:style w:type="paragraph" w:customStyle="1" w:styleId="ChapterNumber">
    <w:name w:val="Chapter Number"/>
    <w:basedOn w:val="Normal"/>
    <w:next w:val="Normal"/>
    <w:autoRedefine/>
    <w:uiPriority w:val="99"/>
    <w:rsid w:val="00A24D39"/>
    <w:pPr>
      <w:widowControl w:val="0"/>
      <w:suppressAutoHyphens/>
      <w:autoSpaceDE w:val="0"/>
      <w:autoSpaceDN w:val="0"/>
      <w:adjustRightInd w:val="0"/>
      <w:spacing w:after="240"/>
      <w:jc w:val="center"/>
      <w:textAlignment w:val="center"/>
    </w:pPr>
    <w:rPr>
      <w:rFonts w:eastAsiaTheme="minorEastAsia"/>
      <w:smallCaps/>
      <w:color w:val="000000"/>
      <w:sz w:val="28"/>
      <w:szCs w:val="28"/>
      <w:lang w:eastAsia="en-US"/>
    </w:rPr>
  </w:style>
  <w:style w:type="paragraph" w:customStyle="1" w:styleId="chapternumber0">
    <w:name w:val="chapter number"/>
    <w:basedOn w:val="Normal"/>
    <w:autoRedefine/>
    <w:uiPriority w:val="99"/>
    <w:rsid w:val="00A24D39"/>
    <w:pPr>
      <w:widowControl w:val="0"/>
      <w:suppressAutoHyphens/>
      <w:autoSpaceDE w:val="0"/>
      <w:autoSpaceDN w:val="0"/>
      <w:adjustRightInd w:val="0"/>
      <w:spacing w:after="240"/>
      <w:textAlignment w:val="center"/>
    </w:pPr>
    <w:rPr>
      <w:rFonts w:cs="ITC New Baskerville Std"/>
      <w:b/>
      <w:bCs/>
      <w:color w:val="000000"/>
      <w:sz w:val="28"/>
      <w:szCs w:val="56"/>
      <w:lang w:eastAsia="en-US"/>
    </w:rPr>
  </w:style>
  <w:style w:type="paragraph" w:customStyle="1" w:styleId="chaptertitle0">
    <w:name w:val="chapter title"/>
    <w:basedOn w:val="Normal"/>
    <w:autoRedefine/>
    <w:uiPriority w:val="99"/>
    <w:qFormat/>
    <w:rsid w:val="00A24D39"/>
    <w:pPr>
      <w:spacing w:after="240"/>
    </w:pPr>
    <w:rPr>
      <w:rFonts w:eastAsiaTheme="minorEastAsia" w:cstheme="minorBidi"/>
      <w:sz w:val="28"/>
      <w:szCs w:val="22"/>
      <w:lang w:eastAsia="en-US"/>
    </w:rPr>
  </w:style>
  <w:style w:type="paragraph" w:customStyle="1" w:styleId="ChapterTitle14ptBoldCentered">
    <w:name w:val="Chapter Title 14 pt Bold Centered"/>
    <w:basedOn w:val="Normal"/>
    <w:autoRedefine/>
    <w:qFormat/>
    <w:rsid w:val="00A24D39"/>
    <w:pPr>
      <w:spacing w:after="480"/>
      <w:jc w:val="center"/>
    </w:pPr>
    <w:rPr>
      <w:rFonts w:eastAsiaTheme="minorEastAsia" w:cstheme="minorBidi"/>
      <w:b/>
      <w:caps/>
      <w:sz w:val="28"/>
      <w:szCs w:val="22"/>
      <w:lang w:eastAsia="en-US"/>
    </w:rPr>
  </w:style>
  <w:style w:type="paragraph" w:customStyle="1" w:styleId="dhscpapertitle">
    <w:name w:val="dh s/c paper title"/>
    <w:basedOn w:val="Normal"/>
    <w:autoRedefine/>
    <w:uiPriority w:val="99"/>
    <w:rsid w:val="00A24D39"/>
    <w:pPr>
      <w:widowControl w:val="0"/>
      <w:autoSpaceDE w:val="0"/>
      <w:autoSpaceDN w:val="0"/>
      <w:adjustRightInd w:val="0"/>
      <w:spacing w:after="240"/>
      <w:jc w:val="center"/>
      <w:textAlignment w:val="center"/>
    </w:pPr>
    <w:rPr>
      <w:rFonts w:eastAsiaTheme="minorEastAsia" w:cs="ITC New Baskerville Std"/>
      <w:smallCaps/>
      <w:color w:val="000000"/>
      <w:szCs w:val="20"/>
      <w:lang w:eastAsia="en-US"/>
    </w:rPr>
  </w:style>
  <w:style w:type="paragraph" w:customStyle="1" w:styleId="flushitalichead">
    <w:name w:val="flush italic head"/>
    <w:basedOn w:val="3rdlevelhead1i"/>
    <w:autoRedefine/>
    <w:uiPriority w:val="99"/>
    <w:rsid w:val="00A24D39"/>
    <w:pPr>
      <w:keepNext/>
      <w:widowControl w:val="0"/>
      <w:suppressAutoHyphens/>
      <w:autoSpaceDE w:val="0"/>
      <w:autoSpaceDN w:val="0"/>
      <w:adjustRightInd w:val="0"/>
      <w:ind w:left="0" w:firstLine="0"/>
      <w:textAlignment w:val="center"/>
    </w:pPr>
    <w:rPr>
      <w:rFonts w:cs="ITC New Baskerville Std"/>
      <w:iCs/>
      <w:color w:val="000000"/>
    </w:rPr>
  </w:style>
  <w:style w:type="paragraph" w:customStyle="1" w:styleId="flushitalichead-">
    <w:name w:val="flush italic head -/+"/>
    <w:basedOn w:val="flushitalichead"/>
    <w:autoRedefine/>
    <w:uiPriority w:val="99"/>
    <w:rsid w:val="00A24D39"/>
    <w:pPr>
      <w:keepNext w:val="0"/>
      <w:suppressAutoHyphens w:val="0"/>
      <w:spacing w:before="0"/>
    </w:pPr>
  </w:style>
  <w:style w:type="paragraph" w:customStyle="1" w:styleId="footnote0">
    <w:name w:val="footnote *"/>
    <w:basedOn w:val="footnote"/>
    <w:autoRedefine/>
    <w:uiPriority w:val="99"/>
    <w:rsid w:val="00A24D39"/>
    <w:pPr>
      <w:pBdr>
        <w:top w:val="single" w:sz="4" w:space="12" w:color="auto"/>
      </w:pBdr>
      <w:autoSpaceDE w:val="0"/>
      <w:autoSpaceDN w:val="0"/>
      <w:adjustRightInd w:val="0"/>
      <w:textAlignment w:val="center"/>
    </w:pPr>
    <w:rPr>
      <w:rFonts w:cs="Times LT Std"/>
      <w:color w:val="000000"/>
      <w:szCs w:val="18"/>
    </w:rPr>
  </w:style>
  <w:style w:type="paragraph" w:customStyle="1" w:styleId="Footnote1">
    <w:name w:val="Footnote *"/>
    <w:basedOn w:val="Normal"/>
    <w:autoRedefine/>
    <w:uiPriority w:val="99"/>
    <w:rsid w:val="00A24D39"/>
    <w:pPr>
      <w:pBdr>
        <w:top w:val="single" w:sz="4" w:space="12" w:color="auto"/>
      </w:pBdr>
      <w:autoSpaceDE w:val="0"/>
      <w:autoSpaceDN w:val="0"/>
      <w:adjustRightInd w:val="0"/>
      <w:ind w:firstLine="720"/>
      <w:textAlignment w:val="center"/>
    </w:pPr>
    <w:rPr>
      <w:rFonts w:eastAsiaTheme="minorEastAsia"/>
      <w:color w:val="000000"/>
      <w:sz w:val="20"/>
      <w:szCs w:val="18"/>
      <w:lang w:eastAsia="en-US"/>
    </w:rPr>
  </w:style>
  <w:style w:type="paragraph" w:customStyle="1" w:styleId="footnoteindent">
    <w:name w:val="footnote indent"/>
    <w:basedOn w:val="Normal"/>
    <w:autoRedefine/>
    <w:uiPriority w:val="99"/>
    <w:rsid w:val="00A24D39"/>
    <w:pPr>
      <w:widowControl w:val="0"/>
      <w:autoSpaceDE w:val="0"/>
      <w:autoSpaceDN w:val="0"/>
      <w:adjustRightInd w:val="0"/>
      <w:ind w:left="720"/>
      <w:textAlignment w:val="center"/>
    </w:pPr>
    <w:rPr>
      <w:rFonts w:eastAsiaTheme="minorEastAsia" w:cs="ITC New Baskerville Std"/>
      <w:color w:val="000000"/>
      <w:sz w:val="20"/>
      <w:szCs w:val="16"/>
      <w:lang w:eastAsia="en-US"/>
    </w:rPr>
  </w:style>
  <w:style w:type="paragraph" w:customStyle="1" w:styleId="footnote2ndindent">
    <w:name w:val="footnote 2nd indent"/>
    <w:basedOn w:val="footnoteindent"/>
    <w:autoRedefine/>
    <w:uiPriority w:val="99"/>
    <w:rsid w:val="00A24D39"/>
  </w:style>
  <w:style w:type="paragraph" w:customStyle="1" w:styleId="footnote2ndindentwpara">
    <w:name w:val="footnote 2nd indent w/para"/>
    <w:basedOn w:val="Normal"/>
    <w:autoRedefine/>
    <w:uiPriority w:val="99"/>
    <w:rsid w:val="00A24D39"/>
    <w:pPr>
      <w:widowControl w:val="0"/>
      <w:autoSpaceDE w:val="0"/>
      <w:autoSpaceDN w:val="0"/>
      <w:adjustRightInd w:val="0"/>
      <w:spacing w:after="240"/>
      <w:ind w:left="720" w:firstLine="720"/>
      <w:textAlignment w:val="center"/>
    </w:pPr>
    <w:rPr>
      <w:rFonts w:eastAsiaTheme="minorEastAsia" w:cs="ITC New Baskerville Std"/>
      <w:color w:val="000000"/>
      <w:sz w:val="20"/>
      <w:szCs w:val="16"/>
      <w:lang w:eastAsia="en-US"/>
    </w:rPr>
  </w:style>
  <w:style w:type="paragraph" w:customStyle="1" w:styleId="footnotebl">
    <w:name w:val="footnote bl"/>
    <w:basedOn w:val="Normal"/>
    <w:autoRedefine/>
    <w:uiPriority w:val="99"/>
    <w:rsid w:val="00A24D39"/>
    <w:pPr>
      <w:widowControl w:val="0"/>
      <w:tabs>
        <w:tab w:val="left" w:pos="540"/>
      </w:tabs>
      <w:autoSpaceDE w:val="0"/>
      <w:autoSpaceDN w:val="0"/>
      <w:adjustRightInd w:val="0"/>
      <w:ind w:left="540" w:hanging="180"/>
      <w:textAlignment w:val="center"/>
    </w:pPr>
    <w:rPr>
      <w:rFonts w:eastAsiaTheme="minorEastAsia" w:cs="ITC New Baskerville Std"/>
      <w:color w:val="000000"/>
      <w:sz w:val="20"/>
      <w:szCs w:val="18"/>
      <w:lang w:eastAsia="en-US"/>
    </w:rPr>
  </w:style>
  <w:style w:type="paragraph" w:customStyle="1" w:styleId="footnoteblock">
    <w:name w:val="footnote block"/>
    <w:basedOn w:val="footnote"/>
    <w:autoRedefine/>
    <w:uiPriority w:val="99"/>
    <w:qFormat/>
    <w:rsid w:val="00A24D39"/>
    <w:pPr>
      <w:autoSpaceDE w:val="0"/>
      <w:autoSpaceDN w:val="0"/>
      <w:adjustRightInd w:val="0"/>
      <w:ind w:left="720" w:firstLine="0"/>
      <w:textAlignment w:val="center"/>
    </w:pPr>
    <w:rPr>
      <w:rFonts w:cs="ITC New Baskerville Std"/>
      <w:color w:val="000000"/>
      <w:szCs w:val="18"/>
    </w:rPr>
  </w:style>
  <w:style w:type="paragraph" w:customStyle="1" w:styleId="footnoteblockindent">
    <w:name w:val="footnote block indent"/>
    <w:basedOn w:val="footnote"/>
    <w:autoRedefine/>
    <w:uiPriority w:val="99"/>
    <w:rsid w:val="00A24D39"/>
    <w:pPr>
      <w:autoSpaceDE w:val="0"/>
      <w:autoSpaceDN w:val="0"/>
      <w:adjustRightInd w:val="0"/>
      <w:spacing w:before="40"/>
      <w:ind w:left="720" w:firstLine="0"/>
      <w:textAlignment w:val="center"/>
    </w:pPr>
    <w:rPr>
      <w:rFonts w:cs="NewCenturySchlbk"/>
      <w:color w:val="000000"/>
      <w:szCs w:val="18"/>
    </w:rPr>
  </w:style>
  <w:style w:type="paragraph" w:customStyle="1" w:styleId="footnoteblockindentnoparaindent">
    <w:name w:val="footnote block indent (no para indent)"/>
    <w:basedOn w:val="footnote"/>
    <w:autoRedefine/>
    <w:uiPriority w:val="99"/>
    <w:rsid w:val="00A24D39"/>
    <w:pPr>
      <w:autoSpaceDE w:val="0"/>
      <w:autoSpaceDN w:val="0"/>
      <w:adjustRightInd w:val="0"/>
      <w:ind w:left="720" w:firstLine="0"/>
      <w:textAlignment w:val="center"/>
    </w:pPr>
    <w:rPr>
      <w:rFonts w:cs="NewCenturySchlbk"/>
      <w:color w:val="000000"/>
      <w:szCs w:val="16"/>
    </w:rPr>
  </w:style>
  <w:style w:type="paragraph" w:customStyle="1" w:styleId="footnoteblockindentwpara">
    <w:name w:val="footnote block indent w/ para"/>
    <w:basedOn w:val="footnoteblockindentnoparaindent"/>
    <w:autoRedefine/>
    <w:uiPriority w:val="99"/>
    <w:rsid w:val="00A24D39"/>
    <w:pPr>
      <w:ind w:firstLine="720"/>
    </w:pPr>
  </w:style>
  <w:style w:type="paragraph" w:customStyle="1" w:styleId="footnoteblockwithparaindent">
    <w:name w:val="footnote block with para indent"/>
    <w:basedOn w:val="footnoteblock"/>
    <w:autoRedefine/>
    <w:uiPriority w:val="99"/>
    <w:qFormat/>
    <w:rsid w:val="00A24D39"/>
    <w:pPr>
      <w:ind w:firstLine="720"/>
    </w:pPr>
  </w:style>
  <w:style w:type="paragraph" w:customStyle="1" w:styleId="footnotebulletlist">
    <w:name w:val="footnote bullet list"/>
    <w:basedOn w:val="Normal"/>
    <w:autoRedefine/>
    <w:uiPriority w:val="99"/>
    <w:rsid w:val="00A24D39"/>
    <w:pPr>
      <w:widowControl w:val="0"/>
      <w:tabs>
        <w:tab w:val="left" w:pos="620"/>
      </w:tabs>
      <w:autoSpaceDE w:val="0"/>
      <w:autoSpaceDN w:val="0"/>
      <w:adjustRightInd w:val="0"/>
      <w:ind w:left="900" w:hanging="180"/>
      <w:textAlignment w:val="center"/>
    </w:pPr>
    <w:rPr>
      <w:rFonts w:eastAsiaTheme="minorEastAsia" w:cs="Times LT Std"/>
      <w:color w:val="000000"/>
      <w:sz w:val="20"/>
      <w:szCs w:val="16"/>
      <w:lang w:eastAsia="en-US"/>
    </w:rPr>
  </w:style>
  <w:style w:type="paragraph" w:customStyle="1" w:styleId="footnotecircuit">
    <w:name w:val="footnote circuit"/>
    <w:basedOn w:val="Normal"/>
    <w:autoRedefine/>
    <w:uiPriority w:val="99"/>
    <w:rsid w:val="00A24D39"/>
    <w:pPr>
      <w:widowControl w:val="0"/>
      <w:tabs>
        <w:tab w:val="left" w:pos="1680"/>
      </w:tabs>
      <w:autoSpaceDE w:val="0"/>
      <w:autoSpaceDN w:val="0"/>
      <w:adjustRightInd w:val="0"/>
      <w:ind w:left="2040" w:hanging="1320"/>
      <w:textAlignment w:val="center"/>
    </w:pPr>
    <w:rPr>
      <w:rFonts w:eastAsiaTheme="minorEastAsia" w:cs="Times LT Std"/>
      <w:color w:val="000000"/>
      <w:sz w:val="20"/>
      <w:szCs w:val="18"/>
      <w:lang w:eastAsia="en-US"/>
    </w:rPr>
  </w:style>
  <w:style w:type="paragraph" w:customStyle="1" w:styleId="footnoteflush">
    <w:name w:val="footnote flush"/>
    <w:basedOn w:val="Normal"/>
    <w:autoRedefine/>
    <w:uiPriority w:val="99"/>
    <w:qFormat/>
    <w:rsid w:val="00A24D39"/>
    <w:pPr>
      <w:widowControl w:val="0"/>
      <w:autoSpaceDE w:val="0"/>
      <w:autoSpaceDN w:val="0"/>
      <w:adjustRightInd w:val="0"/>
      <w:textAlignment w:val="center"/>
    </w:pPr>
    <w:rPr>
      <w:rFonts w:eastAsiaTheme="minorEastAsia" w:cs="ITC New Baskerville Std"/>
      <w:color w:val="000000"/>
      <w:sz w:val="20"/>
      <w:szCs w:val="16"/>
      <w:lang w:eastAsia="en-US"/>
    </w:rPr>
  </w:style>
  <w:style w:type="paragraph" w:customStyle="1" w:styleId="footnoteindentpara">
    <w:name w:val="footnote indent / para"/>
    <w:basedOn w:val="footnoteindent"/>
    <w:autoRedefine/>
    <w:uiPriority w:val="99"/>
    <w:rsid w:val="00A24D39"/>
    <w:pPr>
      <w:ind w:firstLine="720"/>
    </w:pPr>
    <w:rPr>
      <w:rFonts w:cs="Times LT Std"/>
      <w:szCs w:val="19"/>
    </w:rPr>
  </w:style>
  <w:style w:type="paragraph" w:customStyle="1" w:styleId="footnoteindentflush">
    <w:name w:val="footnote indent flush"/>
    <w:basedOn w:val="Normal"/>
    <w:autoRedefine/>
    <w:uiPriority w:val="99"/>
    <w:qFormat/>
    <w:rsid w:val="00A24D39"/>
    <w:pPr>
      <w:widowControl w:val="0"/>
      <w:autoSpaceDE w:val="0"/>
      <w:autoSpaceDN w:val="0"/>
      <w:adjustRightInd w:val="0"/>
      <w:spacing w:before="40" w:after="40"/>
      <w:ind w:left="720"/>
      <w:textAlignment w:val="center"/>
    </w:pPr>
    <w:rPr>
      <w:rFonts w:eastAsiaTheme="minorEastAsia" w:cs="Times LT Std"/>
      <w:color w:val="000000"/>
      <w:sz w:val="20"/>
      <w:szCs w:val="18"/>
      <w:lang w:eastAsia="en-US"/>
    </w:rPr>
  </w:style>
  <w:style w:type="paragraph" w:customStyle="1" w:styleId="footnoteindentparaindent">
    <w:name w:val="footnote indent para indent"/>
    <w:basedOn w:val="Normal"/>
    <w:autoRedefine/>
    <w:uiPriority w:val="99"/>
    <w:rsid w:val="00A24D39"/>
    <w:pPr>
      <w:widowControl w:val="0"/>
      <w:autoSpaceDE w:val="0"/>
      <w:autoSpaceDN w:val="0"/>
      <w:adjustRightInd w:val="0"/>
      <w:ind w:left="720" w:firstLine="720"/>
      <w:textAlignment w:val="center"/>
    </w:pPr>
    <w:rPr>
      <w:rFonts w:eastAsiaTheme="minorEastAsia" w:cs="Times LT Std"/>
      <w:color w:val="000000"/>
      <w:sz w:val="20"/>
      <w:szCs w:val="18"/>
      <w:lang w:eastAsia="en-US"/>
    </w:rPr>
  </w:style>
  <w:style w:type="paragraph" w:customStyle="1" w:styleId="footnoteindentwpara">
    <w:name w:val="footnote indent w/para"/>
    <w:basedOn w:val="footnoteindent"/>
    <w:autoRedefine/>
    <w:uiPriority w:val="99"/>
    <w:rsid w:val="00A24D39"/>
  </w:style>
  <w:style w:type="paragraph" w:customStyle="1" w:styleId="footnoteindentwpnospace">
    <w:name w:val="footnote indent w/p no space"/>
    <w:basedOn w:val="footnoteindentwpara"/>
    <w:autoRedefine/>
    <w:uiPriority w:val="99"/>
    <w:rsid w:val="00A24D39"/>
  </w:style>
  <w:style w:type="paragraph" w:customStyle="1" w:styleId="footnoteindentwpara0">
    <w:name w:val="footnote indent/w para"/>
    <w:basedOn w:val="Normal"/>
    <w:autoRedefine/>
    <w:uiPriority w:val="99"/>
    <w:rsid w:val="00A24D39"/>
    <w:pPr>
      <w:widowControl w:val="0"/>
      <w:autoSpaceDE w:val="0"/>
      <w:autoSpaceDN w:val="0"/>
      <w:adjustRightInd w:val="0"/>
      <w:ind w:left="720" w:firstLine="720"/>
      <w:textAlignment w:val="center"/>
    </w:pPr>
    <w:rPr>
      <w:rFonts w:eastAsiaTheme="minorEastAsia" w:cs="Times LT Std"/>
      <w:color w:val="000000"/>
      <w:sz w:val="20"/>
      <w:szCs w:val="18"/>
      <w:lang w:eastAsia="en-US"/>
    </w:rPr>
  </w:style>
  <w:style w:type="paragraph" w:customStyle="1" w:styleId="footnoteindent-p">
    <w:name w:val="footnote indent-p"/>
    <w:basedOn w:val="footnoteindent"/>
    <w:autoRedefine/>
    <w:uiPriority w:val="99"/>
    <w:rsid w:val="00A24D39"/>
    <w:pPr>
      <w:ind w:firstLine="720"/>
    </w:pPr>
    <w:rPr>
      <w:rFonts w:cs="Times LT Std"/>
      <w:szCs w:val="18"/>
    </w:rPr>
  </w:style>
  <w:style w:type="paragraph" w:customStyle="1" w:styleId="footnotenl">
    <w:name w:val="footnote nl"/>
    <w:basedOn w:val="footnoteindent"/>
    <w:autoRedefine/>
    <w:uiPriority w:val="99"/>
    <w:qFormat/>
    <w:rsid w:val="00A24D39"/>
    <w:pPr>
      <w:tabs>
        <w:tab w:val="left" w:pos="680"/>
      </w:tabs>
      <w:ind w:left="1032" w:hanging="312"/>
    </w:pPr>
  </w:style>
  <w:style w:type="paragraph" w:customStyle="1" w:styleId="footnotenlal">
    <w:name w:val="footnote nl/al"/>
    <w:basedOn w:val="footnotenl"/>
    <w:autoRedefine/>
    <w:uiPriority w:val="99"/>
    <w:qFormat/>
    <w:rsid w:val="00A24D39"/>
    <w:pPr>
      <w:tabs>
        <w:tab w:val="left" w:pos="1040"/>
      </w:tabs>
      <w:ind w:left="1440" w:hanging="360"/>
    </w:pPr>
  </w:style>
  <w:style w:type="paragraph" w:customStyle="1" w:styleId="footnotenumberlist">
    <w:name w:val="footnote number list"/>
    <w:basedOn w:val="Normal"/>
    <w:autoRedefine/>
    <w:uiPriority w:val="99"/>
    <w:rsid w:val="00A24D39"/>
    <w:pPr>
      <w:widowControl w:val="0"/>
      <w:tabs>
        <w:tab w:val="left" w:pos="600"/>
      </w:tabs>
      <w:autoSpaceDE w:val="0"/>
      <w:autoSpaceDN w:val="0"/>
      <w:adjustRightInd w:val="0"/>
      <w:ind w:left="960" w:hanging="240"/>
      <w:textAlignment w:val="center"/>
    </w:pPr>
    <w:rPr>
      <w:rFonts w:eastAsiaTheme="minorEastAsia" w:cs="Times LT Std"/>
      <w:color w:val="000000"/>
      <w:sz w:val="20"/>
      <w:szCs w:val="18"/>
      <w:lang w:eastAsia="en-US"/>
    </w:rPr>
  </w:style>
  <w:style w:type="paragraph" w:customStyle="1" w:styleId="footnotenumberlist2ndlevel">
    <w:name w:val="footnote number list 2nd level"/>
    <w:basedOn w:val="footnotenumberlist"/>
    <w:autoRedefine/>
    <w:uiPriority w:val="99"/>
    <w:rsid w:val="00A24D39"/>
    <w:pPr>
      <w:tabs>
        <w:tab w:val="clear" w:pos="600"/>
        <w:tab w:val="left" w:pos="1080"/>
      </w:tabs>
      <w:spacing w:before="40"/>
      <w:ind w:left="1440" w:hanging="360"/>
    </w:pPr>
    <w:rPr>
      <w:rFonts w:cs="NewCenturySchlbk"/>
    </w:rPr>
  </w:style>
  <w:style w:type="paragraph" w:customStyle="1" w:styleId="footnotenumberpl">
    <w:name w:val="footnote number pl"/>
    <w:basedOn w:val="Normal"/>
    <w:autoRedefine/>
    <w:uiPriority w:val="99"/>
    <w:rsid w:val="00A24D39"/>
    <w:pPr>
      <w:widowControl w:val="0"/>
      <w:tabs>
        <w:tab w:val="left" w:pos="720"/>
      </w:tabs>
      <w:autoSpaceDE w:val="0"/>
      <w:autoSpaceDN w:val="0"/>
      <w:adjustRightInd w:val="0"/>
      <w:ind w:left="1080" w:hanging="360"/>
      <w:textAlignment w:val="center"/>
    </w:pPr>
    <w:rPr>
      <w:rFonts w:eastAsiaTheme="minorEastAsia" w:cs="Times LT Std"/>
      <w:color w:val="000000"/>
      <w:sz w:val="20"/>
      <w:szCs w:val="18"/>
      <w:lang w:eastAsia="en-US"/>
    </w:rPr>
  </w:style>
  <w:style w:type="paragraph" w:customStyle="1" w:styleId="footnotepara">
    <w:name w:val="footnote para"/>
    <w:basedOn w:val="footnote"/>
    <w:autoRedefine/>
    <w:uiPriority w:val="99"/>
    <w:rsid w:val="00A24D39"/>
    <w:pPr>
      <w:autoSpaceDE w:val="0"/>
      <w:autoSpaceDN w:val="0"/>
      <w:adjustRightInd w:val="0"/>
      <w:textAlignment w:val="center"/>
    </w:pPr>
    <w:rPr>
      <w:rFonts w:cs="Times LT Std"/>
      <w:color w:val="000000"/>
      <w:szCs w:val="18"/>
    </w:rPr>
  </w:style>
  <w:style w:type="paragraph" w:customStyle="1" w:styleId="footnoteparaindent">
    <w:name w:val="footnote para indent"/>
    <w:basedOn w:val="Normal"/>
    <w:autoRedefine/>
    <w:uiPriority w:val="99"/>
    <w:qFormat/>
    <w:rsid w:val="00A24D39"/>
    <w:pPr>
      <w:widowControl w:val="0"/>
      <w:autoSpaceDE w:val="0"/>
      <w:autoSpaceDN w:val="0"/>
      <w:adjustRightInd w:val="0"/>
      <w:ind w:firstLine="720"/>
      <w:textAlignment w:val="center"/>
    </w:pPr>
    <w:rPr>
      <w:rFonts w:eastAsiaTheme="minorEastAsia" w:cs="ITC New Baskerville Std"/>
      <w:color w:val="000000"/>
      <w:sz w:val="20"/>
      <w:szCs w:val="16"/>
      <w:lang w:eastAsia="en-US"/>
    </w:rPr>
  </w:style>
  <w:style w:type="character" w:styleId="FootnoteReference">
    <w:name w:val="footnote reference"/>
    <w:basedOn w:val="DefaultParagraphFont"/>
    <w:uiPriority w:val="99"/>
    <w:rsid w:val="00A24D39"/>
    <w:rPr>
      <w:rFonts w:ascii="Times New Roman" w:hAnsi="Times New Roman"/>
      <w:b w:val="0"/>
      <w:i w:val="0"/>
      <w:sz w:val="20"/>
      <w:vertAlign w:val="superscript"/>
    </w:rPr>
  </w:style>
  <w:style w:type="paragraph" w:customStyle="1" w:styleId="footnoteregpara">
    <w:name w:val="footnote reg para"/>
    <w:basedOn w:val="footnote"/>
    <w:autoRedefine/>
    <w:uiPriority w:val="99"/>
    <w:rsid w:val="00A24D39"/>
    <w:pPr>
      <w:autoSpaceDE w:val="0"/>
      <w:autoSpaceDN w:val="0"/>
      <w:adjustRightInd w:val="0"/>
      <w:textAlignment w:val="center"/>
    </w:pPr>
    <w:rPr>
      <w:rFonts w:cs="ITC New Baskerville Std"/>
      <w:color w:val="000000"/>
      <w:szCs w:val="18"/>
    </w:rPr>
  </w:style>
  <w:style w:type="paragraph" w:customStyle="1" w:styleId="footnoteregparaindent">
    <w:name w:val="footnote reg para indent"/>
    <w:basedOn w:val="footnote"/>
    <w:autoRedefine/>
    <w:uiPriority w:val="99"/>
    <w:rsid w:val="00A24D39"/>
    <w:pPr>
      <w:autoSpaceDE w:val="0"/>
      <w:autoSpaceDN w:val="0"/>
      <w:adjustRightInd w:val="0"/>
      <w:textAlignment w:val="center"/>
    </w:pPr>
    <w:rPr>
      <w:rFonts w:cs="Times LT Std"/>
      <w:color w:val="000000"/>
      <w:szCs w:val="18"/>
    </w:rPr>
  </w:style>
  <w:style w:type="paragraph" w:customStyle="1" w:styleId="footnoteregwpara">
    <w:name w:val="footnote reg w/para"/>
    <w:basedOn w:val="Normal"/>
    <w:autoRedefine/>
    <w:uiPriority w:val="99"/>
    <w:rsid w:val="00A24D39"/>
    <w:pPr>
      <w:widowControl w:val="0"/>
      <w:autoSpaceDE w:val="0"/>
      <w:autoSpaceDN w:val="0"/>
      <w:adjustRightInd w:val="0"/>
      <w:ind w:firstLine="720"/>
      <w:textAlignment w:val="center"/>
    </w:pPr>
    <w:rPr>
      <w:rFonts w:eastAsiaTheme="minorEastAsia" w:cs="Times LT Std"/>
      <w:color w:val="000000"/>
      <w:sz w:val="20"/>
      <w:szCs w:val="16"/>
      <w:lang w:eastAsia="en-US"/>
    </w:rPr>
  </w:style>
  <w:style w:type="paragraph" w:customStyle="1" w:styleId="footnoteregular">
    <w:name w:val="footnote regular"/>
    <w:basedOn w:val="footnote"/>
    <w:autoRedefine/>
    <w:uiPriority w:val="99"/>
    <w:rsid w:val="00A24D39"/>
    <w:pPr>
      <w:autoSpaceDE w:val="0"/>
      <w:autoSpaceDN w:val="0"/>
      <w:adjustRightInd w:val="0"/>
      <w:textAlignment w:val="center"/>
    </w:pPr>
    <w:rPr>
      <w:rFonts w:cs="ITC New Baskerville Std"/>
      <w:color w:val="000000"/>
      <w:szCs w:val="16"/>
    </w:rPr>
  </w:style>
  <w:style w:type="paragraph" w:styleId="FootnoteText">
    <w:name w:val="footnote text"/>
    <w:basedOn w:val="Normal"/>
    <w:link w:val="FootnoteTextChar"/>
    <w:autoRedefine/>
    <w:uiPriority w:val="99"/>
    <w:rsid w:val="00A24D39"/>
    <w:pPr>
      <w:ind w:firstLine="720"/>
    </w:pPr>
    <w:rPr>
      <w:rFonts w:eastAsiaTheme="minorEastAsia" w:cstheme="minorBidi"/>
      <w:sz w:val="20"/>
      <w:szCs w:val="20"/>
      <w:lang w:eastAsia="en-US"/>
    </w:rPr>
  </w:style>
  <w:style w:type="character" w:customStyle="1" w:styleId="FootnoteTextChar">
    <w:name w:val="Footnote Text Char"/>
    <w:basedOn w:val="DefaultParagraphFont"/>
    <w:link w:val="FootnoteText"/>
    <w:uiPriority w:val="99"/>
    <w:rsid w:val="00A24D39"/>
    <w:rPr>
      <w:rFonts w:ascii="Times New Roman" w:hAnsi="Times New Roman" w:cstheme="minorBidi"/>
      <w:sz w:val="20"/>
      <w:szCs w:val="20"/>
    </w:rPr>
  </w:style>
  <w:style w:type="paragraph" w:customStyle="1" w:styleId="footnotewithpara">
    <w:name w:val="footnote with para"/>
    <w:basedOn w:val="footnote"/>
    <w:autoRedefine/>
    <w:uiPriority w:val="99"/>
    <w:rsid w:val="00A24D39"/>
    <w:pPr>
      <w:autoSpaceDE w:val="0"/>
      <w:autoSpaceDN w:val="0"/>
      <w:adjustRightInd w:val="0"/>
      <w:jc w:val="both"/>
      <w:textAlignment w:val="center"/>
    </w:pPr>
    <w:rPr>
      <w:rFonts w:cs="NewCenturySchlbk"/>
      <w:color w:val="000000"/>
      <w:szCs w:val="16"/>
    </w:rPr>
  </w:style>
  <w:style w:type="paragraph" w:customStyle="1" w:styleId="footnotewithparaident">
    <w:name w:val="footnote with para ident"/>
    <w:basedOn w:val="footnoteflush"/>
    <w:autoRedefine/>
    <w:uiPriority w:val="99"/>
    <w:rsid w:val="00A24D39"/>
    <w:pPr>
      <w:ind w:firstLine="720"/>
    </w:pPr>
    <w:rPr>
      <w:rFonts w:cs="Times LT Std"/>
      <w:szCs w:val="19"/>
    </w:rPr>
  </w:style>
  <w:style w:type="paragraph" w:customStyle="1" w:styleId="hangtext">
    <w:name w:val="hang text"/>
    <w:basedOn w:val="text"/>
    <w:autoRedefine/>
    <w:uiPriority w:val="99"/>
    <w:rsid w:val="00A24D39"/>
    <w:pPr>
      <w:widowControl w:val="0"/>
      <w:autoSpaceDE w:val="0"/>
      <w:autoSpaceDN w:val="0"/>
      <w:adjustRightInd w:val="0"/>
      <w:ind w:left="439" w:hanging="439"/>
      <w:jc w:val="both"/>
      <w:textAlignment w:val="center"/>
    </w:pPr>
    <w:rPr>
      <w:rFonts w:eastAsiaTheme="minorEastAsia" w:cs="NewCenturySchlbk"/>
      <w:color w:val="000000"/>
      <w:szCs w:val="22"/>
    </w:rPr>
  </w:style>
  <w:style w:type="paragraph" w:customStyle="1" w:styleId="hangingblurb">
    <w:name w:val="hanging blurb"/>
    <w:basedOn w:val="text"/>
    <w:autoRedefine/>
    <w:uiPriority w:val="99"/>
    <w:rsid w:val="00A24D39"/>
    <w:pPr>
      <w:widowControl w:val="0"/>
      <w:tabs>
        <w:tab w:val="clear" w:pos="0"/>
        <w:tab w:val="clear" w:pos="720"/>
        <w:tab w:val="clear" w:pos="2160"/>
        <w:tab w:val="clear" w:pos="2880"/>
        <w:tab w:val="clear" w:pos="3600"/>
        <w:tab w:val="clear" w:pos="4320"/>
        <w:tab w:val="clear" w:pos="5040"/>
        <w:tab w:val="clear" w:pos="5760"/>
      </w:tabs>
      <w:autoSpaceDE w:val="0"/>
      <w:autoSpaceDN w:val="0"/>
      <w:adjustRightInd w:val="0"/>
      <w:ind w:left="1680" w:hanging="1680"/>
      <w:textAlignment w:val="center"/>
    </w:pPr>
    <w:rPr>
      <w:rFonts w:eastAsiaTheme="minorEastAsia" w:cs="ITC New Baskerville Std"/>
      <w:color w:val="000000"/>
      <w:szCs w:val="22"/>
    </w:rPr>
  </w:style>
  <w:style w:type="paragraph" w:customStyle="1" w:styleId="ItalicHead">
    <w:name w:val="Italic Head"/>
    <w:basedOn w:val="text"/>
    <w:autoRedefine/>
    <w:uiPriority w:val="99"/>
    <w:rsid w:val="00A24D39"/>
    <w:pPr>
      <w:keepNext/>
      <w:widowControl w:val="0"/>
      <w:tabs>
        <w:tab w:val="clear" w:pos="0"/>
        <w:tab w:val="clear" w:pos="720"/>
        <w:tab w:val="clear" w:pos="1440"/>
        <w:tab w:val="clear" w:pos="2160"/>
        <w:tab w:val="clear" w:pos="2880"/>
        <w:tab w:val="clear" w:pos="3600"/>
        <w:tab w:val="clear" w:pos="4320"/>
        <w:tab w:val="clear" w:pos="5040"/>
        <w:tab w:val="clear" w:pos="5760"/>
      </w:tabs>
      <w:suppressAutoHyphens/>
      <w:autoSpaceDE w:val="0"/>
      <w:autoSpaceDN w:val="0"/>
      <w:adjustRightInd w:val="0"/>
      <w:spacing w:before="240" w:after="240"/>
      <w:ind w:firstLine="0"/>
      <w:textAlignment w:val="center"/>
    </w:pPr>
    <w:rPr>
      <w:rFonts w:eastAsiaTheme="minorEastAsia" w:cs="ITC New Baskerville Std"/>
      <w:i/>
      <w:iCs/>
      <w:color w:val="000000"/>
      <w:szCs w:val="22"/>
    </w:rPr>
  </w:style>
  <w:style w:type="paragraph" w:customStyle="1" w:styleId="italichead0">
    <w:name w:val="italic head +/+"/>
    <w:basedOn w:val="Normal"/>
    <w:autoRedefine/>
    <w:uiPriority w:val="99"/>
    <w:rsid w:val="00A24D39"/>
    <w:pPr>
      <w:widowControl w:val="0"/>
      <w:tabs>
        <w:tab w:val="left" w:pos="480"/>
      </w:tabs>
      <w:suppressAutoHyphens/>
      <w:autoSpaceDE w:val="0"/>
      <w:autoSpaceDN w:val="0"/>
      <w:adjustRightInd w:val="0"/>
      <w:spacing w:before="240" w:after="240"/>
      <w:ind w:left="480" w:hanging="480"/>
      <w:textAlignment w:val="center"/>
    </w:pPr>
    <w:rPr>
      <w:rFonts w:eastAsiaTheme="minorEastAsia" w:cs="Times LT Std"/>
      <w:i/>
      <w:iCs/>
      <w:color w:val="000000"/>
      <w:szCs w:val="22"/>
      <w:lang w:eastAsia="en-US"/>
    </w:rPr>
  </w:style>
  <w:style w:type="paragraph" w:customStyle="1" w:styleId="l1">
    <w:name w:val="l1"/>
    <w:basedOn w:val="Normal"/>
    <w:autoRedefine/>
    <w:uiPriority w:val="99"/>
    <w:rsid w:val="00A24D39"/>
    <w:pPr>
      <w:keepNext/>
      <w:widowControl w:val="0"/>
      <w:suppressAutoHyphens/>
      <w:autoSpaceDE w:val="0"/>
      <w:autoSpaceDN w:val="0"/>
      <w:adjustRightInd w:val="0"/>
      <w:spacing w:before="480" w:after="240"/>
      <w:ind w:firstLine="720"/>
      <w:jc w:val="center"/>
      <w:textAlignment w:val="center"/>
    </w:pPr>
    <w:rPr>
      <w:rFonts w:eastAsiaTheme="minorEastAsia" w:cs="Times SC"/>
      <w:smallCaps/>
      <w:color w:val="000000"/>
      <w:szCs w:val="22"/>
      <w:lang w:eastAsia="en-US"/>
    </w:rPr>
  </w:style>
  <w:style w:type="paragraph" w:customStyle="1" w:styleId="l1-ct">
    <w:name w:val="l1-ct"/>
    <w:basedOn w:val="l1"/>
    <w:autoRedefine/>
    <w:uiPriority w:val="99"/>
    <w:rsid w:val="00A24D39"/>
    <w:pPr>
      <w:spacing w:before="0"/>
      <w:contextualSpacing/>
    </w:pPr>
    <w:rPr>
      <w:szCs w:val="24"/>
    </w:rPr>
  </w:style>
  <w:style w:type="paragraph" w:customStyle="1" w:styleId="l2">
    <w:name w:val="l2"/>
    <w:basedOn w:val="Normal"/>
    <w:autoRedefine/>
    <w:uiPriority w:val="99"/>
    <w:rsid w:val="00A24D39"/>
    <w:pPr>
      <w:keepNext/>
      <w:widowControl w:val="0"/>
      <w:tabs>
        <w:tab w:val="left" w:pos="360"/>
      </w:tabs>
      <w:suppressAutoHyphens/>
      <w:autoSpaceDE w:val="0"/>
      <w:autoSpaceDN w:val="0"/>
      <w:adjustRightInd w:val="0"/>
      <w:spacing w:before="240" w:after="240"/>
      <w:ind w:left="360" w:hanging="360"/>
      <w:textAlignment w:val="center"/>
    </w:pPr>
    <w:rPr>
      <w:rFonts w:eastAsiaTheme="minorEastAsia" w:cs="Times LT Std"/>
      <w:b/>
      <w:bCs/>
      <w:color w:val="000000"/>
      <w:szCs w:val="22"/>
      <w:lang w:eastAsia="en-US"/>
    </w:rPr>
  </w:style>
  <w:style w:type="paragraph" w:customStyle="1" w:styleId="l2-1">
    <w:name w:val="l2-1"/>
    <w:basedOn w:val="l2"/>
    <w:autoRedefine/>
    <w:uiPriority w:val="99"/>
    <w:rsid w:val="00A24D39"/>
    <w:pPr>
      <w:spacing w:before="0"/>
    </w:pPr>
  </w:style>
  <w:style w:type="paragraph" w:customStyle="1" w:styleId="l3">
    <w:name w:val="l3"/>
    <w:basedOn w:val="Normal"/>
    <w:autoRedefine/>
    <w:uiPriority w:val="99"/>
    <w:rsid w:val="00A24D39"/>
    <w:pPr>
      <w:keepNext/>
      <w:widowControl w:val="0"/>
      <w:tabs>
        <w:tab w:val="left" w:pos="360"/>
      </w:tabs>
      <w:suppressAutoHyphens/>
      <w:autoSpaceDE w:val="0"/>
      <w:autoSpaceDN w:val="0"/>
      <w:adjustRightInd w:val="0"/>
      <w:spacing w:before="240" w:after="240"/>
      <w:ind w:left="360" w:hanging="360"/>
      <w:textAlignment w:val="center"/>
    </w:pPr>
    <w:rPr>
      <w:rFonts w:eastAsiaTheme="minorEastAsia" w:cs="Times LT Std"/>
      <w:i/>
      <w:iCs/>
      <w:color w:val="000000"/>
      <w:szCs w:val="22"/>
      <w:lang w:eastAsia="en-US"/>
    </w:rPr>
  </w:style>
  <w:style w:type="paragraph" w:customStyle="1" w:styleId="l3-2">
    <w:name w:val="l3-2"/>
    <w:basedOn w:val="l3"/>
    <w:autoRedefine/>
    <w:uiPriority w:val="99"/>
    <w:rsid w:val="00A24D39"/>
    <w:pPr>
      <w:spacing w:before="0"/>
    </w:pPr>
  </w:style>
  <w:style w:type="paragraph" w:customStyle="1" w:styleId="l4">
    <w:name w:val="l4"/>
    <w:basedOn w:val="Normal"/>
    <w:autoRedefine/>
    <w:uiPriority w:val="99"/>
    <w:rsid w:val="00A24D39"/>
    <w:pPr>
      <w:keepNext/>
      <w:widowControl w:val="0"/>
      <w:tabs>
        <w:tab w:val="left" w:pos="881"/>
      </w:tabs>
      <w:suppressAutoHyphens/>
      <w:autoSpaceDE w:val="0"/>
      <w:autoSpaceDN w:val="0"/>
      <w:adjustRightInd w:val="0"/>
      <w:spacing w:before="240" w:after="240"/>
      <w:ind w:left="799" w:hanging="360"/>
      <w:textAlignment w:val="center"/>
    </w:pPr>
    <w:rPr>
      <w:rFonts w:eastAsiaTheme="minorEastAsia" w:cs="Times LT Std"/>
      <w:i/>
      <w:iCs/>
      <w:color w:val="000000"/>
      <w:szCs w:val="22"/>
      <w:lang w:eastAsia="en-US"/>
    </w:rPr>
  </w:style>
  <w:style w:type="paragraph" w:customStyle="1" w:styleId="l4-3">
    <w:name w:val="l4-3"/>
    <w:basedOn w:val="l4"/>
    <w:autoRedefine/>
    <w:uiPriority w:val="99"/>
    <w:rsid w:val="00A24D39"/>
    <w:pPr>
      <w:tabs>
        <w:tab w:val="clear" w:pos="881"/>
      </w:tabs>
      <w:spacing w:before="0"/>
    </w:pPr>
  </w:style>
  <w:style w:type="paragraph" w:customStyle="1" w:styleId="l5">
    <w:name w:val="l5"/>
    <w:basedOn w:val="l4"/>
    <w:autoRedefine/>
    <w:uiPriority w:val="99"/>
    <w:rsid w:val="00A24D39"/>
    <w:pPr>
      <w:tabs>
        <w:tab w:val="left" w:pos="1240"/>
      </w:tabs>
      <w:ind w:left="1241"/>
    </w:pPr>
  </w:style>
  <w:style w:type="paragraph" w:customStyle="1" w:styleId="l5-4">
    <w:name w:val="l5-4"/>
    <w:basedOn w:val="Normal"/>
    <w:autoRedefine/>
    <w:uiPriority w:val="99"/>
    <w:rsid w:val="00A24D39"/>
    <w:pPr>
      <w:keepNext/>
      <w:widowControl w:val="0"/>
      <w:tabs>
        <w:tab w:val="left" w:pos="1240"/>
      </w:tabs>
      <w:suppressAutoHyphens/>
      <w:autoSpaceDE w:val="0"/>
      <w:autoSpaceDN w:val="0"/>
      <w:adjustRightInd w:val="0"/>
      <w:spacing w:after="240"/>
      <w:ind w:left="1241" w:hanging="360"/>
      <w:textAlignment w:val="center"/>
    </w:pPr>
    <w:rPr>
      <w:rFonts w:eastAsiaTheme="minorEastAsia" w:cs="Times LT Std"/>
      <w:i/>
      <w:iCs/>
      <w:color w:val="000000"/>
      <w:szCs w:val="22"/>
      <w:lang w:eastAsia="en-US"/>
    </w:rPr>
  </w:style>
  <w:style w:type="paragraph" w:customStyle="1" w:styleId="L6">
    <w:name w:val="L6"/>
    <w:basedOn w:val="l5"/>
    <w:autoRedefine/>
    <w:uiPriority w:val="99"/>
    <w:rsid w:val="00A24D39"/>
    <w:pPr>
      <w:tabs>
        <w:tab w:val="clear" w:pos="881"/>
        <w:tab w:val="left" w:pos="1680"/>
      </w:tabs>
      <w:ind w:left="1680" w:hanging="480"/>
    </w:pPr>
    <w:rPr>
      <w:szCs w:val="24"/>
    </w:rPr>
  </w:style>
  <w:style w:type="paragraph" w:customStyle="1" w:styleId="l60">
    <w:name w:val="l6"/>
    <w:basedOn w:val="text"/>
    <w:autoRedefine/>
    <w:qFormat/>
    <w:rsid w:val="00A24D39"/>
    <w:pPr>
      <w:tabs>
        <w:tab w:val="left" w:pos="2040"/>
      </w:tabs>
      <w:spacing w:before="240" w:after="240"/>
      <w:ind w:left="840" w:hanging="480"/>
    </w:pPr>
    <w:rPr>
      <w:i/>
    </w:rPr>
  </w:style>
  <w:style w:type="paragraph" w:customStyle="1" w:styleId="Level1Head10">
    <w:name w:val="Level 1 Head (10)"/>
    <w:basedOn w:val="Normal"/>
    <w:autoRedefine/>
    <w:uiPriority w:val="99"/>
    <w:rsid w:val="00A24D39"/>
    <w:pPr>
      <w:keepNext/>
      <w:widowControl w:val="0"/>
      <w:tabs>
        <w:tab w:val="left" w:pos="720"/>
      </w:tabs>
      <w:suppressAutoHyphens/>
      <w:autoSpaceDE w:val="0"/>
      <w:autoSpaceDN w:val="0"/>
      <w:adjustRightInd w:val="0"/>
      <w:spacing w:before="480" w:after="360"/>
      <w:ind w:left="720" w:hanging="720"/>
      <w:textAlignment w:val="center"/>
    </w:pPr>
    <w:rPr>
      <w:rFonts w:eastAsiaTheme="minorEastAsia" w:cs="NewCenturySchlbk"/>
      <w:b/>
      <w:bCs/>
      <w:color w:val="000000"/>
      <w:lang w:eastAsia="en-US"/>
    </w:rPr>
  </w:style>
  <w:style w:type="paragraph" w:customStyle="1" w:styleId="Level21">
    <w:name w:val="Level 2 / 1"/>
    <w:basedOn w:val="Normal"/>
    <w:autoRedefine/>
    <w:uiPriority w:val="99"/>
    <w:rsid w:val="00A24D39"/>
    <w:pPr>
      <w:keepNext/>
      <w:widowControl w:val="0"/>
      <w:tabs>
        <w:tab w:val="left" w:pos="480"/>
      </w:tabs>
      <w:suppressAutoHyphens/>
      <w:autoSpaceDE w:val="0"/>
      <w:autoSpaceDN w:val="0"/>
      <w:adjustRightInd w:val="0"/>
      <w:spacing w:after="240"/>
      <w:ind w:left="480" w:hanging="480"/>
      <w:textAlignment w:val="center"/>
    </w:pPr>
    <w:rPr>
      <w:rFonts w:eastAsiaTheme="minorEastAsia" w:cs="NewCenturySchlbk"/>
      <w:b/>
      <w:bCs/>
      <w:i/>
      <w:iCs/>
      <w:color w:val="000000"/>
      <w:szCs w:val="22"/>
      <w:lang w:eastAsia="en-US"/>
    </w:rPr>
  </w:style>
  <w:style w:type="paragraph" w:customStyle="1" w:styleId="Level2Head">
    <w:name w:val="Level 2 Head"/>
    <w:basedOn w:val="Normal"/>
    <w:autoRedefine/>
    <w:uiPriority w:val="99"/>
    <w:rsid w:val="00A24D39"/>
    <w:pPr>
      <w:keepNext/>
      <w:widowControl w:val="0"/>
      <w:tabs>
        <w:tab w:val="left" w:pos="480"/>
      </w:tabs>
      <w:suppressAutoHyphens/>
      <w:autoSpaceDE w:val="0"/>
      <w:autoSpaceDN w:val="0"/>
      <w:adjustRightInd w:val="0"/>
      <w:spacing w:before="360" w:after="240"/>
      <w:ind w:left="480" w:hanging="480"/>
      <w:textAlignment w:val="center"/>
    </w:pPr>
    <w:rPr>
      <w:rFonts w:eastAsiaTheme="minorEastAsia" w:cs="NewCenturySchlbk"/>
      <w:b/>
      <w:bCs/>
      <w:i/>
      <w:iCs/>
      <w:color w:val="000000"/>
      <w:szCs w:val="22"/>
      <w:lang w:eastAsia="en-US"/>
    </w:rPr>
  </w:style>
  <w:style w:type="paragraph" w:customStyle="1" w:styleId="Level3Head">
    <w:name w:val="Level 3 Head"/>
    <w:basedOn w:val="Normal"/>
    <w:autoRedefine/>
    <w:uiPriority w:val="99"/>
    <w:rsid w:val="00A24D39"/>
    <w:pPr>
      <w:keepNext/>
      <w:widowControl w:val="0"/>
      <w:tabs>
        <w:tab w:val="left" w:pos="920"/>
      </w:tabs>
      <w:suppressAutoHyphens/>
      <w:autoSpaceDE w:val="0"/>
      <w:autoSpaceDN w:val="0"/>
      <w:adjustRightInd w:val="0"/>
      <w:spacing w:before="240" w:after="240"/>
      <w:ind w:left="919" w:hanging="480"/>
      <w:textAlignment w:val="center"/>
    </w:pPr>
    <w:rPr>
      <w:rFonts w:eastAsiaTheme="minorEastAsia" w:cs="NewCenturySchlbk"/>
      <w:i/>
      <w:iCs/>
      <w:color w:val="000000"/>
      <w:szCs w:val="22"/>
      <w:lang w:eastAsia="en-US"/>
    </w:rPr>
  </w:style>
  <w:style w:type="paragraph" w:customStyle="1" w:styleId="Level32">
    <w:name w:val="Level 3 / 2"/>
    <w:basedOn w:val="Level3Head"/>
    <w:autoRedefine/>
    <w:uiPriority w:val="99"/>
    <w:rsid w:val="00A24D39"/>
    <w:pPr>
      <w:spacing w:before="0"/>
    </w:pPr>
  </w:style>
  <w:style w:type="paragraph" w:customStyle="1" w:styleId="Level4Head">
    <w:name w:val="Level 4 Head"/>
    <w:basedOn w:val="text"/>
    <w:autoRedefine/>
    <w:uiPriority w:val="99"/>
    <w:rsid w:val="00A24D39"/>
    <w:pPr>
      <w:keepNext/>
      <w:widowControl w:val="0"/>
      <w:tabs>
        <w:tab w:val="clear" w:pos="0"/>
        <w:tab w:val="clear" w:pos="720"/>
        <w:tab w:val="clear" w:pos="1440"/>
        <w:tab w:val="clear" w:pos="2160"/>
        <w:tab w:val="clear" w:pos="2880"/>
        <w:tab w:val="clear" w:pos="3600"/>
        <w:tab w:val="clear" w:pos="4320"/>
        <w:tab w:val="clear" w:pos="5040"/>
        <w:tab w:val="clear" w:pos="5760"/>
        <w:tab w:val="left" w:pos="920"/>
      </w:tabs>
      <w:suppressAutoHyphens/>
      <w:autoSpaceDE w:val="0"/>
      <w:autoSpaceDN w:val="0"/>
      <w:adjustRightInd w:val="0"/>
      <w:spacing w:before="240" w:after="240"/>
      <w:ind w:left="919" w:hanging="480"/>
      <w:textAlignment w:val="center"/>
    </w:pPr>
    <w:rPr>
      <w:rFonts w:eastAsiaTheme="minorEastAsia" w:cs="NewCenturySchlbk"/>
      <w:i/>
      <w:iCs/>
      <w:color w:val="000000"/>
      <w:szCs w:val="22"/>
    </w:rPr>
  </w:style>
  <w:style w:type="paragraph" w:customStyle="1" w:styleId="Level43">
    <w:name w:val="Level 4/3"/>
    <w:basedOn w:val="Level4Head"/>
    <w:autoRedefine/>
    <w:uiPriority w:val="99"/>
    <w:rsid w:val="00A24D39"/>
    <w:pPr>
      <w:spacing w:before="0"/>
    </w:pPr>
  </w:style>
  <w:style w:type="paragraph" w:customStyle="1" w:styleId="Level5D">
    <w:name w:val="Level 5 (D)"/>
    <w:basedOn w:val="Level4Head"/>
    <w:autoRedefine/>
    <w:uiPriority w:val="99"/>
    <w:rsid w:val="00A24D39"/>
    <w:pPr>
      <w:ind w:left="1399"/>
    </w:pPr>
  </w:style>
  <w:style w:type="paragraph" w:customStyle="1" w:styleId="Level6i">
    <w:name w:val="Level 6 (i)"/>
    <w:basedOn w:val="Level5D"/>
    <w:autoRedefine/>
    <w:uiPriority w:val="99"/>
    <w:rsid w:val="00A24D39"/>
    <w:pPr>
      <w:tabs>
        <w:tab w:val="left" w:pos="1880"/>
      </w:tabs>
      <w:ind w:left="1879"/>
    </w:pPr>
  </w:style>
  <w:style w:type="paragraph" w:customStyle="1" w:styleId="namecentered">
    <w:name w:val="name centered"/>
    <w:basedOn w:val="Normal"/>
    <w:autoRedefine/>
    <w:uiPriority w:val="99"/>
    <w:rsid w:val="00A24D39"/>
    <w:pPr>
      <w:widowControl w:val="0"/>
      <w:suppressAutoHyphens/>
      <w:autoSpaceDE w:val="0"/>
      <w:autoSpaceDN w:val="0"/>
      <w:adjustRightInd w:val="0"/>
      <w:spacing w:before="240"/>
      <w:ind w:left="221" w:hanging="221"/>
      <w:jc w:val="center"/>
      <w:textAlignment w:val="center"/>
    </w:pPr>
    <w:rPr>
      <w:rFonts w:ascii="Times New Roman Bold" w:eastAsiaTheme="minorEastAsia" w:hAnsi="Times New Roman Bold" w:cs="Times SC"/>
      <w:b/>
      <w:bCs/>
      <w:smallCaps/>
      <w:color w:val="000000"/>
      <w:sz w:val="23"/>
      <w:szCs w:val="23"/>
      <w:lang w:eastAsia="en-US"/>
    </w:rPr>
  </w:style>
  <w:style w:type="paragraph" w:customStyle="1" w:styleId="note">
    <w:name w:val="note"/>
    <w:basedOn w:val="Normal"/>
    <w:autoRedefine/>
    <w:uiPriority w:val="99"/>
    <w:rsid w:val="00A24D39"/>
    <w:pPr>
      <w:widowControl w:val="0"/>
      <w:autoSpaceDE w:val="0"/>
      <w:autoSpaceDN w:val="0"/>
      <w:adjustRightInd w:val="0"/>
      <w:ind w:firstLine="720"/>
      <w:textAlignment w:val="center"/>
    </w:pPr>
    <w:rPr>
      <w:rFonts w:eastAsiaTheme="minorEastAsia" w:cs="Times LT Std"/>
      <w:color w:val="000000"/>
      <w:sz w:val="20"/>
      <w:szCs w:val="18"/>
      <w:lang w:eastAsia="en-US"/>
    </w:rPr>
  </w:style>
  <w:style w:type="paragraph" w:customStyle="1" w:styleId="ntblockindentnoparaindent">
    <w:name w:val="nt block indent (no para indent)"/>
    <w:basedOn w:val="footnote"/>
    <w:autoRedefine/>
    <w:uiPriority w:val="99"/>
    <w:rsid w:val="00A24D39"/>
    <w:pPr>
      <w:autoSpaceDE w:val="0"/>
      <w:autoSpaceDN w:val="0"/>
      <w:adjustRightInd w:val="0"/>
      <w:ind w:left="720" w:firstLine="0"/>
      <w:jc w:val="both"/>
      <w:textAlignment w:val="center"/>
    </w:pPr>
    <w:rPr>
      <w:rFonts w:cs="NewCenturySchlbk"/>
      <w:color w:val="000000"/>
      <w:szCs w:val="18"/>
    </w:rPr>
  </w:style>
  <w:style w:type="paragraph" w:customStyle="1" w:styleId="ntflush">
    <w:name w:val="nt flush"/>
    <w:basedOn w:val="footnote"/>
    <w:autoRedefine/>
    <w:uiPriority w:val="99"/>
    <w:rsid w:val="00A24D39"/>
    <w:pPr>
      <w:autoSpaceDE w:val="0"/>
      <w:autoSpaceDN w:val="0"/>
      <w:adjustRightInd w:val="0"/>
      <w:ind w:firstLine="0"/>
      <w:jc w:val="both"/>
      <w:textAlignment w:val="center"/>
    </w:pPr>
    <w:rPr>
      <w:rFonts w:cs="NewCenturySchlbk"/>
      <w:color w:val="000000"/>
      <w:szCs w:val="18"/>
    </w:rPr>
  </w:style>
  <w:style w:type="paragraph" w:customStyle="1" w:styleId="ntindent">
    <w:name w:val="nt indent"/>
    <w:basedOn w:val="footnote"/>
    <w:autoRedefine/>
    <w:uiPriority w:val="99"/>
    <w:rsid w:val="00A24D39"/>
    <w:pPr>
      <w:autoSpaceDE w:val="0"/>
      <w:autoSpaceDN w:val="0"/>
      <w:adjustRightInd w:val="0"/>
      <w:ind w:left="720" w:firstLine="0"/>
      <w:textAlignment w:val="center"/>
    </w:pPr>
    <w:rPr>
      <w:rFonts w:cs="Times LT Std"/>
      <w:color w:val="000000"/>
      <w:szCs w:val="18"/>
    </w:rPr>
  </w:style>
  <w:style w:type="paragraph" w:customStyle="1" w:styleId="ntnumberlist">
    <w:name w:val="nt number list"/>
    <w:basedOn w:val="Normal"/>
    <w:autoRedefine/>
    <w:uiPriority w:val="99"/>
    <w:rsid w:val="00A24D39"/>
    <w:pPr>
      <w:widowControl w:val="0"/>
      <w:tabs>
        <w:tab w:val="left" w:pos="600"/>
      </w:tabs>
      <w:autoSpaceDE w:val="0"/>
      <w:autoSpaceDN w:val="0"/>
      <w:adjustRightInd w:val="0"/>
      <w:ind w:left="960" w:hanging="240"/>
      <w:textAlignment w:val="center"/>
    </w:pPr>
    <w:rPr>
      <w:rFonts w:eastAsiaTheme="minorEastAsia" w:cs="Times LT Std"/>
      <w:color w:val="000000"/>
      <w:sz w:val="20"/>
      <w:szCs w:val="18"/>
      <w:lang w:eastAsia="en-US"/>
    </w:rPr>
  </w:style>
  <w:style w:type="paragraph" w:customStyle="1" w:styleId="ntpara">
    <w:name w:val="nt para"/>
    <w:basedOn w:val="ntblockindentnoparaindent"/>
    <w:autoRedefine/>
    <w:uiPriority w:val="99"/>
    <w:rsid w:val="00A24D39"/>
    <w:pPr>
      <w:ind w:left="0" w:firstLine="720"/>
      <w:jc w:val="left"/>
    </w:pPr>
  </w:style>
  <w:style w:type="paragraph" w:customStyle="1" w:styleId="ntregpara">
    <w:name w:val="nt reg para"/>
    <w:basedOn w:val="Normal"/>
    <w:autoRedefine/>
    <w:uiPriority w:val="99"/>
    <w:rsid w:val="00A24D39"/>
    <w:pPr>
      <w:widowControl w:val="0"/>
      <w:tabs>
        <w:tab w:val="left" w:pos="0"/>
        <w:tab w:val="left" w:pos="720"/>
        <w:tab w:val="left" w:pos="1440"/>
        <w:tab w:val="left" w:pos="2160"/>
        <w:tab w:val="left" w:pos="2880"/>
        <w:tab w:val="left" w:pos="3600"/>
        <w:tab w:val="left" w:pos="4320"/>
        <w:tab w:val="left" w:pos="5040"/>
      </w:tabs>
      <w:autoSpaceDE w:val="0"/>
      <w:autoSpaceDN w:val="0"/>
      <w:adjustRightInd w:val="0"/>
      <w:ind w:firstLine="720"/>
      <w:jc w:val="both"/>
      <w:textAlignment w:val="center"/>
    </w:pPr>
    <w:rPr>
      <w:rFonts w:eastAsiaTheme="minorEastAsia" w:cs="Times LT Std"/>
      <w:color w:val="000000"/>
      <w:sz w:val="20"/>
      <w:szCs w:val="18"/>
      <w:lang w:eastAsia="en-US"/>
    </w:rPr>
  </w:style>
  <w:style w:type="paragraph" w:customStyle="1" w:styleId="nt-indent">
    <w:name w:val="nt-indent"/>
    <w:basedOn w:val="footnote"/>
    <w:autoRedefine/>
    <w:uiPriority w:val="99"/>
    <w:rsid w:val="00A24D39"/>
    <w:pPr>
      <w:autoSpaceDE w:val="0"/>
      <w:autoSpaceDN w:val="0"/>
      <w:adjustRightInd w:val="0"/>
      <w:ind w:left="720" w:firstLine="0"/>
      <w:textAlignment w:val="center"/>
    </w:pPr>
    <w:rPr>
      <w:rFonts w:cs="Times LT Std"/>
      <w:color w:val="000000"/>
      <w:szCs w:val="16"/>
    </w:rPr>
  </w:style>
  <w:style w:type="paragraph" w:customStyle="1" w:styleId="Numberlist">
    <w:name w:val="Number list"/>
    <w:basedOn w:val="Normal"/>
    <w:autoRedefine/>
    <w:uiPriority w:val="99"/>
    <w:rsid w:val="00A24D39"/>
    <w:pPr>
      <w:widowControl w:val="0"/>
      <w:tabs>
        <w:tab w:val="left" w:pos="800"/>
      </w:tabs>
      <w:autoSpaceDE w:val="0"/>
      <w:autoSpaceDN w:val="0"/>
      <w:adjustRightInd w:val="0"/>
      <w:ind w:left="919" w:hanging="480"/>
      <w:jc w:val="both"/>
      <w:textAlignment w:val="center"/>
    </w:pPr>
    <w:rPr>
      <w:rFonts w:eastAsiaTheme="minorEastAsia" w:cs="ITC New Baskerville Std"/>
      <w:color w:val="000000"/>
      <w:szCs w:val="22"/>
      <w:lang w:eastAsia="en-US"/>
    </w:rPr>
  </w:style>
  <w:style w:type="paragraph" w:customStyle="1" w:styleId="numberlistplstart">
    <w:name w:val="number list pl_start"/>
    <w:basedOn w:val="Normal"/>
    <w:autoRedefine/>
    <w:qFormat/>
    <w:rsid w:val="00A24D39"/>
    <w:pPr>
      <w:tabs>
        <w:tab w:val="left" w:pos="919"/>
      </w:tabs>
      <w:spacing w:before="240"/>
      <w:ind w:left="919" w:hanging="480"/>
    </w:pPr>
    <w:rPr>
      <w:rFonts w:eastAsiaTheme="minorEastAsia" w:cs="NewCenturySchlbk"/>
      <w:color w:val="000000"/>
      <w:szCs w:val="22"/>
      <w:lang w:eastAsia="en-US"/>
    </w:rPr>
  </w:style>
  <w:style w:type="paragraph" w:customStyle="1" w:styleId="numberlist0">
    <w:name w:val="number list"/>
    <w:basedOn w:val="numberlistplstart"/>
    <w:autoRedefine/>
    <w:uiPriority w:val="99"/>
    <w:qFormat/>
    <w:rsid w:val="00A24D39"/>
    <w:pPr>
      <w:spacing w:before="0"/>
    </w:pPr>
  </w:style>
  <w:style w:type="paragraph" w:customStyle="1" w:styleId="numberlistplend">
    <w:name w:val="number list pl end"/>
    <w:basedOn w:val="Normal"/>
    <w:autoRedefine/>
    <w:uiPriority w:val="99"/>
    <w:rsid w:val="00A24D39"/>
    <w:pPr>
      <w:tabs>
        <w:tab w:val="left" w:pos="919"/>
      </w:tabs>
      <w:spacing w:after="240"/>
      <w:ind w:left="919" w:hanging="480"/>
    </w:pPr>
    <w:rPr>
      <w:rFonts w:eastAsiaTheme="minorEastAsia"/>
      <w:szCs w:val="22"/>
      <w:lang w:eastAsia="en-US"/>
    </w:rPr>
  </w:style>
  <w:style w:type="paragraph" w:customStyle="1" w:styleId="numberlistend">
    <w:name w:val="number list end"/>
    <w:basedOn w:val="numberlistplend"/>
    <w:autoRedefine/>
    <w:uiPriority w:val="99"/>
    <w:qFormat/>
    <w:rsid w:val="00A24D39"/>
  </w:style>
  <w:style w:type="paragraph" w:customStyle="1" w:styleId="numberlistpl">
    <w:name w:val="number list pl"/>
    <w:basedOn w:val="Normal"/>
    <w:autoRedefine/>
    <w:uiPriority w:val="99"/>
    <w:qFormat/>
    <w:rsid w:val="00A24D39"/>
    <w:pPr>
      <w:widowControl w:val="0"/>
      <w:tabs>
        <w:tab w:val="left" w:pos="920"/>
      </w:tabs>
      <w:autoSpaceDE w:val="0"/>
      <w:autoSpaceDN w:val="0"/>
      <w:adjustRightInd w:val="0"/>
      <w:ind w:left="919" w:hanging="480"/>
      <w:textAlignment w:val="center"/>
    </w:pPr>
    <w:rPr>
      <w:rFonts w:eastAsiaTheme="minorEastAsia" w:cs="ITC New Baskerville Std"/>
      <w:color w:val="000000"/>
      <w:szCs w:val="22"/>
      <w:lang w:eastAsia="en-US"/>
    </w:rPr>
  </w:style>
  <w:style w:type="paragraph" w:customStyle="1" w:styleId="numberlistplstart0">
    <w:name w:val="number list pl start"/>
    <w:basedOn w:val="Normal"/>
    <w:autoRedefine/>
    <w:uiPriority w:val="99"/>
    <w:rsid w:val="00A24D39"/>
    <w:pPr>
      <w:widowControl w:val="0"/>
      <w:tabs>
        <w:tab w:val="left" w:pos="920"/>
      </w:tabs>
      <w:autoSpaceDE w:val="0"/>
      <w:autoSpaceDN w:val="0"/>
      <w:adjustRightInd w:val="0"/>
      <w:spacing w:before="240"/>
      <w:ind w:left="919" w:hanging="480"/>
      <w:jc w:val="both"/>
      <w:textAlignment w:val="center"/>
    </w:pPr>
    <w:rPr>
      <w:rFonts w:eastAsiaTheme="minorEastAsia" w:cs="ITC New Baskerville Std"/>
      <w:color w:val="000000"/>
      <w:szCs w:val="22"/>
      <w:lang w:eastAsia="en-US"/>
    </w:rPr>
  </w:style>
  <w:style w:type="paragraph" w:customStyle="1" w:styleId="numberlistplal">
    <w:name w:val="number list pl / al"/>
    <w:basedOn w:val="numberlistplstart0"/>
    <w:autoRedefine/>
    <w:qFormat/>
    <w:rsid w:val="00A24D39"/>
    <w:pPr>
      <w:tabs>
        <w:tab w:val="clear" w:pos="920"/>
        <w:tab w:val="left" w:pos="1399"/>
      </w:tabs>
      <w:spacing w:before="0"/>
      <w:ind w:left="1399"/>
    </w:pPr>
  </w:style>
  <w:style w:type="paragraph" w:customStyle="1" w:styleId="numberlistpl2ndlevela">
    <w:name w:val="number list pl /2nd level (a)"/>
    <w:basedOn w:val="numberlistpl"/>
    <w:autoRedefine/>
    <w:uiPriority w:val="99"/>
    <w:rsid w:val="00A24D39"/>
    <w:pPr>
      <w:tabs>
        <w:tab w:val="clear" w:pos="920"/>
        <w:tab w:val="left" w:pos="1180"/>
      </w:tabs>
      <w:ind w:left="1320" w:hanging="360"/>
    </w:pPr>
    <w:rPr>
      <w:rFonts w:cs="Times LT Std"/>
    </w:rPr>
  </w:style>
  <w:style w:type="paragraph" w:customStyle="1" w:styleId="numberlistplal0">
    <w:name w:val="number list pl/al"/>
    <w:basedOn w:val="numberlistpl"/>
    <w:autoRedefine/>
    <w:uiPriority w:val="99"/>
    <w:rsid w:val="00A24D39"/>
    <w:pPr>
      <w:tabs>
        <w:tab w:val="clear" w:pos="920"/>
        <w:tab w:val="left" w:pos="1440"/>
      </w:tabs>
      <w:ind w:left="1440"/>
      <w:jc w:val="both"/>
    </w:pPr>
    <w:rPr>
      <w:rFonts w:cs="Times LT Std"/>
    </w:rPr>
  </w:style>
  <w:style w:type="paragraph" w:customStyle="1" w:styleId="numberlistplalnl">
    <w:name w:val="number list pl/al/nl"/>
    <w:basedOn w:val="numberlistplal0"/>
    <w:autoRedefine/>
    <w:uiPriority w:val="99"/>
    <w:rsid w:val="00A24D39"/>
    <w:pPr>
      <w:tabs>
        <w:tab w:val="clear" w:pos="1440"/>
        <w:tab w:val="left" w:pos="1920"/>
      </w:tabs>
      <w:ind w:left="1920"/>
    </w:pPr>
  </w:style>
  <w:style w:type="paragraph" w:customStyle="1" w:styleId="numberlistplbullet">
    <w:name w:val="number list pl/bullet"/>
    <w:basedOn w:val="Normal"/>
    <w:autoRedefine/>
    <w:uiPriority w:val="99"/>
    <w:rsid w:val="00A24D39"/>
    <w:pPr>
      <w:widowControl w:val="0"/>
      <w:tabs>
        <w:tab w:val="left" w:pos="1060"/>
      </w:tabs>
      <w:autoSpaceDE w:val="0"/>
      <w:autoSpaceDN w:val="0"/>
      <w:adjustRightInd w:val="0"/>
      <w:ind w:left="1061" w:hanging="180"/>
      <w:textAlignment w:val="center"/>
    </w:pPr>
    <w:rPr>
      <w:rFonts w:eastAsiaTheme="minorEastAsia" w:cs="Times LT Std"/>
      <w:color w:val="000000"/>
      <w:szCs w:val="22"/>
      <w:lang w:eastAsia="en-US"/>
    </w:rPr>
  </w:style>
  <w:style w:type="paragraph" w:customStyle="1" w:styleId="numberlistplend0">
    <w:name w:val="number list pl_end"/>
    <w:basedOn w:val="Normal"/>
    <w:autoRedefine/>
    <w:uiPriority w:val="99"/>
    <w:rsid w:val="00A24D39"/>
    <w:pPr>
      <w:widowControl w:val="0"/>
      <w:tabs>
        <w:tab w:val="left" w:pos="920"/>
      </w:tabs>
      <w:autoSpaceDE w:val="0"/>
      <w:autoSpaceDN w:val="0"/>
      <w:adjustRightInd w:val="0"/>
      <w:spacing w:after="240"/>
      <w:ind w:left="919" w:hanging="480"/>
      <w:textAlignment w:val="center"/>
    </w:pPr>
    <w:rPr>
      <w:rFonts w:eastAsiaTheme="minorEastAsia"/>
      <w:szCs w:val="22"/>
      <w:lang w:eastAsia="en-US"/>
    </w:rPr>
  </w:style>
  <w:style w:type="paragraph" w:customStyle="1" w:styleId="numberlistpnl">
    <w:name w:val="number list pnl"/>
    <w:basedOn w:val="Normal"/>
    <w:autoRedefine/>
    <w:uiPriority w:val="99"/>
    <w:qFormat/>
    <w:rsid w:val="00A24D39"/>
    <w:pPr>
      <w:widowControl w:val="0"/>
      <w:tabs>
        <w:tab w:val="left" w:pos="1020"/>
      </w:tabs>
      <w:autoSpaceDE w:val="0"/>
      <w:autoSpaceDN w:val="0"/>
      <w:adjustRightInd w:val="0"/>
      <w:ind w:left="919" w:hanging="480"/>
      <w:textAlignment w:val="center"/>
    </w:pPr>
    <w:rPr>
      <w:rFonts w:eastAsiaTheme="minorEastAsia" w:cs="ITC New Baskerville Std"/>
      <w:color w:val="000000"/>
      <w:lang w:eastAsia="en-US"/>
    </w:rPr>
  </w:style>
  <w:style w:type="paragraph" w:customStyle="1" w:styleId="numberliststart">
    <w:name w:val="number list start"/>
    <w:basedOn w:val="Normal"/>
    <w:autoRedefine/>
    <w:uiPriority w:val="99"/>
    <w:qFormat/>
    <w:rsid w:val="00A24D39"/>
    <w:pPr>
      <w:spacing w:before="240"/>
      <w:ind w:left="919" w:hanging="480"/>
    </w:pPr>
    <w:rPr>
      <w:rFonts w:eastAsiaTheme="minorEastAsia" w:cstheme="minorBidi"/>
      <w:szCs w:val="22"/>
      <w:lang w:eastAsia="en-US"/>
    </w:rPr>
  </w:style>
  <w:style w:type="paragraph" w:customStyle="1" w:styleId="Numberliststart0">
    <w:name w:val="Number list start"/>
    <w:basedOn w:val="Normal"/>
    <w:autoRedefine/>
    <w:uiPriority w:val="99"/>
    <w:rsid w:val="00A24D39"/>
    <w:pPr>
      <w:widowControl w:val="0"/>
      <w:tabs>
        <w:tab w:val="left" w:pos="800"/>
      </w:tabs>
      <w:autoSpaceDE w:val="0"/>
      <w:autoSpaceDN w:val="0"/>
      <w:adjustRightInd w:val="0"/>
      <w:spacing w:before="240"/>
      <w:ind w:left="919" w:hanging="480"/>
      <w:textAlignment w:val="center"/>
    </w:pPr>
    <w:rPr>
      <w:rFonts w:eastAsiaTheme="minorHAnsi" w:cs="ITC New Baskerville Std"/>
      <w:color w:val="000000"/>
      <w:lang w:eastAsia="en-US"/>
    </w:rPr>
  </w:style>
  <w:style w:type="paragraph" w:customStyle="1" w:styleId="numberliststop">
    <w:name w:val="number list stop"/>
    <w:basedOn w:val="numberliststart"/>
    <w:autoRedefine/>
    <w:uiPriority w:val="99"/>
    <w:rsid w:val="00A24D39"/>
    <w:pPr>
      <w:widowControl w:val="0"/>
      <w:tabs>
        <w:tab w:val="left" w:pos="800"/>
      </w:tabs>
      <w:autoSpaceDE w:val="0"/>
      <w:autoSpaceDN w:val="0"/>
      <w:adjustRightInd w:val="0"/>
      <w:spacing w:before="0" w:after="240"/>
      <w:textAlignment w:val="center"/>
    </w:pPr>
    <w:rPr>
      <w:rFonts w:cs="NewCenturySchlbk"/>
      <w:color w:val="000000"/>
    </w:rPr>
  </w:style>
  <w:style w:type="paragraph" w:customStyle="1" w:styleId="numberllistpl2ndlevel">
    <w:name w:val="numberl list pl 2nd level"/>
    <w:basedOn w:val="Normal"/>
    <w:autoRedefine/>
    <w:uiPriority w:val="99"/>
    <w:rsid w:val="00A24D39"/>
    <w:pPr>
      <w:tabs>
        <w:tab w:val="left" w:pos="1400"/>
      </w:tabs>
      <w:ind w:left="1399" w:hanging="480"/>
      <w:jc w:val="both"/>
    </w:pPr>
    <w:rPr>
      <w:rFonts w:eastAsiaTheme="minorEastAsia" w:cstheme="minorBidi"/>
      <w:szCs w:val="22"/>
      <w:lang w:eastAsia="en-US"/>
    </w:rPr>
  </w:style>
  <w:style w:type="paragraph" w:customStyle="1" w:styleId="parttextflush">
    <w:name w:val="part text flush"/>
    <w:basedOn w:val="Normal"/>
    <w:autoRedefine/>
    <w:uiPriority w:val="99"/>
    <w:rsid w:val="00A24D39"/>
    <w:pPr>
      <w:widowControl w:val="0"/>
      <w:autoSpaceDE w:val="0"/>
      <w:autoSpaceDN w:val="0"/>
      <w:adjustRightInd w:val="0"/>
      <w:textAlignment w:val="center"/>
    </w:pPr>
    <w:rPr>
      <w:rFonts w:eastAsiaTheme="minorEastAsia" w:cs="Times LT Std"/>
      <w:i/>
      <w:iCs/>
      <w:color w:val="000000"/>
      <w:szCs w:val="22"/>
      <w:lang w:eastAsia="en-US"/>
    </w:rPr>
  </w:style>
  <w:style w:type="paragraph" w:customStyle="1" w:styleId="partboldhead-">
    <w:name w:val="part bold head -/+"/>
    <w:basedOn w:val="parttextflush"/>
    <w:autoRedefine/>
    <w:uiPriority w:val="99"/>
    <w:rsid w:val="00A24D39"/>
    <w:pPr>
      <w:spacing w:after="240"/>
    </w:pPr>
    <w:rPr>
      <w:b/>
      <w:bCs/>
      <w:i w:val="0"/>
      <w:iCs w:val="0"/>
    </w:rPr>
  </w:style>
  <w:style w:type="paragraph" w:customStyle="1" w:styleId="partbulletlist">
    <w:name w:val="part bullet list"/>
    <w:basedOn w:val="Normal"/>
    <w:autoRedefine/>
    <w:uiPriority w:val="99"/>
    <w:rsid w:val="00A24D39"/>
    <w:pPr>
      <w:widowControl w:val="0"/>
      <w:tabs>
        <w:tab w:val="left" w:pos="180"/>
      </w:tabs>
      <w:autoSpaceDE w:val="0"/>
      <w:autoSpaceDN w:val="0"/>
      <w:adjustRightInd w:val="0"/>
      <w:ind w:left="180" w:hanging="180"/>
      <w:textAlignment w:val="center"/>
    </w:pPr>
    <w:rPr>
      <w:rFonts w:eastAsiaTheme="minorEastAsia" w:cs="Times LT Std"/>
      <w:color w:val="000000"/>
      <w:szCs w:val="22"/>
      <w:lang w:eastAsia="en-US"/>
    </w:rPr>
  </w:style>
  <w:style w:type="paragraph" w:customStyle="1" w:styleId="parttextitalic">
    <w:name w:val="part text italic"/>
    <w:basedOn w:val="Normal"/>
    <w:autoRedefine/>
    <w:qFormat/>
    <w:rsid w:val="00A24D39"/>
    <w:rPr>
      <w:rFonts w:eastAsiaTheme="minorEastAsia" w:cstheme="minorBidi"/>
      <w:i/>
      <w:szCs w:val="22"/>
      <w:lang w:eastAsia="en-US"/>
    </w:rPr>
  </w:style>
  <w:style w:type="paragraph" w:customStyle="1" w:styleId="PracticeTip">
    <w:name w:val="Practice Tip"/>
    <w:basedOn w:val="text"/>
    <w:autoRedefine/>
    <w:uiPriority w:val="99"/>
    <w:rsid w:val="00A24D39"/>
    <w:pPr>
      <w:widowControl w:val="0"/>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before="240" w:after="240"/>
      <w:ind w:left="480" w:right="480" w:firstLine="0"/>
      <w:textAlignment w:val="center"/>
    </w:pPr>
    <w:rPr>
      <w:rFonts w:eastAsiaTheme="minorEastAsia" w:cs="Times LT Std"/>
      <w:iCs/>
      <w:color w:val="000000"/>
    </w:rPr>
  </w:style>
  <w:style w:type="paragraph" w:customStyle="1" w:styleId="practicetiptextnoindentwrule">
    <w:name w:val="practice tip text no indent w/rule"/>
    <w:basedOn w:val="Normal"/>
    <w:autoRedefine/>
    <w:uiPriority w:val="99"/>
    <w:rsid w:val="00A24D39"/>
    <w:pPr>
      <w:widowControl w:val="0"/>
      <w:pBdr>
        <w:bottom w:val="single" w:sz="8" w:space="12" w:color="auto"/>
      </w:pBdr>
      <w:autoSpaceDE w:val="0"/>
      <w:autoSpaceDN w:val="0"/>
      <w:adjustRightInd w:val="0"/>
      <w:spacing w:after="240"/>
      <w:textAlignment w:val="center"/>
    </w:pPr>
    <w:rPr>
      <w:rFonts w:eastAsiaTheme="minorEastAsia" w:cs="ITC New Baskerville Std"/>
      <w:color w:val="000000"/>
      <w:szCs w:val="22"/>
      <w:lang w:eastAsia="en-US"/>
    </w:rPr>
  </w:style>
  <w:style w:type="paragraph" w:customStyle="1" w:styleId="praticetiphead">
    <w:name w:val="pratice tip head"/>
    <w:basedOn w:val="text"/>
    <w:autoRedefine/>
    <w:uiPriority w:val="99"/>
    <w:rsid w:val="00A24D39"/>
    <w:pPr>
      <w:widowControl w:val="0"/>
      <w:pBdr>
        <w:top w:val="single" w:sz="8" w:space="18" w:color="auto"/>
      </w:pBdr>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before="480" w:after="240"/>
      <w:ind w:firstLine="0"/>
      <w:jc w:val="center"/>
      <w:textAlignment w:val="center"/>
    </w:pPr>
    <w:rPr>
      <w:rFonts w:ascii="Times New Roman Bold" w:eastAsiaTheme="minorEastAsia" w:hAnsi="Times New Roman Bold" w:cs="ITC New Baskerville Std"/>
      <w:b/>
      <w:bCs/>
      <w:caps/>
      <w:color w:val="000000"/>
      <w:szCs w:val="22"/>
    </w:rPr>
  </w:style>
  <w:style w:type="paragraph" w:customStyle="1" w:styleId="romanlistIIA">
    <w:name w:val="roman list II.A."/>
    <w:basedOn w:val="Normal"/>
    <w:autoRedefine/>
    <w:uiPriority w:val="99"/>
    <w:rsid w:val="00A24D39"/>
    <w:pPr>
      <w:widowControl w:val="0"/>
      <w:tabs>
        <w:tab w:val="left" w:pos="480"/>
      </w:tabs>
      <w:autoSpaceDE w:val="0"/>
      <w:autoSpaceDN w:val="0"/>
      <w:adjustRightInd w:val="0"/>
      <w:spacing w:before="120" w:after="240"/>
      <w:ind w:left="480" w:hanging="480"/>
      <w:textAlignment w:val="center"/>
    </w:pPr>
    <w:rPr>
      <w:rFonts w:eastAsiaTheme="minorEastAsia" w:cs="Times LT Std"/>
      <w:b/>
      <w:bCs/>
      <w:color w:val="000000"/>
      <w:szCs w:val="22"/>
      <w:lang w:eastAsia="en-US"/>
    </w:rPr>
  </w:style>
  <w:style w:type="paragraph" w:customStyle="1" w:styleId="RuleHead">
    <w:name w:val="Rule Head"/>
    <w:basedOn w:val="textflush"/>
    <w:autoRedefine/>
    <w:uiPriority w:val="99"/>
    <w:rsid w:val="00A24D39"/>
    <w:pPr>
      <w:widowControl w:val="0"/>
      <w:autoSpaceDE w:val="0"/>
      <w:autoSpaceDN w:val="0"/>
      <w:adjustRightInd w:val="0"/>
      <w:spacing w:before="240" w:after="240"/>
      <w:textAlignment w:val="center"/>
    </w:pPr>
    <w:rPr>
      <w:rFonts w:eastAsiaTheme="minorEastAsia"/>
      <w:b/>
      <w:bCs/>
      <w:i/>
      <w:iCs/>
      <w:szCs w:val="22"/>
    </w:rPr>
  </w:style>
  <w:style w:type="character" w:customStyle="1" w:styleId="smallcaps">
    <w:name w:val="small caps"/>
    <w:uiPriority w:val="99"/>
    <w:rsid w:val="00A24D39"/>
    <w:rPr>
      <w:rFonts w:ascii="Times New Roman" w:hAnsi="Times New Roman" w:cs="NewCenturySchlbk LT Std"/>
      <w:caps w:val="0"/>
      <w:smallCaps/>
      <w:w w:val="70"/>
    </w:rPr>
  </w:style>
  <w:style w:type="paragraph" w:customStyle="1" w:styleId="StateBold">
    <w:name w:val="State Bold"/>
    <w:basedOn w:val="Normal"/>
    <w:uiPriority w:val="99"/>
    <w:rsid w:val="00A24D39"/>
    <w:pPr>
      <w:widowControl w:val="0"/>
      <w:autoSpaceDE w:val="0"/>
      <w:autoSpaceDN w:val="0"/>
      <w:adjustRightInd w:val="0"/>
      <w:spacing w:before="240" w:after="240"/>
      <w:textAlignment w:val="center"/>
    </w:pPr>
    <w:rPr>
      <w:rFonts w:eastAsiaTheme="minorEastAsia" w:cs="Times LT Std"/>
      <w:b/>
      <w:bCs/>
      <w:color w:val="000000"/>
      <w:lang w:eastAsia="en-US"/>
    </w:rPr>
  </w:style>
  <w:style w:type="paragraph" w:styleId="Subtitle">
    <w:name w:val="Subtitle"/>
    <w:basedOn w:val="Normal"/>
    <w:next w:val="Normal"/>
    <w:link w:val="SubtitleChar"/>
    <w:autoRedefine/>
    <w:uiPriority w:val="11"/>
    <w:qFormat/>
    <w:rsid w:val="00A24D39"/>
    <w:pPr>
      <w:numPr>
        <w:ilvl w:val="1"/>
      </w:numPr>
      <w:ind w:firstLine="720"/>
    </w:pPr>
    <w:rPr>
      <w:rFonts w:eastAsiaTheme="minorEastAsia" w:cstheme="minorBidi"/>
      <w:color w:val="5A5A5A" w:themeColor="text1" w:themeTint="A5"/>
      <w:spacing w:val="15"/>
      <w:szCs w:val="22"/>
      <w:lang w:eastAsia="en-US"/>
    </w:rPr>
  </w:style>
  <w:style w:type="character" w:customStyle="1" w:styleId="SubtitleChar">
    <w:name w:val="Subtitle Char"/>
    <w:basedOn w:val="DefaultParagraphFont"/>
    <w:link w:val="Subtitle"/>
    <w:uiPriority w:val="11"/>
    <w:rsid w:val="00A24D39"/>
    <w:rPr>
      <w:rFonts w:ascii="Times New Roman" w:hAnsi="Times New Roman" w:cstheme="minorBidi"/>
      <w:color w:val="5A5A5A" w:themeColor="text1" w:themeTint="A5"/>
      <w:spacing w:val="15"/>
      <w:sz w:val="24"/>
    </w:rPr>
  </w:style>
  <w:style w:type="character" w:customStyle="1" w:styleId="superscript">
    <w:name w:val="superscript"/>
    <w:uiPriority w:val="99"/>
    <w:rsid w:val="00A24D39"/>
    <w:rPr>
      <w:vertAlign w:val="superscript"/>
    </w:rPr>
  </w:style>
  <w:style w:type="paragraph" w:customStyle="1" w:styleId="TableTitle">
    <w:name w:val="Table Title"/>
    <w:basedOn w:val="Normal"/>
    <w:autoRedefine/>
    <w:uiPriority w:val="99"/>
    <w:rsid w:val="00A24D39"/>
    <w:pPr>
      <w:widowControl w:val="0"/>
      <w:suppressAutoHyphens/>
      <w:autoSpaceDE w:val="0"/>
      <w:autoSpaceDN w:val="0"/>
      <w:adjustRightInd w:val="0"/>
      <w:spacing w:before="240" w:after="240"/>
      <w:textAlignment w:val="center"/>
    </w:pPr>
    <w:rPr>
      <w:rFonts w:eastAsiaTheme="minorEastAsia" w:cs="ITC New Baskerville Std"/>
      <w:b/>
      <w:bCs/>
      <w:color w:val="000000"/>
      <w:szCs w:val="22"/>
      <w:lang w:eastAsia="en-US"/>
    </w:rPr>
  </w:style>
  <w:style w:type="paragraph" w:customStyle="1" w:styleId="Text0">
    <w:name w:val="Text"/>
    <w:basedOn w:val="Normal"/>
    <w:autoRedefine/>
    <w:qFormat/>
    <w:rsid w:val="00A24D39"/>
    <w:rPr>
      <w:rFonts w:eastAsiaTheme="minorEastAsia" w:cstheme="minorBidi"/>
      <w:szCs w:val="22"/>
      <w:lang w:eastAsia="en-US"/>
    </w:rPr>
  </w:style>
  <w:style w:type="paragraph" w:customStyle="1" w:styleId="text-0">
    <w:name w:val="text +/-"/>
    <w:basedOn w:val="text"/>
    <w:autoRedefine/>
    <w:uiPriority w:val="99"/>
    <w:rsid w:val="00A24D39"/>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before="240"/>
      <w:ind w:firstLine="439"/>
      <w:textAlignment w:val="center"/>
    </w:pPr>
    <w:rPr>
      <w:rFonts w:eastAsiaTheme="minorEastAsia" w:cs="Times LT Std"/>
      <w:color w:val="000000"/>
      <w:szCs w:val="22"/>
    </w:rPr>
  </w:style>
  <w:style w:type="paragraph" w:customStyle="1" w:styleId="text1">
    <w:name w:val="text +/+"/>
    <w:basedOn w:val="Normal"/>
    <w:autoRedefine/>
    <w:uiPriority w:val="99"/>
    <w:rsid w:val="00A24D39"/>
    <w:pPr>
      <w:widowControl w:val="0"/>
      <w:autoSpaceDE w:val="0"/>
      <w:autoSpaceDN w:val="0"/>
      <w:adjustRightInd w:val="0"/>
      <w:spacing w:before="120" w:after="120"/>
      <w:ind w:firstLine="720"/>
      <w:textAlignment w:val="center"/>
    </w:pPr>
    <w:rPr>
      <w:rFonts w:eastAsiaTheme="minorEastAsia" w:cs="ITC New Baskerville Std"/>
      <w:color w:val="000000"/>
      <w:szCs w:val="22"/>
      <w:lang w:eastAsia="en-US"/>
    </w:rPr>
  </w:style>
  <w:style w:type="paragraph" w:customStyle="1" w:styleId="text16picaindent">
    <w:name w:val="text 1.6 pica indent"/>
    <w:basedOn w:val="Normal"/>
    <w:autoRedefine/>
    <w:uiPriority w:val="99"/>
    <w:rsid w:val="00A24D39"/>
    <w:pPr>
      <w:widowControl w:val="0"/>
      <w:autoSpaceDE w:val="0"/>
      <w:autoSpaceDN w:val="0"/>
      <w:adjustRightInd w:val="0"/>
      <w:ind w:left="439"/>
      <w:textAlignment w:val="center"/>
    </w:pPr>
    <w:rPr>
      <w:rFonts w:eastAsiaTheme="minorEastAsia" w:cs="Times LT Std"/>
      <w:color w:val="000000"/>
      <w:szCs w:val="22"/>
      <w:lang w:eastAsia="en-US"/>
    </w:rPr>
  </w:style>
  <w:style w:type="paragraph" w:customStyle="1" w:styleId="text6emparaindent">
    <w:name w:val="text 6 em para indent"/>
    <w:basedOn w:val="Normal"/>
    <w:autoRedefine/>
    <w:uiPriority w:val="99"/>
    <w:rsid w:val="00A24D39"/>
    <w:pPr>
      <w:widowControl w:val="0"/>
      <w:tabs>
        <w:tab w:val="left" w:pos="360"/>
        <w:tab w:val="left" w:pos="720"/>
        <w:tab w:val="left" w:pos="1080"/>
        <w:tab w:val="left" w:pos="1440"/>
        <w:tab w:val="left" w:pos="1800"/>
      </w:tabs>
      <w:autoSpaceDE w:val="0"/>
      <w:autoSpaceDN w:val="0"/>
      <w:adjustRightInd w:val="0"/>
      <w:ind w:firstLine="1320"/>
      <w:textAlignment w:val="center"/>
    </w:pPr>
    <w:rPr>
      <w:rFonts w:eastAsiaTheme="minorEastAsia" w:cs="Times LT Std"/>
      <w:b/>
      <w:bCs/>
      <w:color w:val="000000"/>
      <w:szCs w:val="22"/>
      <w:lang w:eastAsia="en-US"/>
    </w:rPr>
  </w:style>
  <w:style w:type="paragraph" w:customStyle="1" w:styleId="text6ptsbelow">
    <w:name w:val="text 6 pts below"/>
    <w:basedOn w:val="Normal"/>
    <w:autoRedefine/>
    <w:uiPriority w:val="99"/>
    <w:rsid w:val="00A24D39"/>
    <w:pPr>
      <w:widowControl w:val="0"/>
      <w:autoSpaceDE w:val="0"/>
      <w:autoSpaceDN w:val="0"/>
      <w:adjustRightInd w:val="0"/>
      <w:spacing w:after="120"/>
      <w:ind w:firstLine="720"/>
      <w:textAlignment w:val="center"/>
    </w:pPr>
    <w:rPr>
      <w:rFonts w:eastAsiaTheme="minorEastAsia" w:cs="Times LT Std"/>
      <w:color w:val="000000"/>
      <w:szCs w:val="22"/>
      <w:lang w:eastAsia="en-US"/>
    </w:rPr>
  </w:style>
  <w:style w:type="paragraph" w:customStyle="1" w:styleId="text8emparaindent">
    <w:name w:val="text 8 em para indent"/>
    <w:basedOn w:val="text6emparaindent"/>
    <w:autoRedefine/>
    <w:uiPriority w:val="99"/>
    <w:rsid w:val="00A24D39"/>
    <w:pPr>
      <w:ind w:firstLine="1760"/>
    </w:pPr>
    <w:rPr>
      <w:b w:val="0"/>
    </w:rPr>
  </w:style>
  <w:style w:type="paragraph" w:customStyle="1" w:styleId="textaddbld-">
    <w:name w:val="text add bld -/+"/>
    <w:basedOn w:val="Normal"/>
    <w:autoRedefine/>
    <w:uiPriority w:val="99"/>
    <w:rsid w:val="00A24D39"/>
    <w:pPr>
      <w:widowControl w:val="0"/>
      <w:autoSpaceDE w:val="0"/>
      <w:autoSpaceDN w:val="0"/>
      <w:adjustRightInd w:val="0"/>
      <w:spacing w:after="240"/>
      <w:textAlignment w:val="center"/>
    </w:pPr>
    <w:rPr>
      <w:rFonts w:eastAsiaTheme="minorEastAsia" w:cs="NewCenturySchlbk"/>
      <w:b/>
      <w:bCs/>
      <w:color w:val="000000"/>
      <w:szCs w:val="22"/>
      <w:lang w:eastAsia="en-US"/>
    </w:rPr>
  </w:style>
  <w:style w:type="paragraph" w:customStyle="1" w:styleId="textaddbld">
    <w:name w:val="text add bld +/+"/>
    <w:basedOn w:val="textaddbld-"/>
    <w:autoRedefine/>
    <w:uiPriority w:val="99"/>
    <w:rsid w:val="00A24D39"/>
    <w:pPr>
      <w:spacing w:before="240"/>
    </w:pPr>
  </w:style>
  <w:style w:type="paragraph" w:customStyle="1" w:styleId="textbold-">
    <w:name w:val="text bold -/+"/>
    <w:basedOn w:val="text"/>
    <w:autoRedefine/>
    <w:uiPriority w:val="99"/>
    <w:rsid w:val="00A24D39"/>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after="240"/>
      <w:ind w:firstLine="0"/>
      <w:textAlignment w:val="center"/>
    </w:pPr>
    <w:rPr>
      <w:rFonts w:eastAsiaTheme="minorEastAsia" w:cs="ITC New Baskerville Std"/>
      <w:b/>
      <w:bCs/>
      <w:color w:val="000000"/>
    </w:rPr>
  </w:style>
  <w:style w:type="paragraph" w:customStyle="1" w:styleId="textbold">
    <w:name w:val="text bold +/+"/>
    <w:basedOn w:val="textbold-"/>
    <w:autoRedefine/>
    <w:uiPriority w:val="99"/>
    <w:rsid w:val="00A24D39"/>
    <w:pPr>
      <w:spacing w:before="240"/>
    </w:pPr>
    <w:rPr>
      <w:rFonts w:cs="Times LT Std"/>
      <w:szCs w:val="22"/>
    </w:rPr>
  </w:style>
  <w:style w:type="paragraph" w:customStyle="1" w:styleId="textcentered">
    <w:name w:val="text centered"/>
    <w:basedOn w:val="textflush"/>
    <w:autoRedefine/>
    <w:uiPriority w:val="99"/>
    <w:rsid w:val="00A24D39"/>
    <w:pPr>
      <w:widowControl w:val="0"/>
      <w:autoSpaceDE w:val="0"/>
      <w:autoSpaceDN w:val="0"/>
      <w:adjustRightInd w:val="0"/>
      <w:spacing w:after="120"/>
      <w:jc w:val="center"/>
      <w:textAlignment w:val="center"/>
    </w:pPr>
    <w:rPr>
      <w:rFonts w:eastAsiaTheme="minorEastAsia" w:cs="Times LT Std"/>
      <w:szCs w:val="22"/>
    </w:rPr>
  </w:style>
  <w:style w:type="paragraph" w:customStyle="1" w:styleId="textEdNote">
    <w:name w:val="text Ed Note"/>
    <w:basedOn w:val="text"/>
    <w:autoRedefine/>
    <w:uiPriority w:val="99"/>
    <w:rsid w:val="00A24D39"/>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before="240" w:after="240"/>
      <w:ind w:firstLine="0"/>
      <w:jc w:val="both"/>
      <w:textAlignment w:val="center"/>
    </w:pPr>
    <w:rPr>
      <w:rFonts w:eastAsiaTheme="minorEastAsia" w:cs="Times LT Std"/>
      <w:color w:val="000000"/>
    </w:rPr>
  </w:style>
  <w:style w:type="paragraph" w:customStyle="1" w:styleId="textEdNote-">
    <w:name w:val="text Ed Note -/+"/>
    <w:basedOn w:val="text"/>
    <w:autoRedefine/>
    <w:uiPriority w:val="99"/>
    <w:rsid w:val="00A24D39"/>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after="240"/>
      <w:ind w:firstLine="0"/>
      <w:textAlignment w:val="center"/>
    </w:pPr>
    <w:rPr>
      <w:rFonts w:eastAsiaTheme="minorEastAsia" w:cs="Times LT Std"/>
      <w:color w:val="000000"/>
    </w:rPr>
  </w:style>
  <w:style w:type="paragraph" w:customStyle="1" w:styleId="textflushspacebelow">
    <w:name w:val="text flush + space below"/>
    <w:basedOn w:val="textflush"/>
    <w:autoRedefine/>
    <w:uiPriority w:val="99"/>
    <w:rsid w:val="00A24D39"/>
    <w:pPr>
      <w:widowControl w:val="0"/>
      <w:autoSpaceDE w:val="0"/>
      <w:autoSpaceDN w:val="0"/>
      <w:adjustRightInd w:val="0"/>
      <w:spacing w:after="240"/>
      <w:jc w:val="both"/>
      <w:textAlignment w:val="center"/>
    </w:pPr>
    <w:rPr>
      <w:rFonts w:eastAsiaTheme="minorEastAsia" w:cs="Times LT Std"/>
      <w:szCs w:val="22"/>
    </w:rPr>
  </w:style>
  <w:style w:type="paragraph" w:customStyle="1" w:styleId="textednote0">
    <w:name w:val="text ed note +/+"/>
    <w:basedOn w:val="textflushspacebelow"/>
    <w:autoRedefine/>
    <w:uiPriority w:val="99"/>
    <w:rsid w:val="00A24D39"/>
    <w:pPr>
      <w:spacing w:before="240"/>
      <w:jc w:val="left"/>
    </w:pPr>
    <w:rPr>
      <w:i/>
      <w:iCs/>
    </w:rPr>
  </w:style>
  <w:style w:type="paragraph" w:customStyle="1" w:styleId="texteditorsnote">
    <w:name w:val="text editors note +/+"/>
    <w:basedOn w:val="text"/>
    <w:autoRedefine/>
    <w:uiPriority w:val="99"/>
    <w:rsid w:val="00A24D39"/>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before="240" w:after="240"/>
      <w:ind w:firstLine="0"/>
      <w:textAlignment w:val="center"/>
    </w:pPr>
    <w:rPr>
      <w:rFonts w:eastAsiaTheme="minorEastAsia" w:cs="ITC New Baskerville Std"/>
      <w:color w:val="000000"/>
    </w:rPr>
  </w:style>
  <w:style w:type="paragraph" w:customStyle="1" w:styleId="texteditorsnote-">
    <w:name w:val="text editors note -/+"/>
    <w:basedOn w:val="texteditorsnote"/>
    <w:autoRedefine/>
    <w:uiPriority w:val="99"/>
    <w:rsid w:val="00A24D39"/>
    <w:pPr>
      <w:spacing w:before="0"/>
    </w:pPr>
  </w:style>
  <w:style w:type="paragraph" w:customStyle="1" w:styleId="texteditorsnote-0">
    <w:name w:val="text editors note +/-"/>
    <w:basedOn w:val="Normal"/>
    <w:autoRedefine/>
    <w:uiPriority w:val="99"/>
    <w:rsid w:val="00A24D39"/>
    <w:pPr>
      <w:widowControl w:val="0"/>
      <w:autoSpaceDE w:val="0"/>
      <w:autoSpaceDN w:val="0"/>
      <w:adjustRightInd w:val="0"/>
      <w:spacing w:before="240"/>
      <w:ind w:firstLine="720"/>
      <w:textAlignment w:val="center"/>
    </w:pPr>
    <w:rPr>
      <w:rFonts w:eastAsiaTheme="minorEastAsia" w:cs="ITC New Baskerville Std"/>
      <w:color w:val="000000"/>
      <w:lang w:eastAsia="en-US"/>
    </w:rPr>
  </w:style>
  <w:style w:type="paragraph" w:customStyle="1" w:styleId="textflush-">
    <w:name w:val="text flush -/+"/>
    <w:basedOn w:val="textflush"/>
    <w:autoRedefine/>
    <w:uiPriority w:val="99"/>
    <w:rsid w:val="00A24D39"/>
    <w:pPr>
      <w:widowControl w:val="0"/>
      <w:autoSpaceDE w:val="0"/>
      <w:autoSpaceDN w:val="0"/>
      <w:adjustRightInd w:val="0"/>
      <w:spacing w:after="240"/>
      <w:textAlignment w:val="center"/>
    </w:pPr>
    <w:rPr>
      <w:rFonts w:eastAsiaTheme="minorEastAsia"/>
      <w:i/>
      <w:iCs/>
      <w:szCs w:val="22"/>
    </w:rPr>
  </w:style>
  <w:style w:type="paragraph" w:customStyle="1" w:styleId="textflush0">
    <w:name w:val="text flush +/+"/>
    <w:basedOn w:val="textflush"/>
    <w:autoRedefine/>
    <w:uiPriority w:val="99"/>
    <w:rsid w:val="00A24D39"/>
    <w:pPr>
      <w:widowControl w:val="0"/>
      <w:autoSpaceDE w:val="0"/>
      <w:autoSpaceDN w:val="0"/>
      <w:adjustRightInd w:val="0"/>
      <w:spacing w:before="240" w:after="240"/>
      <w:textAlignment w:val="center"/>
    </w:pPr>
    <w:rPr>
      <w:rFonts w:eastAsiaTheme="minorEastAsia"/>
      <w:i/>
      <w:iCs/>
      <w:szCs w:val="22"/>
    </w:rPr>
  </w:style>
  <w:style w:type="paragraph" w:customStyle="1" w:styleId="textflushbold">
    <w:name w:val="text flush bold +/+"/>
    <w:basedOn w:val="Normal"/>
    <w:autoRedefine/>
    <w:uiPriority w:val="99"/>
    <w:rsid w:val="00A24D39"/>
    <w:pPr>
      <w:widowControl w:val="0"/>
      <w:autoSpaceDE w:val="0"/>
      <w:autoSpaceDN w:val="0"/>
      <w:adjustRightInd w:val="0"/>
      <w:spacing w:before="240" w:after="240"/>
      <w:contextualSpacing/>
      <w:textAlignment w:val="center"/>
    </w:pPr>
    <w:rPr>
      <w:rFonts w:eastAsiaTheme="minorEastAsia" w:cs="ITC New Baskerville Std"/>
      <w:b/>
      <w:bCs/>
      <w:color w:val="000000"/>
      <w:szCs w:val="22"/>
      <w:lang w:eastAsia="en-US"/>
    </w:rPr>
  </w:style>
  <w:style w:type="paragraph" w:customStyle="1" w:styleId="textflushbold-">
    <w:name w:val="text flush bold -/+"/>
    <w:basedOn w:val="textflushbold"/>
    <w:autoRedefine/>
    <w:uiPriority w:val="99"/>
    <w:rsid w:val="00A24D39"/>
    <w:pPr>
      <w:spacing w:before="0"/>
      <w:contextualSpacing w:val="0"/>
    </w:pPr>
  </w:style>
  <w:style w:type="paragraph" w:customStyle="1" w:styleId="textflushbold--">
    <w:name w:val="text flush bold -/-"/>
    <w:basedOn w:val="textflushbold-"/>
    <w:autoRedefine/>
    <w:uiPriority w:val="99"/>
    <w:rsid w:val="00A24D39"/>
    <w:pPr>
      <w:spacing w:after="0"/>
    </w:pPr>
  </w:style>
  <w:style w:type="paragraph" w:customStyle="1" w:styleId="textflushednote-">
    <w:name w:val="text flush ed note -/+"/>
    <w:basedOn w:val="Normal"/>
    <w:autoRedefine/>
    <w:uiPriority w:val="99"/>
    <w:qFormat/>
    <w:rsid w:val="00A24D39"/>
    <w:pPr>
      <w:widowControl w:val="0"/>
      <w:autoSpaceDE w:val="0"/>
      <w:autoSpaceDN w:val="0"/>
      <w:adjustRightInd w:val="0"/>
      <w:spacing w:after="240"/>
      <w:textAlignment w:val="center"/>
    </w:pPr>
    <w:rPr>
      <w:rFonts w:eastAsiaTheme="minorEastAsia" w:cs="Times LT Std"/>
      <w:color w:val="000000"/>
      <w:szCs w:val="22"/>
      <w:lang w:eastAsia="en-US"/>
    </w:rPr>
  </w:style>
  <w:style w:type="paragraph" w:customStyle="1" w:styleId="textflushednote">
    <w:name w:val="text flush ed note +/+"/>
    <w:basedOn w:val="textflushednote-"/>
    <w:autoRedefine/>
    <w:uiPriority w:val="99"/>
    <w:rsid w:val="00A24D39"/>
    <w:pPr>
      <w:spacing w:before="240"/>
    </w:pPr>
  </w:style>
  <w:style w:type="paragraph" w:customStyle="1" w:styleId="textinsert-">
    <w:name w:val="text insert -/+"/>
    <w:basedOn w:val="Normal"/>
    <w:autoRedefine/>
    <w:uiPriority w:val="99"/>
    <w:rsid w:val="00A24D39"/>
    <w:pPr>
      <w:widowControl w:val="0"/>
      <w:autoSpaceDE w:val="0"/>
      <w:autoSpaceDN w:val="0"/>
      <w:adjustRightInd w:val="0"/>
      <w:spacing w:before="240" w:after="240"/>
      <w:ind w:firstLine="720"/>
      <w:contextualSpacing/>
      <w:textAlignment w:val="center"/>
    </w:pPr>
    <w:rPr>
      <w:rFonts w:eastAsiaTheme="minorEastAsia" w:cs="ITC New Baskerville Std"/>
      <w:color w:val="000000"/>
      <w:szCs w:val="22"/>
      <w:lang w:eastAsia="en-US"/>
    </w:rPr>
  </w:style>
  <w:style w:type="paragraph" w:customStyle="1" w:styleId="textinsert-0">
    <w:name w:val="text insert /+/-"/>
    <w:basedOn w:val="texteditorsnote"/>
    <w:autoRedefine/>
    <w:uiPriority w:val="99"/>
    <w:rsid w:val="00A24D39"/>
    <w:pPr>
      <w:spacing w:after="0"/>
    </w:pPr>
    <w:rPr>
      <w:b/>
      <w:bCs/>
      <w:i/>
      <w:iCs/>
    </w:rPr>
  </w:style>
  <w:style w:type="paragraph" w:customStyle="1" w:styleId="textinsert-1">
    <w:name w:val="text insert +/-"/>
    <w:basedOn w:val="texteditorsnote"/>
    <w:autoRedefine/>
    <w:uiPriority w:val="99"/>
    <w:rsid w:val="00A24D39"/>
    <w:pPr>
      <w:spacing w:after="0"/>
    </w:pPr>
  </w:style>
  <w:style w:type="paragraph" w:customStyle="1" w:styleId="textinsert">
    <w:name w:val="text insert +/+"/>
    <w:basedOn w:val="textflush"/>
    <w:autoRedefine/>
    <w:uiPriority w:val="99"/>
    <w:rsid w:val="00A24D39"/>
    <w:pPr>
      <w:widowControl w:val="0"/>
      <w:autoSpaceDE w:val="0"/>
      <w:autoSpaceDN w:val="0"/>
      <w:adjustRightInd w:val="0"/>
      <w:spacing w:before="240" w:after="240"/>
      <w:ind w:firstLine="720"/>
      <w:textAlignment w:val="center"/>
    </w:pPr>
    <w:rPr>
      <w:rFonts w:eastAsiaTheme="minorEastAsia"/>
      <w:szCs w:val="22"/>
    </w:rPr>
  </w:style>
  <w:style w:type="paragraph" w:customStyle="1" w:styleId="textinsertparaindent">
    <w:name w:val="text insert +/+ para indent"/>
    <w:basedOn w:val="Normal"/>
    <w:autoRedefine/>
    <w:qFormat/>
    <w:rsid w:val="00A24D39"/>
    <w:pPr>
      <w:spacing w:before="240" w:after="240"/>
      <w:ind w:firstLine="720"/>
    </w:pPr>
    <w:rPr>
      <w:rFonts w:eastAsiaTheme="minorEastAsia" w:cstheme="minorBidi"/>
      <w:szCs w:val="22"/>
      <w:lang w:eastAsia="en-US"/>
    </w:rPr>
  </w:style>
  <w:style w:type="paragraph" w:customStyle="1" w:styleId="textinsertflushbold-">
    <w:name w:val="text insert flush bold -/+"/>
    <w:basedOn w:val="Normal"/>
    <w:autoRedefine/>
    <w:uiPriority w:val="99"/>
    <w:rsid w:val="00A24D39"/>
    <w:pPr>
      <w:widowControl w:val="0"/>
      <w:autoSpaceDE w:val="0"/>
      <w:autoSpaceDN w:val="0"/>
      <w:adjustRightInd w:val="0"/>
      <w:spacing w:after="240"/>
      <w:textAlignment w:val="center"/>
    </w:pPr>
    <w:rPr>
      <w:rFonts w:eastAsiaTheme="minorEastAsia" w:cs="Times LT Std"/>
      <w:b/>
      <w:bCs/>
      <w:color w:val="000000"/>
      <w:szCs w:val="22"/>
      <w:lang w:eastAsia="en-US"/>
    </w:rPr>
  </w:style>
  <w:style w:type="paragraph" w:customStyle="1" w:styleId="textinsertflushbold">
    <w:name w:val="text insert flush bold +/+"/>
    <w:basedOn w:val="text"/>
    <w:autoRedefine/>
    <w:uiPriority w:val="99"/>
    <w:rsid w:val="00A24D39"/>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before="240" w:after="240"/>
      <w:ind w:firstLine="0"/>
      <w:textAlignment w:val="center"/>
    </w:pPr>
    <w:rPr>
      <w:rFonts w:eastAsiaTheme="minorEastAsia" w:cs="Times LT Std"/>
      <w:b/>
      <w:bCs/>
      <w:color w:val="000000"/>
      <w:szCs w:val="22"/>
    </w:rPr>
  </w:style>
  <w:style w:type="paragraph" w:customStyle="1" w:styleId="textinsert-f">
    <w:name w:val="text insert-f +/+"/>
    <w:basedOn w:val="textinsert"/>
    <w:autoRedefine/>
    <w:uiPriority w:val="99"/>
    <w:rsid w:val="00A24D39"/>
  </w:style>
  <w:style w:type="paragraph" w:customStyle="1" w:styleId="textonpage-">
    <w:name w:val="text on page . . .  -/+"/>
    <w:basedOn w:val="text"/>
    <w:autoRedefine/>
    <w:uiPriority w:val="99"/>
    <w:rsid w:val="00A24D39"/>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after="240"/>
      <w:ind w:firstLine="0"/>
      <w:textAlignment w:val="center"/>
    </w:pPr>
    <w:rPr>
      <w:rFonts w:eastAsiaTheme="minorEastAsia" w:cs="ITC New Baskerville Std"/>
      <w:color w:val="000000"/>
    </w:rPr>
  </w:style>
  <w:style w:type="paragraph" w:customStyle="1" w:styleId="textonpage-0">
    <w:name w:val="text on page +/-"/>
    <w:basedOn w:val="text"/>
    <w:autoRedefine/>
    <w:uiPriority w:val="99"/>
    <w:rsid w:val="00A24D39"/>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before="240"/>
      <w:ind w:firstLine="0"/>
      <w:textAlignment w:val="center"/>
    </w:pPr>
    <w:rPr>
      <w:rFonts w:eastAsiaTheme="minorEastAsia" w:cs="ITC New Baskerville Std"/>
      <w:color w:val="000000"/>
    </w:rPr>
  </w:style>
  <w:style w:type="paragraph" w:customStyle="1" w:styleId="textonpage">
    <w:name w:val="text on page +/+"/>
    <w:basedOn w:val="text"/>
    <w:autoRedefine/>
    <w:uiPriority w:val="99"/>
    <w:rsid w:val="00A24D39"/>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before="240" w:after="240"/>
      <w:ind w:firstLine="0"/>
      <w:textAlignment w:val="center"/>
    </w:pPr>
    <w:rPr>
      <w:rFonts w:eastAsiaTheme="minorEastAsia" w:cs="ITC New Baskerville Std"/>
      <w:color w:val="000000"/>
    </w:rPr>
  </w:style>
  <w:style w:type="paragraph" w:customStyle="1" w:styleId="textonpagebold-flush">
    <w:name w:val="text on page bold -/+ flush"/>
    <w:basedOn w:val="Normal"/>
    <w:autoRedefine/>
    <w:uiPriority w:val="99"/>
    <w:qFormat/>
    <w:rsid w:val="00A24D39"/>
    <w:pPr>
      <w:widowControl w:val="0"/>
      <w:autoSpaceDE w:val="0"/>
      <w:autoSpaceDN w:val="0"/>
      <w:adjustRightInd w:val="0"/>
      <w:spacing w:after="240" w:line="240" w:lineRule="atLeast"/>
      <w:textAlignment w:val="center"/>
    </w:pPr>
    <w:rPr>
      <w:rFonts w:eastAsiaTheme="minorEastAsia" w:cs="Times LT Std"/>
      <w:b/>
      <w:bCs/>
      <w:color w:val="000000"/>
      <w:szCs w:val="22"/>
      <w:lang w:eastAsia="en-US"/>
    </w:rPr>
  </w:style>
  <w:style w:type="paragraph" w:customStyle="1" w:styleId="textonpagebold">
    <w:name w:val="text on page bold +/+"/>
    <w:basedOn w:val="Normal"/>
    <w:autoRedefine/>
    <w:uiPriority w:val="99"/>
    <w:rsid w:val="00A24D39"/>
    <w:pPr>
      <w:widowControl w:val="0"/>
      <w:autoSpaceDE w:val="0"/>
      <w:autoSpaceDN w:val="0"/>
      <w:adjustRightInd w:val="0"/>
      <w:spacing w:before="240" w:after="240"/>
      <w:textAlignment w:val="center"/>
    </w:pPr>
    <w:rPr>
      <w:rFonts w:eastAsiaTheme="minorEastAsia" w:cs="ITC New Baskerville Std"/>
      <w:b/>
      <w:bCs/>
      <w:color w:val="000000"/>
      <w:lang w:eastAsia="en-US"/>
    </w:rPr>
  </w:style>
  <w:style w:type="paragraph" w:customStyle="1" w:styleId="textonpageboldflush">
    <w:name w:val="text on page bold +/+ flush"/>
    <w:basedOn w:val="Normal"/>
    <w:autoRedefine/>
    <w:uiPriority w:val="99"/>
    <w:rsid w:val="00A24D39"/>
    <w:pPr>
      <w:widowControl w:val="0"/>
      <w:autoSpaceDE w:val="0"/>
      <w:autoSpaceDN w:val="0"/>
      <w:adjustRightInd w:val="0"/>
      <w:spacing w:before="240" w:after="240"/>
      <w:textAlignment w:val="center"/>
    </w:pPr>
    <w:rPr>
      <w:rFonts w:eastAsiaTheme="minorEastAsia" w:cs="Times LT Std"/>
      <w:b/>
      <w:bCs/>
      <w:color w:val="000000"/>
      <w:szCs w:val="22"/>
      <w:lang w:eastAsia="en-US"/>
    </w:rPr>
  </w:style>
  <w:style w:type="paragraph" w:customStyle="1" w:styleId="textwith6ptbelow">
    <w:name w:val="text with 6 pt below"/>
    <w:basedOn w:val="text"/>
    <w:autoRedefine/>
    <w:uiPriority w:val="99"/>
    <w:rsid w:val="00A24D39"/>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after="240"/>
      <w:ind w:firstLine="0"/>
      <w:textAlignment w:val="center"/>
    </w:pPr>
    <w:rPr>
      <w:rFonts w:eastAsiaTheme="minorEastAsia" w:cs="ITC New Baskerville Std"/>
      <w:b/>
      <w:bCs/>
      <w:color w:val="000000"/>
    </w:rPr>
  </w:style>
  <w:style w:type="paragraph" w:customStyle="1" w:styleId="text-bold-">
    <w:name w:val="text-bold -/+"/>
    <w:basedOn w:val="text"/>
    <w:autoRedefine/>
    <w:uiPriority w:val="99"/>
    <w:rsid w:val="00A24D39"/>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after="240"/>
      <w:ind w:firstLine="0"/>
      <w:textAlignment w:val="center"/>
    </w:pPr>
    <w:rPr>
      <w:rFonts w:eastAsiaTheme="minorEastAsia" w:cs="Times LT Std"/>
      <w:b/>
      <w:bCs/>
      <w:color w:val="000000"/>
      <w:szCs w:val="22"/>
    </w:rPr>
  </w:style>
  <w:style w:type="paragraph" w:customStyle="1" w:styleId="text-bold">
    <w:name w:val="text-bold +/+"/>
    <w:basedOn w:val="text-bold-"/>
    <w:autoRedefine/>
    <w:uiPriority w:val="99"/>
    <w:rsid w:val="00A24D39"/>
    <w:pPr>
      <w:spacing w:before="240"/>
    </w:pPr>
  </w:style>
  <w:style w:type="paragraph" w:customStyle="1" w:styleId="text-flush">
    <w:name w:val="text-flush"/>
    <w:basedOn w:val="text"/>
    <w:autoRedefine/>
    <w:qFormat/>
    <w:rsid w:val="00A24D39"/>
    <w:pPr>
      <w:ind w:firstLine="0"/>
    </w:pPr>
  </w:style>
  <w:style w:type="paragraph" w:styleId="Title">
    <w:name w:val="Title"/>
    <w:basedOn w:val="Normal"/>
    <w:next w:val="Normal"/>
    <w:link w:val="TitleChar"/>
    <w:autoRedefine/>
    <w:uiPriority w:val="10"/>
    <w:qFormat/>
    <w:rsid w:val="00A24D39"/>
    <w:pPr>
      <w:ind w:firstLine="720"/>
      <w:contextualSpacing/>
    </w:pPr>
    <w:rPr>
      <w:rFonts w:eastAsiaTheme="majorEastAsia" w:cstheme="majorBidi"/>
      <w:spacing w:val="-10"/>
      <w:kern w:val="28"/>
      <w:sz w:val="56"/>
      <w:szCs w:val="56"/>
      <w:lang w:eastAsia="en-US"/>
    </w:rPr>
  </w:style>
  <w:style w:type="character" w:customStyle="1" w:styleId="TitleChar">
    <w:name w:val="Title Char"/>
    <w:basedOn w:val="DefaultParagraphFont"/>
    <w:link w:val="Title"/>
    <w:uiPriority w:val="10"/>
    <w:rsid w:val="00A24D39"/>
    <w:rPr>
      <w:rFonts w:ascii="Times New Roman" w:eastAsiaTheme="majorEastAsia" w:hAnsi="Times New Roman" w:cstheme="majorBidi"/>
      <w:spacing w:val="-10"/>
      <w:kern w:val="28"/>
      <w:sz w:val="56"/>
      <w:szCs w:val="56"/>
    </w:rPr>
  </w:style>
  <w:style w:type="paragraph" w:customStyle="1" w:styleId="TOC1I">
    <w:name w:val="TOC1_I."/>
    <w:basedOn w:val="Normal"/>
    <w:autoRedefine/>
    <w:uiPriority w:val="99"/>
    <w:rsid w:val="00A24D39"/>
    <w:pPr>
      <w:widowControl w:val="0"/>
      <w:tabs>
        <w:tab w:val="right" w:pos="420"/>
        <w:tab w:val="left" w:pos="540"/>
        <w:tab w:val="right" w:leader="dot" w:pos="6240"/>
        <w:tab w:val="right" w:pos="6960"/>
      </w:tabs>
      <w:autoSpaceDE w:val="0"/>
      <w:autoSpaceDN w:val="0"/>
      <w:adjustRightInd w:val="0"/>
      <w:spacing w:line="220" w:lineRule="atLeast"/>
      <w:ind w:left="540" w:hanging="540"/>
      <w:textAlignment w:val="center"/>
    </w:pPr>
    <w:rPr>
      <w:rFonts w:eastAsiaTheme="minorEastAsia" w:cs="Times LT Std"/>
      <w:color w:val="000000"/>
      <w:sz w:val="22"/>
      <w:szCs w:val="20"/>
      <w:lang w:eastAsia="en-US"/>
    </w:rPr>
  </w:style>
  <w:style w:type="paragraph" w:customStyle="1" w:styleId="TOC1Secondary">
    <w:name w:val="TOC 1_Secondary"/>
    <w:basedOn w:val="TOC1I"/>
    <w:autoRedefine/>
    <w:uiPriority w:val="99"/>
    <w:qFormat/>
    <w:rsid w:val="00A24D39"/>
    <w:pPr>
      <w:tabs>
        <w:tab w:val="clear" w:pos="420"/>
        <w:tab w:val="clear" w:pos="540"/>
        <w:tab w:val="right" w:pos="480"/>
        <w:tab w:val="left" w:pos="600"/>
      </w:tabs>
      <w:suppressAutoHyphens/>
      <w:spacing w:line="240" w:lineRule="auto"/>
      <w:ind w:left="799" w:hanging="199"/>
    </w:pPr>
    <w:rPr>
      <w:szCs w:val="21"/>
    </w:rPr>
  </w:style>
  <w:style w:type="paragraph" w:customStyle="1" w:styleId="TOCChapter">
    <w:name w:val="TOC Chapter"/>
    <w:basedOn w:val="Normal"/>
    <w:autoRedefine/>
    <w:uiPriority w:val="99"/>
    <w:rsid w:val="00A24D39"/>
    <w:pPr>
      <w:tabs>
        <w:tab w:val="left" w:pos="1440"/>
        <w:tab w:val="right" w:leader="dot" w:pos="5640"/>
        <w:tab w:val="right" w:pos="6240"/>
        <w:tab w:val="right" w:pos="6960"/>
      </w:tabs>
      <w:suppressAutoHyphens/>
      <w:autoSpaceDE w:val="0"/>
      <w:autoSpaceDN w:val="0"/>
      <w:adjustRightInd w:val="0"/>
      <w:spacing w:before="240" w:line="220" w:lineRule="atLeast"/>
      <w:ind w:left="1440" w:hanging="1440"/>
      <w:textAlignment w:val="center"/>
    </w:pPr>
    <w:rPr>
      <w:rFonts w:eastAsiaTheme="minorHAnsi" w:cs="Times"/>
      <w:smallCaps/>
      <w:color w:val="000000"/>
      <w:spacing w:val="-2"/>
      <w:sz w:val="20"/>
      <w:szCs w:val="20"/>
      <w:lang w:eastAsia="en-US"/>
    </w:rPr>
  </w:style>
  <w:style w:type="paragraph" w:customStyle="1" w:styleId="tocchapter0">
    <w:name w:val="toc chapter #"/>
    <w:basedOn w:val="Normal"/>
    <w:autoRedefine/>
    <w:uiPriority w:val="99"/>
    <w:rsid w:val="00A24D39"/>
    <w:pPr>
      <w:widowControl w:val="0"/>
      <w:tabs>
        <w:tab w:val="left" w:pos="1440"/>
        <w:tab w:val="right" w:leader="dot" w:pos="6240"/>
        <w:tab w:val="right" w:pos="6960"/>
      </w:tabs>
      <w:autoSpaceDE w:val="0"/>
      <w:autoSpaceDN w:val="0"/>
      <w:adjustRightInd w:val="0"/>
      <w:spacing w:before="240" w:after="240"/>
      <w:ind w:left="1440" w:hanging="1440"/>
      <w:textAlignment w:val="center"/>
    </w:pPr>
    <w:rPr>
      <w:rFonts w:eastAsiaTheme="minorEastAsia" w:cs="NewCenturySchlbk"/>
      <w:smallCaps/>
      <w:color w:val="000000"/>
      <w:szCs w:val="22"/>
      <w:lang w:eastAsia="en-US"/>
    </w:rPr>
  </w:style>
  <w:style w:type="paragraph" w:customStyle="1" w:styleId="tocflush">
    <w:name w:val="toc flush"/>
    <w:basedOn w:val="Normal"/>
    <w:autoRedefine/>
    <w:uiPriority w:val="99"/>
    <w:rsid w:val="00A24D39"/>
    <w:pPr>
      <w:widowControl w:val="0"/>
      <w:tabs>
        <w:tab w:val="left" w:pos="480"/>
        <w:tab w:val="right" w:leader="dot" w:pos="6240"/>
        <w:tab w:val="right" w:pos="6960"/>
      </w:tabs>
      <w:autoSpaceDE w:val="0"/>
      <w:autoSpaceDN w:val="0"/>
      <w:adjustRightInd w:val="0"/>
      <w:spacing w:after="240"/>
      <w:textAlignment w:val="center"/>
    </w:pPr>
    <w:rPr>
      <w:rFonts w:eastAsiaTheme="minorEastAsia"/>
      <w:smallCaps/>
      <w:color w:val="000000"/>
      <w:szCs w:val="22"/>
      <w:lang w:eastAsia="en-US"/>
    </w:rPr>
  </w:style>
  <w:style w:type="paragraph" w:customStyle="1" w:styleId="tocI">
    <w:name w:val="toc I."/>
    <w:basedOn w:val="Normal"/>
    <w:autoRedefine/>
    <w:uiPriority w:val="99"/>
    <w:rsid w:val="00A24D39"/>
    <w:pPr>
      <w:widowControl w:val="0"/>
      <w:tabs>
        <w:tab w:val="right" w:pos="600"/>
        <w:tab w:val="left" w:pos="720"/>
        <w:tab w:val="left" w:leader="dot" w:pos="6240"/>
        <w:tab w:val="left" w:pos="6960"/>
      </w:tabs>
      <w:suppressAutoHyphens/>
      <w:autoSpaceDE w:val="0"/>
      <w:autoSpaceDN w:val="0"/>
      <w:adjustRightInd w:val="0"/>
      <w:ind w:left="720" w:hanging="720"/>
      <w:textAlignment w:val="center"/>
    </w:pPr>
    <w:rPr>
      <w:rFonts w:eastAsiaTheme="minorEastAsia" w:cs="ITC New Baskerville Std"/>
      <w:color w:val="000000"/>
      <w:sz w:val="22"/>
      <w:szCs w:val="22"/>
      <w:lang w:eastAsia="en-US"/>
    </w:rPr>
  </w:style>
  <w:style w:type="paragraph" w:customStyle="1" w:styleId="toc11">
    <w:name w:val="toc1 1."/>
    <w:basedOn w:val="text"/>
    <w:autoRedefine/>
    <w:uiPriority w:val="99"/>
    <w:rsid w:val="00A24D39"/>
    <w:pPr>
      <w:widowControl w:val="0"/>
      <w:tabs>
        <w:tab w:val="clear" w:pos="0"/>
        <w:tab w:val="clear" w:pos="1440"/>
        <w:tab w:val="clear" w:pos="2160"/>
        <w:tab w:val="clear" w:pos="2880"/>
        <w:tab w:val="clear" w:pos="3600"/>
        <w:tab w:val="clear" w:pos="4320"/>
        <w:tab w:val="clear" w:pos="5040"/>
        <w:tab w:val="clear" w:pos="5760"/>
        <w:tab w:val="left" w:pos="600"/>
        <w:tab w:val="right" w:leader="dot" w:pos="6240"/>
        <w:tab w:val="right" w:pos="6960"/>
      </w:tabs>
      <w:autoSpaceDE w:val="0"/>
      <w:autoSpaceDN w:val="0"/>
      <w:adjustRightInd w:val="0"/>
      <w:spacing w:line="240" w:lineRule="atLeast"/>
      <w:ind w:left="600" w:hanging="600"/>
      <w:textAlignment w:val="center"/>
    </w:pPr>
    <w:rPr>
      <w:rFonts w:eastAsiaTheme="minorEastAsia" w:cs="NewCenturySchlbk"/>
      <w:color w:val="000000"/>
      <w:szCs w:val="22"/>
    </w:rPr>
  </w:style>
  <w:style w:type="paragraph" w:customStyle="1" w:styleId="toc1A">
    <w:name w:val="toc1 A."/>
    <w:basedOn w:val="Normal"/>
    <w:autoRedefine/>
    <w:uiPriority w:val="99"/>
    <w:rsid w:val="00A24D39"/>
    <w:pPr>
      <w:widowControl w:val="0"/>
      <w:tabs>
        <w:tab w:val="left" w:pos="1080"/>
        <w:tab w:val="left" w:leader="dot" w:pos="6240"/>
        <w:tab w:val="left" w:pos="6960"/>
      </w:tabs>
      <w:suppressAutoHyphens/>
      <w:autoSpaceDE w:val="0"/>
      <w:autoSpaceDN w:val="0"/>
      <w:adjustRightInd w:val="0"/>
      <w:ind w:left="1080" w:hanging="360"/>
      <w:textAlignment w:val="center"/>
    </w:pPr>
    <w:rPr>
      <w:rFonts w:eastAsiaTheme="minorEastAsia" w:cs="ITC New Baskerville Std"/>
      <w:color w:val="000000"/>
      <w:sz w:val="22"/>
      <w:szCs w:val="22"/>
      <w:lang w:eastAsia="en-US"/>
    </w:rPr>
  </w:style>
  <w:style w:type="paragraph" w:customStyle="1" w:styleId="TOC1ES">
    <w:name w:val="TOC1 ES"/>
    <w:basedOn w:val="toc1"/>
    <w:autoRedefine/>
    <w:qFormat/>
    <w:rsid w:val="00A24D39"/>
    <w:pPr>
      <w:tabs>
        <w:tab w:val="right" w:pos="960"/>
      </w:tabs>
      <w:ind w:left="960" w:hanging="960"/>
    </w:pPr>
    <w:rPr>
      <w:rFonts w:cs="Times New Roman"/>
    </w:rPr>
  </w:style>
  <w:style w:type="paragraph" w:customStyle="1" w:styleId="TOC1ESDD">
    <w:name w:val="TOC1 ES DD"/>
    <w:basedOn w:val="toc1"/>
    <w:autoRedefine/>
    <w:qFormat/>
    <w:rsid w:val="00A24D39"/>
    <w:pPr>
      <w:tabs>
        <w:tab w:val="left" w:pos="1080"/>
      </w:tabs>
      <w:ind w:left="1080" w:hanging="1080"/>
    </w:pPr>
    <w:rPr>
      <w:rFonts w:cs="Times New Roman"/>
    </w:rPr>
  </w:style>
  <w:style w:type="paragraph" w:customStyle="1" w:styleId="toc1I0">
    <w:name w:val="toc1 I."/>
    <w:basedOn w:val="text"/>
    <w:autoRedefine/>
    <w:uiPriority w:val="99"/>
    <w:qFormat/>
    <w:rsid w:val="00A24D39"/>
    <w:pPr>
      <w:widowControl w:val="0"/>
      <w:tabs>
        <w:tab w:val="clear" w:pos="0"/>
        <w:tab w:val="clear" w:pos="720"/>
        <w:tab w:val="clear" w:pos="1440"/>
        <w:tab w:val="clear" w:pos="2160"/>
        <w:tab w:val="clear" w:pos="2880"/>
        <w:tab w:val="clear" w:pos="3600"/>
        <w:tab w:val="clear" w:pos="4320"/>
        <w:tab w:val="clear" w:pos="5040"/>
        <w:tab w:val="clear" w:pos="5760"/>
        <w:tab w:val="right" w:pos="480"/>
        <w:tab w:val="left" w:pos="600"/>
        <w:tab w:val="left" w:leader="dot" w:pos="6240"/>
        <w:tab w:val="right" w:pos="6960"/>
      </w:tabs>
      <w:autoSpaceDE w:val="0"/>
      <w:autoSpaceDN w:val="0"/>
      <w:adjustRightInd w:val="0"/>
      <w:ind w:left="600" w:hanging="600"/>
      <w:textAlignment w:val="center"/>
    </w:pPr>
    <w:rPr>
      <w:rFonts w:eastAsiaTheme="minorEastAsia"/>
      <w:color w:val="000000"/>
      <w:szCs w:val="20"/>
    </w:rPr>
  </w:style>
  <w:style w:type="paragraph" w:customStyle="1" w:styleId="TOC1I1">
    <w:name w:val="TOC1 I."/>
    <w:basedOn w:val="Normal"/>
    <w:autoRedefine/>
    <w:uiPriority w:val="99"/>
    <w:rsid w:val="00A24D39"/>
    <w:pPr>
      <w:widowControl w:val="0"/>
      <w:tabs>
        <w:tab w:val="right" w:pos="600"/>
        <w:tab w:val="left" w:pos="720"/>
        <w:tab w:val="right" w:leader="dot" w:pos="6240"/>
        <w:tab w:val="left" w:pos="6960"/>
      </w:tabs>
      <w:suppressAutoHyphens/>
      <w:autoSpaceDE w:val="0"/>
      <w:autoSpaceDN w:val="0"/>
      <w:adjustRightInd w:val="0"/>
      <w:ind w:left="720" w:hanging="720"/>
      <w:textAlignment w:val="center"/>
    </w:pPr>
    <w:rPr>
      <w:rFonts w:eastAsiaTheme="minorEastAsia" w:cs="ITC New Baskerville Std"/>
      <w:color w:val="000000"/>
      <w:sz w:val="22"/>
      <w:lang w:eastAsia="en-US"/>
    </w:rPr>
  </w:style>
  <w:style w:type="paragraph" w:customStyle="1" w:styleId="TOC1I2">
    <w:name w:val="TOC1_I"/>
    <w:basedOn w:val="Normal"/>
    <w:autoRedefine/>
    <w:uiPriority w:val="99"/>
    <w:rsid w:val="00A24D39"/>
    <w:pPr>
      <w:widowControl w:val="0"/>
      <w:tabs>
        <w:tab w:val="right" w:pos="480"/>
        <w:tab w:val="left" w:pos="600"/>
        <w:tab w:val="right" w:leader="dot" w:pos="6240"/>
        <w:tab w:val="right" w:pos="6960"/>
      </w:tabs>
      <w:suppressAutoHyphens/>
      <w:autoSpaceDE w:val="0"/>
      <w:autoSpaceDN w:val="0"/>
      <w:adjustRightInd w:val="0"/>
      <w:ind w:left="600" w:hanging="600"/>
      <w:textAlignment w:val="center"/>
    </w:pPr>
    <w:rPr>
      <w:rFonts w:eastAsiaTheme="minorEastAsia" w:cs="Times LT Std"/>
      <w:color w:val="000000"/>
      <w:lang w:eastAsia="en-US"/>
    </w:rPr>
  </w:style>
  <w:style w:type="paragraph" w:customStyle="1" w:styleId="toc2">
    <w:name w:val="toc2"/>
    <w:basedOn w:val="Normal"/>
    <w:autoRedefine/>
    <w:uiPriority w:val="99"/>
    <w:rsid w:val="00A24D39"/>
    <w:pPr>
      <w:widowControl w:val="0"/>
      <w:tabs>
        <w:tab w:val="left" w:pos="720"/>
        <w:tab w:val="right" w:leader="dot" w:pos="6240"/>
        <w:tab w:val="left" w:pos="6960"/>
      </w:tabs>
      <w:autoSpaceDE w:val="0"/>
      <w:autoSpaceDN w:val="0"/>
      <w:adjustRightInd w:val="0"/>
      <w:ind w:left="1080" w:hanging="360"/>
      <w:textAlignment w:val="center"/>
    </w:pPr>
    <w:rPr>
      <w:rFonts w:eastAsiaTheme="minorEastAsia"/>
      <w:color w:val="000000"/>
      <w:sz w:val="22"/>
      <w:szCs w:val="22"/>
      <w:lang w:eastAsia="en-US"/>
    </w:rPr>
  </w:style>
  <w:style w:type="paragraph" w:customStyle="1" w:styleId="toc21">
    <w:name w:val="toc2 1."/>
    <w:basedOn w:val="toc1A"/>
    <w:autoRedefine/>
    <w:uiPriority w:val="99"/>
    <w:rsid w:val="00A24D39"/>
    <w:pPr>
      <w:tabs>
        <w:tab w:val="clear" w:pos="1080"/>
        <w:tab w:val="left" w:pos="1380"/>
      </w:tabs>
      <w:ind w:left="1380" w:hanging="300"/>
    </w:pPr>
  </w:style>
  <w:style w:type="paragraph" w:customStyle="1" w:styleId="toc2A">
    <w:name w:val="toc2 A."/>
    <w:basedOn w:val="Normal"/>
    <w:autoRedefine/>
    <w:uiPriority w:val="99"/>
    <w:rsid w:val="00A24D39"/>
    <w:pPr>
      <w:widowControl w:val="0"/>
      <w:tabs>
        <w:tab w:val="left" w:pos="1080"/>
        <w:tab w:val="right" w:leader="dot" w:pos="6240"/>
        <w:tab w:val="right" w:pos="6960"/>
      </w:tabs>
      <w:autoSpaceDE w:val="0"/>
      <w:autoSpaceDN w:val="0"/>
      <w:adjustRightInd w:val="0"/>
      <w:ind w:left="1080" w:hanging="360"/>
      <w:textAlignment w:val="center"/>
    </w:pPr>
    <w:rPr>
      <w:rFonts w:eastAsiaTheme="minorEastAsia" w:cs="NewCenturySchlbk"/>
      <w:color w:val="000000"/>
      <w:szCs w:val="22"/>
      <w:lang w:eastAsia="en-US"/>
    </w:rPr>
  </w:style>
  <w:style w:type="paragraph" w:customStyle="1" w:styleId="toc2dd">
    <w:name w:val="toc2 dd"/>
    <w:basedOn w:val="Normal"/>
    <w:autoRedefine/>
    <w:uiPriority w:val="99"/>
    <w:qFormat/>
    <w:rsid w:val="00A24D39"/>
    <w:pPr>
      <w:widowControl w:val="0"/>
      <w:tabs>
        <w:tab w:val="left" w:pos="1200"/>
        <w:tab w:val="left" w:leader="dot" w:pos="6240"/>
        <w:tab w:val="left" w:pos="6960"/>
      </w:tabs>
      <w:suppressAutoHyphens/>
      <w:autoSpaceDE w:val="0"/>
      <w:autoSpaceDN w:val="0"/>
      <w:adjustRightInd w:val="0"/>
      <w:ind w:left="1200" w:hanging="480"/>
      <w:textAlignment w:val="center"/>
    </w:pPr>
    <w:rPr>
      <w:rFonts w:eastAsiaTheme="minorEastAsia" w:cs="ITC New Baskerville Std"/>
      <w:color w:val="000000"/>
      <w:szCs w:val="22"/>
      <w:lang w:eastAsia="en-US"/>
    </w:rPr>
  </w:style>
  <w:style w:type="paragraph" w:customStyle="1" w:styleId="TOC2A0">
    <w:name w:val="TOC2_A."/>
    <w:basedOn w:val="TOC1I"/>
    <w:uiPriority w:val="99"/>
    <w:rsid w:val="00A24D39"/>
    <w:pPr>
      <w:tabs>
        <w:tab w:val="clear" w:pos="420"/>
        <w:tab w:val="clear" w:pos="540"/>
      </w:tabs>
      <w:ind w:left="840" w:hanging="300"/>
    </w:pPr>
  </w:style>
  <w:style w:type="paragraph" w:customStyle="1" w:styleId="TOC2secondary">
    <w:name w:val="TOC2_secondary"/>
    <w:basedOn w:val="TOC2A0"/>
    <w:autoRedefine/>
    <w:uiPriority w:val="99"/>
    <w:qFormat/>
    <w:rsid w:val="00A24D39"/>
    <w:pPr>
      <w:tabs>
        <w:tab w:val="left" w:pos="960"/>
      </w:tabs>
      <w:suppressAutoHyphens/>
      <w:spacing w:line="240" w:lineRule="auto"/>
      <w:ind w:left="1320" w:hanging="360"/>
    </w:pPr>
    <w:rPr>
      <w:szCs w:val="21"/>
    </w:rPr>
  </w:style>
  <w:style w:type="paragraph" w:customStyle="1" w:styleId="toc3">
    <w:name w:val="toc3"/>
    <w:basedOn w:val="toc2"/>
    <w:autoRedefine/>
    <w:uiPriority w:val="99"/>
    <w:rsid w:val="00A24D39"/>
    <w:pPr>
      <w:tabs>
        <w:tab w:val="left" w:pos="1680"/>
      </w:tabs>
      <w:ind w:left="1680" w:hanging="480"/>
    </w:pPr>
  </w:style>
  <w:style w:type="paragraph" w:customStyle="1" w:styleId="toc31">
    <w:name w:val="toc3 1."/>
    <w:basedOn w:val="toc2A"/>
    <w:autoRedefine/>
    <w:uiPriority w:val="99"/>
    <w:rsid w:val="00A24D39"/>
    <w:pPr>
      <w:tabs>
        <w:tab w:val="left" w:pos="1320"/>
      </w:tabs>
      <w:ind w:left="1320"/>
    </w:pPr>
  </w:style>
  <w:style w:type="paragraph" w:customStyle="1" w:styleId="toc3100">
    <w:name w:val="toc3 100."/>
    <w:basedOn w:val="toc3"/>
    <w:autoRedefine/>
    <w:uiPriority w:val="99"/>
    <w:rsid w:val="00A24D39"/>
    <w:pPr>
      <w:ind w:hanging="600"/>
    </w:pPr>
    <w:rPr>
      <w:rFonts w:cs="ITC New Baskerville Std"/>
    </w:rPr>
  </w:style>
  <w:style w:type="paragraph" w:customStyle="1" w:styleId="toc3a">
    <w:name w:val="toc3 a."/>
    <w:basedOn w:val="toc21"/>
    <w:autoRedefine/>
    <w:uiPriority w:val="99"/>
    <w:rsid w:val="00A24D39"/>
    <w:pPr>
      <w:tabs>
        <w:tab w:val="clear" w:pos="1380"/>
        <w:tab w:val="left" w:pos="1680"/>
      </w:tabs>
      <w:ind w:left="1680"/>
    </w:pPr>
  </w:style>
  <w:style w:type="paragraph" w:customStyle="1" w:styleId="toc3dd">
    <w:name w:val="toc3 dd"/>
    <w:basedOn w:val="toc3"/>
    <w:uiPriority w:val="99"/>
    <w:rsid w:val="00A24D39"/>
    <w:pPr>
      <w:tabs>
        <w:tab w:val="left" w:pos="1500"/>
      </w:tabs>
      <w:spacing w:line="240" w:lineRule="atLeast"/>
      <w:ind w:left="1500"/>
    </w:pPr>
  </w:style>
  <w:style w:type="paragraph" w:customStyle="1" w:styleId="toc3i">
    <w:name w:val="toc3 i."/>
    <w:basedOn w:val="toc2A"/>
    <w:autoRedefine/>
    <w:uiPriority w:val="99"/>
    <w:rsid w:val="00A24D39"/>
    <w:pPr>
      <w:tabs>
        <w:tab w:val="left" w:pos="1320"/>
      </w:tabs>
      <w:ind w:left="1320" w:hanging="480"/>
    </w:pPr>
  </w:style>
  <w:style w:type="paragraph" w:customStyle="1" w:styleId="TOC310">
    <w:name w:val="TOC3_1."/>
    <w:basedOn w:val="TOC2A0"/>
    <w:uiPriority w:val="99"/>
    <w:rsid w:val="00A24D39"/>
    <w:pPr>
      <w:tabs>
        <w:tab w:val="left" w:pos="1200"/>
      </w:tabs>
      <w:ind w:left="1200" w:hanging="360"/>
    </w:pPr>
  </w:style>
  <w:style w:type="paragraph" w:customStyle="1" w:styleId="toc4">
    <w:name w:val="toc4"/>
    <w:basedOn w:val="toc3"/>
    <w:autoRedefine/>
    <w:uiPriority w:val="99"/>
    <w:rsid w:val="00A24D39"/>
    <w:pPr>
      <w:tabs>
        <w:tab w:val="left" w:pos="2160"/>
      </w:tabs>
      <w:ind w:left="2160"/>
    </w:pPr>
  </w:style>
  <w:style w:type="paragraph" w:customStyle="1" w:styleId="toc41">
    <w:name w:val="toc4 (1)"/>
    <w:basedOn w:val="toc3a"/>
    <w:autoRedefine/>
    <w:uiPriority w:val="99"/>
    <w:rsid w:val="00A24D39"/>
    <w:pPr>
      <w:tabs>
        <w:tab w:val="clear" w:pos="1680"/>
        <w:tab w:val="left" w:pos="2100"/>
      </w:tabs>
      <w:ind w:left="2100" w:hanging="420"/>
    </w:pPr>
  </w:style>
  <w:style w:type="paragraph" w:customStyle="1" w:styleId="toc4100a">
    <w:name w:val="toc4 100/a"/>
    <w:basedOn w:val="toc4"/>
    <w:autoRedefine/>
    <w:uiPriority w:val="99"/>
    <w:rsid w:val="00A24D39"/>
    <w:pPr>
      <w:tabs>
        <w:tab w:val="left" w:pos="1980"/>
      </w:tabs>
      <w:ind w:left="1980" w:hanging="300"/>
    </w:pPr>
    <w:rPr>
      <w:rFonts w:cs="ITC New Baskerville Std"/>
    </w:rPr>
  </w:style>
  <w:style w:type="paragraph" w:customStyle="1" w:styleId="toc4a">
    <w:name w:val="toc4 a."/>
    <w:basedOn w:val="toc31"/>
    <w:autoRedefine/>
    <w:uiPriority w:val="99"/>
    <w:rsid w:val="00A24D39"/>
    <w:pPr>
      <w:tabs>
        <w:tab w:val="clear" w:pos="1320"/>
        <w:tab w:val="left" w:pos="1680"/>
      </w:tabs>
      <w:spacing w:line="240" w:lineRule="atLeast"/>
      <w:ind w:left="1680"/>
    </w:pPr>
  </w:style>
  <w:style w:type="paragraph" w:customStyle="1" w:styleId="toc4dd">
    <w:name w:val="toc4 dd"/>
    <w:basedOn w:val="toc4"/>
    <w:autoRedefine/>
    <w:uiPriority w:val="99"/>
    <w:qFormat/>
    <w:rsid w:val="00A24D39"/>
    <w:pPr>
      <w:tabs>
        <w:tab w:val="left" w:pos="1920"/>
        <w:tab w:val="right" w:leader="dot" w:pos="5400"/>
        <w:tab w:val="right" w:pos="6240"/>
      </w:tabs>
      <w:spacing w:after="40" w:line="240" w:lineRule="atLeast"/>
      <w:ind w:left="1920" w:hanging="420"/>
    </w:pPr>
    <w:rPr>
      <w:rFonts w:cs="ITC New Baskerville Std"/>
    </w:rPr>
  </w:style>
  <w:style w:type="paragraph" w:customStyle="1" w:styleId="TOC4a0">
    <w:name w:val="TOC4_a."/>
    <w:basedOn w:val="TOC310"/>
    <w:uiPriority w:val="99"/>
    <w:rsid w:val="00A24D39"/>
    <w:pPr>
      <w:tabs>
        <w:tab w:val="clear" w:pos="1200"/>
      </w:tabs>
      <w:ind w:left="1560"/>
    </w:pPr>
  </w:style>
  <w:style w:type="paragraph" w:customStyle="1" w:styleId="toc5">
    <w:name w:val="toc5"/>
    <w:basedOn w:val="toc4"/>
    <w:autoRedefine/>
    <w:uiPriority w:val="99"/>
    <w:rsid w:val="00A24D39"/>
    <w:pPr>
      <w:tabs>
        <w:tab w:val="left" w:pos="2520"/>
      </w:tabs>
      <w:ind w:left="2520"/>
    </w:pPr>
  </w:style>
  <w:style w:type="paragraph" w:customStyle="1" w:styleId="toc5a0">
    <w:name w:val="toc5 (a)"/>
    <w:basedOn w:val="toc41"/>
    <w:autoRedefine/>
    <w:uiPriority w:val="99"/>
    <w:rsid w:val="00A24D39"/>
    <w:pPr>
      <w:tabs>
        <w:tab w:val="clear" w:pos="2100"/>
        <w:tab w:val="left" w:pos="2520"/>
      </w:tabs>
      <w:ind w:left="2520"/>
    </w:pPr>
  </w:style>
  <w:style w:type="paragraph" w:customStyle="1" w:styleId="toc5ii">
    <w:name w:val="toc5 ii."/>
    <w:basedOn w:val="toc4a"/>
    <w:autoRedefine/>
    <w:uiPriority w:val="99"/>
    <w:rsid w:val="00A24D39"/>
    <w:pPr>
      <w:tabs>
        <w:tab w:val="clear" w:pos="1680"/>
        <w:tab w:val="right" w:pos="2160"/>
        <w:tab w:val="left" w:pos="2280"/>
        <w:tab w:val="right" w:pos="6240"/>
      </w:tabs>
      <w:spacing w:line="220" w:lineRule="atLeast"/>
      <w:ind w:left="2280" w:hanging="600"/>
    </w:pPr>
    <w:rPr>
      <w:rFonts w:cs="Times LT Std"/>
      <w:szCs w:val="20"/>
    </w:rPr>
  </w:style>
  <w:style w:type="paragraph" w:customStyle="1" w:styleId="TOC5i">
    <w:name w:val="TOC5_i."/>
    <w:basedOn w:val="TOC4a0"/>
    <w:autoRedefine/>
    <w:uiPriority w:val="99"/>
    <w:qFormat/>
    <w:rsid w:val="00A24D39"/>
    <w:pPr>
      <w:tabs>
        <w:tab w:val="left" w:pos="1440"/>
        <w:tab w:val="right" w:pos="2040"/>
        <w:tab w:val="left" w:pos="2160"/>
      </w:tabs>
      <w:suppressAutoHyphens/>
      <w:spacing w:line="240" w:lineRule="auto"/>
      <w:ind w:left="2160" w:hanging="480"/>
    </w:pPr>
    <w:rPr>
      <w:szCs w:val="21"/>
    </w:rPr>
  </w:style>
  <w:style w:type="paragraph" w:customStyle="1" w:styleId="TOC5ii0">
    <w:name w:val="TOC5_ii."/>
    <w:basedOn w:val="TOC4a0"/>
    <w:autoRedefine/>
    <w:uiPriority w:val="99"/>
    <w:rsid w:val="00A24D39"/>
    <w:pPr>
      <w:tabs>
        <w:tab w:val="right" w:pos="2040"/>
        <w:tab w:val="left" w:pos="2160"/>
        <w:tab w:val="left" w:leader="dot" w:pos="6240"/>
      </w:tabs>
      <w:spacing w:line="240" w:lineRule="atLeast"/>
      <w:ind w:left="2160" w:hanging="480"/>
    </w:pPr>
    <w:rPr>
      <w:szCs w:val="22"/>
    </w:rPr>
  </w:style>
  <w:style w:type="paragraph" w:customStyle="1" w:styleId="toc6">
    <w:name w:val="toc6"/>
    <w:basedOn w:val="toc5"/>
    <w:autoRedefine/>
    <w:uiPriority w:val="99"/>
    <w:rsid w:val="00A24D39"/>
    <w:pPr>
      <w:tabs>
        <w:tab w:val="clear" w:pos="2520"/>
        <w:tab w:val="left" w:pos="3000"/>
      </w:tabs>
      <w:ind w:left="3000"/>
    </w:pPr>
    <w:rPr>
      <w:rFonts w:cs="ITC New Baskerville Std"/>
    </w:rPr>
  </w:style>
  <w:style w:type="paragraph" w:customStyle="1" w:styleId="TOC61">
    <w:name w:val="TOC6 (1)"/>
    <w:basedOn w:val="TOC5ii0"/>
    <w:autoRedefine/>
    <w:uiPriority w:val="99"/>
    <w:rsid w:val="00A24D39"/>
    <w:pPr>
      <w:tabs>
        <w:tab w:val="clear" w:pos="2040"/>
        <w:tab w:val="clear" w:pos="2160"/>
        <w:tab w:val="left" w:pos="2640"/>
      </w:tabs>
      <w:spacing w:line="240" w:lineRule="auto"/>
      <w:ind w:left="2640"/>
    </w:pPr>
  </w:style>
  <w:style w:type="paragraph" w:customStyle="1" w:styleId="toc7">
    <w:name w:val="toc7"/>
    <w:basedOn w:val="toc6"/>
    <w:autoRedefine/>
    <w:uiPriority w:val="99"/>
    <w:qFormat/>
    <w:rsid w:val="00A24D39"/>
    <w:pPr>
      <w:tabs>
        <w:tab w:val="clear" w:pos="3000"/>
        <w:tab w:val="left" w:pos="3360"/>
      </w:tabs>
      <w:ind w:left="3360"/>
    </w:pPr>
  </w:style>
  <w:style w:type="paragraph" w:customStyle="1" w:styleId="toc8">
    <w:name w:val="toc8"/>
    <w:basedOn w:val="toc7"/>
    <w:autoRedefine/>
    <w:uiPriority w:val="99"/>
    <w:qFormat/>
    <w:rsid w:val="00A24D39"/>
    <w:pPr>
      <w:tabs>
        <w:tab w:val="clear" w:pos="3360"/>
        <w:tab w:val="left" w:pos="3840"/>
      </w:tabs>
      <w:ind w:left="3840"/>
    </w:pPr>
  </w:style>
  <w:style w:type="paragraph" w:customStyle="1" w:styleId="toc410">
    <w:name w:val="toc4 (10)"/>
    <w:basedOn w:val="toc41"/>
    <w:uiPriority w:val="99"/>
    <w:rsid w:val="00A24D39"/>
    <w:pPr>
      <w:tabs>
        <w:tab w:val="clear" w:pos="2100"/>
        <w:tab w:val="left" w:pos="2160"/>
        <w:tab w:val="right" w:pos="6960"/>
      </w:tabs>
      <w:spacing w:line="240" w:lineRule="atLeast"/>
      <w:ind w:left="2160" w:hanging="480"/>
    </w:pPr>
  </w:style>
  <w:style w:type="paragraph" w:customStyle="1" w:styleId="toc6iii">
    <w:name w:val="toc6 (iii)"/>
    <w:basedOn w:val="toc5a"/>
    <w:uiPriority w:val="99"/>
    <w:rsid w:val="00A24D39"/>
    <w:pPr>
      <w:widowControl w:val="0"/>
      <w:tabs>
        <w:tab w:val="clear" w:pos="2100"/>
        <w:tab w:val="left" w:pos="2640"/>
        <w:tab w:val="left" w:pos="3240"/>
        <w:tab w:val="right" w:pos="6960"/>
      </w:tabs>
      <w:ind w:left="3240" w:hanging="600"/>
    </w:pPr>
  </w:style>
  <w:style w:type="paragraph" w:customStyle="1" w:styleId="6thlevelheadar">
    <w:name w:val="6th level head (a)_r"/>
    <w:basedOn w:val="5thlevelhead1i"/>
    <w:autoRedefine/>
    <w:uiPriority w:val="99"/>
    <w:rsid w:val="00A24D39"/>
    <w:pPr>
      <w:tabs>
        <w:tab w:val="clear" w:pos="800"/>
      </w:tabs>
      <w:ind w:left="1181"/>
    </w:pPr>
  </w:style>
  <w:style w:type="paragraph" w:customStyle="1" w:styleId="3rdlevelhead10i">
    <w:name w:val="3rd level head 10._i"/>
    <w:basedOn w:val="3rdlevelhead1i"/>
    <w:autoRedefine/>
    <w:uiPriority w:val="99"/>
    <w:qFormat/>
    <w:rsid w:val="00A24D39"/>
    <w:pPr>
      <w:keepNext/>
      <w:widowControl w:val="0"/>
      <w:tabs>
        <w:tab w:val="clear" w:pos="360"/>
        <w:tab w:val="left" w:pos="480"/>
      </w:tabs>
      <w:suppressAutoHyphens/>
      <w:autoSpaceDE w:val="0"/>
      <w:autoSpaceDN w:val="0"/>
      <w:adjustRightInd w:val="0"/>
      <w:ind w:left="480" w:hanging="480"/>
      <w:textAlignment w:val="center"/>
    </w:pPr>
    <w:rPr>
      <w:rFonts w:cs="Times LT Std"/>
      <w:iCs/>
      <w:color w:val="000000"/>
    </w:rPr>
  </w:style>
  <w:style w:type="paragraph" w:customStyle="1" w:styleId="toc51">
    <w:name w:val="toc5 (1)"/>
    <w:basedOn w:val="toc4a"/>
    <w:autoRedefine/>
    <w:uiPriority w:val="99"/>
    <w:rsid w:val="00A24D39"/>
    <w:pPr>
      <w:tabs>
        <w:tab w:val="clear" w:pos="1080"/>
        <w:tab w:val="clear" w:pos="1680"/>
        <w:tab w:val="left" w:pos="2160"/>
      </w:tabs>
      <w:ind w:left="2160" w:hanging="480"/>
    </w:pPr>
  </w:style>
  <w:style w:type="paragraph" w:customStyle="1" w:styleId="numberlistpnlstart">
    <w:name w:val="number list pnl start"/>
    <w:basedOn w:val="numberlistpnl"/>
    <w:autoRedefine/>
    <w:uiPriority w:val="99"/>
    <w:rsid w:val="00A24D39"/>
    <w:pPr>
      <w:tabs>
        <w:tab w:val="clear" w:pos="1020"/>
        <w:tab w:val="left" w:pos="840"/>
      </w:tabs>
      <w:spacing w:before="240"/>
    </w:pPr>
    <w:rPr>
      <w:rFonts w:cs="NewCenturySchlbk"/>
      <w:szCs w:val="22"/>
    </w:rPr>
  </w:style>
  <w:style w:type="paragraph" w:customStyle="1" w:styleId="tocED1">
    <w:name w:val="toc ED 1."/>
    <w:basedOn w:val="tocI"/>
    <w:autoRedefine/>
    <w:qFormat/>
    <w:rsid w:val="00A24D39"/>
    <w:pPr>
      <w:tabs>
        <w:tab w:val="clear" w:pos="600"/>
        <w:tab w:val="clear" w:pos="720"/>
        <w:tab w:val="right" w:pos="480"/>
      </w:tabs>
      <w:ind w:left="480" w:hanging="480"/>
    </w:pPr>
  </w:style>
  <w:style w:type="paragraph" w:customStyle="1" w:styleId="tocEDa">
    <w:name w:val="toc ED a."/>
    <w:basedOn w:val="toc2"/>
    <w:autoRedefine/>
    <w:qFormat/>
    <w:rsid w:val="00A24D39"/>
    <w:pPr>
      <w:tabs>
        <w:tab w:val="left" w:pos="960"/>
      </w:tabs>
    </w:pPr>
  </w:style>
  <w:style w:type="paragraph" w:customStyle="1" w:styleId="Indentname">
    <w:name w:val="Indent name"/>
    <w:basedOn w:val="Normal"/>
    <w:autoRedefine/>
    <w:uiPriority w:val="99"/>
    <w:rsid w:val="00A24D39"/>
    <w:pPr>
      <w:widowControl w:val="0"/>
      <w:tabs>
        <w:tab w:val="left" w:pos="960"/>
        <w:tab w:val="left" w:pos="1440"/>
      </w:tabs>
      <w:autoSpaceDE w:val="0"/>
      <w:autoSpaceDN w:val="0"/>
      <w:adjustRightInd w:val="0"/>
      <w:spacing w:before="240"/>
      <w:ind w:left="720"/>
      <w:textAlignment w:val="center"/>
    </w:pPr>
    <w:rPr>
      <w:rFonts w:eastAsiaTheme="minorEastAsia" w:cs="ITC New Baskerville Std"/>
      <w:color w:val="000000"/>
      <w:lang w:eastAsia="en-US"/>
    </w:rPr>
  </w:style>
  <w:style w:type="paragraph" w:customStyle="1" w:styleId="Questiona-">
    <w:name w:val="Question a. -/+"/>
    <w:basedOn w:val="Normal"/>
    <w:autoRedefine/>
    <w:uiPriority w:val="99"/>
    <w:rsid w:val="00A24D39"/>
    <w:pPr>
      <w:widowControl w:val="0"/>
      <w:tabs>
        <w:tab w:val="left" w:pos="1440"/>
      </w:tabs>
      <w:autoSpaceDE w:val="0"/>
      <w:autoSpaceDN w:val="0"/>
      <w:adjustRightInd w:val="0"/>
      <w:spacing w:after="240" w:line="240" w:lineRule="atLeast"/>
      <w:ind w:left="1440" w:hanging="480"/>
      <w:textAlignment w:val="center"/>
    </w:pPr>
    <w:rPr>
      <w:rFonts w:eastAsiaTheme="minorEastAsia" w:cs="ITC New Baskerville Std"/>
      <w:b/>
      <w:bCs/>
      <w:color w:val="000000"/>
      <w:sz w:val="22"/>
      <w:szCs w:val="22"/>
      <w:lang w:eastAsia="en-US"/>
    </w:rPr>
  </w:style>
  <w:style w:type="paragraph" w:customStyle="1" w:styleId="TOC2A1">
    <w:name w:val="TOC2 A."/>
    <w:basedOn w:val="TOC1I1"/>
    <w:autoRedefine/>
    <w:uiPriority w:val="99"/>
    <w:rsid w:val="00A24D39"/>
    <w:pPr>
      <w:tabs>
        <w:tab w:val="clear" w:pos="600"/>
      </w:tabs>
      <w:ind w:left="1080" w:hanging="360"/>
    </w:pPr>
  </w:style>
  <w:style w:type="paragraph" w:customStyle="1" w:styleId="TOC311">
    <w:name w:val="TOC3 1."/>
    <w:basedOn w:val="TOC2A1"/>
    <w:autoRedefine/>
    <w:uiPriority w:val="99"/>
    <w:rsid w:val="00A24D39"/>
    <w:pPr>
      <w:tabs>
        <w:tab w:val="clear" w:pos="720"/>
        <w:tab w:val="left" w:pos="1080"/>
      </w:tabs>
      <w:ind w:left="1440"/>
    </w:pPr>
  </w:style>
  <w:style w:type="paragraph" w:customStyle="1" w:styleId="textboldwp">
    <w:name w:val="text bold w/p"/>
    <w:basedOn w:val="textonpage-0"/>
    <w:autoRedefine/>
    <w:uiPriority w:val="99"/>
    <w:rsid w:val="00A24D39"/>
    <w:pPr>
      <w:spacing w:before="120" w:after="120"/>
    </w:pPr>
    <w:rPr>
      <w:b/>
      <w:bCs/>
      <w:lang w:eastAsia="en-US"/>
    </w:rPr>
  </w:style>
  <w:style w:type="paragraph" w:customStyle="1" w:styleId="blocknlrl">
    <w:name w:val="block nl/rl"/>
    <w:basedOn w:val="blocknumberlist"/>
    <w:autoRedefine/>
    <w:uiPriority w:val="99"/>
    <w:rsid w:val="00A24D39"/>
    <w:pPr>
      <w:tabs>
        <w:tab w:val="clear" w:pos="1080"/>
        <w:tab w:val="left" w:pos="1400"/>
      </w:tabs>
      <w:ind w:left="1920" w:hanging="480"/>
    </w:pPr>
  </w:style>
  <w:style w:type="paragraph" w:customStyle="1" w:styleId="1stlevelhead10b">
    <w:name w:val="1st level head (10)_b"/>
    <w:basedOn w:val="Normal"/>
    <w:autoRedefine/>
    <w:uiPriority w:val="99"/>
    <w:rsid w:val="00A24D39"/>
    <w:pPr>
      <w:keepNext/>
      <w:widowControl w:val="0"/>
      <w:tabs>
        <w:tab w:val="left" w:pos="720"/>
      </w:tabs>
      <w:suppressAutoHyphens/>
      <w:autoSpaceDE w:val="0"/>
      <w:autoSpaceDN w:val="0"/>
      <w:adjustRightInd w:val="0"/>
      <w:spacing w:before="480" w:after="360"/>
      <w:ind w:left="720" w:hanging="720"/>
      <w:textAlignment w:val="center"/>
    </w:pPr>
    <w:rPr>
      <w:rFonts w:eastAsiaTheme="minorEastAsia" w:cs="NewCenturySchlbk"/>
      <w:b/>
      <w:bCs/>
      <w:color w:val="000000"/>
      <w:lang w:eastAsia="en-US"/>
    </w:rPr>
  </w:style>
  <w:style w:type="paragraph" w:customStyle="1" w:styleId="footnoteintextbox">
    <w:name w:val="footnote in text box"/>
    <w:basedOn w:val="Normal"/>
    <w:autoRedefine/>
    <w:uiPriority w:val="99"/>
    <w:rsid w:val="00A24D39"/>
    <w:pPr>
      <w:pBdr>
        <w:top w:val="single" w:sz="4" w:space="12" w:color="auto"/>
      </w:pBdr>
      <w:autoSpaceDE w:val="0"/>
      <w:autoSpaceDN w:val="0"/>
      <w:adjustRightInd w:val="0"/>
      <w:ind w:firstLine="720"/>
      <w:textAlignment w:val="center"/>
    </w:pPr>
    <w:rPr>
      <w:rFonts w:eastAsiaTheme="minorEastAsia" w:cs="ITC New Baskerville Std"/>
      <w:color w:val="000000"/>
      <w:sz w:val="20"/>
      <w:szCs w:val="18"/>
      <w:lang w:eastAsia="en-US"/>
    </w:rPr>
  </w:style>
  <w:style w:type="paragraph" w:customStyle="1" w:styleId="block-fbold-">
    <w:name w:val="block-f bold +/-"/>
    <w:basedOn w:val="Normal"/>
    <w:autoRedefine/>
    <w:uiPriority w:val="99"/>
    <w:rsid w:val="00A24D39"/>
    <w:pPr>
      <w:widowControl w:val="0"/>
      <w:tabs>
        <w:tab w:val="left" w:pos="960"/>
        <w:tab w:val="left" w:pos="1440"/>
      </w:tabs>
      <w:autoSpaceDE w:val="0"/>
      <w:autoSpaceDN w:val="0"/>
      <w:adjustRightInd w:val="0"/>
      <w:spacing w:before="240"/>
      <w:ind w:left="720"/>
      <w:textAlignment w:val="center"/>
    </w:pPr>
    <w:rPr>
      <w:rFonts w:ascii="Times New Roman Bold" w:eastAsiaTheme="minorEastAsia" w:hAnsi="Times New Roman Bold" w:cs="ITC New Baskerville Std"/>
      <w:b/>
      <w:bCs/>
      <w:color w:val="000000"/>
      <w:sz w:val="20"/>
      <w:szCs w:val="22"/>
      <w:lang w:eastAsia="en-US"/>
    </w:rPr>
  </w:style>
  <w:style w:type="paragraph" w:customStyle="1" w:styleId="AdditionalTopicssubheadb">
    <w:name w:val="Additional Topics subhead_b +/+"/>
    <w:basedOn w:val="Normal"/>
    <w:autoRedefine/>
    <w:uiPriority w:val="99"/>
    <w:rsid w:val="00A24D39"/>
    <w:pPr>
      <w:widowControl w:val="0"/>
      <w:tabs>
        <w:tab w:val="left" w:pos="480"/>
        <w:tab w:val="left" w:pos="960"/>
        <w:tab w:val="left" w:pos="1440"/>
        <w:tab w:val="left" w:pos="1920"/>
        <w:tab w:val="left" w:pos="2400"/>
        <w:tab w:val="left" w:pos="2880"/>
      </w:tabs>
      <w:suppressAutoHyphens/>
      <w:autoSpaceDE w:val="0"/>
      <w:autoSpaceDN w:val="0"/>
      <w:adjustRightInd w:val="0"/>
      <w:spacing w:before="240" w:after="240" w:line="260" w:lineRule="atLeast"/>
      <w:textAlignment w:val="center"/>
    </w:pPr>
    <w:rPr>
      <w:rFonts w:eastAsiaTheme="minorEastAsia" w:cs="ITC New Baskerville Std"/>
      <w:b/>
      <w:bCs/>
      <w:color w:val="000000"/>
      <w:lang w:eastAsia="en-US"/>
    </w:rPr>
  </w:style>
  <w:style w:type="paragraph" w:customStyle="1" w:styleId="block-p2ndindent">
    <w:name w:val="block-p 2nd indent"/>
    <w:basedOn w:val="text"/>
    <w:autoRedefine/>
    <w:uiPriority w:val="99"/>
    <w:rsid w:val="00A24D39"/>
    <w:pPr>
      <w:widowControl w:val="0"/>
      <w:tabs>
        <w:tab w:val="clear" w:pos="0"/>
        <w:tab w:val="clear" w:pos="720"/>
        <w:tab w:val="clear" w:pos="2160"/>
        <w:tab w:val="clear" w:pos="3600"/>
        <w:tab w:val="clear" w:pos="4320"/>
        <w:tab w:val="clear" w:pos="5040"/>
        <w:tab w:val="clear" w:pos="5760"/>
        <w:tab w:val="left" w:pos="480"/>
        <w:tab w:val="left" w:pos="960"/>
        <w:tab w:val="left" w:pos="1920"/>
        <w:tab w:val="left" w:pos="2400"/>
      </w:tabs>
      <w:autoSpaceDE w:val="0"/>
      <w:autoSpaceDN w:val="0"/>
      <w:adjustRightInd w:val="0"/>
      <w:ind w:left="1440" w:firstLine="0"/>
      <w:textAlignment w:val="center"/>
    </w:pPr>
    <w:rPr>
      <w:rFonts w:eastAsiaTheme="minorEastAsia" w:cs="ITC New Baskerville Std"/>
      <w:color w:val="000000"/>
      <w:sz w:val="20"/>
      <w:szCs w:val="22"/>
      <w:lang w:eastAsia="en-US"/>
    </w:rPr>
  </w:style>
  <w:style w:type="paragraph" w:customStyle="1" w:styleId="block-f3rdindent">
    <w:name w:val="block-f 3rd indent"/>
    <w:basedOn w:val="block-f2ndindent"/>
    <w:autoRedefine/>
    <w:uiPriority w:val="99"/>
    <w:rsid w:val="00A24D39"/>
    <w:pPr>
      <w:ind w:left="2160"/>
    </w:pPr>
  </w:style>
  <w:style w:type="paragraph" w:customStyle="1" w:styleId="Italicheadindented">
    <w:name w:val="Italic head indented +/+"/>
    <w:basedOn w:val="Normal"/>
    <w:autoRedefine/>
    <w:uiPriority w:val="99"/>
    <w:rsid w:val="00A24D39"/>
    <w:pPr>
      <w:widowControl w:val="0"/>
      <w:tabs>
        <w:tab w:val="left" w:pos="480"/>
        <w:tab w:val="left" w:pos="960"/>
        <w:tab w:val="left" w:pos="1440"/>
        <w:tab w:val="left" w:pos="1920"/>
        <w:tab w:val="left" w:pos="2400"/>
        <w:tab w:val="left" w:pos="2880"/>
      </w:tabs>
      <w:autoSpaceDE w:val="0"/>
      <w:autoSpaceDN w:val="0"/>
      <w:adjustRightInd w:val="0"/>
      <w:spacing w:before="240" w:after="240"/>
      <w:ind w:left="720"/>
      <w:textAlignment w:val="center"/>
    </w:pPr>
    <w:rPr>
      <w:rFonts w:eastAsiaTheme="minorEastAsia" w:cs="ITC New Baskerville Std"/>
      <w:i/>
      <w:iCs/>
      <w:color w:val="000000"/>
      <w:lang w:eastAsia="en-US"/>
    </w:rPr>
  </w:style>
  <w:style w:type="paragraph" w:customStyle="1" w:styleId="textednote-0">
    <w:name w:val="text ed note -/+"/>
    <w:basedOn w:val="Normal"/>
    <w:autoRedefine/>
    <w:uiPriority w:val="99"/>
    <w:rsid w:val="00A24D39"/>
    <w:pPr>
      <w:widowControl w:val="0"/>
      <w:tabs>
        <w:tab w:val="left" w:pos="480"/>
        <w:tab w:val="left" w:pos="960"/>
        <w:tab w:val="left" w:pos="1440"/>
        <w:tab w:val="left" w:pos="1920"/>
        <w:tab w:val="left" w:pos="2400"/>
        <w:tab w:val="left" w:pos="2880"/>
      </w:tabs>
      <w:autoSpaceDE w:val="0"/>
      <w:autoSpaceDN w:val="0"/>
      <w:adjustRightInd w:val="0"/>
      <w:spacing w:after="240"/>
      <w:textAlignment w:val="center"/>
    </w:pPr>
    <w:rPr>
      <w:rFonts w:eastAsiaTheme="minorEastAsia" w:cs="ITC New Baskerville Std"/>
      <w:color w:val="000000"/>
      <w:lang w:eastAsia="en-US"/>
    </w:rPr>
  </w:style>
  <w:style w:type="paragraph" w:customStyle="1" w:styleId="2ndlevelFormHead">
    <w:name w:val="2nd level Form Head"/>
    <w:basedOn w:val="2ndlevelheadAbi"/>
    <w:autoRedefine/>
    <w:uiPriority w:val="99"/>
    <w:rsid w:val="00A24D39"/>
    <w:pPr>
      <w:keepNext/>
      <w:widowControl w:val="0"/>
      <w:tabs>
        <w:tab w:val="clear" w:pos="360"/>
        <w:tab w:val="left" w:pos="1500"/>
      </w:tabs>
      <w:suppressAutoHyphens/>
      <w:autoSpaceDE w:val="0"/>
      <w:autoSpaceDN w:val="0"/>
      <w:adjustRightInd w:val="0"/>
      <w:spacing w:before="360"/>
      <w:ind w:left="1500" w:hanging="1500"/>
      <w:textAlignment w:val="center"/>
    </w:pPr>
    <w:rPr>
      <w:rFonts w:ascii="Times New Roman" w:hAnsi="Times New Roman" w:cs="NewCenturySchlbk"/>
      <w:bCs/>
      <w:i w:val="0"/>
      <w:color w:val="000000"/>
      <w:szCs w:val="24"/>
    </w:rPr>
  </w:style>
  <w:style w:type="paragraph" w:customStyle="1" w:styleId="boldheadExample">
    <w:name w:val="bold head +/+ (Example)"/>
    <w:basedOn w:val="textflush"/>
    <w:autoRedefine/>
    <w:uiPriority w:val="99"/>
    <w:rsid w:val="00A24D39"/>
    <w:pPr>
      <w:widowControl w:val="0"/>
      <w:autoSpaceDE w:val="0"/>
      <w:autoSpaceDN w:val="0"/>
      <w:adjustRightInd w:val="0"/>
      <w:spacing w:before="240" w:after="240"/>
      <w:textAlignment w:val="center"/>
    </w:pPr>
    <w:rPr>
      <w:rFonts w:eastAsiaTheme="minorEastAsia" w:cs="NewCenturySchlbk"/>
      <w:b/>
      <w:bCs/>
      <w:sz w:val="22"/>
      <w:szCs w:val="22"/>
    </w:rPr>
  </w:style>
  <w:style w:type="paragraph" w:customStyle="1" w:styleId="blockquotelist">
    <w:name w:val="block quote # list"/>
    <w:basedOn w:val="block-f"/>
    <w:autoRedefine/>
    <w:uiPriority w:val="99"/>
    <w:rsid w:val="00A24D39"/>
    <w:pPr>
      <w:widowControl w:val="0"/>
      <w:tabs>
        <w:tab w:val="left" w:pos="860"/>
      </w:tabs>
      <w:autoSpaceDE w:val="0"/>
      <w:autoSpaceDN w:val="0"/>
      <w:adjustRightInd w:val="0"/>
      <w:spacing w:before="0" w:after="120"/>
      <w:ind w:left="859" w:hanging="420"/>
      <w:textAlignment w:val="center"/>
    </w:pPr>
    <w:rPr>
      <w:rFonts w:cs="NewCenturySchlbk"/>
      <w:color w:val="000000"/>
      <w:szCs w:val="20"/>
    </w:rPr>
  </w:style>
  <w:style w:type="paragraph" w:customStyle="1" w:styleId="1stlevelheadIbdd">
    <w:name w:val="1st level head I._b dd"/>
    <w:basedOn w:val="Normal"/>
    <w:autoRedefine/>
    <w:uiPriority w:val="99"/>
    <w:rsid w:val="00A24D39"/>
    <w:pPr>
      <w:keepNext/>
      <w:widowControl w:val="0"/>
      <w:tabs>
        <w:tab w:val="left" w:pos="840"/>
      </w:tabs>
      <w:suppressAutoHyphens/>
      <w:autoSpaceDE w:val="0"/>
      <w:autoSpaceDN w:val="0"/>
      <w:adjustRightInd w:val="0"/>
      <w:spacing w:before="360" w:after="240"/>
      <w:ind w:left="840" w:hanging="840"/>
      <w:textAlignment w:val="center"/>
    </w:pPr>
    <w:rPr>
      <w:rFonts w:eastAsiaTheme="minorEastAsia" w:cs="NewCenturySchlbk"/>
      <w:b/>
      <w:bCs/>
      <w:color w:val="000000"/>
      <w:lang w:eastAsia="en-US"/>
    </w:rPr>
  </w:style>
  <w:style w:type="paragraph" w:customStyle="1" w:styleId="Blockquote2indent">
    <w:name w:val="Block quote 2 indent"/>
    <w:basedOn w:val="block-f-"/>
    <w:autoRedefine/>
    <w:uiPriority w:val="99"/>
    <w:rsid w:val="00A24D39"/>
    <w:pPr>
      <w:spacing w:before="120"/>
      <w:ind w:left="1440"/>
    </w:pPr>
    <w:rPr>
      <w:rFonts w:cs="NewCenturySchlbk"/>
    </w:rPr>
  </w:style>
  <w:style w:type="paragraph" w:customStyle="1" w:styleId="appendixarticlehead">
    <w:name w:val="appendix article head"/>
    <w:basedOn w:val="Normal"/>
    <w:autoRedefine/>
    <w:uiPriority w:val="99"/>
    <w:rsid w:val="00A24D39"/>
    <w:pPr>
      <w:widowControl w:val="0"/>
      <w:tabs>
        <w:tab w:val="center" w:pos="3480"/>
        <w:tab w:val="right" w:pos="6960"/>
      </w:tabs>
      <w:autoSpaceDE w:val="0"/>
      <w:autoSpaceDN w:val="0"/>
      <w:adjustRightInd w:val="0"/>
      <w:spacing w:before="240" w:after="120"/>
      <w:jc w:val="center"/>
      <w:textAlignment w:val="center"/>
    </w:pPr>
    <w:rPr>
      <w:rFonts w:eastAsiaTheme="minorEastAsia" w:cs="NewCenturySchlbk"/>
      <w:color w:val="000000"/>
      <w:szCs w:val="22"/>
      <w:lang w:eastAsia="en-US"/>
    </w:rPr>
  </w:style>
  <w:style w:type="paragraph" w:customStyle="1" w:styleId="appendixcenteredhead">
    <w:name w:val="appendix centered head"/>
    <w:basedOn w:val="text"/>
    <w:autoRedefine/>
    <w:uiPriority w:val="99"/>
    <w:rsid w:val="00A24D39"/>
    <w:pPr>
      <w:widowControl w:val="0"/>
      <w:tabs>
        <w:tab w:val="clear" w:pos="0"/>
        <w:tab w:val="clear" w:pos="720"/>
        <w:tab w:val="clear" w:pos="1440"/>
        <w:tab w:val="clear" w:pos="2160"/>
        <w:tab w:val="clear" w:pos="2880"/>
        <w:tab w:val="clear" w:pos="3600"/>
        <w:tab w:val="clear" w:pos="4320"/>
        <w:tab w:val="clear" w:pos="5040"/>
        <w:tab w:val="clear" w:pos="5760"/>
        <w:tab w:val="center" w:pos="3480"/>
        <w:tab w:val="right" w:pos="6960"/>
      </w:tabs>
      <w:autoSpaceDE w:val="0"/>
      <w:autoSpaceDN w:val="0"/>
      <w:adjustRightInd w:val="0"/>
      <w:spacing w:before="120" w:after="120"/>
      <w:ind w:firstLine="0"/>
      <w:jc w:val="center"/>
      <w:textAlignment w:val="center"/>
    </w:pPr>
    <w:rPr>
      <w:rFonts w:eastAsiaTheme="minorEastAsia" w:cs="NewCenturySchlbk"/>
      <w:color w:val="000000"/>
      <w:szCs w:val="22"/>
      <w:lang w:eastAsia="en-US"/>
    </w:rPr>
  </w:style>
  <w:style w:type="paragraph" w:customStyle="1" w:styleId="Appendixboldhead11">
    <w:name w:val="Appendix bold head 1/1"/>
    <w:basedOn w:val="Normal"/>
    <w:autoRedefine/>
    <w:uiPriority w:val="99"/>
    <w:rsid w:val="00A24D39"/>
    <w:pPr>
      <w:keepNext/>
      <w:widowControl w:val="0"/>
      <w:tabs>
        <w:tab w:val="left" w:pos="360"/>
      </w:tabs>
      <w:suppressAutoHyphens/>
      <w:autoSpaceDE w:val="0"/>
      <w:autoSpaceDN w:val="0"/>
      <w:adjustRightInd w:val="0"/>
      <w:spacing w:before="240" w:after="240"/>
      <w:ind w:left="360" w:hanging="360"/>
      <w:textAlignment w:val="center"/>
    </w:pPr>
    <w:rPr>
      <w:rFonts w:eastAsiaTheme="minorEastAsia" w:cs="NewCenturySchlbk"/>
      <w:b/>
      <w:bCs/>
      <w:color w:val="000000"/>
      <w:szCs w:val="22"/>
      <w:lang w:eastAsia="en-US"/>
    </w:rPr>
  </w:style>
  <w:style w:type="paragraph" w:customStyle="1" w:styleId="TOC4a1">
    <w:name w:val="TOC4 a."/>
    <w:basedOn w:val="TOC311"/>
    <w:autoRedefine/>
    <w:uiPriority w:val="99"/>
    <w:rsid w:val="00A24D39"/>
    <w:pPr>
      <w:tabs>
        <w:tab w:val="clear" w:pos="1080"/>
        <w:tab w:val="left" w:pos="1824"/>
      </w:tabs>
      <w:suppressAutoHyphens w:val="0"/>
      <w:ind w:left="1800"/>
    </w:pPr>
    <w:rPr>
      <w:rFonts w:cs="Times LT Std"/>
      <w:szCs w:val="23"/>
    </w:rPr>
  </w:style>
  <w:style w:type="paragraph" w:customStyle="1" w:styleId="COChapterNumber">
    <w:name w:val="CO_Chapter Number"/>
    <w:basedOn w:val="text"/>
    <w:autoRedefine/>
    <w:uiPriority w:val="99"/>
    <w:rsid w:val="00A24D39"/>
    <w:pPr>
      <w:tabs>
        <w:tab w:val="clear" w:pos="0"/>
        <w:tab w:val="clear" w:pos="720"/>
        <w:tab w:val="clear" w:pos="1440"/>
        <w:tab w:val="clear" w:pos="2160"/>
        <w:tab w:val="clear" w:pos="2880"/>
        <w:tab w:val="clear" w:pos="3600"/>
        <w:tab w:val="clear" w:pos="4320"/>
        <w:tab w:val="clear" w:pos="5040"/>
        <w:tab w:val="clear" w:pos="5760"/>
      </w:tabs>
      <w:suppressAutoHyphens/>
      <w:autoSpaceDE w:val="0"/>
      <w:autoSpaceDN w:val="0"/>
      <w:adjustRightInd w:val="0"/>
      <w:spacing w:after="240"/>
      <w:ind w:firstLine="0"/>
      <w:jc w:val="center"/>
      <w:textAlignment w:val="center"/>
    </w:pPr>
    <w:rPr>
      <w:rFonts w:eastAsiaTheme="minorEastAsia" w:cs="Times LT Std"/>
      <w:smallCaps/>
      <w:color w:val="000000"/>
      <w:sz w:val="36"/>
      <w:szCs w:val="36"/>
      <w:lang w:eastAsia="en-US"/>
    </w:rPr>
  </w:style>
  <w:style w:type="paragraph" w:customStyle="1" w:styleId="COChapterTitle">
    <w:name w:val="CO_Chapter Title"/>
    <w:basedOn w:val="text"/>
    <w:autoRedefine/>
    <w:uiPriority w:val="99"/>
    <w:rsid w:val="00A24D39"/>
    <w:pPr>
      <w:tabs>
        <w:tab w:val="clear" w:pos="0"/>
        <w:tab w:val="clear" w:pos="720"/>
        <w:tab w:val="clear" w:pos="1440"/>
        <w:tab w:val="clear" w:pos="2160"/>
        <w:tab w:val="clear" w:pos="2880"/>
        <w:tab w:val="clear" w:pos="3600"/>
        <w:tab w:val="clear" w:pos="4320"/>
        <w:tab w:val="clear" w:pos="5040"/>
        <w:tab w:val="clear" w:pos="5760"/>
      </w:tabs>
      <w:suppressAutoHyphens/>
      <w:autoSpaceDE w:val="0"/>
      <w:autoSpaceDN w:val="0"/>
      <w:adjustRightInd w:val="0"/>
      <w:spacing w:after="600"/>
      <w:ind w:firstLine="0"/>
      <w:jc w:val="center"/>
      <w:textAlignment w:val="center"/>
    </w:pPr>
    <w:rPr>
      <w:rFonts w:eastAsiaTheme="minorEastAsia" w:cs="Times LT Std"/>
      <w:b/>
      <w:bCs/>
      <w:color w:val="000000"/>
      <w:sz w:val="40"/>
      <w:szCs w:val="40"/>
      <w:lang w:eastAsia="en-US"/>
    </w:rPr>
  </w:style>
  <w:style w:type="paragraph" w:customStyle="1" w:styleId="COitalichead">
    <w:name w:val="CO_italic head"/>
    <w:basedOn w:val="text"/>
    <w:autoRedefine/>
    <w:uiPriority w:val="99"/>
    <w:rsid w:val="00A24D39"/>
    <w:pPr>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before="240" w:after="120"/>
      <w:ind w:firstLine="0"/>
      <w:jc w:val="center"/>
      <w:textAlignment w:val="center"/>
    </w:pPr>
    <w:rPr>
      <w:rFonts w:eastAsiaTheme="minorEastAsia" w:cs="Times LT Std"/>
      <w:b/>
      <w:bCs/>
      <w:i/>
      <w:iCs/>
      <w:color w:val="000000"/>
      <w:lang w:eastAsia="en-US"/>
    </w:rPr>
  </w:style>
  <w:style w:type="paragraph" w:customStyle="1" w:styleId="COName">
    <w:name w:val="CO_Name"/>
    <w:basedOn w:val="text"/>
    <w:autoRedefine/>
    <w:uiPriority w:val="99"/>
    <w:rsid w:val="00A24D39"/>
    <w:pPr>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ind w:firstLine="0"/>
      <w:jc w:val="center"/>
      <w:textAlignment w:val="center"/>
    </w:pPr>
    <w:rPr>
      <w:rFonts w:eastAsiaTheme="minorEastAsia" w:cs="Times LT Std"/>
      <w:smallCaps/>
      <w:color w:val="000000"/>
      <w:lang w:eastAsia="en-US"/>
    </w:rPr>
  </w:style>
  <w:style w:type="paragraph" w:customStyle="1" w:styleId="COAff">
    <w:name w:val="CO_Aff"/>
    <w:basedOn w:val="text"/>
    <w:autoRedefine/>
    <w:uiPriority w:val="99"/>
    <w:rsid w:val="00A24D39"/>
    <w:pPr>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after="240"/>
      <w:ind w:firstLine="0"/>
      <w:jc w:val="center"/>
      <w:textAlignment w:val="center"/>
    </w:pPr>
    <w:rPr>
      <w:rFonts w:eastAsiaTheme="minorEastAsia" w:cs="Times LT Std"/>
      <w:i/>
      <w:iCs/>
      <w:color w:val="000000"/>
      <w:lang w:eastAsia="en-US"/>
    </w:rPr>
  </w:style>
  <w:style w:type="paragraph" w:customStyle="1" w:styleId="TOC5i0">
    <w:name w:val="TOC5 (i.)"/>
    <w:basedOn w:val="TOC4a1"/>
    <w:autoRedefine/>
    <w:uiPriority w:val="99"/>
    <w:rsid w:val="00A24D39"/>
    <w:pPr>
      <w:tabs>
        <w:tab w:val="clear" w:pos="1824"/>
        <w:tab w:val="left" w:pos="2280"/>
      </w:tabs>
      <w:ind w:left="2280" w:hanging="600"/>
    </w:pPr>
  </w:style>
  <w:style w:type="paragraph" w:customStyle="1" w:styleId="5thlevelheadiiii0">
    <w:name w:val="5th level head (iii)_i"/>
    <w:basedOn w:val="5thlevelheadii0"/>
    <w:autoRedefine/>
    <w:uiPriority w:val="99"/>
    <w:rsid w:val="00A24D39"/>
    <w:pPr>
      <w:tabs>
        <w:tab w:val="clear" w:pos="1280"/>
        <w:tab w:val="left" w:pos="1060"/>
      </w:tabs>
      <w:suppressAutoHyphens/>
      <w:ind w:left="1519" w:hanging="600"/>
    </w:pPr>
  </w:style>
  <w:style w:type="paragraph" w:customStyle="1" w:styleId="footnotepnl">
    <w:name w:val="footnote pnl"/>
    <w:basedOn w:val="footnotenl"/>
    <w:autoRedefine/>
    <w:uiPriority w:val="99"/>
    <w:rsid w:val="00A24D39"/>
    <w:pPr>
      <w:tabs>
        <w:tab w:val="clear" w:pos="680"/>
        <w:tab w:val="left" w:pos="720"/>
      </w:tabs>
      <w:ind w:left="1080" w:hanging="360"/>
    </w:pPr>
    <w:rPr>
      <w:rFonts w:cs="Times LT Std"/>
      <w:szCs w:val="18"/>
    </w:rPr>
  </w:style>
  <w:style w:type="paragraph" w:customStyle="1" w:styleId="footnotepnlpnl">
    <w:name w:val="footnote pnl/pnl"/>
    <w:basedOn w:val="footnotepnl"/>
    <w:autoRedefine/>
    <w:uiPriority w:val="99"/>
    <w:rsid w:val="00A24D39"/>
    <w:pPr>
      <w:tabs>
        <w:tab w:val="left" w:pos="1080"/>
      </w:tabs>
      <w:ind w:left="1800"/>
    </w:pPr>
  </w:style>
  <w:style w:type="paragraph" w:customStyle="1" w:styleId="5thlevelheadnospaceii">
    <w:name w:val="5th level head no space (i)_i"/>
    <w:basedOn w:val="5thlevelheadii0"/>
    <w:autoRedefine/>
    <w:uiPriority w:val="99"/>
    <w:rsid w:val="00A24D39"/>
    <w:pPr>
      <w:keepNext/>
      <w:tabs>
        <w:tab w:val="clear" w:pos="1280"/>
        <w:tab w:val="left" w:pos="940"/>
      </w:tabs>
      <w:suppressAutoHyphens/>
      <w:spacing w:before="0"/>
      <w:ind w:left="941" w:hanging="480"/>
    </w:pPr>
  </w:style>
  <w:style w:type="paragraph" w:customStyle="1" w:styleId="footnote2ndindent-p">
    <w:name w:val="footnote 2nd indent-p"/>
    <w:basedOn w:val="footnote2ndindent"/>
    <w:autoRedefine/>
    <w:uiPriority w:val="99"/>
    <w:rsid w:val="00A24D39"/>
    <w:pPr>
      <w:ind w:firstLine="720"/>
    </w:pPr>
    <w:rPr>
      <w:rFonts w:cs="Times LT Std"/>
      <w:szCs w:val="18"/>
    </w:rPr>
  </w:style>
  <w:style w:type="paragraph" w:customStyle="1" w:styleId="Author">
    <w:name w:val="Author"/>
    <w:basedOn w:val="text"/>
    <w:uiPriority w:val="99"/>
    <w:rsid w:val="00A24D39"/>
    <w:pPr>
      <w:widowControl w:val="0"/>
      <w:tabs>
        <w:tab w:val="clear" w:pos="0"/>
        <w:tab w:val="clear" w:pos="720"/>
        <w:tab w:val="clear" w:pos="2160"/>
        <w:tab w:val="clear" w:pos="3600"/>
        <w:tab w:val="clear" w:pos="4320"/>
        <w:tab w:val="clear" w:pos="5040"/>
        <w:tab w:val="clear" w:pos="5760"/>
        <w:tab w:val="left" w:pos="480"/>
        <w:tab w:val="left" w:pos="960"/>
        <w:tab w:val="left" w:pos="1920"/>
        <w:tab w:val="left" w:pos="2400"/>
      </w:tabs>
      <w:autoSpaceDE w:val="0"/>
      <w:autoSpaceDN w:val="0"/>
      <w:adjustRightInd w:val="0"/>
      <w:spacing w:after="480" w:line="300" w:lineRule="atLeast"/>
      <w:ind w:firstLine="0"/>
      <w:jc w:val="center"/>
      <w:textAlignment w:val="center"/>
    </w:pPr>
    <w:rPr>
      <w:rFonts w:eastAsiaTheme="minorEastAsia" w:cs="ITC New Baskerville Std"/>
      <w:color w:val="000000"/>
      <w:sz w:val="28"/>
      <w:szCs w:val="28"/>
      <w:lang w:eastAsia="en-US"/>
    </w:rPr>
  </w:style>
  <w:style w:type="paragraph" w:customStyle="1" w:styleId="blocknumberlistend">
    <w:name w:val="block number list end"/>
    <w:basedOn w:val="blocknumberlist"/>
    <w:autoRedefine/>
    <w:uiPriority w:val="99"/>
    <w:rsid w:val="00A24D39"/>
    <w:pPr>
      <w:spacing w:after="240"/>
    </w:pPr>
    <w:rPr>
      <w:szCs w:val="22"/>
    </w:rPr>
  </w:style>
  <w:style w:type="paragraph" w:customStyle="1" w:styleId="Questiona">
    <w:name w:val="Question a."/>
    <w:basedOn w:val="Question"/>
    <w:autoRedefine/>
    <w:uiPriority w:val="99"/>
    <w:rsid w:val="00A24D39"/>
    <w:pPr>
      <w:tabs>
        <w:tab w:val="clear" w:pos="480"/>
        <w:tab w:val="clear" w:pos="1440"/>
        <w:tab w:val="clear" w:pos="1920"/>
        <w:tab w:val="clear" w:pos="2400"/>
        <w:tab w:val="clear" w:pos="2880"/>
      </w:tabs>
      <w:spacing w:before="240" w:after="240" w:line="240" w:lineRule="auto"/>
      <w:ind w:left="960"/>
      <w:jc w:val="left"/>
    </w:pPr>
    <w:rPr>
      <w:rFonts w:ascii="Times New Roman" w:hAnsi="Times New Roman" w:cs="ITC New Baskerville Std"/>
      <w:sz w:val="22"/>
      <w:szCs w:val="22"/>
    </w:rPr>
  </w:style>
  <w:style w:type="paragraph" w:customStyle="1" w:styleId="IndentName--">
    <w:name w:val="Indent Name -/-"/>
    <w:basedOn w:val="Indentname"/>
    <w:autoRedefine/>
    <w:uiPriority w:val="99"/>
    <w:rsid w:val="00A24D39"/>
    <w:pPr>
      <w:spacing w:before="0" w:after="240"/>
    </w:pPr>
  </w:style>
  <w:style w:type="paragraph" w:customStyle="1" w:styleId="Italicheadindented-">
    <w:name w:val="Italic head indented -/+"/>
    <w:basedOn w:val="text"/>
    <w:autoRedefine/>
    <w:uiPriority w:val="99"/>
    <w:rsid w:val="00A24D39"/>
    <w:pPr>
      <w:widowControl w:val="0"/>
      <w:tabs>
        <w:tab w:val="clear" w:pos="0"/>
        <w:tab w:val="clear" w:pos="720"/>
        <w:tab w:val="clear" w:pos="2160"/>
        <w:tab w:val="clear" w:pos="3600"/>
        <w:tab w:val="clear" w:pos="4320"/>
        <w:tab w:val="clear" w:pos="5040"/>
        <w:tab w:val="clear" w:pos="5760"/>
        <w:tab w:val="left" w:pos="480"/>
        <w:tab w:val="left" w:pos="960"/>
        <w:tab w:val="left" w:pos="1920"/>
        <w:tab w:val="left" w:pos="2400"/>
      </w:tabs>
      <w:autoSpaceDE w:val="0"/>
      <w:autoSpaceDN w:val="0"/>
      <w:adjustRightInd w:val="0"/>
      <w:spacing w:after="240"/>
      <w:ind w:left="720" w:firstLine="0"/>
      <w:textAlignment w:val="center"/>
    </w:pPr>
    <w:rPr>
      <w:rFonts w:eastAsiaTheme="minorEastAsia" w:cs="ITC New Baskerville Std"/>
      <w:i/>
      <w:iCs/>
      <w:color w:val="000000"/>
      <w:lang w:eastAsia="en-US"/>
    </w:rPr>
  </w:style>
  <w:style w:type="paragraph" w:customStyle="1" w:styleId="AdditionalTopicsHead">
    <w:name w:val="Additional Topics Head"/>
    <w:basedOn w:val="text"/>
    <w:autoRedefine/>
    <w:uiPriority w:val="99"/>
    <w:rsid w:val="00A24D39"/>
    <w:pPr>
      <w:widowControl w:val="0"/>
      <w:tabs>
        <w:tab w:val="clear" w:pos="0"/>
        <w:tab w:val="clear" w:pos="720"/>
        <w:tab w:val="clear" w:pos="2160"/>
        <w:tab w:val="clear" w:pos="3600"/>
        <w:tab w:val="clear" w:pos="4320"/>
        <w:tab w:val="clear" w:pos="5040"/>
        <w:tab w:val="clear" w:pos="5760"/>
        <w:tab w:val="left" w:pos="480"/>
        <w:tab w:val="left" w:pos="960"/>
        <w:tab w:val="left" w:pos="1920"/>
        <w:tab w:val="left" w:pos="2400"/>
      </w:tabs>
      <w:autoSpaceDE w:val="0"/>
      <w:autoSpaceDN w:val="0"/>
      <w:adjustRightInd w:val="0"/>
      <w:spacing w:before="480" w:after="240"/>
      <w:ind w:firstLine="0"/>
      <w:jc w:val="center"/>
      <w:textAlignment w:val="center"/>
    </w:pPr>
    <w:rPr>
      <w:rFonts w:eastAsiaTheme="minorEastAsia" w:cs="ITC New Baskerville Std"/>
      <w:b/>
      <w:bCs/>
      <w:color w:val="000000"/>
      <w:u w:val="thick" w:color="000000"/>
      <w:lang w:eastAsia="en-US"/>
    </w:rPr>
  </w:style>
  <w:style w:type="paragraph" w:customStyle="1" w:styleId="AdditionalTopicssubheadb-">
    <w:name w:val="Additional Topics subhead_b -/+"/>
    <w:basedOn w:val="Normal"/>
    <w:autoRedefine/>
    <w:uiPriority w:val="99"/>
    <w:rsid w:val="00A24D39"/>
    <w:pPr>
      <w:widowControl w:val="0"/>
      <w:tabs>
        <w:tab w:val="left" w:pos="480"/>
        <w:tab w:val="left" w:pos="960"/>
        <w:tab w:val="left" w:pos="1440"/>
        <w:tab w:val="left" w:pos="1920"/>
        <w:tab w:val="left" w:pos="2400"/>
        <w:tab w:val="left" w:pos="2880"/>
      </w:tabs>
      <w:suppressAutoHyphens/>
      <w:autoSpaceDE w:val="0"/>
      <w:autoSpaceDN w:val="0"/>
      <w:adjustRightInd w:val="0"/>
      <w:spacing w:after="240"/>
      <w:textAlignment w:val="center"/>
    </w:pPr>
    <w:rPr>
      <w:rFonts w:eastAsiaTheme="minorEastAsia" w:cs="ITC New Baskerville Std"/>
      <w:b/>
      <w:bCs/>
      <w:color w:val="000000"/>
      <w:lang w:eastAsia="en-US"/>
    </w:rPr>
  </w:style>
  <w:style w:type="paragraph" w:customStyle="1" w:styleId="IndentName0">
    <w:name w:val="Indent Name +/+"/>
    <w:basedOn w:val="Indentname"/>
    <w:autoRedefine/>
    <w:uiPriority w:val="99"/>
    <w:rsid w:val="00A24D39"/>
    <w:pPr>
      <w:spacing w:after="240"/>
    </w:pPr>
  </w:style>
  <w:style w:type="paragraph" w:customStyle="1" w:styleId="blocknumberliststart">
    <w:name w:val="block number list start"/>
    <w:basedOn w:val="blocknumberlist"/>
    <w:autoRedefine/>
    <w:uiPriority w:val="99"/>
    <w:rsid w:val="00A24D39"/>
    <w:pPr>
      <w:spacing w:before="240"/>
    </w:pPr>
    <w:rPr>
      <w:szCs w:val="22"/>
    </w:rPr>
  </w:style>
  <w:style w:type="paragraph" w:customStyle="1" w:styleId="numberlist1a">
    <w:name w:val="number list 1.a."/>
    <w:basedOn w:val="numberlist0"/>
    <w:autoRedefine/>
    <w:uiPriority w:val="99"/>
    <w:rsid w:val="00A24D39"/>
    <w:pPr>
      <w:widowControl w:val="0"/>
      <w:tabs>
        <w:tab w:val="clear" w:pos="919"/>
        <w:tab w:val="left" w:pos="1200"/>
      </w:tabs>
      <w:autoSpaceDE w:val="0"/>
      <w:autoSpaceDN w:val="0"/>
      <w:adjustRightInd w:val="0"/>
      <w:ind w:left="1279" w:hanging="360"/>
      <w:textAlignment w:val="center"/>
    </w:pPr>
    <w:rPr>
      <w:rFonts w:cs="ITC New Baskerville Std"/>
      <w:szCs w:val="24"/>
    </w:rPr>
  </w:style>
  <w:style w:type="paragraph" w:customStyle="1" w:styleId="Asterisk6pt">
    <w:name w:val="Asterisk 6 pt +/+"/>
    <w:basedOn w:val="Asterisk"/>
    <w:uiPriority w:val="99"/>
    <w:rsid w:val="00A24D39"/>
    <w:pPr>
      <w:keepNext w:val="0"/>
      <w:spacing w:before="120" w:after="120"/>
      <w:ind w:left="480"/>
    </w:pPr>
  </w:style>
  <w:style w:type="paragraph" w:customStyle="1" w:styleId="Questiona1">
    <w:name w:val="Question a.1."/>
    <w:basedOn w:val="Questiona"/>
    <w:uiPriority w:val="99"/>
    <w:rsid w:val="00A24D39"/>
    <w:pPr>
      <w:tabs>
        <w:tab w:val="clear" w:pos="960"/>
        <w:tab w:val="left" w:pos="1440"/>
      </w:tabs>
      <w:spacing w:line="240" w:lineRule="atLeast"/>
      <w:ind w:left="1440"/>
      <w:jc w:val="both"/>
    </w:pPr>
    <w:rPr>
      <w:rFonts w:ascii="ITC New Baskerville Std" w:hAnsi="ITC New Baskerville Std"/>
    </w:rPr>
  </w:style>
  <w:style w:type="paragraph" w:customStyle="1" w:styleId="flushboldhead-">
    <w:name w:val="flush bold head -/+"/>
    <w:basedOn w:val="text"/>
    <w:uiPriority w:val="99"/>
    <w:rsid w:val="00A24D39"/>
    <w:pPr>
      <w:widowControl w:val="0"/>
      <w:tabs>
        <w:tab w:val="clear" w:pos="0"/>
        <w:tab w:val="clear" w:pos="720"/>
        <w:tab w:val="clear" w:pos="2160"/>
        <w:tab w:val="clear" w:pos="3600"/>
        <w:tab w:val="clear" w:pos="4320"/>
        <w:tab w:val="clear" w:pos="5040"/>
        <w:tab w:val="clear" w:pos="5760"/>
        <w:tab w:val="left" w:pos="480"/>
        <w:tab w:val="left" w:pos="960"/>
        <w:tab w:val="left" w:pos="1920"/>
        <w:tab w:val="left" w:pos="2400"/>
      </w:tabs>
      <w:suppressAutoHyphens/>
      <w:autoSpaceDE w:val="0"/>
      <w:autoSpaceDN w:val="0"/>
      <w:adjustRightInd w:val="0"/>
      <w:spacing w:after="240" w:line="260" w:lineRule="atLeast"/>
      <w:ind w:firstLine="0"/>
      <w:textAlignment w:val="center"/>
    </w:pPr>
    <w:rPr>
      <w:rFonts w:ascii="ITC New Baskerville Std" w:eastAsiaTheme="minorEastAsia" w:hAnsi="ITC New Baskerville Std" w:cs="ITC New Baskerville Std"/>
      <w:b/>
      <w:bCs/>
      <w:color w:val="000000"/>
      <w:lang w:eastAsia="en-US"/>
    </w:rPr>
  </w:style>
  <w:style w:type="paragraph" w:styleId="Revision">
    <w:name w:val="Revision"/>
    <w:hidden/>
    <w:uiPriority w:val="99"/>
    <w:semiHidden/>
    <w:rsid w:val="00A24D39"/>
    <w:pPr>
      <w:spacing w:after="0" w:line="240" w:lineRule="auto"/>
    </w:pPr>
    <w:rPr>
      <w:rFonts w:ascii="Times New Roman" w:eastAsia="Times New Roman" w:hAnsi="Times New Roman"/>
      <w:sz w:val="24"/>
      <w:szCs w:val="24"/>
      <w:lang w:eastAsia="zh-CN"/>
    </w:rPr>
  </w:style>
  <w:style w:type="paragraph" w:styleId="ListParagraph">
    <w:name w:val="List Paragraph"/>
    <w:basedOn w:val="Normal"/>
    <w:uiPriority w:val="34"/>
    <w:qFormat/>
    <w:rsid w:val="006A121F"/>
    <w:pPr>
      <w:spacing w:after="160" w:line="25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3789">
      <w:bodyDiv w:val="1"/>
      <w:marLeft w:val="0"/>
      <w:marRight w:val="0"/>
      <w:marTop w:val="0"/>
      <w:marBottom w:val="0"/>
      <w:divBdr>
        <w:top w:val="none" w:sz="0" w:space="0" w:color="auto"/>
        <w:left w:val="none" w:sz="0" w:space="0" w:color="auto"/>
        <w:bottom w:val="none" w:sz="0" w:space="0" w:color="auto"/>
        <w:right w:val="none" w:sz="0" w:space="0" w:color="auto"/>
      </w:divBdr>
    </w:div>
    <w:div w:id="27419771">
      <w:bodyDiv w:val="1"/>
      <w:marLeft w:val="0"/>
      <w:marRight w:val="0"/>
      <w:marTop w:val="0"/>
      <w:marBottom w:val="0"/>
      <w:divBdr>
        <w:top w:val="none" w:sz="0" w:space="0" w:color="auto"/>
        <w:left w:val="none" w:sz="0" w:space="0" w:color="auto"/>
        <w:bottom w:val="none" w:sz="0" w:space="0" w:color="auto"/>
        <w:right w:val="none" w:sz="0" w:space="0" w:color="auto"/>
      </w:divBdr>
    </w:div>
    <w:div w:id="152379730">
      <w:bodyDiv w:val="1"/>
      <w:marLeft w:val="0"/>
      <w:marRight w:val="0"/>
      <w:marTop w:val="0"/>
      <w:marBottom w:val="0"/>
      <w:divBdr>
        <w:top w:val="none" w:sz="0" w:space="0" w:color="auto"/>
        <w:left w:val="none" w:sz="0" w:space="0" w:color="auto"/>
        <w:bottom w:val="none" w:sz="0" w:space="0" w:color="auto"/>
        <w:right w:val="none" w:sz="0" w:space="0" w:color="auto"/>
      </w:divBdr>
      <w:divsChild>
        <w:div w:id="888341716">
          <w:marLeft w:val="0"/>
          <w:marRight w:val="0"/>
          <w:marTop w:val="0"/>
          <w:marBottom w:val="150"/>
          <w:divBdr>
            <w:top w:val="none" w:sz="0" w:space="0" w:color="auto"/>
            <w:left w:val="none" w:sz="0" w:space="0" w:color="auto"/>
            <w:bottom w:val="none" w:sz="0" w:space="0" w:color="auto"/>
            <w:right w:val="none" w:sz="0" w:space="0" w:color="auto"/>
          </w:divBdr>
          <w:divsChild>
            <w:div w:id="1685743588">
              <w:marLeft w:val="0"/>
              <w:marRight w:val="0"/>
              <w:marTop w:val="0"/>
              <w:marBottom w:val="0"/>
              <w:divBdr>
                <w:top w:val="none" w:sz="0" w:space="0" w:color="auto"/>
                <w:left w:val="none" w:sz="0" w:space="0" w:color="auto"/>
                <w:bottom w:val="none" w:sz="0" w:space="0" w:color="auto"/>
                <w:right w:val="none" w:sz="0" w:space="0" w:color="auto"/>
              </w:divBdr>
            </w:div>
          </w:divsChild>
        </w:div>
        <w:div w:id="1338581932">
          <w:marLeft w:val="0"/>
          <w:marRight w:val="0"/>
          <w:marTop w:val="0"/>
          <w:marBottom w:val="0"/>
          <w:divBdr>
            <w:top w:val="none" w:sz="0" w:space="0" w:color="auto"/>
            <w:left w:val="none" w:sz="0" w:space="0" w:color="auto"/>
            <w:bottom w:val="none" w:sz="0" w:space="0" w:color="auto"/>
            <w:right w:val="none" w:sz="0" w:space="0" w:color="auto"/>
          </w:divBdr>
        </w:div>
      </w:divsChild>
    </w:div>
    <w:div w:id="168300453">
      <w:bodyDiv w:val="1"/>
      <w:marLeft w:val="0"/>
      <w:marRight w:val="0"/>
      <w:marTop w:val="0"/>
      <w:marBottom w:val="0"/>
      <w:divBdr>
        <w:top w:val="none" w:sz="0" w:space="0" w:color="auto"/>
        <w:left w:val="none" w:sz="0" w:space="0" w:color="auto"/>
        <w:bottom w:val="none" w:sz="0" w:space="0" w:color="auto"/>
        <w:right w:val="none" w:sz="0" w:space="0" w:color="auto"/>
      </w:divBdr>
    </w:div>
    <w:div w:id="183255191">
      <w:bodyDiv w:val="1"/>
      <w:marLeft w:val="0"/>
      <w:marRight w:val="0"/>
      <w:marTop w:val="0"/>
      <w:marBottom w:val="0"/>
      <w:divBdr>
        <w:top w:val="none" w:sz="0" w:space="0" w:color="auto"/>
        <w:left w:val="none" w:sz="0" w:space="0" w:color="auto"/>
        <w:bottom w:val="none" w:sz="0" w:space="0" w:color="auto"/>
        <w:right w:val="none" w:sz="0" w:space="0" w:color="auto"/>
      </w:divBdr>
      <w:divsChild>
        <w:div w:id="1980306263">
          <w:marLeft w:val="0"/>
          <w:marRight w:val="0"/>
          <w:marTop w:val="0"/>
          <w:marBottom w:val="150"/>
          <w:divBdr>
            <w:top w:val="none" w:sz="0" w:space="0" w:color="auto"/>
            <w:left w:val="none" w:sz="0" w:space="0" w:color="auto"/>
            <w:bottom w:val="none" w:sz="0" w:space="0" w:color="auto"/>
            <w:right w:val="none" w:sz="0" w:space="0" w:color="auto"/>
          </w:divBdr>
          <w:divsChild>
            <w:div w:id="412747282">
              <w:marLeft w:val="0"/>
              <w:marRight w:val="0"/>
              <w:marTop w:val="0"/>
              <w:marBottom w:val="0"/>
              <w:divBdr>
                <w:top w:val="none" w:sz="0" w:space="0" w:color="auto"/>
                <w:left w:val="none" w:sz="0" w:space="0" w:color="auto"/>
                <w:bottom w:val="none" w:sz="0" w:space="0" w:color="auto"/>
                <w:right w:val="none" w:sz="0" w:space="0" w:color="auto"/>
              </w:divBdr>
              <w:divsChild>
                <w:div w:id="2013871843">
                  <w:marLeft w:val="0"/>
                  <w:marRight w:val="0"/>
                  <w:marTop w:val="0"/>
                  <w:marBottom w:val="0"/>
                  <w:divBdr>
                    <w:top w:val="none" w:sz="0" w:space="0" w:color="auto"/>
                    <w:left w:val="none" w:sz="0" w:space="0" w:color="auto"/>
                    <w:bottom w:val="none" w:sz="0" w:space="0" w:color="auto"/>
                    <w:right w:val="none" w:sz="0" w:space="0" w:color="auto"/>
                  </w:divBdr>
                  <w:divsChild>
                    <w:div w:id="2091195093">
                      <w:marLeft w:val="0"/>
                      <w:marRight w:val="0"/>
                      <w:marTop w:val="0"/>
                      <w:marBottom w:val="0"/>
                      <w:divBdr>
                        <w:top w:val="none" w:sz="0" w:space="0" w:color="auto"/>
                        <w:left w:val="none" w:sz="0" w:space="0" w:color="auto"/>
                        <w:bottom w:val="none" w:sz="0" w:space="0" w:color="auto"/>
                        <w:right w:val="none" w:sz="0" w:space="0" w:color="auto"/>
                      </w:divBdr>
                      <w:divsChild>
                        <w:div w:id="988048124">
                          <w:marLeft w:val="0"/>
                          <w:marRight w:val="0"/>
                          <w:marTop w:val="0"/>
                          <w:marBottom w:val="0"/>
                          <w:divBdr>
                            <w:top w:val="none" w:sz="0" w:space="0" w:color="auto"/>
                            <w:left w:val="none" w:sz="0" w:space="0" w:color="auto"/>
                            <w:bottom w:val="none" w:sz="0" w:space="0" w:color="auto"/>
                            <w:right w:val="none" w:sz="0" w:space="0" w:color="auto"/>
                          </w:divBdr>
                          <w:divsChild>
                            <w:div w:id="727726936">
                              <w:marLeft w:val="0"/>
                              <w:marRight w:val="0"/>
                              <w:marTop w:val="0"/>
                              <w:marBottom w:val="0"/>
                              <w:divBdr>
                                <w:top w:val="none" w:sz="0" w:space="0" w:color="auto"/>
                                <w:left w:val="none" w:sz="0" w:space="0" w:color="auto"/>
                                <w:bottom w:val="none" w:sz="0" w:space="0" w:color="auto"/>
                                <w:right w:val="none" w:sz="0" w:space="0" w:color="auto"/>
                              </w:divBdr>
                              <w:divsChild>
                                <w:div w:id="109224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4389135">
          <w:marLeft w:val="0"/>
          <w:marRight w:val="0"/>
          <w:marTop w:val="0"/>
          <w:marBottom w:val="0"/>
          <w:divBdr>
            <w:top w:val="none" w:sz="0" w:space="0" w:color="auto"/>
            <w:left w:val="none" w:sz="0" w:space="0" w:color="auto"/>
            <w:bottom w:val="none" w:sz="0" w:space="0" w:color="auto"/>
            <w:right w:val="none" w:sz="0" w:space="0" w:color="auto"/>
          </w:divBdr>
        </w:div>
      </w:divsChild>
    </w:div>
    <w:div w:id="185867687">
      <w:bodyDiv w:val="1"/>
      <w:marLeft w:val="0"/>
      <w:marRight w:val="0"/>
      <w:marTop w:val="0"/>
      <w:marBottom w:val="0"/>
      <w:divBdr>
        <w:top w:val="none" w:sz="0" w:space="0" w:color="auto"/>
        <w:left w:val="none" w:sz="0" w:space="0" w:color="auto"/>
        <w:bottom w:val="none" w:sz="0" w:space="0" w:color="auto"/>
        <w:right w:val="none" w:sz="0" w:space="0" w:color="auto"/>
      </w:divBdr>
      <w:divsChild>
        <w:div w:id="1553269344">
          <w:marLeft w:val="0"/>
          <w:marRight w:val="0"/>
          <w:marTop w:val="0"/>
          <w:marBottom w:val="150"/>
          <w:divBdr>
            <w:top w:val="none" w:sz="0" w:space="0" w:color="auto"/>
            <w:left w:val="none" w:sz="0" w:space="0" w:color="auto"/>
            <w:bottom w:val="none" w:sz="0" w:space="0" w:color="auto"/>
            <w:right w:val="none" w:sz="0" w:space="0" w:color="auto"/>
          </w:divBdr>
          <w:divsChild>
            <w:div w:id="422381671">
              <w:marLeft w:val="0"/>
              <w:marRight w:val="0"/>
              <w:marTop w:val="0"/>
              <w:marBottom w:val="0"/>
              <w:divBdr>
                <w:top w:val="none" w:sz="0" w:space="0" w:color="auto"/>
                <w:left w:val="none" w:sz="0" w:space="0" w:color="auto"/>
                <w:bottom w:val="none" w:sz="0" w:space="0" w:color="auto"/>
                <w:right w:val="none" w:sz="0" w:space="0" w:color="auto"/>
              </w:divBdr>
            </w:div>
          </w:divsChild>
        </w:div>
        <w:div w:id="359862487">
          <w:marLeft w:val="0"/>
          <w:marRight w:val="0"/>
          <w:marTop w:val="0"/>
          <w:marBottom w:val="0"/>
          <w:divBdr>
            <w:top w:val="none" w:sz="0" w:space="0" w:color="auto"/>
            <w:left w:val="none" w:sz="0" w:space="0" w:color="auto"/>
            <w:bottom w:val="none" w:sz="0" w:space="0" w:color="auto"/>
            <w:right w:val="none" w:sz="0" w:space="0" w:color="auto"/>
          </w:divBdr>
        </w:div>
      </w:divsChild>
    </w:div>
    <w:div w:id="201748457">
      <w:bodyDiv w:val="1"/>
      <w:marLeft w:val="0"/>
      <w:marRight w:val="0"/>
      <w:marTop w:val="0"/>
      <w:marBottom w:val="0"/>
      <w:divBdr>
        <w:top w:val="none" w:sz="0" w:space="0" w:color="auto"/>
        <w:left w:val="none" w:sz="0" w:space="0" w:color="auto"/>
        <w:bottom w:val="none" w:sz="0" w:space="0" w:color="auto"/>
        <w:right w:val="none" w:sz="0" w:space="0" w:color="auto"/>
      </w:divBdr>
    </w:div>
    <w:div w:id="229727925">
      <w:bodyDiv w:val="1"/>
      <w:marLeft w:val="0"/>
      <w:marRight w:val="0"/>
      <w:marTop w:val="0"/>
      <w:marBottom w:val="0"/>
      <w:divBdr>
        <w:top w:val="none" w:sz="0" w:space="0" w:color="auto"/>
        <w:left w:val="none" w:sz="0" w:space="0" w:color="auto"/>
        <w:bottom w:val="none" w:sz="0" w:space="0" w:color="auto"/>
        <w:right w:val="none" w:sz="0" w:space="0" w:color="auto"/>
      </w:divBdr>
    </w:div>
    <w:div w:id="234975378">
      <w:bodyDiv w:val="1"/>
      <w:marLeft w:val="0"/>
      <w:marRight w:val="0"/>
      <w:marTop w:val="0"/>
      <w:marBottom w:val="0"/>
      <w:divBdr>
        <w:top w:val="none" w:sz="0" w:space="0" w:color="auto"/>
        <w:left w:val="none" w:sz="0" w:space="0" w:color="auto"/>
        <w:bottom w:val="none" w:sz="0" w:space="0" w:color="auto"/>
        <w:right w:val="none" w:sz="0" w:space="0" w:color="auto"/>
      </w:divBdr>
      <w:divsChild>
        <w:div w:id="548609421">
          <w:marLeft w:val="0"/>
          <w:marRight w:val="0"/>
          <w:marTop w:val="0"/>
          <w:marBottom w:val="150"/>
          <w:divBdr>
            <w:top w:val="none" w:sz="0" w:space="0" w:color="auto"/>
            <w:left w:val="none" w:sz="0" w:space="0" w:color="auto"/>
            <w:bottom w:val="none" w:sz="0" w:space="0" w:color="auto"/>
            <w:right w:val="none" w:sz="0" w:space="0" w:color="auto"/>
          </w:divBdr>
          <w:divsChild>
            <w:div w:id="880749425">
              <w:marLeft w:val="0"/>
              <w:marRight w:val="0"/>
              <w:marTop w:val="0"/>
              <w:marBottom w:val="0"/>
              <w:divBdr>
                <w:top w:val="none" w:sz="0" w:space="0" w:color="auto"/>
                <w:left w:val="none" w:sz="0" w:space="0" w:color="auto"/>
                <w:bottom w:val="none" w:sz="0" w:space="0" w:color="auto"/>
                <w:right w:val="none" w:sz="0" w:space="0" w:color="auto"/>
              </w:divBdr>
            </w:div>
          </w:divsChild>
        </w:div>
        <w:div w:id="1183204514">
          <w:marLeft w:val="0"/>
          <w:marRight w:val="0"/>
          <w:marTop w:val="0"/>
          <w:marBottom w:val="0"/>
          <w:divBdr>
            <w:top w:val="none" w:sz="0" w:space="0" w:color="auto"/>
            <w:left w:val="none" w:sz="0" w:space="0" w:color="auto"/>
            <w:bottom w:val="none" w:sz="0" w:space="0" w:color="auto"/>
            <w:right w:val="none" w:sz="0" w:space="0" w:color="auto"/>
          </w:divBdr>
        </w:div>
      </w:divsChild>
    </w:div>
    <w:div w:id="255333229">
      <w:bodyDiv w:val="1"/>
      <w:marLeft w:val="0"/>
      <w:marRight w:val="0"/>
      <w:marTop w:val="0"/>
      <w:marBottom w:val="0"/>
      <w:divBdr>
        <w:top w:val="none" w:sz="0" w:space="0" w:color="auto"/>
        <w:left w:val="none" w:sz="0" w:space="0" w:color="auto"/>
        <w:bottom w:val="none" w:sz="0" w:space="0" w:color="auto"/>
        <w:right w:val="none" w:sz="0" w:space="0" w:color="auto"/>
      </w:divBdr>
      <w:divsChild>
        <w:div w:id="256718986">
          <w:marLeft w:val="0"/>
          <w:marRight w:val="0"/>
          <w:marTop w:val="0"/>
          <w:marBottom w:val="0"/>
          <w:divBdr>
            <w:top w:val="none" w:sz="0" w:space="0" w:color="auto"/>
            <w:left w:val="none" w:sz="0" w:space="0" w:color="auto"/>
            <w:bottom w:val="none" w:sz="0" w:space="0" w:color="auto"/>
            <w:right w:val="none" w:sz="0" w:space="0" w:color="auto"/>
          </w:divBdr>
          <w:divsChild>
            <w:div w:id="714353157">
              <w:marLeft w:val="0"/>
              <w:marRight w:val="0"/>
              <w:marTop w:val="0"/>
              <w:marBottom w:val="0"/>
              <w:divBdr>
                <w:top w:val="none" w:sz="0" w:space="0" w:color="auto"/>
                <w:left w:val="none" w:sz="0" w:space="0" w:color="auto"/>
                <w:bottom w:val="none" w:sz="0" w:space="0" w:color="auto"/>
                <w:right w:val="none" w:sz="0" w:space="0" w:color="auto"/>
              </w:divBdr>
              <w:divsChild>
                <w:div w:id="1909923319">
                  <w:marLeft w:val="0"/>
                  <w:marRight w:val="0"/>
                  <w:marTop w:val="0"/>
                  <w:marBottom w:val="0"/>
                  <w:divBdr>
                    <w:top w:val="none" w:sz="0" w:space="0" w:color="auto"/>
                    <w:left w:val="none" w:sz="0" w:space="0" w:color="auto"/>
                    <w:bottom w:val="none" w:sz="0" w:space="0" w:color="auto"/>
                    <w:right w:val="none" w:sz="0" w:space="0" w:color="auto"/>
                  </w:divBdr>
                  <w:divsChild>
                    <w:div w:id="7926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2686150">
      <w:bodyDiv w:val="1"/>
      <w:marLeft w:val="0"/>
      <w:marRight w:val="0"/>
      <w:marTop w:val="0"/>
      <w:marBottom w:val="0"/>
      <w:divBdr>
        <w:top w:val="none" w:sz="0" w:space="0" w:color="auto"/>
        <w:left w:val="none" w:sz="0" w:space="0" w:color="auto"/>
        <w:bottom w:val="none" w:sz="0" w:space="0" w:color="auto"/>
        <w:right w:val="none" w:sz="0" w:space="0" w:color="auto"/>
      </w:divBdr>
      <w:divsChild>
        <w:div w:id="134808025">
          <w:marLeft w:val="0"/>
          <w:marRight w:val="0"/>
          <w:marTop w:val="0"/>
          <w:marBottom w:val="150"/>
          <w:divBdr>
            <w:top w:val="none" w:sz="0" w:space="0" w:color="auto"/>
            <w:left w:val="none" w:sz="0" w:space="0" w:color="auto"/>
            <w:bottom w:val="none" w:sz="0" w:space="0" w:color="auto"/>
            <w:right w:val="none" w:sz="0" w:space="0" w:color="auto"/>
          </w:divBdr>
          <w:divsChild>
            <w:div w:id="636909256">
              <w:marLeft w:val="0"/>
              <w:marRight w:val="0"/>
              <w:marTop w:val="0"/>
              <w:marBottom w:val="0"/>
              <w:divBdr>
                <w:top w:val="none" w:sz="0" w:space="0" w:color="auto"/>
                <w:left w:val="none" w:sz="0" w:space="0" w:color="auto"/>
                <w:bottom w:val="none" w:sz="0" w:space="0" w:color="auto"/>
                <w:right w:val="none" w:sz="0" w:space="0" w:color="auto"/>
              </w:divBdr>
            </w:div>
          </w:divsChild>
        </w:div>
        <w:div w:id="1941185509">
          <w:marLeft w:val="0"/>
          <w:marRight w:val="0"/>
          <w:marTop w:val="0"/>
          <w:marBottom w:val="0"/>
          <w:divBdr>
            <w:top w:val="none" w:sz="0" w:space="0" w:color="auto"/>
            <w:left w:val="none" w:sz="0" w:space="0" w:color="auto"/>
            <w:bottom w:val="none" w:sz="0" w:space="0" w:color="auto"/>
            <w:right w:val="none" w:sz="0" w:space="0" w:color="auto"/>
          </w:divBdr>
        </w:div>
      </w:divsChild>
    </w:div>
    <w:div w:id="328101271">
      <w:bodyDiv w:val="1"/>
      <w:marLeft w:val="0"/>
      <w:marRight w:val="0"/>
      <w:marTop w:val="0"/>
      <w:marBottom w:val="0"/>
      <w:divBdr>
        <w:top w:val="none" w:sz="0" w:space="0" w:color="auto"/>
        <w:left w:val="none" w:sz="0" w:space="0" w:color="auto"/>
        <w:bottom w:val="none" w:sz="0" w:space="0" w:color="auto"/>
        <w:right w:val="none" w:sz="0" w:space="0" w:color="auto"/>
      </w:divBdr>
      <w:divsChild>
        <w:div w:id="289672221">
          <w:marLeft w:val="0"/>
          <w:marRight w:val="0"/>
          <w:marTop w:val="0"/>
          <w:marBottom w:val="150"/>
          <w:divBdr>
            <w:top w:val="none" w:sz="0" w:space="0" w:color="auto"/>
            <w:left w:val="none" w:sz="0" w:space="0" w:color="auto"/>
            <w:bottom w:val="none" w:sz="0" w:space="0" w:color="auto"/>
            <w:right w:val="none" w:sz="0" w:space="0" w:color="auto"/>
          </w:divBdr>
          <w:divsChild>
            <w:div w:id="382337618">
              <w:marLeft w:val="0"/>
              <w:marRight w:val="0"/>
              <w:marTop w:val="0"/>
              <w:marBottom w:val="0"/>
              <w:divBdr>
                <w:top w:val="none" w:sz="0" w:space="0" w:color="auto"/>
                <w:left w:val="none" w:sz="0" w:space="0" w:color="auto"/>
                <w:bottom w:val="none" w:sz="0" w:space="0" w:color="auto"/>
                <w:right w:val="none" w:sz="0" w:space="0" w:color="auto"/>
              </w:divBdr>
            </w:div>
          </w:divsChild>
        </w:div>
        <w:div w:id="820774773">
          <w:marLeft w:val="0"/>
          <w:marRight w:val="0"/>
          <w:marTop w:val="0"/>
          <w:marBottom w:val="0"/>
          <w:divBdr>
            <w:top w:val="none" w:sz="0" w:space="0" w:color="auto"/>
            <w:left w:val="none" w:sz="0" w:space="0" w:color="auto"/>
            <w:bottom w:val="none" w:sz="0" w:space="0" w:color="auto"/>
            <w:right w:val="none" w:sz="0" w:space="0" w:color="auto"/>
          </w:divBdr>
        </w:div>
      </w:divsChild>
    </w:div>
    <w:div w:id="420951492">
      <w:bodyDiv w:val="1"/>
      <w:marLeft w:val="0"/>
      <w:marRight w:val="0"/>
      <w:marTop w:val="0"/>
      <w:marBottom w:val="0"/>
      <w:divBdr>
        <w:top w:val="none" w:sz="0" w:space="0" w:color="auto"/>
        <w:left w:val="none" w:sz="0" w:space="0" w:color="auto"/>
        <w:bottom w:val="none" w:sz="0" w:space="0" w:color="auto"/>
        <w:right w:val="none" w:sz="0" w:space="0" w:color="auto"/>
      </w:divBdr>
      <w:divsChild>
        <w:div w:id="1468014311">
          <w:marLeft w:val="0"/>
          <w:marRight w:val="0"/>
          <w:marTop w:val="0"/>
          <w:marBottom w:val="150"/>
          <w:divBdr>
            <w:top w:val="none" w:sz="0" w:space="0" w:color="auto"/>
            <w:left w:val="none" w:sz="0" w:space="0" w:color="auto"/>
            <w:bottom w:val="none" w:sz="0" w:space="0" w:color="auto"/>
            <w:right w:val="none" w:sz="0" w:space="0" w:color="auto"/>
          </w:divBdr>
          <w:divsChild>
            <w:div w:id="1890191343">
              <w:marLeft w:val="0"/>
              <w:marRight w:val="0"/>
              <w:marTop w:val="0"/>
              <w:marBottom w:val="0"/>
              <w:divBdr>
                <w:top w:val="none" w:sz="0" w:space="0" w:color="auto"/>
                <w:left w:val="none" w:sz="0" w:space="0" w:color="auto"/>
                <w:bottom w:val="none" w:sz="0" w:space="0" w:color="auto"/>
                <w:right w:val="none" w:sz="0" w:space="0" w:color="auto"/>
              </w:divBdr>
            </w:div>
          </w:divsChild>
        </w:div>
        <w:div w:id="314915011">
          <w:marLeft w:val="0"/>
          <w:marRight w:val="0"/>
          <w:marTop w:val="0"/>
          <w:marBottom w:val="0"/>
          <w:divBdr>
            <w:top w:val="none" w:sz="0" w:space="0" w:color="auto"/>
            <w:left w:val="none" w:sz="0" w:space="0" w:color="auto"/>
            <w:bottom w:val="none" w:sz="0" w:space="0" w:color="auto"/>
            <w:right w:val="none" w:sz="0" w:space="0" w:color="auto"/>
          </w:divBdr>
        </w:div>
      </w:divsChild>
    </w:div>
    <w:div w:id="438333440">
      <w:bodyDiv w:val="1"/>
      <w:marLeft w:val="0"/>
      <w:marRight w:val="0"/>
      <w:marTop w:val="0"/>
      <w:marBottom w:val="0"/>
      <w:divBdr>
        <w:top w:val="none" w:sz="0" w:space="0" w:color="auto"/>
        <w:left w:val="none" w:sz="0" w:space="0" w:color="auto"/>
        <w:bottom w:val="none" w:sz="0" w:space="0" w:color="auto"/>
        <w:right w:val="none" w:sz="0" w:space="0" w:color="auto"/>
      </w:divBdr>
      <w:divsChild>
        <w:div w:id="122702540">
          <w:marLeft w:val="0"/>
          <w:marRight w:val="0"/>
          <w:marTop w:val="0"/>
          <w:marBottom w:val="0"/>
          <w:divBdr>
            <w:top w:val="none" w:sz="0" w:space="0" w:color="auto"/>
            <w:left w:val="none" w:sz="0" w:space="0" w:color="auto"/>
            <w:bottom w:val="none" w:sz="0" w:space="0" w:color="auto"/>
            <w:right w:val="none" w:sz="0" w:space="0" w:color="auto"/>
          </w:divBdr>
          <w:divsChild>
            <w:div w:id="1159543348">
              <w:marLeft w:val="0"/>
              <w:marRight w:val="0"/>
              <w:marTop w:val="0"/>
              <w:marBottom w:val="0"/>
              <w:divBdr>
                <w:top w:val="none" w:sz="0" w:space="0" w:color="auto"/>
                <w:left w:val="none" w:sz="0" w:space="0" w:color="auto"/>
                <w:bottom w:val="none" w:sz="0" w:space="0" w:color="auto"/>
                <w:right w:val="none" w:sz="0" w:space="0" w:color="auto"/>
              </w:divBdr>
              <w:divsChild>
                <w:div w:id="197816077">
                  <w:marLeft w:val="0"/>
                  <w:marRight w:val="0"/>
                  <w:marTop w:val="0"/>
                  <w:marBottom w:val="0"/>
                  <w:divBdr>
                    <w:top w:val="none" w:sz="0" w:space="0" w:color="auto"/>
                    <w:left w:val="none" w:sz="0" w:space="0" w:color="auto"/>
                    <w:bottom w:val="none" w:sz="0" w:space="0" w:color="auto"/>
                    <w:right w:val="none" w:sz="0" w:space="0" w:color="auto"/>
                  </w:divBdr>
                </w:div>
                <w:div w:id="1496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796012">
      <w:bodyDiv w:val="1"/>
      <w:marLeft w:val="0"/>
      <w:marRight w:val="0"/>
      <w:marTop w:val="0"/>
      <w:marBottom w:val="0"/>
      <w:divBdr>
        <w:top w:val="none" w:sz="0" w:space="0" w:color="auto"/>
        <w:left w:val="none" w:sz="0" w:space="0" w:color="auto"/>
        <w:bottom w:val="none" w:sz="0" w:space="0" w:color="auto"/>
        <w:right w:val="none" w:sz="0" w:space="0" w:color="auto"/>
      </w:divBdr>
      <w:divsChild>
        <w:div w:id="2034261666">
          <w:marLeft w:val="0"/>
          <w:marRight w:val="0"/>
          <w:marTop w:val="0"/>
          <w:marBottom w:val="150"/>
          <w:divBdr>
            <w:top w:val="none" w:sz="0" w:space="0" w:color="auto"/>
            <w:left w:val="none" w:sz="0" w:space="0" w:color="auto"/>
            <w:bottom w:val="none" w:sz="0" w:space="0" w:color="auto"/>
            <w:right w:val="none" w:sz="0" w:space="0" w:color="auto"/>
          </w:divBdr>
          <w:divsChild>
            <w:div w:id="2100560833">
              <w:marLeft w:val="0"/>
              <w:marRight w:val="0"/>
              <w:marTop w:val="0"/>
              <w:marBottom w:val="0"/>
              <w:divBdr>
                <w:top w:val="none" w:sz="0" w:space="0" w:color="auto"/>
                <w:left w:val="none" w:sz="0" w:space="0" w:color="auto"/>
                <w:bottom w:val="none" w:sz="0" w:space="0" w:color="auto"/>
                <w:right w:val="none" w:sz="0" w:space="0" w:color="auto"/>
              </w:divBdr>
            </w:div>
          </w:divsChild>
        </w:div>
        <w:div w:id="312220204">
          <w:marLeft w:val="0"/>
          <w:marRight w:val="0"/>
          <w:marTop w:val="0"/>
          <w:marBottom w:val="0"/>
          <w:divBdr>
            <w:top w:val="none" w:sz="0" w:space="0" w:color="auto"/>
            <w:left w:val="none" w:sz="0" w:space="0" w:color="auto"/>
            <w:bottom w:val="none" w:sz="0" w:space="0" w:color="auto"/>
            <w:right w:val="none" w:sz="0" w:space="0" w:color="auto"/>
          </w:divBdr>
        </w:div>
      </w:divsChild>
    </w:div>
    <w:div w:id="600797916">
      <w:bodyDiv w:val="1"/>
      <w:marLeft w:val="0"/>
      <w:marRight w:val="0"/>
      <w:marTop w:val="0"/>
      <w:marBottom w:val="0"/>
      <w:divBdr>
        <w:top w:val="none" w:sz="0" w:space="0" w:color="auto"/>
        <w:left w:val="none" w:sz="0" w:space="0" w:color="auto"/>
        <w:bottom w:val="none" w:sz="0" w:space="0" w:color="auto"/>
        <w:right w:val="none" w:sz="0" w:space="0" w:color="auto"/>
      </w:divBdr>
      <w:divsChild>
        <w:div w:id="2017920896">
          <w:marLeft w:val="0"/>
          <w:marRight w:val="0"/>
          <w:marTop w:val="0"/>
          <w:marBottom w:val="150"/>
          <w:divBdr>
            <w:top w:val="none" w:sz="0" w:space="0" w:color="auto"/>
            <w:left w:val="none" w:sz="0" w:space="0" w:color="auto"/>
            <w:bottom w:val="none" w:sz="0" w:space="0" w:color="auto"/>
            <w:right w:val="none" w:sz="0" w:space="0" w:color="auto"/>
          </w:divBdr>
          <w:divsChild>
            <w:div w:id="1527987204">
              <w:marLeft w:val="0"/>
              <w:marRight w:val="0"/>
              <w:marTop w:val="0"/>
              <w:marBottom w:val="0"/>
              <w:divBdr>
                <w:top w:val="none" w:sz="0" w:space="0" w:color="auto"/>
                <w:left w:val="none" w:sz="0" w:space="0" w:color="auto"/>
                <w:bottom w:val="none" w:sz="0" w:space="0" w:color="auto"/>
                <w:right w:val="none" w:sz="0" w:space="0" w:color="auto"/>
              </w:divBdr>
            </w:div>
          </w:divsChild>
        </w:div>
        <w:div w:id="852182098">
          <w:marLeft w:val="0"/>
          <w:marRight w:val="0"/>
          <w:marTop w:val="0"/>
          <w:marBottom w:val="0"/>
          <w:divBdr>
            <w:top w:val="none" w:sz="0" w:space="0" w:color="auto"/>
            <w:left w:val="none" w:sz="0" w:space="0" w:color="auto"/>
            <w:bottom w:val="none" w:sz="0" w:space="0" w:color="auto"/>
            <w:right w:val="none" w:sz="0" w:space="0" w:color="auto"/>
          </w:divBdr>
        </w:div>
      </w:divsChild>
    </w:div>
    <w:div w:id="675307747">
      <w:bodyDiv w:val="1"/>
      <w:marLeft w:val="0"/>
      <w:marRight w:val="0"/>
      <w:marTop w:val="0"/>
      <w:marBottom w:val="0"/>
      <w:divBdr>
        <w:top w:val="none" w:sz="0" w:space="0" w:color="auto"/>
        <w:left w:val="none" w:sz="0" w:space="0" w:color="auto"/>
        <w:bottom w:val="none" w:sz="0" w:space="0" w:color="auto"/>
        <w:right w:val="none" w:sz="0" w:space="0" w:color="auto"/>
      </w:divBdr>
      <w:divsChild>
        <w:div w:id="346561559">
          <w:marLeft w:val="0"/>
          <w:marRight w:val="0"/>
          <w:marTop w:val="0"/>
          <w:marBottom w:val="0"/>
          <w:divBdr>
            <w:top w:val="none" w:sz="0" w:space="0" w:color="auto"/>
            <w:left w:val="none" w:sz="0" w:space="0" w:color="auto"/>
            <w:bottom w:val="none" w:sz="0" w:space="0" w:color="auto"/>
            <w:right w:val="none" w:sz="0" w:space="0" w:color="auto"/>
          </w:divBdr>
          <w:divsChild>
            <w:div w:id="826675245">
              <w:marLeft w:val="0"/>
              <w:marRight w:val="0"/>
              <w:marTop w:val="0"/>
              <w:marBottom w:val="0"/>
              <w:divBdr>
                <w:top w:val="none" w:sz="0" w:space="0" w:color="auto"/>
                <w:left w:val="none" w:sz="0" w:space="0" w:color="auto"/>
                <w:bottom w:val="none" w:sz="0" w:space="0" w:color="auto"/>
                <w:right w:val="none" w:sz="0" w:space="0" w:color="auto"/>
              </w:divBdr>
              <w:divsChild>
                <w:div w:id="1677224829">
                  <w:marLeft w:val="0"/>
                  <w:marRight w:val="0"/>
                  <w:marTop w:val="0"/>
                  <w:marBottom w:val="0"/>
                  <w:divBdr>
                    <w:top w:val="none" w:sz="0" w:space="0" w:color="auto"/>
                    <w:left w:val="none" w:sz="0" w:space="0" w:color="auto"/>
                    <w:bottom w:val="none" w:sz="0" w:space="0" w:color="auto"/>
                    <w:right w:val="none" w:sz="0" w:space="0" w:color="auto"/>
                  </w:divBdr>
                  <w:divsChild>
                    <w:div w:id="1951276217">
                      <w:marLeft w:val="0"/>
                      <w:marRight w:val="0"/>
                      <w:marTop w:val="0"/>
                      <w:marBottom w:val="0"/>
                      <w:divBdr>
                        <w:top w:val="none" w:sz="0" w:space="0" w:color="auto"/>
                        <w:left w:val="none" w:sz="0" w:space="0" w:color="auto"/>
                        <w:bottom w:val="none" w:sz="0" w:space="0" w:color="auto"/>
                        <w:right w:val="none" w:sz="0" w:space="0" w:color="auto"/>
                      </w:divBdr>
                      <w:divsChild>
                        <w:div w:id="8978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2069417">
      <w:bodyDiv w:val="1"/>
      <w:marLeft w:val="0"/>
      <w:marRight w:val="0"/>
      <w:marTop w:val="0"/>
      <w:marBottom w:val="0"/>
      <w:divBdr>
        <w:top w:val="none" w:sz="0" w:space="0" w:color="auto"/>
        <w:left w:val="none" w:sz="0" w:space="0" w:color="auto"/>
        <w:bottom w:val="none" w:sz="0" w:space="0" w:color="auto"/>
        <w:right w:val="none" w:sz="0" w:space="0" w:color="auto"/>
      </w:divBdr>
      <w:divsChild>
        <w:div w:id="2025324850">
          <w:marLeft w:val="0"/>
          <w:marRight w:val="0"/>
          <w:marTop w:val="0"/>
          <w:marBottom w:val="150"/>
          <w:divBdr>
            <w:top w:val="none" w:sz="0" w:space="0" w:color="auto"/>
            <w:left w:val="none" w:sz="0" w:space="0" w:color="auto"/>
            <w:bottom w:val="none" w:sz="0" w:space="0" w:color="auto"/>
            <w:right w:val="none" w:sz="0" w:space="0" w:color="auto"/>
          </w:divBdr>
          <w:divsChild>
            <w:div w:id="133184629">
              <w:marLeft w:val="0"/>
              <w:marRight w:val="0"/>
              <w:marTop w:val="0"/>
              <w:marBottom w:val="0"/>
              <w:divBdr>
                <w:top w:val="none" w:sz="0" w:space="0" w:color="auto"/>
                <w:left w:val="none" w:sz="0" w:space="0" w:color="auto"/>
                <w:bottom w:val="none" w:sz="0" w:space="0" w:color="auto"/>
                <w:right w:val="none" w:sz="0" w:space="0" w:color="auto"/>
              </w:divBdr>
            </w:div>
          </w:divsChild>
        </w:div>
        <w:div w:id="1909151244">
          <w:marLeft w:val="0"/>
          <w:marRight w:val="0"/>
          <w:marTop w:val="0"/>
          <w:marBottom w:val="0"/>
          <w:divBdr>
            <w:top w:val="none" w:sz="0" w:space="0" w:color="auto"/>
            <w:left w:val="none" w:sz="0" w:space="0" w:color="auto"/>
            <w:bottom w:val="none" w:sz="0" w:space="0" w:color="auto"/>
            <w:right w:val="none" w:sz="0" w:space="0" w:color="auto"/>
          </w:divBdr>
        </w:div>
      </w:divsChild>
    </w:div>
    <w:div w:id="769741390">
      <w:bodyDiv w:val="1"/>
      <w:marLeft w:val="0"/>
      <w:marRight w:val="0"/>
      <w:marTop w:val="0"/>
      <w:marBottom w:val="0"/>
      <w:divBdr>
        <w:top w:val="none" w:sz="0" w:space="0" w:color="auto"/>
        <w:left w:val="none" w:sz="0" w:space="0" w:color="auto"/>
        <w:bottom w:val="none" w:sz="0" w:space="0" w:color="auto"/>
        <w:right w:val="none" w:sz="0" w:space="0" w:color="auto"/>
      </w:divBdr>
      <w:divsChild>
        <w:div w:id="113138899">
          <w:marLeft w:val="0"/>
          <w:marRight w:val="0"/>
          <w:marTop w:val="0"/>
          <w:marBottom w:val="0"/>
          <w:divBdr>
            <w:top w:val="none" w:sz="0" w:space="0" w:color="auto"/>
            <w:left w:val="none" w:sz="0" w:space="0" w:color="auto"/>
            <w:bottom w:val="none" w:sz="0" w:space="0" w:color="auto"/>
            <w:right w:val="none" w:sz="0" w:space="0" w:color="auto"/>
          </w:divBdr>
          <w:divsChild>
            <w:div w:id="373307853">
              <w:marLeft w:val="0"/>
              <w:marRight w:val="0"/>
              <w:marTop w:val="0"/>
              <w:marBottom w:val="0"/>
              <w:divBdr>
                <w:top w:val="none" w:sz="0" w:space="0" w:color="auto"/>
                <w:left w:val="none" w:sz="0" w:space="0" w:color="auto"/>
                <w:bottom w:val="none" w:sz="0" w:space="0" w:color="auto"/>
                <w:right w:val="none" w:sz="0" w:space="0" w:color="auto"/>
              </w:divBdr>
              <w:divsChild>
                <w:div w:id="926110099">
                  <w:marLeft w:val="0"/>
                  <w:marRight w:val="0"/>
                  <w:marTop w:val="0"/>
                  <w:marBottom w:val="0"/>
                  <w:divBdr>
                    <w:top w:val="none" w:sz="0" w:space="0" w:color="auto"/>
                    <w:left w:val="none" w:sz="0" w:space="0" w:color="auto"/>
                    <w:bottom w:val="none" w:sz="0" w:space="0" w:color="auto"/>
                    <w:right w:val="none" w:sz="0" w:space="0" w:color="auto"/>
                  </w:divBdr>
                  <w:divsChild>
                    <w:div w:id="87759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769698">
      <w:bodyDiv w:val="1"/>
      <w:marLeft w:val="0"/>
      <w:marRight w:val="0"/>
      <w:marTop w:val="0"/>
      <w:marBottom w:val="0"/>
      <w:divBdr>
        <w:top w:val="none" w:sz="0" w:space="0" w:color="auto"/>
        <w:left w:val="none" w:sz="0" w:space="0" w:color="auto"/>
        <w:bottom w:val="none" w:sz="0" w:space="0" w:color="auto"/>
        <w:right w:val="none" w:sz="0" w:space="0" w:color="auto"/>
      </w:divBdr>
      <w:divsChild>
        <w:div w:id="1483693613">
          <w:marLeft w:val="0"/>
          <w:marRight w:val="0"/>
          <w:marTop w:val="0"/>
          <w:marBottom w:val="150"/>
          <w:divBdr>
            <w:top w:val="none" w:sz="0" w:space="0" w:color="auto"/>
            <w:left w:val="none" w:sz="0" w:space="0" w:color="auto"/>
            <w:bottom w:val="none" w:sz="0" w:space="0" w:color="auto"/>
            <w:right w:val="none" w:sz="0" w:space="0" w:color="auto"/>
          </w:divBdr>
          <w:divsChild>
            <w:div w:id="2124110233">
              <w:marLeft w:val="0"/>
              <w:marRight w:val="0"/>
              <w:marTop w:val="0"/>
              <w:marBottom w:val="0"/>
              <w:divBdr>
                <w:top w:val="none" w:sz="0" w:space="0" w:color="auto"/>
                <w:left w:val="none" w:sz="0" w:space="0" w:color="auto"/>
                <w:bottom w:val="none" w:sz="0" w:space="0" w:color="auto"/>
                <w:right w:val="none" w:sz="0" w:space="0" w:color="auto"/>
              </w:divBdr>
            </w:div>
          </w:divsChild>
        </w:div>
        <w:div w:id="39474423">
          <w:marLeft w:val="0"/>
          <w:marRight w:val="0"/>
          <w:marTop w:val="0"/>
          <w:marBottom w:val="0"/>
          <w:divBdr>
            <w:top w:val="none" w:sz="0" w:space="0" w:color="auto"/>
            <w:left w:val="none" w:sz="0" w:space="0" w:color="auto"/>
            <w:bottom w:val="none" w:sz="0" w:space="0" w:color="auto"/>
            <w:right w:val="none" w:sz="0" w:space="0" w:color="auto"/>
          </w:divBdr>
        </w:div>
      </w:divsChild>
    </w:div>
    <w:div w:id="830681163">
      <w:bodyDiv w:val="1"/>
      <w:marLeft w:val="0"/>
      <w:marRight w:val="0"/>
      <w:marTop w:val="0"/>
      <w:marBottom w:val="0"/>
      <w:divBdr>
        <w:top w:val="none" w:sz="0" w:space="0" w:color="auto"/>
        <w:left w:val="none" w:sz="0" w:space="0" w:color="auto"/>
        <w:bottom w:val="none" w:sz="0" w:space="0" w:color="auto"/>
        <w:right w:val="none" w:sz="0" w:space="0" w:color="auto"/>
      </w:divBdr>
      <w:divsChild>
        <w:div w:id="417408537">
          <w:marLeft w:val="0"/>
          <w:marRight w:val="0"/>
          <w:marTop w:val="0"/>
          <w:marBottom w:val="0"/>
          <w:divBdr>
            <w:top w:val="none" w:sz="0" w:space="0" w:color="auto"/>
            <w:left w:val="none" w:sz="0" w:space="0" w:color="auto"/>
            <w:bottom w:val="none" w:sz="0" w:space="0" w:color="auto"/>
            <w:right w:val="none" w:sz="0" w:space="0" w:color="auto"/>
          </w:divBdr>
        </w:div>
      </w:divsChild>
    </w:div>
    <w:div w:id="864827763">
      <w:bodyDiv w:val="1"/>
      <w:marLeft w:val="0"/>
      <w:marRight w:val="0"/>
      <w:marTop w:val="0"/>
      <w:marBottom w:val="0"/>
      <w:divBdr>
        <w:top w:val="none" w:sz="0" w:space="0" w:color="auto"/>
        <w:left w:val="none" w:sz="0" w:space="0" w:color="auto"/>
        <w:bottom w:val="none" w:sz="0" w:space="0" w:color="auto"/>
        <w:right w:val="none" w:sz="0" w:space="0" w:color="auto"/>
      </w:divBdr>
      <w:divsChild>
        <w:div w:id="88503325">
          <w:marLeft w:val="0"/>
          <w:marRight w:val="0"/>
          <w:marTop w:val="0"/>
          <w:marBottom w:val="150"/>
          <w:divBdr>
            <w:top w:val="none" w:sz="0" w:space="0" w:color="auto"/>
            <w:left w:val="none" w:sz="0" w:space="0" w:color="auto"/>
            <w:bottom w:val="none" w:sz="0" w:space="0" w:color="auto"/>
            <w:right w:val="none" w:sz="0" w:space="0" w:color="auto"/>
          </w:divBdr>
          <w:divsChild>
            <w:div w:id="1983851653">
              <w:marLeft w:val="0"/>
              <w:marRight w:val="0"/>
              <w:marTop w:val="0"/>
              <w:marBottom w:val="0"/>
              <w:divBdr>
                <w:top w:val="none" w:sz="0" w:space="0" w:color="auto"/>
                <w:left w:val="none" w:sz="0" w:space="0" w:color="auto"/>
                <w:bottom w:val="none" w:sz="0" w:space="0" w:color="auto"/>
                <w:right w:val="none" w:sz="0" w:space="0" w:color="auto"/>
              </w:divBdr>
            </w:div>
          </w:divsChild>
        </w:div>
        <w:div w:id="594165742">
          <w:marLeft w:val="0"/>
          <w:marRight w:val="0"/>
          <w:marTop w:val="0"/>
          <w:marBottom w:val="0"/>
          <w:divBdr>
            <w:top w:val="none" w:sz="0" w:space="0" w:color="auto"/>
            <w:left w:val="none" w:sz="0" w:space="0" w:color="auto"/>
            <w:bottom w:val="none" w:sz="0" w:space="0" w:color="auto"/>
            <w:right w:val="none" w:sz="0" w:space="0" w:color="auto"/>
          </w:divBdr>
        </w:div>
      </w:divsChild>
    </w:div>
    <w:div w:id="879248524">
      <w:bodyDiv w:val="1"/>
      <w:marLeft w:val="0"/>
      <w:marRight w:val="0"/>
      <w:marTop w:val="0"/>
      <w:marBottom w:val="0"/>
      <w:divBdr>
        <w:top w:val="none" w:sz="0" w:space="0" w:color="auto"/>
        <w:left w:val="none" w:sz="0" w:space="0" w:color="auto"/>
        <w:bottom w:val="none" w:sz="0" w:space="0" w:color="auto"/>
        <w:right w:val="none" w:sz="0" w:space="0" w:color="auto"/>
      </w:divBdr>
      <w:divsChild>
        <w:div w:id="1954364626">
          <w:marLeft w:val="0"/>
          <w:marRight w:val="0"/>
          <w:marTop w:val="0"/>
          <w:marBottom w:val="150"/>
          <w:divBdr>
            <w:top w:val="none" w:sz="0" w:space="0" w:color="auto"/>
            <w:left w:val="none" w:sz="0" w:space="0" w:color="auto"/>
            <w:bottom w:val="none" w:sz="0" w:space="0" w:color="auto"/>
            <w:right w:val="none" w:sz="0" w:space="0" w:color="auto"/>
          </w:divBdr>
          <w:divsChild>
            <w:div w:id="465706739">
              <w:marLeft w:val="0"/>
              <w:marRight w:val="0"/>
              <w:marTop w:val="0"/>
              <w:marBottom w:val="0"/>
              <w:divBdr>
                <w:top w:val="none" w:sz="0" w:space="0" w:color="auto"/>
                <w:left w:val="none" w:sz="0" w:space="0" w:color="auto"/>
                <w:bottom w:val="none" w:sz="0" w:space="0" w:color="auto"/>
                <w:right w:val="none" w:sz="0" w:space="0" w:color="auto"/>
              </w:divBdr>
            </w:div>
          </w:divsChild>
        </w:div>
        <w:div w:id="1466435025">
          <w:marLeft w:val="0"/>
          <w:marRight w:val="0"/>
          <w:marTop w:val="0"/>
          <w:marBottom w:val="0"/>
          <w:divBdr>
            <w:top w:val="none" w:sz="0" w:space="0" w:color="auto"/>
            <w:left w:val="none" w:sz="0" w:space="0" w:color="auto"/>
            <w:bottom w:val="none" w:sz="0" w:space="0" w:color="auto"/>
            <w:right w:val="none" w:sz="0" w:space="0" w:color="auto"/>
          </w:divBdr>
        </w:div>
      </w:divsChild>
    </w:div>
    <w:div w:id="894121712">
      <w:bodyDiv w:val="1"/>
      <w:marLeft w:val="0"/>
      <w:marRight w:val="0"/>
      <w:marTop w:val="0"/>
      <w:marBottom w:val="0"/>
      <w:divBdr>
        <w:top w:val="none" w:sz="0" w:space="0" w:color="auto"/>
        <w:left w:val="none" w:sz="0" w:space="0" w:color="auto"/>
        <w:bottom w:val="none" w:sz="0" w:space="0" w:color="auto"/>
        <w:right w:val="none" w:sz="0" w:space="0" w:color="auto"/>
      </w:divBdr>
      <w:divsChild>
        <w:div w:id="101850322">
          <w:marLeft w:val="0"/>
          <w:marRight w:val="0"/>
          <w:marTop w:val="0"/>
          <w:marBottom w:val="0"/>
          <w:divBdr>
            <w:top w:val="none" w:sz="0" w:space="0" w:color="auto"/>
            <w:left w:val="none" w:sz="0" w:space="0" w:color="auto"/>
            <w:bottom w:val="none" w:sz="0" w:space="0" w:color="auto"/>
            <w:right w:val="none" w:sz="0" w:space="0" w:color="auto"/>
          </w:divBdr>
          <w:divsChild>
            <w:div w:id="1347517762">
              <w:marLeft w:val="0"/>
              <w:marRight w:val="0"/>
              <w:marTop w:val="0"/>
              <w:marBottom w:val="0"/>
              <w:divBdr>
                <w:top w:val="none" w:sz="0" w:space="0" w:color="auto"/>
                <w:left w:val="none" w:sz="0" w:space="0" w:color="auto"/>
                <w:bottom w:val="none" w:sz="0" w:space="0" w:color="auto"/>
                <w:right w:val="none" w:sz="0" w:space="0" w:color="auto"/>
              </w:divBdr>
              <w:divsChild>
                <w:div w:id="1327050817">
                  <w:marLeft w:val="0"/>
                  <w:marRight w:val="0"/>
                  <w:marTop w:val="0"/>
                  <w:marBottom w:val="0"/>
                  <w:divBdr>
                    <w:top w:val="none" w:sz="0" w:space="0" w:color="auto"/>
                    <w:left w:val="none" w:sz="0" w:space="0" w:color="auto"/>
                    <w:bottom w:val="none" w:sz="0" w:space="0" w:color="auto"/>
                    <w:right w:val="none" w:sz="0" w:space="0" w:color="auto"/>
                  </w:divBdr>
                  <w:divsChild>
                    <w:div w:id="1123695015">
                      <w:marLeft w:val="0"/>
                      <w:marRight w:val="0"/>
                      <w:marTop w:val="0"/>
                      <w:marBottom w:val="0"/>
                      <w:divBdr>
                        <w:top w:val="none" w:sz="0" w:space="0" w:color="auto"/>
                        <w:left w:val="none" w:sz="0" w:space="0" w:color="auto"/>
                        <w:bottom w:val="none" w:sz="0" w:space="0" w:color="auto"/>
                        <w:right w:val="none" w:sz="0" w:space="0" w:color="auto"/>
                      </w:divBdr>
                      <w:divsChild>
                        <w:div w:id="82485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4225686">
      <w:bodyDiv w:val="1"/>
      <w:marLeft w:val="0"/>
      <w:marRight w:val="0"/>
      <w:marTop w:val="0"/>
      <w:marBottom w:val="0"/>
      <w:divBdr>
        <w:top w:val="none" w:sz="0" w:space="0" w:color="auto"/>
        <w:left w:val="none" w:sz="0" w:space="0" w:color="auto"/>
        <w:bottom w:val="none" w:sz="0" w:space="0" w:color="auto"/>
        <w:right w:val="none" w:sz="0" w:space="0" w:color="auto"/>
      </w:divBdr>
      <w:divsChild>
        <w:div w:id="1271276365">
          <w:marLeft w:val="0"/>
          <w:marRight w:val="0"/>
          <w:marTop w:val="0"/>
          <w:marBottom w:val="150"/>
          <w:divBdr>
            <w:top w:val="none" w:sz="0" w:space="0" w:color="auto"/>
            <w:left w:val="none" w:sz="0" w:space="0" w:color="auto"/>
            <w:bottom w:val="none" w:sz="0" w:space="0" w:color="auto"/>
            <w:right w:val="none" w:sz="0" w:space="0" w:color="auto"/>
          </w:divBdr>
          <w:divsChild>
            <w:div w:id="1366977022">
              <w:marLeft w:val="0"/>
              <w:marRight w:val="0"/>
              <w:marTop w:val="0"/>
              <w:marBottom w:val="0"/>
              <w:divBdr>
                <w:top w:val="none" w:sz="0" w:space="0" w:color="auto"/>
                <w:left w:val="none" w:sz="0" w:space="0" w:color="auto"/>
                <w:bottom w:val="none" w:sz="0" w:space="0" w:color="auto"/>
                <w:right w:val="none" w:sz="0" w:space="0" w:color="auto"/>
              </w:divBdr>
            </w:div>
          </w:divsChild>
        </w:div>
        <w:div w:id="1192064253">
          <w:marLeft w:val="0"/>
          <w:marRight w:val="0"/>
          <w:marTop w:val="0"/>
          <w:marBottom w:val="0"/>
          <w:divBdr>
            <w:top w:val="none" w:sz="0" w:space="0" w:color="auto"/>
            <w:left w:val="none" w:sz="0" w:space="0" w:color="auto"/>
            <w:bottom w:val="none" w:sz="0" w:space="0" w:color="auto"/>
            <w:right w:val="none" w:sz="0" w:space="0" w:color="auto"/>
          </w:divBdr>
        </w:div>
      </w:divsChild>
    </w:div>
    <w:div w:id="940914833">
      <w:bodyDiv w:val="1"/>
      <w:marLeft w:val="0"/>
      <w:marRight w:val="0"/>
      <w:marTop w:val="0"/>
      <w:marBottom w:val="0"/>
      <w:divBdr>
        <w:top w:val="none" w:sz="0" w:space="0" w:color="auto"/>
        <w:left w:val="none" w:sz="0" w:space="0" w:color="auto"/>
        <w:bottom w:val="none" w:sz="0" w:space="0" w:color="auto"/>
        <w:right w:val="none" w:sz="0" w:space="0" w:color="auto"/>
      </w:divBdr>
      <w:divsChild>
        <w:div w:id="1325160591">
          <w:marLeft w:val="0"/>
          <w:marRight w:val="0"/>
          <w:marTop w:val="0"/>
          <w:marBottom w:val="150"/>
          <w:divBdr>
            <w:top w:val="none" w:sz="0" w:space="0" w:color="auto"/>
            <w:left w:val="none" w:sz="0" w:space="0" w:color="auto"/>
            <w:bottom w:val="none" w:sz="0" w:space="0" w:color="auto"/>
            <w:right w:val="none" w:sz="0" w:space="0" w:color="auto"/>
          </w:divBdr>
          <w:divsChild>
            <w:div w:id="1987587387">
              <w:marLeft w:val="0"/>
              <w:marRight w:val="0"/>
              <w:marTop w:val="0"/>
              <w:marBottom w:val="0"/>
              <w:divBdr>
                <w:top w:val="none" w:sz="0" w:space="0" w:color="auto"/>
                <w:left w:val="none" w:sz="0" w:space="0" w:color="auto"/>
                <w:bottom w:val="none" w:sz="0" w:space="0" w:color="auto"/>
                <w:right w:val="none" w:sz="0" w:space="0" w:color="auto"/>
              </w:divBdr>
            </w:div>
          </w:divsChild>
        </w:div>
        <w:div w:id="179635362">
          <w:marLeft w:val="0"/>
          <w:marRight w:val="0"/>
          <w:marTop w:val="0"/>
          <w:marBottom w:val="0"/>
          <w:divBdr>
            <w:top w:val="none" w:sz="0" w:space="0" w:color="auto"/>
            <w:left w:val="none" w:sz="0" w:space="0" w:color="auto"/>
            <w:bottom w:val="none" w:sz="0" w:space="0" w:color="auto"/>
            <w:right w:val="none" w:sz="0" w:space="0" w:color="auto"/>
          </w:divBdr>
        </w:div>
      </w:divsChild>
    </w:div>
    <w:div w:id="1001591768">
      <w:bodyDiv w:val="1"/>
      <w:marLeft w:val="0"/>
      <w:marRight w:val="0"/>
      <w:marTop w:val="0"/>
      <w:marBottom w:val="0"/>
      <w:divBdr>
        <w:top w:val="none" w:sz="0" w:space="0" w:color="auto"/>
        <w:left w:val="none" w:sz="0" w:space="0" w:color="auto"/>
        <w:bottom w:val="none" w:sz="0" w:space="0" w:color="auto"/>
        <w:right w:val="none" w:sz="0" w:space="0" w:color="auto"/>
      </w:divBdr>
      <w:divsChild>
        <w:div w:id="2006320638">
          <w:marLeft w:val="0"/>
          <w:marRight w:val="0"/>
          <w:marTop w:val="0"/>
          <w:marBottom w:val="150"/>
          <w:divBdr>
            <w:top w:val="none" w:sz="0" w:space="0" w:color="auto"/>
            <w:left w:val="none" w:sz="0" w:space="0" w:color="auto"/>
            <w:bottom w:val="none" w:sz="0" w:space="0" w:color="auto"/>
            <w:right w:val="none" w:sz="0" w:space="0" w:color="auto"/>
          </w:divBdr>
          <w:divsChild>
            <w:div w:id="669600149">
              <w:marLeft w:val="0"/>
              <w:marRight w:val="0"/>
              <w:marTop w:val="0"/>
              <w:marBottom w:val="0"/>
              <w:divBdr>
                <w:top w:val="none" w:sz="0" w:space="0" w:color="auto"/>
                <w:left w:val="none" w:sz="0" w:space="0" w:color="auto"/>
                <w:bottom w:val="none" w:sz="0" w:space="0" w:color="auto"/>
                <w:right w:val="none" w:sz="0" w:space="0" w:color="auto"/>
              </w:divBdr>
            </w:div>
          </w:divsChild>
        </w:div>
        <w:div w:id="2095516097">
          <w:marLeft w:val="0"/>
          <w:marRight w:val="0"/>
          <w:marTop w:val="0"/>
          <w:marBottom w:val="0"/>
          <w:divBdr>
            <w:top w:val="none" w:sz="0" w:space="0" w:color="auto"/>
            <w:left w:val="none" w:sz="0" w:space="0" w:color="auto"/>
            <w:bottom w:val="none" w:sz="0" w:space="0" w:color="auto"/>
            <w:right w:val="none" w:sz="0" w:space="0" w:color="auto"/>
          </w:divBdr>
        </w:div>
      </w:divsChild>
    </w:div>
    <w:div w:id="1061639901">
      <w:bodyDiv w:val="1"/>
      <w:marLeft w:val="0"/>
      <w:marRight w:val="0"/>
      <w:marTop w:val="0"/>
      <w:marBottom w:val="0"/>
      <w:divBdr>
        <w:top w:val="none" w:sz="0" w:space="0" w:color="auto"/>
        <w:left w:val="none" w:sz="0" w:space="0" w:color="auto"/>
        <w:bottom w:val="none" w:sz="0" w:space="0" w:color="auto"/>
        <w:right w:val="none" w:sz="0" w:space="0" w:color="auto"/>
      </w:divBdr>
      <w:divsChild>
        <w:div w:id="874125122">
          <w:marLeft w:val="0"/>
          <w:marRight w:val="0"/>
          <w:marTop w:val="0"/>
          <w:marBottom w:val="0"/>
          <w:divBdr>
            <w:top w:val="none" w:sz="0" w:space="0" w:color="auto"/>
            <w:left w:val="none" w:sz="0" w:space="0" w:color="auto"/>
            <w:bottom w:val="none" w:sz="0" w:space="0" w:color="auto"/>
            <w:right w:val="none" w:sz="0" w:space="0" w:color="auto"/>
          </w:divBdr>
          <w:divsChild>
            <w:div w:id="1229076565">
              <w:marLeft w:val="0"/>
              <w:marRight w:val="0"/>
              <w:marTop w:val="0"/>
              <w:marBottom w:val="0"/>
              <w:divBdr>
                <w:top w:val="none" w:sz="0" w:space="0" w:color="auto"/>
                <w:left w:val="none" w:sz="0" w:space="0" w:color="auto"/>
                <w:bottom w:val="none" w:sz="0" w:space="0" w:color="auto"/>
                <w:right w:val="none" w:sz="0" w:space="0" w:color="auto"/>
              </w:divBdr>
            </w:div>
            <w:div w:id="764695140">
              <w:marLeft w:val="0"/>
              <w:marRight w:val="0"/>
              <w:marTop w:val="0"/>
              <w:marBottom w:val="0"/>
              <w:divBdr>
                <w:top w:val="none" w:sz="0" w:space="0" w:color="auto"/>
                <w:left w:val="none" w:sz="0" w:space="0" w:color="auto"/>
                <w:bottom w:val="none" w:sz="0" w:space="0" w:color="auto"/>
                <w:right w:val="none" w:sz="0" w:space="0" w:color="auto"/>
              </w:divBdr>
            </w:div>
            <w:div w:id="1779593217">
              <w:marLeft w:val="0"/>
              <w:marRight w:val="0"/>
              <w:marTop w:val="0"/>
              <w:marBottom w:val="0"/>
              <w:divBdr>
                <w:top w:val="none" w:sz="0" w:space="0" w:color="auto"/>
                <w:left w:val="none" w:sz="0" w:space="0" w:color="auto"/>
                <w:bottom w:val="none" w:sz="0" w:space="0" w:color="auto"/>
                <w:right w:val="none" w:sz="0" w:space="0" w:color="auto"/>
              </w:divBdr>
            </w:div>
            <w:div w:id="210534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771119">
      <w:bodyDiv w:val="1"/>
      <w:marLeft w:val="0"/>
      <w:marRight w:val="0"/>
      <w:marTop w:val="0"/>
      <w:marBottom w:val="0"/>
      <w:divBdr>
        <w:top w:val="none" w:sz="0" w:space="0" w:color="auto"/>
        <w:left w:val="none" w:sz="0" w:space="0" w:color="auto"/>
        <w:bottom w:val="none" w:sz="0" w:space="0" w:color="auto"/>
        <w:right w:val="none" w:sz="0" w:space="0" w:color="auto"/>
      </w:divBdr>
      <w:divsChild>
        <w:div w:id="992025681">
          <w:marLeft w:val="0"/>
          <w:marRight w:val="0"/>
          <w:marTop w:val="0"/>
          <w:marBottom w:val="150"/>
          <w:divBdr>
            <w:top w:val="none" w:sz="0" w:space="0" w:color="auto"/>
            <w:left w:val="none" w:sz="0" w:space="0" w:color="auto"/>
            <w:bottom w:val="none" w:sz="0" w:space="0" w:color="auto"/>
            <w:right w:val="none" w:sz="0" w:space="0" w:color="auto"/>
          </w:divBdr>
          <w:divsChild>
            <w:div w:id="1493373531">
              <w:marLeft w:val="0"/>
              <w:marRight w:val="0"/>
              <w:marTop w:val="0"/>
              <w:marBottom w:val="0"/>
              <w:divBdr>
                <w:top w:val="none" w:sz="0" w:space="0" w:color="auto"/>
                <w:left w:val="none" w:sz="0" w:space="0" w:color="auto"/>
                <w:bottom w:val="none" w:sz="0" w:space="0" w:color="auto"/>
                <w:right w:val="none" w:sz="0" w:space="0" w:color="auto"/>
              </w:divBdr>
            </w:div>
          </w:divsChild>
        </w:div>
        <w:div w:id="1797986568">
          <w:marLeft w:val="0"/>
          <w:marRight w:val="0"/>
          <w:marTop w:val="0"/>
          <w:marBottom w:val="0"/>
          <w:divBdr>
            <w:top w:val="none" w:sz="0" w:space="0" w:color="auto"/>
            <w:left w:val="none" w:sz="0" w:space="0" w:color="auto"/>
            <w:bottom w:val="none" w:sz="0" w:space="0" w:color="auto"/>
            <w:right w:val="none" w:sz="0" w:space="0" w:color="auto"/>
          </w:divBdr>
        </w:div>
      </w:divsChild>
    </w:div>
    <w:div w:id="1147016185">
      <w:bodyDiv w:val="1"/>
      <w:marLeft w:val="0"/>
      <w:marRight w:val="0"/>
      <w:marTop w:val="0"/>
      <w:marBottom w:val="0"/>
      <w:divBdr>
        <w:top w:val="none" w:sz="0" w:space="0" w:color="auto"/>
        <w:left w:val="none" w:sz="0" w:space="0" w:color="auto"/>
        <w:bottom w:val="none" w:sz="0" w:space="0" w:color="auto"/>
        <w:right w:val="none" w:sz="0" w:space="0" w:color="auto"/>
      </w:divBdr>
    </w:div>
    <w:div w:id="1171750892">
      <w:bodyDiv w:val="1"/>
      <w:marLeft w:val="0"/>
      <w:marRight w:val="0"/>
      <w:marTop w:val="0"/>
      <w:marBottom w:val="0"/>
      <w:divBdr>
        <w:top w:val="none" w:sz="0" w:space="0" w:color="auto"/>
        <w:left w:val="none" w:sz="0" w:space="0" w:color="auto"/>
        <w:bottom w:val="none" w:sz="0" w:space="0" w:color="auto"/>
        <w:right w:val="none" w:sz="0" w:space="0" w:color="auto"/>
      </w:divBdr>
      <w:divsChild>
        <w:div w:id="829714155">
          <w:marLeft w:val="0"/>
          <w:marRight w:val="0"/>
          <w:marTop w:val="0"/>
          <w:marBottom w:val="150"/>
          <w:divBdr>
            <w:top w:val="none" w:sz="0" w:space="0" w:color="auto"/>
            <w:left w:val="none" w:sz="0" w:space="0" w:color="auto"/>
            <w:bottom w:val="none" w:sz="0" w:space="0" w:color="auto"/>
            <w:right w:val="none" w:sz="0" w:space="0" w:color="auto"/>
          </w:divBdr>
          <w:divsChild>
            <w:div w:id="248660497">
              <w:marLeft w:val="0"/>
              <w:marRight w:val="0"/>
              <w:marTop w:val="0"/>
              <w:marBottom w:val="0"/>
              <w:divBdr>
                <w:top w:val="none" w:sz="0" w:space="0" w:color="auto"/>
                <w:left w:val="none" w:sz="0" w:space="0" w:color="auto"/>
                <w:bottom w:val="none" w:sz="0" w:space="0" w:color="auto"/>
                <w:right w:val="none" w:sz="0" w:space="0" w:color="auto"/>
              </w:divBdr>
            </w:div>
          </w:divsChild>
        </w:div>
        <w:div w:id="1167330300">
          <w:marLeft w:val="0"/>
          <w:marRight w:val="0"/>
          <w:marTop w:val="0"/>
          <w:marBottom w:val="0"/>
          <w:divBdr>
            <w:top w:val="none" w:sz="0" w:space="0" w:color="auto"/>
            <w:left w:val="none" w:sz="0" w:space="0" w:color="auto"/>
            <w:bottom w:val="none" w:sz="0" w:space="0" w:color="auto"/>
            <w:right w:val="none" w:sz="0" w:space="0" w:color="auto"/>
          </w:divBdr>
        </w:div>
      </w:divsChild>
    </w:div>
    <w:div w:id="1196770931">
      <w:bodyDiv w:val="1"/>
      <w:marLeft w:val="0"/>
      <w:marRight w:val="0"/>
      <w:marTop w:val="0"/>
      <w:marBottom w:val="0"/>
      <w:divBdr>
        <w:top w:val="none" w:sz="0" w:space="0" w:color="auto"/>
        <w:left w:val="none" w:sz="0" w:space="0" w:color="auto"/>
        <w:bottom w:val="none" w:sz="0" w:space="0" w:color="auto"/>
        <w:right w:val="none" w:sz="0" w:space="0" w:color="auto"/>
      </w:divBdr>
      <w:divsChild>
        <w:div w:id="358119486">
          <w:marLeft w:val="0"/>
          <w:marRight w:val="0"/>
          <w:marTop w:val="0"/>
          <w:marBottom w:val="150"/>
          <w:divBdr>
            <w:top w:val="none" w:sz="0" w:space="0" w:color="auto"/>
            <w:left w:val="none" w:sz="0" w:space="0" w:color="auto"/>
            <w:bottom w:val="none" w:sz="0" w:space="0" w:color="auto"/>
            <w:right w:val="none" w:sz="0" w:space="0" w:color="auto"/>
          </w:divBdr>
          <w:divsChild>
            <w:div w:id="2111000435">
              <w:marLeft w:val="0"/>
              <w:marRight w:val="0"/>
              <w:marTop w:val="0"/>
              <w:marBottom w:val="0"/>
              <w:divBdr>
                <w:top w:val="none" w:sz="0" w:space="0" w:color="auto"/>
                <w:left w:val="none" w:sz="0" w:space="0" w:color="auto"/>
                <w:bottom w:val="none" w:sz="0" w:space="0" w:color="auto"/>
                <w:right w:val="none" w:sz="0" w:space="0" w:color="auto"/>
              </w:divBdr>
            </w:div>
          </w:divsChild>
        </w:div>
        <w:div w:id="492575307">
          <w:marLeft w:val="0"/>
          <w:marRight w:val="0"/>
          <w:marTop w:val="0"/>
          <w:marBottom w:val="0"/>
          <w:divBdr>
            <w:top w:val="none" w:sz="0" w:space="0" w:color="auto"/>
            <w:left w:val="none" w:sz="0" w:space="0" w:color="auto"/>
            <w:bottom w:val="none" w:sz="0" w:space="0" w:color="auto"/>
            <w:right w:val="none" w:sz="0" w:space="0" w:color="auto"/>
          </w:divBdr>
        </w:div>
      </w:divsChild>
    </w:div>
    <w:div w:id="1208835118">
      <w:bodyDiv w:val="1"/>
      <w:marLeft w:val="0"/>
      <w:marRight w:val="0"/>
      <w:marTop w:val="0"/>
      <w:marBottom w:val="0"/>
      <w:divBdr>
        <w:top w:val="none" w:sz="0" w:space="0" w:color="auto"/>
        <w:left w:val="none" w:sz="0" w:space="0" w:color="auto"/>
        <w:bottom w:val="none" w:sz="0" w:space="0" w:color="auto"/>
        <w:right w:val="none" w:sz="0" w:space="0" w:color="auto"/>
      </w:divBdr>
      <w:divsChild>
        <w:div w:id="374938375">
          <w:marLeft w:val="0"/>
          <w:marRight w:val="0"/>
          <w:marTop w:val="0"/>
          <w:marBottom w:val="150"/>
          <w:divBdr>
            <w:top w:val="none" w:sz="0" w:space="0" w:color="auto"/>
            <w:left w:val="none" w:sz="0" w:space="0" w:color="auto"/>
            <w:bottom w:val="none" w:sz="0" w:space="0" w:color="auto"/>
            <w:right w:val="none" w:sz="0" w:space="0" w:color="auto"/>
          </w:divBdr>
          <w:divsChild>
            <w:div w:id="2030795058">
              <w:marLeft w:val="0"/>
              <w:marRight w:val="0"/>
              <w:marTop w:val="0"/>
              <w:marBottom w:val="0"/>
              <w:divBdr>
                <w:top w:val="none" w:sz="0" w:space="0" w:color="auto"/>
                <w:left w:val="none" w:sz="0" w:space="0" w:color="auto"/>
                <w:bottom w:val="none" w:sz="0" w:space="0" w:color="auto"/>
                <w:right w:val="none" w:sz="0" w:space="0" w:color="auto"/>
              </w:divBdr>
            </w:div>
          </w:divsChild>
        </w:div>
        <w:div w:id="1588921092">
          <w:marLeft w:val="0"/>
          <w:marRight w:val="0"/>
          <w:marTop w:val="0"/>
          <w:marBottom w:val="0"/>
          <w:divBdr>
            <w:top w:val="none" w:sz="0" w:space="0" w:color="auto"/>
            <w:left w:val="none" w:sz="0" w:space="0" w:color="auto"/>
            <w:bottom w:val="none" w:sz="0" w:space="0" w:color="auto"/>
            <w:right w:val="none" w:sz="0" w:space="0" w:color="auto"/>
          </w:divBdr>
        </w:div>
      </w:divsChild>
    </w:div>
    <w:div w:id="1286621239">
      <w:bodyDiv w:val="1"/>
      <w:marLeft w:val="0"/>
      <w:marRight w:val="0"/>
      <w:marTop w:val="0"/>
      <w:marBottom w:val="0"/>
      <w:divBdr>
        <w:top w:val="none" w:sz="0" w:space="0" w:color="auto"/>
        <w:left w:val="none" w:sz="0" w:space="0" w:color="auto"/>
        <w:bottom w:val="none" w:sz="0" w:space="0" w:color="auto"/>
        <w:right w:val="none" w:sz="0" w:space="0" w:color="auto"/>
      </w:divBdr>
      <w:divsChild>
        <w:div w:id="124932158">
          <w:marLeft w:val="0"/>
          <w:marRight w:val="0"/>
          <w:marTop w:val="0"/>
          <w:marBottom w:val="150"/>
          <w:divBdr>
            <w:top w:val="none" w:sz="0" w:space="0" w:color="auto"/>
            <w:left w:val="none" w:sz="0" w:space="0" w:color="auto"/>
            <w:bottom w:val="none" w:sz="0" w:space="0" w:color="auto"/>
            <w:right w:val="none" w:sz="0" w:space="0" w:color="auto"/>
          </w:divBdr>
          <w:divsChild>
            <w:div w:id="1076778220">
              <w:marLeft w:val="0"/>
              <w:marRight w:val="0"/>
              <w:marTop w:val="0"/>
              <w:marBottom w:val="0"/>
              <w:divBdr>
                <w:top w:val="none" w:sz="0" w:space="0" w:color="auto"/>
                <w:left w:val="none" w:sz="0" w:space="0" w:color="auto"/>
                <w:bottom w:val="none" w:sz="0" w:space="0" w:color="auto"/>
                <w:right w:val="none" w:sz="0" w:space="0" w:color="auto"/>
              </w:divBdr>
            </w:div>
          </w:divsChild>
        </w:div>
        <w:div w:id="1771005434">
          <w:marLeft w:val="0"/>
          <w:marRight w:val="0"/>
          <w:marTop w:val="0"/>
          <w:marBottom w:val="0"/>
          <w:divBdr>
            <w:top w:val="none" w:sz="0" w:space="0" w:color="auto"/>
            <w:left w:val="none" w:sz="0" w:space="0" w:color="auto"/>
            <w:bottom w:val="none" w:sz="0" w:space="0" w:color="auto"/>
            <w:right w:val="none" w:sz="0" w:space="0" w:color="auto"/>
          </w:divBdr>
        </w:div>
      </w:divsChild>
    </w:div>
    <w:div w:id="1365058407">
      <w:bodyDiv w:val="1"/>
      <w:marLeft w:val="0"/>
      <w:marRight w:val="0"/>
      <w:marTop w:val="0"/>
      <w:marBottom w:val="0"/>
      <w:divBdr>
        <w:top w:val="none" w:sz="0" w:space="0" w:color="auto"/>
        <w:left w:val="none" w:sz="0" w:space="0" w:color="auto"/>
        <w:bottom w:val="none" w:sz="0" w:space="0" w:color="auto"/>
        <w:right w:val="none" w:sz="0" w:space="0" w:color="auto"/>
      </w:divBdr>
    </w:div>
    <w:div w:id="1381897709">
      <w:bodyDiv w:val="1"/>
      <w:marLeft w:val="0"/>
      <w:marRight w:val="0"/>
      <w:marTop w:val="0"/>
      <w:marBottom w:val="0"/>
      <w:divBdr>
        <w:top w:val="none" w:sz="0" w:space="0" w:color="auto"/>
        <w:left w:val="none" w:sz="0" w:space="0" w:color="auto"/>
        <w:bottom w:val="none" w:sz="0" w:space="0" w:color="auto"/>
        <w:right w:val="none" w:sz="0" w:space="0" w:color="auto"/>
      </w:divBdr>
      <w:divsChild>
        <w:div w:id="1103109834">
          <w:marLeft w:val="0"/>
          <w:marRight w:val="0"/>
          <w:marTop w:val="0"/>
          <w:marBottom w:val="150"/>
          <w:divBdr>
            <w:top w:val="none" w:sz="0" w:space="0" w:color="auto"/>
            <w:left w:val="none" w:sz="0" w:space="0" w:color="auto"/>
            <w:bottom w:val="none" w:sz="0" w:space="0" w:color="auto"/>
            <w:right w:val="none" w:sz="0" w:space="0" w:color="auto"/>
          </w:divBdr>
          <w:divsChild>
            <w:div w:id="1301181713">
              <w:marLeft w:val="0"/>
              <w:marRight w:val="0"/>
              <w:marTop w:val="0"/>
              <w:marBottom w:val="0"/>
              <w:divBdr>
                <w:top w:val="none" w:sz="0" w:space="0" w:color="auto"/>
                <w:left w:val="none" w:sz="0" w:space="0" w:color="auto"/>
                <w:bottom w:val="none" w:sz="0" w:space="0" w:color="auto"/>
                <w:right w:val="none" w:sz="0" w:space="0" w:color="auto"/>
              </w:divBdr>
            </w:div>
          </w:divsChild>
        </w:div>
        <w:div w:id="1326787339">
          <w:marLeft w:val="0"/>
          <w:marRight w:val="0"/>
          <w:marTop w:val="0"/>
          <w:marBottom w:val="0"/>
          <w:divBdr>
            <w:top w:val="none" w:sz="0" w:space="0" w:color="auto"/>
            <w:left w:val="none" w:sz="0" w:space="0" w:color="auto"/>
            <w:bottom w:val="none" w:sz="0" w:space="0" w:color="auto"/>
            <w:right w:val="none" w:sz="0" w:space="0" w:color="auto"/>
          </w:divBdr>
        </w:div>
      </w:divsChild>
    </w:div>
    <w:div w:id="1424566174">
      <w:bodyDiv w:val="1"/>
      <w:marLeft w:val="0"/>
      <w:marRight w:val="0"/>
      <w:marTop w:val="0"/>
      <w:marBottom w:val="0"/>
      <w:divBdr>
        <w:top w:val="none" w:sz="0" w:space="0" w:color="auto"/>
        <w:left w:val="none" w:sz="0" w:space="0" w:color="auto"/>
        <w:bottom w:val="none" w:sz="0" w:space="0" w:color="auto"/>
        <w:right w:val="none" w:sz="0" w:space="0" w:color="auto"/>
      </w:divBdr>
      <w:divsChild>
        <w:div w:id="657684070">
          <w:marLeft w:val="0"/>
          <w:marRight w:val="0"/>
          <w:marTop w:val="0"/>
          <w:marBottom w:val="0"/>
          <w:divBdr>
            <w:top w:val="none" w:sz="0" w:space="0" w:color="auto"/>
            <w:left w:val="none" w:sz="0" w:space="0" w:color="auto"/>
            <w:bottom w:val="none" w:sz="0" w:space="0" w:color="auto"/>
            <w:right w:val="none" w:sz="0" w:space="0" w:color="auto"/>
          </w:divBdr>
          <w:divsChild>
            <w:div w:id="841433937">
              <w:marLeft w:val="0"/>
              <w:marRight w:val="0"/>
              <w:marTop w:val="0"/>
              <w:marBottom w:val="0"/>
              <w:divBdr>
                <w:top w:val="none" w:sz="0" w:space="0" w:color="auto"/>
                <w:left w:val="none" w:sz="0" w:space="0" w:color="auto"/>
                <w:bottom w:val="none" w:sz="0" w:space="0" w:color="auto"/>
                <w:right w:val="none" w:sz="0" w:space="0" w:color="auto"/>
              </w:divBdr>
              <w:divsChild>
                <w:div w:id="1819229910">
                  <w:marLeft w:val="0"/>
                  <w:marRight w:val="0"/>
                  <w:marTop w:val="0"/>
                  <w:marBottom w:val="0"/>
                  <w:divBdr>
                    <w:top w:val="none" w:sz="0" w:space="0" w:color="auto"/>
                    <w:left w:val="none" w:sz="0" w:space="0" w:color="auto"/>
                    <w:bottom w:val="none" w:sz="0" w:space="0" w:color="auto"/>
                    <w:right w:val="none" w:sz="0" w:space="0" w:color="auto"/>
                  </w:divBdr>
                  <w:divsChild>
                    <w:div w:id="184080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799900">
      <w:bodyDiv w:val="1"/>
      <w:marLeft w:val="0"/>
      <w:marRight w:val="0"/>
      <w:marTop w:val="0"/>
      <w:marBottom w:val="0"/>
      <w:divBdr>
        <w:top w:val="none" w:sz="0" w:space="0" w:color="auto"/>
        <w:left w:val="none" w:sz="0" w:space="0" w:color="auto"/>
        <w:bottom w:val="none" w:sz="0" w:space="0" w:color="auto"/>
        <w:right w:val="none" w:sz="0" w:space="0" w:color="auto"/>
      </w:divBdr>
      <w:divsChild>
        <w:div w:id="1078942421">
          <w:marLeft w:val="0"/>
          <w:marRight w:val="0"/>
          <w:marTop w:val="0"/>
          <w:marBottom w:val="150"/>
          <w:divBdr>
            <w:top w:val="none" w:sz="0" w:space="0" w:color="auto"/>
            <w:left w:val="none" w:sz="0" w:space="0" w:color="auto"/>
            <w:bottom w:val="none" w:sz="0" w:space="0" w:color="auto"/>
            <w:right w:val="none" w:sz="0" w:space="0" w:color="auto"/>
          </w:divBdr>
          <w:divsChild>
            <w:div w:id="881795483">
              <w:marLeft w:val="0"/>
              <w:marRight w:val="0"/>
              <w:marTop w:val="0"/>
              <w:marBottom w:val="0"/>
              <w:divBdr>
                <w:top w:val="none" w:sz="0" w:space="0" w:color="auto"/>
                <w:left w:val="none" w:sz="0" w:space="0" w:color="auto"/>
                <w:bottom w:val="none" w:sz="0" w:space="0" w:color="auto"/>
                <w:right w:val="none" w:sz="0" w:space="0" w:color="auto"/>
              </w:divBdr>
            </w:div>
          </w:divsChild>
        </w:div>
        <w:div w:id="1164782654">
          <w:marLeft w:val="0"/>
          <w:marRight w:val="0"/>
          <w:marTop w:val="0"/>
          <w:marBottom w:val="0"/>
          <w:divBdr>
            <w:top w:val="none" w:sz="0" w:space="0" w:color="auto"/>
            <w:left w:val="none" w:sz="0" w:space="0" w:color="auto"/>
            <w:bottom w:val="none" w:sz="0" w:space="0" w:color="auto"/>
            <w:right w:val="none" w:sz="0" w:space="0" w:color="auto"/>
          </w:divBdr>
        </w:div>
      </w:divsChild>
    </w:div>
    <w:div w:id="1515654950">
      <w:bodyDiv w:val="1"/>
      <w:marLeft w:val="0"/>
      <w:marRight w:val="0"/>
      <w:marTop w:val="0"/>
      <w:marBottom w:val="0"/>
      <w:divBdr>
        <w:top w:val="none" w:sz="0" w:space="0" w:color="auto"/>
        <w:left w:val="none" w:sz="0" w:space="0" w:color="auto"/>
        <w:bottom w:val="none" w:sz="0" w:space="0" w:color="auto"/>
        <w:right w:val="none" w:sz="0" w:space="0" w:color="auto"/>
      </w:divBdr>
    </w:div>
    <w:div w:id="1526212793">
      <w:bodyDiv w:val="1"/>
      <w:marLeft w:val="0"/>
      <w:marRight w:val="0"/>
      <w:marTop w:val="0"/>
      <w:marBottom w:val="0"/>
      <w:divBdr>
        <w:top w:val="none" w:sz="0" w:space="0" w:color="auto"/>
        <w:left w:val="none" w:sz="0" w:space="0" w:color="auto"/>
        <w:bottom w:val="none" w:sz="0" w:space="0" w:color="auto"/>
        <w:right w:val="none" w:sz="0" w:space="0" w:color="auto"/>
      </w:divBdr>
      <w:divsChild>
        <w:div w:id="337465508">
          <w:marLeft w:val="0"/>
          <w:marRight w:val="0"/>
          <w:marTop w:val="0"/>
          <w:marBottom w:val="150"/>
          <w:divBdr>
            <w:top w:val="none" w:sz="0" w:space="0" w:color="auto"/>
            <w:left w:val="none" w:sz="0" w:space="0" w:color="auto"/>
            <w:bottom w:val="none" w:sz="0" w:space="0" w:color="auto"/>
            <w:right w:val="none" w:sz="0" w:space="0" w:color="auto"/>
          </w:divBdr>
          <w:divsChild>
            <w:div w:id="639651756">
              <w:marLeft w:val="0"/>
              <w:marRight w:val="0"/>
              <w:marTop w:val="0"/>
              <w:marBottom w:val="0"/>
              <w:divBdr>
                <w:top w:val="none" w:sz="0" w:space="0" w:color="auto"/>
                <w:left w:val="none" w:sz="0" w:space="0" w:color="auto"/>
                <w:bottom w:val="none" w:sz="0" w:space="0" w:color="auto"/>
                <w:right w:val="none" w:sz="0" w:space="0" w:color="auto"/>
              </w:divBdr>
            </w:div>
          </w:divsChild>
        </w:div>
        <w:div w:id="1303660535">
          <w:marLeft w:val="0"/>
          <w:marRight w:val="0"/>
          <w:marTop w:val="0"/>
          <w:marBottom w:val="0"/>
          <w:divBdr>
            <w:top w:val="none" w:sz="0" w:space="0" w:color="auto"/>
            <w:left w:val="none" w:sz="0" w:space="0" w:color="auto"/>
            <w:bottom w:val="none" w:sz="0" w:space="0" w:color="auto"/>
            <w:right w:val="none" w:sz="0" w:space="0" w:color="auto"/>
          </w:divBdr>
        </w:div>
      </w:divsChild>
    </w:div>
    <w:div w:id="1565526351">
      <w:bodyDiv w:val="1"/>
      <w:marLeft w:val="0"/>
      <w:marRight w:val="0"/>
      <w:marTop w:val="0"/>
      <w:marBottom w:val="0"/>
      <w:divBdr>
        <w:top w:val="none" w:sz="0" w:space="0" w:color="auto"/>
        <w:left w:val="none" w:sz="0" w:space="0" w:color="auto"/>
        <w:bottom w:val="none" w:sz="0" w:space="0" w:color="auto"/>
        <w:right w:val="none" w:sz="0" w:space="0" w:color="auto"/>
      </w:divBdr>
      <w:divsChild>
        <w:div w:id="1186410041">
          <w:marLeft w:val="0"/>
          <w:marRight w:val="0"/>
          <w:marTop w:val="0"/>
          <w:marBottom w:val="0"/>
          <w:divBdr>
            <w:top w:val="none" w:sz="0" w:space="0" w:color="auto"/>
            <w:left w:val="none" w:sz="0" w:space="0" w:color="auto"/>
            <w:bottom w:val="none" w:sz="0" w:space="0" w:color="auto"/>
            <w:right w:val="none" w:sz="0" w:space="0" w:color="auto"/>
          </w:divBdr>
          <w:divsChild>
            <w:div w:id="637422415">
              <w:marLeft w:val="0"/>
              <w:marRight w:val="0"/>
              <w:marTop w:val="0"/>
              <w:marBottom w:val="0"/>
              <w:divBdr>
                <w:top w:val="none" w:sz="0" w:space="0" w:color="auto"/>
                <w:left w:val="none" w:sz="0" w:space="0" w:color="auto"/>
                <w:bottom w:val="none" w:sz="0" w:space="0" w:color="auto"/>
                <w:right w:val="none" w:sz="0" w:space="0" w:color="auto"/>
              </w:divBdr>
              <w:divsChild>
                <w:div w:id="1882477828">
                  <w:marLeft w:val="0"/>
                  <w:marRight w:val="0"/>
                  <w:marTop w:val="0"/>
                  <w:marBottom w:val="0"/>
                  <w:divBdr>
                    <w:top w:val="none" w:sz="0" w:space="0" w:color="auto"/>
                    <w:left w:val="none" w:sz="0" w:space="0" w:color="auto"/>
                    <w:bottom w:val="none" w:sz="0" w:space="0" w:color="auto"/>
                    <w:right w:val="none" w:sz="0" w:space="0" w:color="auto"/>
                  </w:divBdr>
                  <w:divsChild>
                    <w:div w:id="9806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988705">
      <w:bodyDiv w:val="1"/>
      <w:marLeft w:val="0"/>
      <w:marRight w:val="0"/>
      <w:marTop w:val="0"/>
      <w:marBottom w:val="0"/>
      <w:divBdr>
        <w:top w:val="none" w:sz="0" w:space="0" w:color="auto"/>
        <w:left w:val="none" w:sz="0" w:space="0" w:color="auto"/>
        <w:bottom w:val="none" w:sz="0" w:space="0" w:color="auto"/>
        <w:right w:val="none" w:sz="0" w:space="0" w:color="auto"/>
      </w:divBdr>
      <w:divsChild>
        <w:div w:id="1463690039">
          <w:marLeft w:val="0"/>
          <w:marRight w:val="0"/>
          <w:marTop w:val="0"/>
          <w:marBottom w:val="150"/>
          <w:divBdr>
            <w:top w:val="none" w:sz="0" w:space="0" w:color="auto"/>
            <w:left w:val="none" w:sz="0" w:space="0" w:color="auto"/>
            <w:bottom w:val="none" w:sz="0" w:space="0" w:color="auto"/>
            <w:right w:val="none" w:sz="0" w:space="0" w:color="auto"/>
          </w:divBdr>
          <w:divsChild>
            <w:div w:id="632520682">
              <w:marLeft w:val="0"/>
              <w:marRight w:val="0"/>
              <w:marTop w:val="0"/>
              <w:marBottom w:val="0"/>
              <w:divBdr>
                <w:top w:val="none" w:sz="0" w:space="0" w:color="auto"/>
                <w:left w:val="none" w:sz="0" w:space="0" w:color="auto"/>
                <w:bottom w:val="none" w:sz="0" w:space="0" w:color="auto"/>
                <w:right w:val="none" w:sz="0" w:space="0" w:color="auto"/>
              </w:divBdr>
            </w:div>
          </w:divsChild>
        </w:div>
        <w:div w:id="8022659">
          <w:marLeft w:val="0"/>
          <w:marRight w:val="0"/>
          <w:marTop w:val="0"/>
          <w:marBottom w:val="0"/>
          <w:divBdr>
            <w:top w:val="none" w:sz="0" w:space="0" w:color="auto"/>
            <w:left w:val="none" w:sz="0" w:space="0" w:color="auto"/>
            <w:bottom w:val="none" w:sz="0" w:space="0" w:color="auto"/>
            <w:right w:val="none" w:sz="0" w:space="0" w:color="auto"/>
          </w:divBdr>
        </w:div>
      </w:divsChild>
    </w:div>
    <w:div w:id="1622999435">
      <w:bodyDiv w:val="1"/>
      <w:marLeft w:val="0"/>
      <w:marRight w:val="0"/>
      <w:marTop w:val="0"/>
      <w:marBottom w:val="0"/>
      <w:divBdr>
        <w:top w:val="none" w:sz="0" w:space="0" w:color="auto"/>
        <w:left w:val="none" w:sz="0" w:space="0" w:color="auto"/>
        <w:bottom w:val="none" w:sz="0" w:space="0" w:color="auto"/>
        <w:right w:val="none" w:sz="0" w:space="0" w:color="auto"/>
      </w:divBdr>
      <w:divsChild>
        <w:div w:id="646280375">
          <w:marLeft w:val="0"/>
          <w:marRight w:val="0"/>
          <w:marTop w:val="0"/>
          <w:marBottom w:val="150"/>
          <w:divBdr>
            <w:top w:val="none" w:sz="0" w:space="0" w:color="auto"/>
            <w:left w:val="none" w:sz="0" w:space="0" w:color="auto"/>
            <w:bottom w:val="none" w:sz="0" w:space="0" w:color="auto"/>
            <w:right w:val="none" w:sz="0" w:space="0" w:color="auto"/>
          </w:divBdr>
          <w:divsChild>
            <w:div w:id="388504355">
              <w:marLeft w:val="0"/>
              <w:marRight w:val="0"/>
              <w:marTop w:val="0"/>
              <w:marBottom w:val="0"/>
              <w:divBdr>
                <w:top w:val="none" w:sz="0" w:space="0" w:color="auto"/>
                <w:left w:val="none" w:sz="0" w:space="0" w:color="auto"/>
                <w:bottom w:val="none" w:sz="0" w:space="0" w:color="auto"/>
                <w:right w:val="none" w:sz="0" w:space="0" w:color="auto"/>
              </w:divBdr>
            </w:div>
          </w:divsChild>
        </w:div>
        <w:div w:id="1045520603">
          <w:marLeft w:val="0"/>
          <w:marRight w:val="0"/>
          <w:marTop w:val="0"/>
          <w:marBottom w:val="0"/>
          <w:divBdr>
            <w:top w:val="none" w:sz="0" w:space="0" w:color="auto"/>
            <w:left w:val="none" w:sz="0" w:space="0" w:color="auto"/>
            <w:bottom w:val="none" w:sz="0" w:space="0" w:color="auto"/>
            <w:right w:val="none" w:sz="0" w:space="0" w:color="auto"/>
          </w:divBdr>
        </w:div>
      </w:divsChild>
    </w:div>
    <w:div w:id="1636179597">
      <w:bodyDiv w:val="1"/>
      <w:marLeft w:val="0"/>
      <w:marRight w:val="0"/>
      <w:marTop w:val="0"/>
      <w:marBottom w:val="0"/>
      <w:divBdr>
        <w:top w:val="none" w:sz="0" w:space="0" w:color="auto"/>
        <w:left w:val="none" w:sz="0" w:space="0" w:color="auto"/>
        <w:bottom w:val="none" w:sz="0" w:space="0" w:color="auto"/>
        <w:right w:val="none" w:sz="0" w:space="0" w:color="auto"/>
      </w:divBdr>
    </w:div>
    <w:div w:id="1639995107">
      <w:bodyDiv w:val="1"/>
      <w:marLeft w:val="0"/>
      <w:marRight w:val="0"/>
      <w:marTop w:val="0"/>
      <w:marBottom w:val="0"/>
      <w:divBdr>
        <w:top w:val="none" w:sz="0" w:space="0" w:color="auto"/>
        <w:left w:val="none" w:sz="0" w:space="0" w:color="auto"/>
        <w:bottom w:val="none" w:sz="0" w:space="0" w:color="auto"/>
        <w:right w:val="none" w:sz="0" w:space="0" w:color="auto"/>
      </w:divBdr>
      <w:divsChild>
        <w:div w:id="947195601">
          <w:marLeft w:val="0"/>
          <w:marRight w:val="0"/>
          <w:marTop w:val="0"/>
          <w:marBottom w:val="150"/>
          <w:divBdr>
            <w:top w:val="none" w:sz="0" w:space="0" w:color="auto"/>
            <w:left w:val="none" w:sz="0" w:space="0" w:color="auto"/>
            <w:bottom w:val="none" w:sz="0" w:space="0" w:color="auto"/>
            <w:right w:val="none" w:sz="0" w:space="0" w:color="auto"/>
          </w:divBdr>
          <w:divsChild>
            <w:div w:id="1764108809">
              <w:marLeft w:val="0"/>
              <w:marRight w:val="0"/>
              <w:marTop w:val="0"/>
              <w:marBottom w:val="0"/>
              <w:divBdr>
                <w:top w:val="none" w:sz="0" w:space="0" w:color="auto"/>
                <w:left w:val="none" w:sz="0" w:space="0" w:color="auto"/>
                <w:bottom w:val="none" w:sz="0" w:space="0" w:color="auto"/>
                <w:right w:val="none" w:sz="0" w:space="0" w:color="auto"/>
              </w:divBdr>
              <w:divsChild>
                <w:div w:id="68671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773202">
          <w:marLeft w:val="0"/>
          <w:marRight w:val="0"/>
          <w:marTop w:val="0"/>
          <w:marBottom w:val="0"/>
          <w:divBdr>
            <w:top w:val="none" w:sz="0" w:space="0" w:color="auto"/>
            <w:left w:val="none" w:sz="0" w:space="0" w:color="auto"/>
            <w:bottom w:val="none" w:sz="0" w:space="0" w:color="auto"/>
            <w:right w:val="none" w:sz="0" w:space="0" w:color="auto"/>
          </w:divBdr>
        </w:div>
      </w:divsChild>
    </w:div>
    <w:div w:id="1679504213">
      <w:bodyDiv w:val="1"/>
      <w:marLeft w:val="0"/>
      <w:marRight w:val="0"/>
      <w:marTop w:val="0"/>
      <w:marBottom w:val="0"/>
      <w:divBdr>
        <w:top w:val="none" w:sz="0" w:space="0" w:color="auto"/>
        <w:left w:val="none" w:sz="0" w:space="0" w:color="auto"/>
        <w:bottom w:val="none" w:sz="0" w:space="0" w:color="auto"/>
        <w:right w:val="none" w:sz="0" w:space="0" w:color="auto"/>
      </w:divBdr>
      <w:divsChild>
        <w:div w:id="1542090724">
          <w:marLeft w:val="0"/>
          <w:marRight w:val="0"/>
          <w:marTop w:val="0"/>
          <w:marBottom w:val="150"/>
          <w:divBdr>
            <w:top w:val="none" w:sz="0" w:space="0" w:color="auto"/>
            <w:left w:val="none" w:sz="0" w:space="0" w:color="auto"/>
            <w:bottom w:val="none" w:sz="0" w:space="0" w:color="auto"/>
            <w:right w:val="none" w:sz="0" w:space="0" w:color="auto"/>
          </w:divBdr>
          <w:divsChild>
            <w:div w:id="826478402">
              <w:marLeft w:val="0"/>
              <w:marRight w:val="0"/>
              <w:marTop w:val="0"/>
              <w:marBottom w:val="0"/>
              <w:divBdr>
                <w:top w:val="none" w:sz="0" w:space="0" w:color="auto"/>
                <w:left w:val="none" w:sz="0" w:space="0" w:color="auto"/>
                <w:bottom w:val="none" w:sz="0" w:space="0" w:color="auto"/>
                <w:right w:val="none" w:sz="0" w:space="0" w:color="auto"/>
              </w:divBdr>
            </w:div>
          </w:divsChild>
        </w:div>
        <w:div w:id="478770347">
          <w:marLeft w:val="0"/>
          <w:marRight w:val="0"/>
          <w:marTop w:val="0"/>
          <w:marBottom w:val="0"/>
          <w:divBdr>
            <w:top w:val="none" w:sz="0" w:space="0" w:color="auto"/>
            <w:left w:val="none" w:sz="0" w:space="0" w:color="auto"/>
            <w:bottom w:val="none" w:sz="0" w:space="0" w:color="auto"/>
            <w:right w:val="none" w:sz="0" w:space="0" w:color="auto"/>
          </w:divBdr>
        </w:div>
      </w:divsChild>
    </w:div>
    <w:div w:id="1701008637">
      <w:bodyDiv w:val="1"/>
      <w:marLeft w:val="0"/>
      <w:marRight w:val="0"/>
      <w:marTop w:val="0"/>
      <w:marBottom w:val="0"/>
      <w:divBdr>
        <w:top w:val="none" w:sz="0" w:space="0" w:color="auto"/>
        <w:left w:val="none" w:sz="0" w:space="0" w:color="auto"/>
        <w:bottom w:val="none" w:sz="0" w:space="0" w:color="auto"/>
        <w:right w:val="none" w:sz="0" w:space="0" w:color="auto"/>
      </w:divBdr>
      <w:divsChild>
        <w:div w:id="395129702">
          <w:marLeft w:val="0"/>
          <w:marRight w:val="0"/>
          <w:marTop w:val="0"/>
          <w:marBottom w:val="0"/>
          <w:divBdr>
            <w:top w:val="none" w:sz="0" w:space="0" w:color="auto"/>
            <w:left w:val="none" w:sz="0" w:space="0" w:color="auto"/>
            <w:bottom w:val="none" w:sz="0" w:space="0" w:color="auto"/>
            <w:right w:val="none" w:sz="0" w:space="0" w:color="auto"/>
          </w:divBdr>
          <w:divsChild>
            <w:div w:id="1506018434">
              <w:marLeft w:val="0"/>
              <w:marRight w:val="0"/>
              <w:marTop w:val="0"/>
              <w:marBottom w:val="0"/>
              <w:divBdr>
                <w:top w:val="none" w:sz="0" w:space="0" w:color="auto"/>
                <w:left w:val="none" w:sz="0" w:space="0" w:color="auto"/>
                <w:bottom w:val="none" w:sz="0" w:space="0" w:color="auto"/>
                <w:right w:val="none" w:sz="0" w:space="0" w:color="auto"/>
              </w:divBdr>
            </w:div>
            <w:div w:id="1796875121">
              <w:marLeft w:val="0"/>
              <w:marRight w:val="0"/>
              <w:marTop w:val="0"/>
              <w:marBottom w:val="0"/>
              <w:divBdr>
                <w:top w:val="none" w:sz="0" w:space="0" w:color="auto"/>
                <w:left w:val="none" w:sz="0" w:space="0" w:color="auto"/>
                <w:bottom w:val="none" w:sz="0" w:space="0" w:color="auto"/>
                <w:right w:val="none" w:sz="0" w:space="0" w:color="auto"/>
              </w:divBdr>
            </w:div>
            <w:div w:id="13267595">
              <w:marLeft w:val="0"/>
              <w:marRight w:val="0"/>
              <w:marTop w:val="0"/>
              <w:marBottom w:val="0"/>
              <w:divBdr>
                <w:top w:val="none" w:sz="0" w:space="0" w:color="auto"/>
                <w:left w:val="none" w:sz="0" w:space="0" w:color="auto"/>
                <w:bottom w:val="none" w:sz="0" w:space="0" w:color="auto"/>
                <w:right w:val="none" w:sz="0" w:space="0" w:color="auto"/>
              </w:divBdr>
              <w:divsChild>
                <w:div w:id="834498094">
                  <w:marLeft w:val="0"/>
                  <w:marRight w:val="0"/>
                  <w:marTop w:val="0"/>
                  <w:marBottom w:val="0"/>
                  <w:divBdr>
                    <w:top w:val="none" w:sz="0" w:space="0" w:color="auto"/>
                    <w:left w:val="none" w:sz="0" w:space="0" w:color="auto"/>
                    <w:bottom w:val="none" w:sz="0" w:space="0" w:color="auto"/>
                    <w:right w:val="none" w:sz="0" w:space="0" w:color="auto"/>
                  </w:divBdr>
                </w:div>
                <w:div w:id="599221332">
                  <w:marLeft w:val="0"/>
                  <w:marRight w:val="0"/>
                  <w:marTop w:val="0"/>
                  <w:marBottom w:val="0"/>
                  <w:divBdr>
                    <w:top w:val="none" w:sz="0" w:space="0" w:color="auto"/>
                    <w:left w:val="none" w:sz="0" w:space="0" w:color="auto"/>
                    <w:bottom w:val="none" w:sz="0" w:space="0" w:color="auto"/>
                    <w:right w:val="none" w:sz="0" w:space="0" w:color="auto"/>
                  </w:divBdr>
                  <w:divsChild>
                    <w:div w:id="1615555219">
                      <w:marLeft w:val="0"/>
                      <w:marRight w:val="0"/>
                      <w:marTop w:val="0"/>
                      <w:marBottom w:val="0"/>
                      <w:divBdr>
                        <w:top w:val="none" w:sz="0" w:space="0" w:color="auto"/>
                        <w:left w:val="none" w:sz="0" w:space="0" w:color="auto"/>
                        <w:bottom w:val="none" w:sz="0" w:space="0" w:color="auto"/>
                        <w:right w:val="none" w:sz="0" w:space="0" w:color="auto"/>
                      </w:divBdr>
                      <w:divsChild>
                        <w:div w:id="1434132511">
                          <w:marLeft w:val="0"/>
                          <w:marRight w:val="0"/>
                          <w:marTop w:val="0"/>
                          <w:marBottom w:val="0"/>
                          <w:divBdr>
                            <w:top w:val="none" w:sz="0" w:space="0" w:color="auto"/>
                            <w:left w:val="none" w:sz="0" w:space="0" w:color="auto"/>
                            <w:bottom w:val="none" w:sz="0" w:space="0" w:color="auto"/>
                            <w:right w:val="none" w:sz="0" w:space="0" w:color="auto"/>
                          </w:divBdr>
                          <w:divsChild>
                            <w:div w:id="206367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3874017">
              <w:marLeft w:val="0"/>
              <w:marRight w:val="0"/>
              <w:marTop w:val="0"/>
              <w:marBottom w:val="0"/>
              <w:divBdr>
                <w:top w:val="none" w:sz="0" w:space="0" w:color="auto"/>
                <w:left w:val="none" w:sz="0" w:space="0" w:color="auto"/>
                <w:bottom w:val="none" w:sz="0" w:space="0" w:color="auto"/>
                <w:right w:val="none" w:sz="0" w:space="0" w:color="auto"/>
              </w:divBdr>
              <w:divsChild>
                <w:div w:id="1624775308">
                  <w:marLeft w:val="0"/>
                  <w:marRight w:val="0"/>
                  <w:marTop w:val="0"/>
                  <w:marBottom w:val="0"/>
                  <w:divBdr>
                    <w:top w:val="none" w:sz="0" w:space="0" w:color="auto"/>
                    <w:left w:val="none" w:sz="0" w:space="0" w:color="auto"/>
                    <w:bottom w:val="none" w:sz="0" w:space="0" w:color="auto"/>
                    <w:right w:val="none" w:sz="0" w:space="0" w:color="auto"/>
                  </w:divBdr>
                </w:div>
                <w:div w:id="1901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663051">
      <w:bodyDiv w:val="1"/>
      <w:marLeft w:val="0"/>
      <w:marRight w:val="0"/>
      <w:marTop w:val="0"/>
      <w:marBottom w:val="0"/>
      <w:divBdr>
        <w:top w:val="none" w:sz="0" w:space="0" w:color="auto"/>
        <w:left w:val="none" w:sz="0" w:space="0" w:color="auto"/>
        <w:bottom w:val="none" w:sz="0" w:space="0" w:color="auto"/>
        <w:right w:val="none" w:sz="0" w:space="0" w:color="auto"/>
      </w:divBdr>
      <w:divsChild>
        <w:div w:id="610816416">
          <w:marLeft w:val="0"/>
          <w:marRight w:val="0"/>
          <w:marTop w:val="0"/>
          <w:marBottom w:val="150"/>
          <w:divBdr>
            <w:top w:val="none" w:sz="0" w:space="0" w:color="auto"/>
            <w:left w:val="none" w:sz="0" w:space="0" w:color="auto"/>
            <w:bottom w:val="none" w:sz="0" w:space="0" w:color="auto"/>
            <w:right w:val="none" w:sz="0" w:space="0" w:color="auto"/>
          </w:divBdr>
          <w:divsChild>
            <w:div w:id="2124571816">
              <w:marLeft w:val="0"/>
              <w:marRight w:val="0"/>
              <w:marTop w:val="0"/>
              <w:marBottom w:val="0"/>
              <w:divBdr>
                <w:top w:val="none" w:sz="0" w:space="0" w:color="auto"/>
                <w:left w:val="none" w:sz="0" w:space="0" w:color="auto"/>
                <w:bottom w:val="none" w:sz="0" w:space="0" w:color="auto"/>
                <w:right w:val="none" w:sz="0" w:space="0" w:color="auto"/>
              </w:divBdr>
            </w:div>
          </w:divsChild>
        </w:div>
        <w:div w:id="2146121424">
          <w:marLeft w:val="0"/>
          <w:marRight w:val="0"/>
          <w:marTop w:val="0"/>
          <w:marBottom w:val="0"/>
          <w:divBdr>
            <w:top w:val="none" w:sz="0" w:space="0" w:color="auto"/>
            <w:left w:val="none" w:sz="0" w:space="0" w:color="auto"/>
            <w:bottom w:val="none" w:sz="0" w:space="0" w:color="auto"/>
            <w:right w:val="none" w:sz="0" w:space="0" w:color="auto"/>
          </w:divBdr>
        </w:div>
      </w:divsChild>
    </w:div>
    <w:div w:id="1722747365">
      <w:bodyDiv w:val="1"/>
      <w:marLeft w:val="0"/>
      <w:marRight w:val="0"/>
      <w:marTop w:val="0"/>
      <w:marBottom w:val="0"/>
      <w:divBdr>
        <w:top w:val="none" w:sz="0" w:space="0" w:color="auto"/>
        <w:left w:val="none" w:sz="0" w:space="0" w:color="auto"/>
        <w:bottom w:val="none" w:sz="0" w:space="0" w:color="auto"/>
        <w:right w:val="none" w:sz="0" w:space="0" w:color="auto"/>
      </w:divBdr>
      <w:divsChild>
        <w:div w:id="1397505738">
          <w:marLeft w:val="0"/>
          <w:marRight w:val="0"/>
          <w:marTop w:val="0"/>
          <w:marBottom w:val="0"/>
          <w:divBdr>
            <w:top w:val="none" w:sz="0" w:space="0" w:color="auto"/>
            <w:left w:val="none" w:sz="0" w:space="0" w:color="auto"/>
            <w:bottom w:val="none" w:sz="0" w:space="0" w:color="auto"/>
            <w:right w:val="none" w:sz="0" w:space="0" w:color="auto"/>
          </w:divBdr>
          <w:divsChild>
            <w:div w:id="1995328748">
              <w:marLeft w:val="0"/>
              <w:marRight w:val="0"/>
              <w:marTop w:val="0"/>
              <w:marBottom w:val="0"/>
              <w:divBdr>
                <w:top w:val="none" w:sz="0" w:space="0" w:color="auto"/>
                <w:left w:val="none" w:sz="0" w:space="0" w:color="auto"/>
                <w:bottom w:val="none" w:sz="0" w:space="0" w:color="auto"/>
                <w:right w:val="none" w:sz="0" w:space="0" w:color="auto"/>
              </w:divBdr>
              <w:divsChild>
                <w:div w:id="904998194">
                  <w:marLeft w:val="0"/>
                  <w:marRight w:val="0"/>
                  <w:marTop w:val="0"/>
                  <w:marBottom w:val="0"/>
                  <w:divBdr>
                    <w:top w:val="none" w:sz="0" w:space="0" w:color="auto"/>
                    <w:left w:val="none" w:sz="0" w:space="0" w:color="auto"/>
                    <w:bottom w:val="none" w:sz="0" w:space="0" w:color="auto"/>
                    <w:right w:val="none" w:sz="0" w:space="0" w:color="auto"/>
                  </w:divBdr>
                  <w:divsChild>
                    <w:div w:id="155878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528607">
              <w:marLeft w:val="0"/>
              <w:marRight w:val="0"/>
              <w:marTop w:val="0"/>
              <w:marBottom w:val="0"/>
              <w:divBdr>
                <w:top w:val="none" w:sz="0" w:space="0" w:color="auto"/>
                <w:left w:val="none" w:sz="0" w:space="0" w:color="auto"/>
                <w:bottom w:val="none" w:sz="0" w:space="0" w:color="auto"/>
                <w:right w:val="none" w:sz="0" w:space="0" w:color="auto"/>
              </w:divBdr>
              <w:divsChild>
                <w:div w:id="1043753766">
                  <w:marLeft w:val="0"/>
                  <w:marRight w:val="0"/>
                  <w:marTop w:val="0"/>
                  <w:marBottom w:val="0"/>
                  <w:divBdr>
                    <w:top w:val="none" w:sz="0" w:space="0" w:color="auto"/>
                    <w:left w:val="none" w:sz="0" w:space="0" w:color="auto"/>
                    <w:bottom w:val="none" w:sz="0" w:space="0" w:color="auto"/>
                    <w:right w:val="none" w:sz="0" w:space="0" w:color="auto"/>
                  </w:divBdr>
                  <w:divsChild>
                    <w:div w:id="49252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118730">
              <w:marLeft w:val="0"/>
              <w:marRight w:val="0"/>
              <w:marTop w:val="0"/>
              <w:marBottom w:val="0"/>
              <w:divBdr>
                <w:top w:val="none" w:sz="0" w:space="0" w:color="auto"/>
                <w:left w:val="none" w:sz="0" w:space="0" w:color="auto"/>
                <w:bottom w:val="none" w:sz="0" w:space="0" w:color="auto"/>
                <w:right w:val="none" w:sz="0" w:space="0" w:color="auto"/>
              </w:divBdr>
              <w:divsChild>
                <w:div w:id="33624257">
                  <w:marLeft w:val="0"/>
                  <w:marRight w:val="0"/>
                  <w:marTop w:val="0"/>
                  <w:marBottom w:val="0"/>
                  <w:divBdr>
                    <w:top w:val="none" w:sz="0" w:space="0" w:color="auto"/>
                    <w:left w:val="none" w:sz="0" w:space="0" w:color="auto"/>
                    <w:bottom w:val="none" w:sz="0" w:space="0" w:color="auto"/>
                    <w:right w:val="none" w:sz="0" w:space="0" w:color="auto"/>
                  </w:divBdr>
                </w:div>
                <w:div w:id="1409764811">
                  <w:marLeft w:val="0"/>
                  <w:marRight w:val="0"/>
                  <w:marTop w:val="0"/>
                  <w:marBottom w:val="0"/>
                  <w:divBdr>
                    <w:top w:val="none" w:sz="0" w:space="0" w:color="auto"/>
                    <w:left w:val="none" w:sz="0" w:space="0" w:color="auto"/>
                    <w:bottom w:val="none" w:sz="0" w:space="0" w:color="auto"/>
                    <w:right w:val="none" w:sz="0" w:space="0" w:color="auto"/>
                  </w:divBdr>
                </w:div>
                <w:div w:id="5207700">
                  <w:marLeft w:val="0"/>
                  <w:marRight w:val="0"/>
                  <w:marTop w:val="0"/>
                  <w:marBottom w:val="0"/>
                  <w:divBdr>
                    <w:top w:val="none" w:sz="0" w:space="0" w:color="auto"/>
                    <w:left w:val="none" w:sz="0" w:space="0" w:color="auto"/>
                    <w:bottom w:val="none" w:sz="0" w:space="0" w:color="auto"/>
                    <w:right w:val="none" w:sz="0" w:space="0" w:color="auto"/>
                  </w:divBdr>
                </w:div>
              </w:divsChild>
            </w:div>
            <w:div w:id="438375927">
              <w:marLeft w:val="0"/>
              <w:marRight w:val="0"/>
              <w:marTop w:val="0"/>
              <w:marBottom w:val="0"/>
              <w:divBdr>
                <w:top w:val="none" w:sz="0" w:space="0" w:color="auto"/>
                <w:left w:val="none" w:sz="0" w:space="0" w:color="auto"/>
                <w:bottom w:val="none" w:sz="0" w:space="0" w:color="auto"/>
                <w:right w:val="none" w:sz="0" w:space="0" w:color="auto"/>
              </w:divBdr>
            </w:div>
            <w:div w:id="284045358">
              <w:marLeft w:val="0"/>
              <w:marRight w:val="0"/>
              <w:marTop w:val="0"/>
              <w:marBottom w:val="0"/>
              <w:divBdr>
                <w:top w:val="none" w:sz="0" w:space="0" w:color="auto"/>
                <w:left w:val="none" w:sz="0" w:space="0" w:color="auto"/>
                <w:bottom w:val="none" w:sz="0" w:space="0" w:color="auto"/>
                <w:right w:val="none" w:sz="0" w:space="0" w:color="auto"/>
              </w:divBdr>
              <w:divsChild>
                <w:div w:id="1522204862">
                  <w:marLeft w:val="0"/>
                  <w:marRight w:val="0"/>
                  <w:marTop w:val="0"/>
                  <w:marBottom w:val="0"/>
                  <w:divBdr>
                    <w:top w:val="none" w:sz="0" w:space="0" w:color="auto"/>
                    <w:left w:val="none" w:sz="0" w:space="0" w:color="auto"/>
                    <w:bottom w:val="none" w:sz="0" w:space="0" w:color="auto"/>
                    <w:right w:val="none" w:sz="0" w:space="0" w:color="auto"/>
                  </w:divBdr>
                  <w:divsChild>
                    <w:div w:id="104316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658134">
              <w:marLeft w:val="0"/>
              <w:marRight w:val="0"/>
              <w:marTop w:val="0"/>
              <w:marBottom w:val="0"/>
              <w:divBdr>
                <w:top w:val="none" w:sz="0" w:space="0" w:color="auto"/>
                <w:left w:val="none" w:sz="0" w:space="0" w:color="auto"/>
                <w:bottom w:val="none" w:sz="0" w:space="0" w:color="auto"/>
                <w:right w:val="none" w:sz="0" w:space="0" w:color="auto"/>
              </w:divBdr>
              <w:divsChild>
                <w:div w:id="27268247">
                  <w:marLeft w:val="0"/>
                  <w:marRight w:val="0"/>
                  <w:marTop w:val="0"/>
                  <w:marBottom w:val="0"/>
                  <w:divBdr>
                    <w:top w:val="none" w:sz="0" w:space="0" w:color="auto"/>
                    <w:left w:val="none" w:sz="0" w:space="0" w:color="auto"/>
                    <w:bottom w:val="none" w:sz="0" w:space="0" w:color="auto"/>
                    <w:right w:val="none" w:sz="0" w:space="0" w:color="auto"/>
                  </w:divBdr>
                  <w:divsChild>
                    <w:div w:id="169110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649792">
      <w:bodyDiv w:val="1"/>
      <w:marLeft w:val="0"/>
      <w:marRight w:val="0"/>
      <w:marTop w:val="0"/>
      <w:marBottom w:val="0"/>
      <w:divBdr>
        <w:top w:val="none" w:sz="0" w:space="0" w:color="auto"/>
        <w:left w:val="none" w:sz="0" w:space="0" w:color="auto"/>
        <w:bottom w:val="none" w:sz="0" w:space="0" w:color="auto"/>
        <w:right w:val="none" w:sz="0" w:space="0" w:color="auto"/>
      </w:divBdr>
      <w:divsChild>
        <w:div w:id="14771133">
          <w:marLeft w:val="0"/>
          <w:marRight w:val="0"/>
          <w:marTop w:val="0"/>
          <w:marBottom w:val="0"/>
          <w:divBdr>
            <w:top w:val="none" w:sz="0" w:space="0" w:color="auto"/>
            <w:left w:val="none" w:sz="0" w:space="0" w:color="auto"/>
            <w:bottom w:val="none" w:sz="0" w:space="0" w:color="auto"/>
            <w:right w:val="none" w:sz="0" w:space="0" w:color="auto"/>
          </w:divBdr>
          <w:divsChild>
            <w:div w:id="242378253">
              <w:marLeft w:val="0"/>
              <w:marRight w:val="0"/>
              <w:marTop w:val="0"/>
              <w:marBottom w:val="0"/>
              <w:divBdr>
                <w:top w:val="none" w:sz="0" w:space="0" w:color="auto"/>
                <w:left w:val="none" w:sz="0" w:space="0" w:color="auto"/>
                <w:bottom w:val="none" w:sz="0" w:space="0" w:color="auto"/>
                <w:right w:val="none" w:sz="0" w:space="0" w:color="auto"/>
              </w:divBdr>
              <w:divsChild>
                <w:div w:id="683824051">
                  <w:marLeft w:val="0"/>
                  <w:marRight w:val="0"/>
                  <w:marTop w:val="0"/>
                  <w:marBottom w:val="0"/>
                  <w:divBdr>
                    <w:top w:val="none" w:sz="0" w:space="0" w:color="auto"/>
                    <w:left w:val="none" w:sz="0" w:space="0" w:color="auto"/>
                    <w:bottom w:val="none" w:sz="0" w:space="0" w:color="auto"/>
                    <w:right w:val="none" w:sz="0" w:space="0" w:color="auto"/>
                  </w:divBdr>
                  <w:divsChild>
                    <w:div w:id="115888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027497">
              <w:marLeft w:val="0"/>
              <w:marRight w:val="0"/>
              <w:marTop w:val="0"/>
              <w:marBottom w:val="0"/>
              <w:divBdr>
                <w:top w:val="none" w:sz="0" w:space="0" w:color="auto"/>
                <w:left w:val="none" w:sz="0" w:space="0" w:color="auto"/>
                <w:bottom w:val="none" w:sz="0" w:space="0" w:color="auto"/>
                <w:right w:val="none" w:sz="0" w:space="0" w:color="auto"/>
              </w:divBdr>
              <w:divsChild>
                <w:div w:id="502013443">
                  <w:marLeft w:val="0"/>
                  <w:marRight w:val="0"/>
                  <w:marTop w:val="0"/>
                  <w:marBottom w:val="0"/>
                  <w:divBdr>
                    <w:top w:val="none" w:sz="0" w:space="0" w:color="auto"/>
                    <w:left w:val="none" w:sz="0" w:space="0" w:color="auto"/>
                    <w:bottom w:val="none" w:sz="0" w:space="0" w:color="auto"/>
                    <w:right w:val="none" w:sz="0" w:space="0" w:color="auto"/>
                  </w:divBdr>
                  <w:divsChild>
                    <w:div w:id="502547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005022">
              <w:marLeft w:val="0"/>
              <w:marRight w:val="0"/>
              <w:marTop w:val="0"/>
              <w:marBottom w:val="0"/>
              <w:divBdr>
                <w:top w:val="none" w:sz="0" w:space="0" w:color="auto"/>
                <w:left w:val="none" w:sz="0" w:space="0" w:color="auto"/>
                <w:bottom w:val="none" w:sz="0" w:space="0" w:color="auto"/>
                <w:right w:val="none" w:sz="0" w:space="0" w:color="auto"/>
              </w:divBdr>
              <w:divsChild>
                <w:div w:id="196699766">
                  <w:marLeft w:val="0"/>
                  <w:marRight w:val="0"/>
                  <w:marTop w:val="0"/>
                  <w:marBottom w:val="0"/>
                  <w:divBdr>
                    <w:top w:val="none" w:sz="0" w:space="0" w:color="auto"/>
                    <w:left w:val="none" w:sz="0" w:space="0" w:color="auto"/>
                    <w:bottom w:val="none" w:sz="0" w:space="0" w:color="auto"/>
                    <w:right w:val="none" w:sz="0" w:space="0" w:color="auto"/>
                  </w:divBdr>
                  <w:divsChild>
                    <w:div w:id="137430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674586">
              <w:marLeft w:val="0"/>
              <w:marRight w:val="0"/>
              <w:marTop w:val="0"/>
              <w:marBottom w:val="0"/>
              <w:divBdr>
                <w:top w:val="none" w:sz="0" w:space="0" w:color="auto"/>
                <w:left w:val="none" w:sz="0" w:space="0" w:color="auto"/>
                <w:bottom w:val="none" w:sz="0" w:space="0" w:color="auto"/>
                <w:right w:val="none" w:sz="0" w:space="0" w:color="auto"/>
              </w:divBdr>
            </w:div>
            <w:div w:id="303698588">
              <w:marLeft w:val="0"/>
              <w:marRight w:val="0"/>
              <w:marTop w:val="0"/>
              <w:marBottom w:val="0"/>
              <w:divBdr>
                <w:top w:val="none" w:sz="0" w:space="0" w:color="auto"/>
                <w:left w:val="none" w:sz="0" w:space="0" w:color="auto"/>
                <w:bottom w:val="none" w:sz="0" w:space="0" w:color="auto"/>
                <w:right w:val="none" w:sz="0" w:space="0" w:color="auto"/>
              </w:divBdr>
            </w:div>
            <w:div w:id="5253813">
              <w:marLeft w:val="0"/>
              <w:marRight w:val="0"/>
              <w:marTop w:val="0"/>
              <w:marBottom w:val="0"/>
              <w:divBdr>
                <w:top w:val="none" w:sz="0" w:space="0" w:color="auto"/>
                <w:left w:val="none" w:sz="0" w:space="0" w:color="auto"/>
                <w:bottom w:val="none" w:sz="0" w:space="0" w:color="auto"/>
                <w:right w:val="none" w:sz="0" w:space="0" w:color="auto"/>
              </w:divBdr>
              <w:divsChild>
                <w:div w:id="1955357178">
                  <w:marLeft w:val="0"/>
                  <w:marRight w:val="0"/>
                  <w:marTop w:val="0"/>
                  <w:marBottom w:val="0"/>
                  <w:divBdr>
                    <w:top w:val="none" w:sz="0" w:space="0" w:color="auto"/>
                    <w:left w:val="none" w:sz="0" w:space="0" w:color="auto"/>
                    <w:bottom w:val="none" w:sz="0" w:space="0" w:color="auto"/>
                    <w:right w:val="none" w:sz="0" w:space="0" w:color="auto"/>
                  </w:divBdr>
                  <w:divsChild>
                    <w:div w:id="446001493">
                      <w:marLeft w:val="0"/>
                      <w:marRight w:val="0"/>
                      <w:marTop w:val="0"/>
                      <w:marBottom w:val="0"/>
                      <w:divBdr>
                        <w:top w:val="none" w:sz="0" w:space="0" w:color="auto"/>
                        <w:left w:val="none" w:sz="0" w:space="0" w:color="auto"/>
                        <w:bottom w:val="none" w:sz="0" w:space="0" w:color="auto"/>
                        <w:right w:val="none" w:sz="0" w:space="0" w:color="auto"/>
                      </w:divBdr>
                      <w:divsChild>
                        <w:div w:id="1760909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033029">
                  <w:marLeft w:val="0"/>
                  <w:marRight w:val="0"/>
                  <w:marTop w:val="0"/>
                  <w:marBottom w:val="0"/>
                  <w:divBdr>
                    <w:top w:val="none" w:sz="0" w:space="0" w:color="auto"/>
                    <w:left w:val="none" w:sz="0" w:space="0" w:color="auto"/>
                    <w:bottom w:val="none" w:sz="0" w:space="0" w:color="auto"/>
                    <w:right w:val="none" w:sz="0" w:space="0" w:color="auto"/>
                  </w:divBdr>
                  <w:divsChild>
                    <w:div w:id="373892331">
                      <w:marLeft w:val="0"/>
                      <w:marRight w:val="0"/>
                      <w:marTop w:val="0"/>
                      <w:marBottom w:val="0"/>
                      <w:divBdr>
                        <w:top w:val="none" w:sz="0" w:space="0" w:color="auto"/>
                        <w:left w:val="none" w:sz="0" w:space="0" w:color="auto"/>
                        <w:bottom w:val="none" w:sz="0" w:space="0" w:color="auto"/>
                        <w:right w:val="none" w:sz="0" w:space="0" w:color="auto"/>
                      </w:divBdr>
                      <w:divsChild>
                        <w:div w:id="1665082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143353">
                  <w:marLeft w:val="0"/>
                  <w:marRight w:val="0"/>
                  <w:marTop w:val="0"/>
                  <w:marBottom w:val="0"/>
                  <w:divBdr>
                    <w:top w:val="none" w:sz="0" w:space="0" w:color="auto"/>
                    <w:left w:val="none" w:sz="0" w:space="0" w:color="auto"/>
                    <w:bottom w:val="none" w:sz="0" w:space="0" w:color="auto"/>
                    <w:right w:val="none" w:sz="0" w:space="0" w:color="auto"/>
                  </w:divBdr>
                  <w:divsChild>
                    <w:div w:id="1648778920">
                      <w:marLeft w:val="0"/>
                      <w:marRight w:val="0"/>
                      <w:marTop w:val="0"/>
                      <w:marBottom w:val="0"/>
                      <w:divBdr>
                        <w:top w:val="none" w:sz="0" w:space="0" w:color="auto"/>
                        <w:left w:val="none" w:sz="0" w:space="0" w:color="auto"/>
                        <w:bottom w:val="none" w:sz="0" w:space="0" w:color="auto"/>
                        <w:right w:val="none" w:sz="0" w:space="0" w:color="auto"/>
                      </w:divBdr>
                      <w:divsChild>
                        <w:div w:id="103692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320008">
                  <w:marLeft w:val="0"/>
                  <w:marRight w:val="0"/>
                  <w:marTop w:val="0"/>
                  <w:marBottom w:val="0"/>
                  <w:divBdr>
                    <w:top w:val="none" w:sz="0" w:space="0" w:color="auto"/>
                    <w:left w:val="none" w:sz="0" w:space="0" w:color="auto"/>
                    <w:bottom w:val="none" w:sz="0" w:space="0" w:color="auto"/>
                    <w:right w:val="none" w:sz="0" w:space="0" w:color="auto"/>
                  </w:divBdr>
                  <w:divsChild>
                    <w:div w:id="133640937">
                      <w:marLeft w:val="0"/>
                      <w:marRight w:val="0"/>
                      <w:marTop w:val="0"/>
                      <w:marBottom w:val="0"/>
                      <w:divBdr>
                        <w:top w:val="none" w:sz="0" w:space="0" w:color="auto"/>
                        <w:left w:val="none" w:sz="0" w:space="0" w:color="auto"/>
                        <w:bottom w:val="none" w:sz="0" w:space="0" w:color="auto"/>
                        <w:right w:val="none" w:sz="0" w:space="0" w:color="auto"/>
                      </w:divBdr>
                      <w:divsChild>
                        <w:div w:id="163914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54384">
                  <w:marLeft w:val="0"/>
                  <w:marRight w:val="0"/>
                  <w:marTop w:val="0"/>
                  <w:marBottom w:val="0"/>
                  <w:divBdr>
                    <w:top w:val="none" w:sz="0" w:space="0" w:color="auto"/>
                    <w:left w:val="none" w:sz="0" w:space="0" w:color="auto"/>
                    <w:bottom w:val="none" w:sz="0" w:space="0" w:color="auto"/>
                    <w:right w:val="none" w:sz="0" w:space="0" w:color="auto"/>
                  </w:divBdr>
                  <w:divsChild>
                    <w:div w:id="938638980">
                      <w:marLeft w:val="0"/>
                      <w:marRight w:val="0"/>
                      <w:marTop w:val="0"/>
                      <w:marBottom w:val="0"/>
                      <w:divBdr>
                        <w:top w:val="none" w:sz="0" w:space="0" w:color="auto"/>
                        <w:left w:val="none" w:sz="0" w:space="0" w:color="auto"/>
                        <w:bottom w:val="none" w:sz="0" w:space="0" w:color="auto"/>
                        <w:right w:val="none" w:sz="0" w:space="0" w:color="auto"/>
                      </w:divBdr>
                      <w:divsChild>
                        <w:div w:id="27259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258659">
                  <w:marLeft w:val="0"/>
                  <w:marRight w:val="0"/>
                  <w:marTop w:val="0"/>
                  <w:marBottom w:val="0"/>
                  <w:divBdr>
                    <w:top w:val="none" w:sz="0" w:space="0" w:color="auto"/>
                    <w:left w:val="none" w:sz="0" w:space="0" w:color="auto"/>
                    <w:bottom w:val="none" w:sz="0" w:space="0" w:color="auto"/>
                    <w:right w:val="none" w:sz="0" w:space="0" w:color="auto"/>
                  </w:divBdr>
                  <w:divsChild>
                    <w:div w:id="1604454441">
                      <w:marLeft w:val="0"/>
                      <w:marRight w:val="0"/>
                      <w:marTop w:val="0"/>
                      <w:marBottom w:val="0"/>
                      <w:divBdr>
                        <w:top w:val="none" w:sz="0" w:space="0" w:color="auto"/>
                        <w:left w:val="none" w:sz="0" w:space="0" w:color="auto"/>
                        <w:bottom w:val="none" w:sz="0" w:space="0" w:color="auto"/>
                        <w:right w:val="none" w:sz="0" w:space="0" w:color="auto"/>
                      </w:divBdr>
                      <w:divsChild>
                        <w:div w:id="78835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50352">
                  <w:marLeft w:val="0"/>
                  <w:marRight w:val="0"/>
                  <w:marTop w:val="0"/>
                  <w:marBottom w:val="0"/>
                  <w:divBdr>
                    <w:top w:val="none" w:sz="0" w:space="0" w:color="auto"/>
                    <w:left w:val="none" w:sz="0" w:space="0" w:color="auto"/>
                    <w:bottom w:val="none" w:sz="0" w:space="0" w:color="auto"/>
                    <w:right w:val="none" w:sz="0" w:space="0" w:color="auto"/>
                  </w:divBdr>
                  <w:divsChild>
                    <w:div w:id="921833011">
                      <w:marLeft w:val="0"/>
                      <w:marRight w:val="0"/>
                      <w:marTop w:val="0"/>
                      <w:marBottom w:val="0"/>
                      <w:divBdr>
                        <w:top w:val="none" w:sz="0" w:space="0" w:color="auto"/>
                        <w:left w:val="none" w:sz="0" w:space="0" w:color="auto"/>
                        <w:bottom w:val="none" w:sz="0" w:space="0" w:color="auto"/>
                        <w:right w:val="none" w:sz="0" w:space="0" w:color="auto"/>
                      </w:divBdr>
                      <w:divsChild>
                        <w:div w:id="131445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463371">
                  <w:marLeft w:val="0"/>
                  <w:marRight w:val="0"/>
                  <w:marTop w:val="0"/>
                  <w:marBottom w:val="0"/>
                  <w:divBdr>
                    <w:top w:val="none" w:sz="0" w:space="0" w:color="auto"/>
                    <w:left w:val="none" w:sz="0" w:space="0" w:color="auto"/>
                    <w:bottom w:val="none" w:sz="0" w:space="0" w:color="auto"/>
                    <w:right w:val="none" w:sz="0" w:space="0" w:color="auto"/>
                  </w:divBdr>
                  <w:divsChild>
                    <w:div w:id="1705669601">
                      <w:marLeft w:val="0"/>
                      <w:marRight w:val="0"/>
                      <w:marTop w:val="0"/>
                      <w:marBottom w:val="0"/>
                      <w:divBdr>
                        <w:top w:val="none" w:sz="0" w:space="0" w:color="auto"/>
                        <w:left w:val="none" w:sz="0" w:space="0" w:color="auto"/>
                        <w:bottom w:val="none" w:sz="0" w:space="0" w:color="auto"/>
                        <w:right w:val="none" w:sz="0" w:space="0" w:color="auto"/>
                      </w:divBdr>
                      <w:divsChild>
                        <w:div w:id="27907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4784438">
      <w:bodyDiv w:val="1"/>
      <w:marLeft w:val="0"/>
      <w:marRight w:val="0"/>
      <w:marTop w:val="0"/>
      <w:marBottom w:val="0"/>
      <w:divBdr>
        <w:top w:val="none" w:sz="0" w:space="0" w:color="auto"/>
        <w:left w:val="none" w:sz="0" w:space="0" w:color="auto"/>
        <w:bottom w:val="none" w:sz="0" w:space="0" w:color="auto"/>
        <w:right w:val="none" w:sz="0" w:space="0" w:color="auto"/>
      </w:divBdr>
      <w:divsChild>
        <w:div w:id="1895386433">
          <w:marLeft w:val="0"/>
          <w:marRight w:val="0"/>
          <w:marTop w:val="0"/>
          <w:marBottom w:val="150"/>
          <w:divBdr>
            <w:top w:val="none" w:sz="0" w:space="0" w:color="auto"/>
            <w:left w:val="none" w:sz="0" w:space="0" w:color="auto"/>
            <w:bottom w:val="none" w:sz="0" w:space="0" w:color="auto"/>
            <w:right w:val="none" w:sz="0" w:space="0" w:color="auto"/>
          </w:divBdr>
          <w:divsChild>
            <w:div w:id="1845365260">
              <w:marLeft w:val="0"/>
              <w:marRight w:val="0"/>
              <w:marTop w:val="0"/>
              <w:marBottom w:val="0"/>
              <w:divBdr>
                <w:top w:val="none" w:sz="0" w:space="0" w:color="auto"/>
                <w:left w:val="none" w:sz="0" w:space="0" w:color="auto"/>
                <w:bottom w:val="none" w:sz="0" w:space="0" w:color="auto"/>
                <w:right w:val="none" w:sz="0" w:space="0" w:color="auto"/>
              </w:divBdr>
            </w:div>
          </w:divsChild>
        </w:div>
        <w:div w:id="1499691376">
          <w:marLeft w:val="0"/>
          <w:marRight w:val="0"/>
          <w:marTop w:val="0"/>
          <w:marBottom w:val="0"/>
          <w:divBdr>
            <w:top w:val="none" w:sz="0" w:space="0" w:color="auto"/>
            <w:left w:val="none" w:sz="0" w:space="0" w:color="auto"/>
            <w:bottom w:val="none" w:sz="0" w:space="0" w:color="auto"/>
            <w:right w:val="none" w:sz="0" w:space="0" w:color="auto"/>
          </w:divBdr>
        </w:div>
      </w:divsChild>
    </w:div>
    <w:div w:id="1954284102">
      <w:bodyDiv w:val="1"/>
      <w:marLeft w:val="0"/>
      <w:marRight w:val="0"/>
      <w:marTop w:val="0"/>
      <w:marBottom w:val="0"/>
      <w:divBdr>
        <w:top w:val="none" w:sz="0" w:space="0" w:color="auto"/>
        <w:left w:val="none" w:sz="0" w:space="0" w:color="auto"/>
        <w:bottom w:val="none" w:sz="0" w:space="0" w:color="auto"/>
        <w:right w:val="none" w:sz="0" w:space="0" w:color="auto"/>
      </w:divBdr>
      <w:divsChild>
        <w:div w:id="1718120920">
          <w:marLeft w:val="0"/>
          <w:marRight w:val="0"/>
          <w:marTop w:val="0"/>
          <w:marBottom w:val="150"/>
          <w:divBdr>
            <w:top w:val="none" w:sz="0" w:space="0" w:color="auto"/>
            <w:left w:val="none" w:sz="0" w:space="0" w:color="auto"/>
            <w:bottom w:val="none" w:sz="0" w:space="0" w:color="auto"/>
            <w:right w:val="none" w:sz="0" w:space="0" w:color="auto"/>
          </w:divBdr>
          <w:divsChild>
            <w:div w:id="145704240">
              <w:marLeft w:val="0"/>
              <w:marRight w:val="0"/>
              <w:marTop w:val="0"/>
              <w:marBottom w:val="0"/>
              <w:divBdr>
                <w:top w:val="none" w:sz="0" w:space="0" w:color="auto"/>
                <w:left w:val="none" w:sz="0" w:space="0" w:color="auto"/>
                <w:bottom w:val="none" w:sz="0" w:space="0" w:color="auto"/>
                <w:right w:val="none" w:sz="0" w:space="0" w:color="auto"/>
              </w:divBdr>
            </w:div>
          </w:divsChild>
        </w:div>
        <w:div w:id="106504994">
          <w:marLeft w:val="0"/>
          <w:marRight w:val="0"/>
          <w:marTop w:val="0"/>
          <w:marBottom w:val="0"/>
          <w:divBdr>
            <w:top w:val="none" w:sz="0" w:space="0" w:color="auto"/>
            <w:left w:val="none" w:sz="0" w:space="0" w:color="auto"/>
            <w:bottom w:val="none" w:sz="0" w:space="0" w:color="auto"/>
            <w:right w:val="none" w:sz="0" w:space="0" w:color="auto"/>
          </w:divBdr>
        </w:div>
      </w:divsChild>
    </w:div>
    <w:div w:id="2044092763">
      <w:bodyDiv w:val="1"/>
      <w:marLeft w:val="0"/>
      <w:marRight w:val="0"/>
      <w:marTop w:val="0"/>
      <w:marBottom w:val="0"/>
      <w:divBdr>
        <w:top w:val="none" w:sz="0" w:space="0" w:color="auto"/>
        <w:left w:val="none" w:sz="0" w:space="0" w:color="auto"/>
        <w:bottom w:val="none" w:sz="0" w:space="0" w:color="auto"/>
        <w:right w:val="none" w:sz="0" w:space="0" w:color="auto"/>
      </w:divBdr>
    </w:div>
    <w:div w:id="2093698109">
      <w:bodyDiv w:val="1"/>
      <w:marLeft w:val="0"/>
      <w:marRight w:val="0"/>
      <w:marTop w:val="0"/>
      <w:marBottom w:val="0"/>
      <w:divBdr>
        <w:top w:val="none" w:sz="0" w:space="0" w:color="auto"/>
        <w:left w:val="none" w:sz="0" w:space="0" w:color="auto"/>
        <w:bottom w:val="none" w:sz="0" w:space="0" w:color="auto"/>
        <w:right w:val="none" w:sz="0" w:space="0" w:color="auto"/>
      </w:divBdr>
      <w:divsChild>
        <w:div w:id="1724713045">
          <w:marLeft w:val="0"/>
          <w:marRight w:val="0"/>
          <w:marTop w:val="0"/>
          <w:marBottom w:val="150"/>
          <w:divBdr>
            <w:top w:val="none" w:sz="0" w:space="0" w:color="auto"/>
            <w:left w:val="none" w:sz="0" w:space="0" w:color="auto"/>
            <w:bottom w:val="none" w:sz="0" w:space="0" w:color="auto"/>
            <w:right w:val="none" w:sz="0" w:space="0" w:color="auto"/>
          </w:divBdr>
          <w:divsChild>
            <w:div w:id="947548451">
              <w:marLeft w:val="0"/>
              <w:marRight w:val="0"/>
              <w:marTop w:val="0"/>
              <w:marBottom w:val="0"/>
              <w:divBdr>
                <w:top w:val="none" w:sz="0" w:space="0" w:color="auto"/>
                <w:left w:val="none" w:sz="0" w:space="0" w:color="auto"/>
                <w:bottom w:val="none" w:sz="0" w:space="0" w:color="auto"/>
                <w:right w:val="none" w:sz="0" w:space="0" w:color="auto"/>
              </w:divBdr>
            </w:div>
          </w:divsChild>
        </w:div>
        <w:div w:id="10457631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lga.gov/legislation/publicacts/fulltext.asp?Name=102-0358" TargetMode="External"/><Relationship Id="rId18" Type="http://schemas.openxmlformats.org/officeDocument/2006/relationships/hyperlink" Target="https://www.bls.gov/opub/mlr/2022/article/noncompete-agreements-bargaining-and-wages-evidence-from-the-national-longitudinal-survey-of-youth-1997.htm" TargetMode="External"/><Relationship Id="rId26" Type="http://schemas.openxmlformats.org/officeDocument/2006/relationships/hyperlink" Target="https://papers.ssrn.com/sol3/papers.cfm?abstract_id=3975864" TargetMode="External"/><Relationship Id="rId39" Type="http://schemas.openxmlformats.org/officeDocument/2006/relationships/hyperlink" Target="https://ssrn.com/abstract=3173831" TargetMode="External"/><Relationship Id="rId21" Type="http://schemas.openxmlformats.org/officeDocument/2006/relationships/hyperlink" Target="https://papers.ssrn.com/sol3/papers.cfm?abstract_id=3814403" TargetMode="External"/><Relationship Id="rId34" Type="http://schemas.openxmlformats.org/officeDocument/2006/relationships/hyperlink" Target="https://dx.doi.org/10.2139/ssrn.3516397"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nytimes/com/2017/05/04/opinion/noncompete-agreements-workers.html" TargetMode="External"/><Relationship Id="rId20" Type="http://schemas.openxmlformats.org/officeDocument/2006/relationships/hyperlink" Target="https://home.treasury.gov/system/files/136/State-of-Labor-Market-Competition-2022.pdf" TargetMode="External"/><Relationship Id="rId29" Type="http://schemas.openxmlformats.org/officeDocument/2006/relationships/hyperlink" Target="https://www.ralaw.com/storage/GJvpiUPpkCdCWCML98c0jhwWq67o9t1jtkglpgbL.pdf"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nkedin.com/in/arnold-pedowitz-158869a/" TargetMode="External"/><Relationship Id="rId24" Type="http://schemas.openxmlformats.org/officeDocument/2006/relationships/hyperlink" Target="https://ssrn.com/abstract=3642017" TargetMode="External"/><Relationship Id="rId32" Type="http://schemas.openxmlformats.org/officeDocument/2006/relationships/hyperlink" Target="https://lawreview.uchicago.edu/sites/lawreview.uchicago.edu/files/BarnettSichelman_CaseForNoncompetes_87UCLR953.pdf" TargetMode="External"/><Relationship Id="rId37" Type="http://schemas.openxmlformats.org/officeDocument/2006/relationships/hyperlink" Target="https://www.americanbar.org/groups/litigation/committees/business-torts-unfair-competition/articles/2020/non-solicitation-agreements-social-media-litigation/"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americanbar.org/groups/litigation/committees/business-torts-unfair-competition/articles/2021/illinois-freedom-to-work-act-amendments/" TargetMode="External"/><Relationship Id="rId23" Type="http://schemas.openxmlformats.org/officeDocument/2006/relationships/hyperlink" Target="https://doi.org/10.1111/ablj.12180" TargetMode="External"/><Relationship Id="rId28" Type="http://schemas.openxmlformats.org/officeDocument/2006/relationships/hyperlink" Target="https://aulawreview.org/wp-content/uploads/2022/01/Sullivan.to_.Printer.pdf" TargetMode="External"/><Relationship Id="rId36" Type="http://schemas.openxmlformats.org/officeDocument/2006/relationships/hyperlink" Target="https://www.americanbar.org/groups/litigation/committees/business-torts-unfair-competition/articles/2020/non-solicitation-agreements-social-media-litigation/" TargetMode="External"/><Relationship Id="rId10" Type="http://schemas.openxmlformats.org/officeDocument/2006/relationships/hyperlink" Target="https://www.icemiller.com/people/david-j-carr/" TargetMode="External"/><Relationship Id="rId19" Type="http://schemas.openxmlformats.org/officeDocument/2006/relationships/hyperlink" Target="https://www.americanbar.org/groups/litigation/committees/business-torts-unfair-competition/practice/2022/is-your-non-compete-enforceable/" TargetMode="External"/><Relationship Id="rId31" Type="http://schemas.openxmlformats.org/officeDocument/2006/relationships/hyperlink" Target="http://jhr.uwpress.org/content/early/2020/05/04/jhr.monopsony.1218-9931R1.full.pdf" TargetMode="External"/><Relationship Id="rId4" Type="http://schemas.openxmlformats.org/officeDocument/2006/relationships/customXml" Target="../customXml/item4.xml"/><Relationship Id="rId9" Type="http://schemas.openxmlformats.org/officeDocument/2006/relationships/hyperlink" Target="https://www.linkedin.com/in/brian-malsberger-a823ab61" TargetMode="External"/><Relationship Id="rId14" Type="http://schemas.openxmlformats.org/officeDocument/2006/relationships/hyperlink" Target="https://www.americanbar.org/groups/litigation/committees/business-torts-unfair-competition/articles/2021/illinois-freedom-to-work-act-amendments/" TargetMode="External"/><Relationship Id="rId22" Type="http://schemas.openxmlformats.org/officeDocument/2006/relationships/hyperlink" Target="https://www.philadelphiafed.org/-/media/frbp/assets/working-papers/2021/wp21-26.pdf" TargetMode="External"/><Relationship Id="rId27" Type="http://schemas.openxmlformats.org/officeDocument/2006/relationships/hyperlink" Target="https://www.journals.uchicago.edu/doi/10.1086/712206" TargetMode="External"/><Relationship Id="rId30" Type="http://schemas.openxmlformats.org/officeDocument/2006/relationships/hyperlink" Target="https://scholarlycommons.law.hofstra.edu/hlelj/vol39/iss1/6/" TargetMode="External"/><Relationship Id="rId35" Type="http://schemas.openxmlformats.org/officeDocument/2006/relationships/hyperlink" Target="https://ssrn.com/abstract=2625714"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mofo.com/people/eric-tate" TargetMode="External"/><Relationship Id="rId17" Type="http://schemas.openxmlformats.org/officeDocument/2006/relationships/hyperlink" Target="https://newrepublic.com/article/168172/chaucer-rape-servant-noncompete-illegal(" TargetMode="External"/><Relationship Id="rId25" Type="http://schemas.openxmlformats.org/officeDocument/2006/relationships/hyperlink" Target="https://fortune.com/2021/07/09/biden-executive-order-noncompete-policy-easier-to-find-job-great-resignation/" TargetMode="External"/><Relationship Id="rId33" Type="http://schemas.openxmlformats.org/officeDocument/2006/relationships/hyperlink" Target="https://ssrn.com/abstract=3516397" TargetMode="External"/><Relationship Id="rId38" Type="http://schemas.openxmlformats.org/officeDocument/2006/relationships/hyperlink" Target="https://ssrn.com/abstract=31514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080E6161B02D488737AB0EF896D3F2" ma:contentTypeVersion="19" ma:contentTypeDescription="Create a new document." ma:contentTypeScope="" ma:versionID="55e189843a99039ac8f25b873e0ab066">
  <xsd:schema xmlns:xsd="http://www.w3.org/2001/XMLSchema" xmlns:xs="http://www.w3.org/2001/XMLSchema" xmlns:p="http://schemas.microsoft.com/office/2006/metadata/properties" xmlns:ns1="http://schemas.microsoft.com/sharepoint/v3" xmlns:ns2="15bb1560-9cca-4eb2-8289-4043f38e2e1a" xmlns:ns3="9960a99f-e9e2-45ee-ac4b-050a120c791d" targetNamespace="http://schemas.microsoft.com/office/2006/metadata/properties" ma:root="true" ma:fieldsID="c542d4356509d7f927d2b615a9de0d31" ns1:_="" ns2:_="" ns3:_="">
    <xsd:import namespace="http://schemas.microsoft.com/sharepoint/v3"/>
    <xsd:import namespace="15bb1560-9cca-4eb2-8289-4043f38e2e1a"/>
    <xsd:import namespace="9960a99f-e9e2-45ee-ac4b-050a120c791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Location" minOccurs="0"/>
                <xsd:element ref="ns1:_ip_UnifiedCompliancePolicyProperties" minOccurs="0"/>
                <xsd:element ref="ns1:_ip_UnifiedCompliancePolicyUIAc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bb1560-9cca-4eb2-8289-4043f38e2e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6ca996-ae3f-4819-abf0-bb45b28ae2f2}" ma:internalName="TaxCatchAll" ma:showField="CatchAllData" ma:web="15bb1560-9cca-4eb2-8289-4043f38e2e1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960a99f-e9e2-45ee-ac4b-050a120c791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6f3d206-2968-46ac-ad56-95a95c2927a7"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960a99f-e9e2-45ee-ac4b-050a120c791d">
      <Terms xmlns="http://schemas.microsoft.com/office/infopath/2007/PartnerControls"/>
    </lcf76f155ced4ddcb4097134ff3c332f>
    <TaxCatchAll xmlns="15bb1560-9cca-4eb2-8289-4043f38e2e1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62E9D1A-4763-4D58-AE92-B3A78210A9AA}">
  <ds:schemaRefs>
    <ds:schemaRef ds:uri="http://schemas.microsoft.com/sharepoint/v3/contenttype/forms"/>
  </ds:schemaRefs>
</ds:datastoreItem>
</file>

<file path=customXml/itemProps2.xml><?xml version="1.0" encoding="utf-8"?>
<ds:datastoreItem xmlns:ds="http://schemas.openxmlformats.org/officeDocument/2006/customXml" ds:itemID="{EA3411BD-415A-4FE1-A7C4-33477DE05075}">
  <ds:schemaRefs>
    <ds:schemaRef ds:uri="http://schemas.microsoft.com/sharepoint/v3/contenttype/forms"/>
  </ds:schemaRefs>
</ds:datastoreItem>
</file>

<file path=customXml/itemProps3.xml><?xml version="1.0" encoding="utf-8"?>
<ds:datastoreItem xmlns:ds="http://schemas.openxmlformats.org/officeDocument/2006/customXml" ds:itemID="{AB2B998C-19A0-4827-9EBB-0513E819EDC5}"/>
</file>

<file path=customXml/itemProps4.xml><?xml version="1.0" encoding="utf-8"?>
<ds:datastoreItem xmlns:ds="http://schemas.openxmlformats.org/officeDocument/2006/customXml" ds:itemID="{82911D0E-19D7-4254-B523-ABC1744E85DE}">
  <ds:schemaRefs>
    <ds:schemaRef ds:uri="http://schemas.microsoft.com/office/2006/metadata/properties"/>
    <ds:schemaRef ds:uri="http://schemas.microsoft.com/office/infopath/2007/PartnerControls"/>
    <ds:schemaRef ds:uri="9960a99f-e9e2-45ee-ac4b-050a120c791d"/>
    <ds:schemaRef ds:uri="15bb1560-9cca-4eb2-8289-4043f38e2e1a"/>
    <ds:schemaRef ds:uri="http://schemas.microsoft.com/sharepoint/v3"/>
  </ds:schemaRefs>
</ds:datastoreItem>
</file>

<file path=docMetadata/LabelInfo.xml><?xml version="1.0" encoding="utf-8"?>
<clbl:labelList xmlns:clbl="http://schemas.microsoft.com/office/2020/mipLabelMetadata">
  <clbl:label id="{f786616f-5bb4-45d1-b9c4-7a19bded0f1d}" enabled="1" method="Standard" siteId="{97be21fd-c601-4b16-9920-f5accc69da65}" removed="0"/>
</clbl:labelList>
</file>

<file path=docProps/app.xml><?xml version="1.0" encoding="utf-8"?>
<Properties xmlns="http://schemas.openxmlformats.org/officeDocument/2006/extended-properties" xmlns:vt="http://schemas.openxmlformats.org/officeDocument/2006/docPropsVTypes">
  <Template>Normal</Template>
  <TotalTime>1</TotalTime>
  <Pages>328</Pages>
  <Words>113787</Words>
  <Characters>648587</Characters>
  <Application>Microsoft Office Word</Application>
  <DocSecurity>0</DocSecurity>
  <Lines>5404</Lines>
  <Paragraphs>1521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Wye, LaShaun</dc:creator>
  <cp:keywords/>
  <dc:description/>
  <cp:lastModifiedBy>Kline, Elizabeth</cp:lastModifiedBy>
  <cp:revision>2</cp:revision>
  <dcterms:created xsi:type="dcterms:W3CDTF">2024-02-21T15:48:00Z</dcterms:created>
  <dcterms:modified xsi:type="dcterms:W3CDTF">2024-02-21T15:48:00Z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0x010100B3080E6161B02D488737AB0EF896D3F2</vt:lpwstr>
  </property>
  <property fmtid="{D5CDD505-2E9C-101B-9397-08002B2CF9AE}" pid="3" name="Order">
    <vt:r8>100</vt:r8>
  </property>
  <property fmtid="{D5CDD505-2E9C-101B-9397-08002B2CF9AE}" pid="4" name="MSIP_Label_f786616f-5bb4-45d1-b9c4-7a19bded0f1d_Enabled">
    <vt:lpwstr>true</vt:lpwstr>
  </property>
  <property fmtid="{D5CDD505-2E9C-101B-9397-08002B2CF9AE}" pid="5" name="MSIP_Label_f786616f-5bb4-45d1-b9c4-7a19bded0f1d_SetDate">
    <vt:lpwstr>2023-04-18T13:28:00Z</vt:lpwstr>
  </property>
  <property fmtid="{D5CDD505-2E9C-101B-9397-08002B2CF9AE}" pid="6" name="MSIP_Label_f786616f-5bb4-45d1-b9c4-7a19bded0f1d_Method">
    <vt:lpwstr>Standard</vt:lpwstr>
  </property>
  <property fmtid="{D5CDD505-2E9C-101B-9397-08002B2CF9AE}" pid="7" name="MSIP_Label_f786616f-5bb4-45d1-b9c4-7a19bded0f1d_Name">
    <vt:lpwstr>Public</vt:lpwstr>
  </property>
  <property fmtid="{D5CDD505-2E9C-101B-9397-08002B2CF9AE}" pid="8" name="MSIP_Label_f786616f-5bb4-45d1-b9c4-7a19bded0f1d_SiteId">
    <vt:lpwstr>97be21fd-c601-4b16-9920-f5accc69da65</vt:lpwstr>
  </property>
  <property fmtid="{D5CDD505-2E9C-101B-9397-08002B2CF9AE}" pid="9" name="MSIP_Label_f786616f-5bb4-45d1-b9c4-7a19bded0f1d_ActionId">
    <vt:lpwstr>9d8d468c-3b44-4df1-b0bd-8d66c5042f4d</vt:lpwstr>
  </property>
  <property fmtid="{D5CDD505-2E9C-101B-9397-08002B2CF9AE}" pid="10" name="MSIP_Label_f786616f-5bb4-45d1-b9c4-7a19bded0f1d_ContentBits">
    <vt:lpwstr>0</vt:lpwstr>
  </property>
  <property fmtid="{D5CDD505-2E9C-101B-9397-08002B2CF9AE}" pid="11" name="MediaServiceImageTags">
    <vt:lpwstr/>
  </property>
</Properties>
</file>