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E0F1A" w14:textId="77777777" w:rsidR="00BD685F" w:rsidRDefault="00BD685F">
      <w:pPr>
        <w:pStyle w:val="Heading1"/>
        <w:rPr>
          <w:rFonts w:eastAsia="Times New Roman"/>
        </w:rPr>
      </w:pPr>
      <w:r>
        <w:rPr>
          <w:rFonts w:eastAsia="Times New Roman"/>
        </w:rPr>
        <w:t>Covenants Not to Compete A State-by-State Survey</w:t>
      </w:r>
    </w:p>
    <w:p w14:paraId="6E5FA7BC" w14:textId="398FF1BA" w:rsidR="00BD685F" w:rsidRDefault="00BD685F" w:rsidP="00BD685F">
      <w:pPr>
        <w:pStyle w:val="NormalWeb"/>
        <w:rPr>
          <w:rFonts w:eastAsia="Times New Roman"/>
        </w:rPr>
      </w:pPr>
      <w:r>
        <w:rPr>
          <w:rFonts w:eastAsia="Times New Roman"/>
        </w:rPr>
        <w:t>1. Chapters of this book have summaries before the beginning of the Chapter TOC. Tag them as shown below:</w:t>
      </w:r>
    </w:p>
    <w:p w14:paraId="66B2D27A" w14:textId="77777777" w:rsidR="00BD685F" w:rsidRDefault="00BD685F">
      <w:pPr>
        <w:pStyle w:val="NormalWeb"/>
      </w:pPr>
      <w:r>
        <w:rPr>
          <w:noProof/>
        </w:rPr>
        <w:drawing>
          <wp:inline distT="0" distB="0" distL="0" distR="0" wp14:anchorId="6E76A4FF" wp14:editId="1ABD0804">
            <wp:extent cx="5934075" cy="1943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34075" cy="1943100"/>
                    </a:xfrm>
                    <a:prstGeom prst="rect">
                      <a:avLst/>
                    </a:prstGeom>
                    <a:noFill/>
                    <a:ln>
                      <a:noFill/>
                    </a:ln>
                  </pic:spPr>
                </pic:pic>
              </a:graphicData>
            </a:graphic>
          </wp:inline>
        </w:drawing>
      </w:r>
      <w:r>
        <w:t>need to be tagged as</w:t>
      </w:r>
    </w:p>
    <w:p w14:paraId="754183D5" w14:textId="77777777" w:rsidR="00BD685F" w:rsidRDefault="00BD685F">
      <w:pPr>
        <w:pStyle w:val="NormalWeb"/>
        <w:rPr>
          <w:sz w:val="18"/>
          <w:szCs w:val="18"/>
        </w:rPr>
      </w:pPr>
      <w:r>
        <w:rPr>
          <w:sz w:val="18"/>
          <w:szCs w:val="18"/>
        </w:rPr>
        <w:t>&lt;summary.block&gt;</w:t>
      </w:r>
      <w:r>
        <w:rPr>
          <w:sz w:val="18"/>
          <w:szCs w:val="18"/>
        </w:rPr>
        <w:br/>
        <w:t>&lt;para&gt;</w:t>
      </w:r>
      <w:r>
        <w:rPr>
          <w:sz w:val="18"/>
          <w:szCs w:val="18"/>
        </w:rPr>
        <w:br/>
        <w:t>&lt;long.quote&gt;</w:t>
      </w:r>
      <w:r>
        <w:rPr>
          <w:sz w:val="18"/>
          <w:szCs w:val="18"/>
        </w:rPr>
        <w:br/>
        <w:t>&lt;p&gt;&lt;emph face="i"&gt;The Illinois chapter of &lt;emph&gt;Covenants Not to Compete: A State-by-State Survey &lt;/emph&gt;is written by &lt;cite.url ref="https://www.linkedin.com/in/brian-malsberger-a823ab61"&gt;Brian M. Malsberger&lt;/cite.url&gt;. The associate editors of the board of review of this treatise are &lt;cite.url ref="https://www.icemiller.com/people/david-j-carr/"&gt;David J. Carr&lt;/cite.url&gt; of Ice Miller LLP, &lt;cite.url ref="https://www.linkedin.com/in/arnold-pedowitz-158869a/"&gt;Arnold H. Pedowitz&lt;/cite.url&gt; of Pedowitz &amp;amp; Meister LLP, and &lt;cite.url ref="https://www.mofo.com/people/eric-tate"&gt;Eric Akira Tate&lt;/cite.url&gt; of Morrison &amp;amp; Foerster LLP. This chapter is current through December 31, 2021 as to caselaw and December 31, 2022 as to statutes.&lt;/emph&gt;&lt;/p&gt;</w:t>
      </w:r>
      <w:r>
        <w:rPr>
          <w:sz w:val="18"/>
          <w:szCs w:val="18"/>
        </w:rPr>
        <w:br/>
        <w:t>&lt;p&gt;&lt;emph face="i"&gt;On Apr. 23, 2024, the Federal Trade Commission approved a final rule that bans noncompetition agreements and preempts state laws that conflict with it. Existing noncompetition agreements for all employees, other than senior executives, are unenforceable after the rule takes effect. Employers must provide notice, as specified by this rule, to employees with noncompetition agreements that are unenforceable.&lt;/emph&gt;&lt;/p&gt;</w:t>
      </w:r>
      <w:r>
        <w:rPr>
          <w:sz w:val="18"/>
          <w:szCs w:val="18"/>
        </w:rPr>
        <w:br/>
        <w:t>&lt;p id="a1bdedd378014fd3abd868465c54da31"&gt;The chapter covers covenants not to compete under Illinois law. Topics include:&lt;/p&gt;</w:t>
      </w:r>
      <w:r>
        <w:rPr>
          <w:sz w:val="18"/>
          <w:szCs w:val="18"/>
        </w:rPr>
        <w:br/>
        <w:t>&lt;/long.quote&gt;</w:t>
      </w:r>
      <w:r>
        <w:rPr>
          <w:sz w:val="18"/>
          <w:szCs w:val="18"/>
        </w:rPr>
        <w:br/>
        <w:t>&lt;list.item level="2"&gt;• Whether an Illinois statute governs the enforceability of covenants not to compete&lt;/list.item&gt;</w:t>
      </w:r>
      <w:r>
        <w:rPr>
          <w:sz w:val="18"/>
          <w:szCs w:val="18"/>
        </w:rPr>
        <w:br/>
        <w:t>&lt;list.item level="2"&gt;• Illinois statutes pertaining to the enforceability of covenants not to compete related to certain professions—attorneys, broadcasters, government contractors, medical professionals&lt;/list.item&gt;</w:t>
      </w:r>
      <w:r>
        <w:rPr>
          <w:sz w:val="18"/>
          <w:szCs w:val="18"/>
        </w:rPr>
        <w:br/>
        <w:t>&lt;list.item level="2"&gt;• Employer’s protectable interest&lt;/list.item&gt;</w:t>
      </w:r>
      <w:r>
        <w:rPr>
          <w:sz w:val="18"/>
          <w:szCs w:val="18"/>
        </w:rPr>
        <w:br/>
        <w:t>&lt;/para&gt;</w:t>
      </w:r>
      <w:r>
        <w:rPr>
          <w:sz w:val="18"/>
          <w:szCs w:val="18"/>
        </w:rPr>
        <w:br/>
        <w:t>&lt;/summary.block&gt;</w:t>
      </w:r>
    </w:p>
    <w:p w14:paraId="6D6B89B2" w14:textId="77777777" w:rsidR="00BD685F" w:rsidRDefault="00BD685F">
      <w:pPr>
        <w:pStyle w:val="NormalWeb"/>
      </w:pPr>
      <w:r>
        <w:t>2. Current through information of each chapter present after the summary block need to be tagged n italic font as shown below</w:t>
      </w:r>
    </w:p>
    <w:p w14:paraId="518E73AA" w14:textId="77777777" w:rsidR="00BD685F" w:rsidRDefault="00BD685F">
      <w:pPr>
        <w:pStyle w:val="NormalWeb"/>
        <w:rPr>
          <w:rStyle w:val="Emphasis"/>
          <w:color w:val="FF0000"/>
        </w:rPr>
      </w:pPr>
      <w:r>
        <w:rPr>
          <w:rStyle w:val="Emphasis"/>
          <w:color w:val="FF0000"/>
        </w:rPr>
        <w:t>This chapter is current through October 2023 as to statutory law and through December 2022 as to case law.</w:t>
      </w:r>
    </w:p>
    <w:p w14:paraId="60F8204A" w14:textId="77777777" w:rsidR="00BD685F" w:rsidRDefault="00BD685F">
      <w:pPr>
        <w:pStyle w:val="NormalWeb"/>
        <w:rPr>
          <w:rStyle w:val="Emphasis"/>
          <w:i w:val="0"/>
          <w:iCs w:val="0"/>
        </w:rPr>
      </w:pPr>
      <w:r>
        <w:rPr>
          <w:rStyle w:val="Emphasis"/>
          <w:i w:val="0"/>
          <w:iCs w:val="0"/>
        </w:rPr>
        <w:t>Tagging</w:t>
      </w:r>
    </w:p>
    <w:p w14:paraId="29FBA76D" w14:textId="77777777" w:rsidR="00BD685F" w:rsidRDefault="00BD685F">
      <w:pPr>
        <w:pStyle w:val="NormalWeb"/>
        <w:spacing w:before="0" w:beforeAutospacing="0" w:after="0" w:afterAutospacing="0"/>
        <w:rPr>
          <w:rStyle w:val="Emphasis"/>
        </w:rPr>
      </w:pPr>
      <w:r>
        <w:rPr>
          <w:rStyle w:val="Emphasis"/>
        </w:rPr>
        <w:lastRenderedPageBreak/>
        <w:t>&lt;ignore&gt;</w:t>
      </w:r>
    </w:p>
    <w:p w14:paraId="3652D3B2" w14:textId="77777777" w:rsidR="00BD685F" w:rsidRDefault="00BD685F">
      <w:pPr>
        <w:pStyle w:val="NormalWeb"/>
        <w:spacing w:before="0" w:beforeAutospacing="0" w:after="0" w:afterAutospacing="0"/>
        <w:rPr>
          <w:rStyle w:val="Emphasis"/>
        </w:rPr>
      </w:pPr>
      <w:r>
        <w:rPr>
          <w:rStyle w:val="Emphasis"/>
        </w:rPr>
        <w:t>&lt;para&gt;&lt;emph face="b"&gt;by Brian M. Malsberger&lt;/emph&gt; &lt;/para&gt;</w:t>
      </w:r>
    </w:p>
    <w:p w14:paraId="22901800" w14:textId="77777777" w:rsidR="00BD685F" w:rsidRDefault="00BD685F">
      <w:pPr>
        <w:pStyle w:val="NormalWeb"/>
        <w:spacing w:before="0" w:beforeAutospacing="0" w:after="0" w:afterAutospacing="0"/>
        <w:rPr>
          <w:rStyle w:val="Emphasis"/>
        </w:rPr>
      </w:pPr>
      <w:r>
        <w:rPr>
          <w:rStyle w:val="Emphasis"/>
        </w:rPr>
        <w:t>&lt;para&gt;&lt;emph&gt;This chapter is current through October 2023 as to statutory law and through December 2022 as to case law.&lt;/emph&gt; &lt;/para&gt;</w:t>
      </w:r>
    </w:p>
    <w:p w14:paraId="0CF584A8" w14:textId="77777777" w:rsidR="00BD685F" w:rsidRDefault="00BD685F">
      <w:pPr>
        <w:pStyle w:val="NormalWeb"/>
        <w:spacing w:before="0" w:beforeAutospacing="0" w:after="0" w:afterAutospacing="0"/>
        <w:rPr>
          <w:rStyle w:val="Emphasis"/>
        </w:rPr>
      </w:pPr>
      <w:r>
        <w:rPr>
          <w:rStyle w:val="Emphasis"/>
        </w:rPr>
        <w:t>&lt;/ignore&gt;</w:t>
      </w:r>
    </w:p>
    <w:p w14:paraId="41EECD8A" w14:textId="77777777" w:rsidR="00BD685F" w:rsidRDefault="00BD685F">
      <w:pPr>
        <w:pStyle w:val="NormalWeb"/>
      </w:pPr>
      <w:r>
        <w:t>3. Remove the TOC at the beginning of the chapter including the string "page" above the TOC:</w:t>
      </w:r>
    </w:p>
    <w:p w14:paraId="014FFCEE" w14:textId="77777777" w:rsidR="00BD685F" w:rsidRDefault="00BD685F">
      <w:pPr>
        <w:pStyle w:val="NormalWeb"/>
      </w:pPr>
      <w:r>
        <w:rPr>
          <w:noProof/>
        </w:rPr>
        <w:drawing>
          <wp:inline distT="0" distB="0" distL="0" distR="0" wp14:anchorId="43659EAE" wp14:editId="2C855047">
            <wp:extent cx="4457700" cy="4543425"/>
            <wp:effectExtent l="0" t="0" r="0" b="952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457700" cy="4543425"/>
                    </a:xfrm>
                    <a:prstGeom prst="rect">
                      <a:avLst/>
                    </a:prstGeom>
                    <a:noFill/>
                    <a:ln>
                      <a:noFill/>
                    </a:ln>
                  </pic:spPr>
                </pic:pic>
              </a:graphicData>
            </a:graphic>
          </wp:inline>
        </w:drawing>
      </w:r>
    </w:p>
    <w:p w14:paraId="74A6E91C" w14:textId="77777777" w:rsidR="00BD685F" w:rsidRDefault="00BD685F">
      <w:pPr>
        <w:pStyle w:val="NormalWeb"/>
      </w:pPr>
      <w:r>
        <w:t>4. This book is a state-by-state survey, the section heads are Question that are in numeric format. Each question will be top level section head.</w:t>
      </w:r>
    </w:p>
    <w:p w14:paraId="4249CF49" w14:textId="77777777" w:rsidR="00BD685F" w:rsidRDefault="00BD685F">
      <w:pPr>
        <w:pStyle w:val="NormalWeb"/>
      </w:pPr>
      <w:r>
        <w:rPr>
          <w:noProof/>
        </w:rPr>
        <w:drawing>
          <wp:inline distT="0" distB="0" distL="0" distR="0" wp14:anchorId="1165902F" wp14:editId="00590D21">
            <wp:extent cx="4371975" cy="1219200"/>
            <wp:effectExtent l="0" t="0" r="9525"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71975" cy="1219200"/>
                    </a:xfrm>
                    <a:prstGeom prst="rect">
                      <a:avLst/>
                    </a:prstGeom>
                    <a:noFill/>
                    <a:ln>
                      <a:noFill/>
                    </a:ln>
                  </pic:spPr>
                </pic:pic>
              </a:graphicData>
            </a:graphic>
          </wp:inline>
        </w:drawing>
      </w:r>
    </w:p>
    <w:p w14:paraId="24A1E921" w14:textId="77777777" w:rsidR="00BD685F" w:rsidRDefault="00BD685F">
      <w:pPr>
        <w:pStyle w:val="NormalWeb"/>
        <w:rPr>
          <w:sz w:val="18"/>
          <w:szCs w:val="18"/>
        </w:rPr>
      </w:pPr>
      <w:r>
        <w:rPr>
          <w:sz w:val="18"/>
          <w:szCs w:val="18"/>
        </w:rPr>
        <w:lastRenderedPageBreak/>
        <w:t>&lt;content.group&gt;</w:t>
      </w:r>
      <w:r>
        <w:rPr>
          <w:sz w:val="18"/>
          <w:szCs w:val="18"/>
        </w:rPr>
        <w:br/>
        <w:t>&lt;bna.id bna.id="1"&gt;1.&lt;/bna.id&gt;</w:t>
      </w:r>
      <w:r>
        <w:rPr>
          <w:sz w:val="18"/>
          <w:szCs w:val="18"/>
        </w:rPr>
        <w:br/>
        <w:t>&lt;name&gt;  Is there a state statute of general application that governs the enforceability of covenants not to compete?&lt;/name&gt;</w:t>
      </w:r>
      <w:r>
        <w:rPr>
          <w:sz w:val="18"/>
          <w:szCs w:val="18"/>
        </w:rPr>
        <w:br/>
        <w:t>&lt;para&gt;……..</w:t>
      </w:r>
      <w:r>
        <w:rPr>
          <w:sz w:val="18"/>
          <w:szCs w:val="18"/>
        </w:rPr>
        <w:br/>
        <w:t>&lt;/content.group&gt;</w:t>
      </w:r>
    </w:p>
    <w:p w14:paraId="72796702" w14:textId="77777777" w:rsidR="00BD685F" w:rsidRDefault="00BD685F">
      <w:pPr>
        <w:pStyle w:val="NormalWeb"/>
        <w:rPr>
          <w:rStyle w:val="Strong"/>
          <w:b w:val="0"/>
          <w:bCs w:val="0"/>
        </w:rPr>
      </w:pPr>
      <w:r>
        <w:t xml:space="preserve">5. </w:t>
      </w:r>
      <w:r>
        <w:rPr>
          <w:rStyle w:val="Strong"/>
          <w:b w:val="0"/>
          <w:bCs w:val="0"/>
        </w:rPr>
        <w:t>Since these chapters are state by state surveys, do not add chapter number when tagging BNA-ID.</w:t>
      </w:r>
    </w:p>
    <w:p w14:paraId="3671B7A1" w14:textId="77777777" w:rsidR="00BD685F" w:rsidRDefault="00BD685F">
      <w:pPr>
        <w:pStyle w:val="NormalWeb"/>
      </w:pPr>
      <w:r>
        <w:t xml:space="preserve">6. Each state chapter will have an "Additional Topic" section without any enumeration. Please mark it as Section head and add number 15 as the Section number. You will see many sub sections, again without any kind of enumeration. These can be identified with "bold" text and text on a line by itself. Please mark them as nested section heading and add sequential order using lowercase alphabets (a to z). If you come across more than 26 such sub sections, please continue with </w:t>
      </w:r>
      <w:r>
        <w:rPr>
          <w:rStyle w:val="Strong"/>
        </w:rPr>
        <w:t>aa</w:t>
      </w:r>
      <w:r>
        <w:t xml:space="preserve">, </w:t>
      </w:r>
      <w:r>
        <w:rPr>
          <w:rStyle w:val="Strong"/>
        </w:rPr>
        <w:t>ab</w:t>
      </w:r>
      <w:r>
        <w:t xml:space="preserve">, </w:t>
      </w:r>
      <w:r>
        <w:rPr>
          <w:rStyle w:val="Strong"/>
        </w:rPr>
        <w:t>ac</w:t>
      </w:r>
      <w:r>
        <w:t xml:space="preserve"> .......</w:t>
      </w:r>
      <w:r>
        <w:rPr>
          <w:rStyle w:val="Strong"/>
        </w:rPr>
        <w:t>az, ba, bb</w:t>
      </w:r>
      <w:r>
        <w:t xml:space="preserve"> and so on as shown below.</w:t>
      </w:r>
    </w:p>
    <w:p w14:paraId="439E77BA" w14:textId="77777777" w:rsidR="00BD685F" w:rsidRDefault="00BD685F">
      <w:pPr>
        <w:pStyle w:val="NormalWeb"/>
      </w:pPr>
      <w:r>
        <w:rPr>
          <w:noProof/>
        </w:rPr>
        <w:drawing>
          <wp:inline distT="0" distB="0" distL="0" distR="0" wp14:anchorId="73596B59" wp14:editId="61F8A41E">
            <wp:extent cx="5953125" cy="14001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53125" cy="1400175"/>
                    </a:xfrm>
                    <a:prstGeom prst="rect">
                      <a:avLst/>
                    </a:prstGeom>
                    <a:noFill/>
                    <a:ln>
                      <a:noFill/>
                    </a:ln>
                  </pic:spPr>
                </pic:pic>
              </a:graphicData>
            </a:graphic>
          </wp:inline>
        </w:drawing>
      </w:r>
    </w:p>
    <w:p w14:paraId="3163E50D" w14:textId="77777777" w:rsidR="00BD685F" w:rsidRDefault="00BD685F">
      <w:pPr>
        <w:pStyle w:val="NormalWeb"/>
        <w:spacing w:before="0" w:beforeAutospacing="0" w:after="0" w:afterAutospacing="0"/>
        <w:rPr>
          <w:sz w:val="18"/>
          <w:szCs w:val="18"/>
        </w:rPr>
      </w:pPr>
      <w:r>
        <w:rPr>
          <w:sz w:val="18"/>
          <w:szCs w:val="18"/>
        </w:rPr>
        <w:t>Tagging</w:t>
      </w:r>
    </w:p>
    <w:p w14:paraId="6056EC54" w14:textId="77777777" w:rsidR="00BD685F" w:rsidRDefault="00BD685F">
      <w:pPr>
        <w:pStyle w:val="NormalWeb"/>
      </w:pPr>
      <w:r>
        <w:rPr>
          <w:noProof/>
        </w:rPr>
        <w:drawing>
          <wp:inline distT="0" distB="0" distL="0" distR="0" wp14:anchorId="46D5C6E3" wp14:editId="123BD5F9">
            <wp:extent cx="3914775" cy="2333625"/>
            <wp:effectExtent l="0" t="0" r="9525" b="9525"/>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14775" cy="2333625"/>
                    </a:xfrm>
                    <a:prstGeom prst="rect">
                      <a:avLst/>
                    </a:prstGeom>
                    <a:noFill/>
                    <a:ln>
                      <a:noFill/>
                    </a:ln>
                  </pic:spPr>
                </pic:pic>
              </a:graphicData>
            </a:graphic>
          </wp:inline>
        </w:drawing>
      </w:r>
    </w:p>
    <w:p w14:paraId="01B52CBC" w14:textId="77777777" w:rsidR="00BD685F" w:rsidRDefault="00BD685F">
      <w:pPr>
        <w:pStyle w:val="NormalWeb"/>
      </w:pPr>
      <w:r>
        <w:t>7. There are many heading that are underlined, please tag them as &lt;para&gt; and retain underline tagging.</w:t>
      </w:r>
    </w:p>
    <w:p w14:paraId="1E81D016" w14:textId="77777777" w:rsidR="00BD685F" w:rsidRDefault="00BD685F">
      <w:pPr>
        <w:pStyle w:val="NormalWeb"/>
      </w:pPr>
      <w:r>
        <w:rPr>
          <w:noProof/>
        </w:rPr>
        <w:lastRenderedPageBreak/>
        <w:drawing>
          <wp:inline distT="0" distB="0" distL="0" distR="0" wp14:anchorId="1C8C6D54" wp14:editId="524AE803">
            <wp:extent cx="4457700" cy="3009900"/>
            <wp:effectExtent l="0" t="0" r="0" b="0"/>
            <wp:docPr id="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57700" cy="3009900"/>
                    </a:xfrm>
                    <a:prstGeom prst="rect">
                      <a:avLst/>
                    </a:prstGeom>
                    <a:noFill/>
                    <a:ln>
                      <a:noFill/>
                    </a:ln>
                  </pic:spPr>
                </pic:pic>
              </a:graphicData>
            </a:graphic>
          </wp:inline>
        </w:drawing>
      </w:r>
    </w:p>
    <w:p w14:paraId="7518A0C7" w14:textId="77777777" w:rsidR="00BD685F" w:rsidRDefault="00BD685F">
      <w:pPr>
        <w:pStyle w:val="NormalWeb"/>
      </w:pPr>
      <w:r>
        <w:t>8. These chapters have many broken paragraphs, please look for sentences that begin with lowercase letter or look for sentences which are not ending with a period or a colon and fix them.</w:t>
      </w:r>
    </w:p>
    <w:p w14:paraId="4CDCD965" w14:textId="77777777" w:rsidR="00BD685F" w:rsidRDefault="00BD685F">
      <w:pPr>
        <w:pStyle w:val="NormalWeb"/>
      </w:pPr>
      <w:r>
        <w:rPr>
          <w:noProof/>
        </w:rPr>
        <w:drawing>
          <wp:inline distT="0" distB="0" distL="0" distR="0" wp14:anchorId="1EB39348" wp14:editId="6A2602FA">
            <wp:extent cx="4457700" cy="800100"/>
            <wp:effectExtent l="0" t="0" r="0" b="0"/>
            <wp:docPr id="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57700" cy="800100"/>
                    </a:xfrm>
                    <a:prstGeom prst="rect">
                      <a:avLst/>
                    </a:prstGeom>
                    <a:noFill/>
                    <a:ln>
                      <a:noFill/>
                    </a:ln>
                  </pic:spPr>
                </pic:pic>
              </a:graphicData>
            </a:graphic>
          </wp:inline>
        </w:drawing>
      </w:r>
    </w:p>
    <w:p w14:paraId="4F8CCF22" w14:textId="77777777" w:rsidR="00BD685F" w:rsidRDefault="00BD685F">
      <w:pPr>
        <w:pStyle w:val="NormalWeb"/>
      </w:pPr>
      <w:r>
        <w:rPr>
          <w:noProof/>
        </w:rPr>
        <w:drawing>
          <wp:inline distT="0" distB="0" distL="0" distR="0" wp14:anchorId="4F4D1825" wp14:editId="5BA42FC9">
            <wp:extent cx="4457700" cy="933450"/>
            <wp:effectExtent l="0" t="0" r="0" b="0"/>
            <wp:docPr id="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57700" cy="933450"/>
                    </a:xfrm>
                    <a:prstGeom prst="rect">
                      <a:avLst/>
                    </a:prstGeom>
                    <a:noFill/>
                    <a:ln>
                      <a:noFill/>
                    </a:ln>
                  </pic:spPr>
                </pic:pic>
              </a:graphicData>
            </a:graphic>
          </wp:inline>
        </w:drawing>
      </w:r>
    </w:p>
    <w:p w14:paraId="67F32437" w14:textId="77777777" w:rsidR="00BD685F" w:rsidRDefault="00BD685F">
      <w:pPr>
        <w:pStyle w:val="NormalWeb"/>
      </w:pPr>
      <w:r>
        <w:t>9. There are few bold, underlined and centered heading under the additional topics section, please treat them as &lt;long.quote&gt; and retain the underline and bold font tagging:</w:t>
      </w:r>
    </w:p>
    <w:p w14:paraId="75C13C27" w14:textId="77777777" w:rsidR="00BD685F" w:rsidRDefault="00BD685F">
      <w:pPr>
        <w:pStyle w:val="NormalWeb"/>
      </w:pPr>
      <w:r>
        <w:rPr>
          <w:noProof/>
        </w:rPr>
        <w:lastRenderedPageBreak/>
        <w:drawing>
          <wp:inline distT="0" distB="0" distL="0" distR="0" wp14:anchorId="44CA24E2" wp14:editId="19F5DD67">
            <wp:extent cx="4457700" cy="2371725"/>
            <wp:effectExtent l="0" t="0" r="0" b="9525"/>
            <wp:docPr id="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7700" cy="2371725"/>
                    </a:xfrm>
                    <a:prstGeom prst="rect">
                      <a:avLst/>
                    </a:prstGeom>
                    <a:noFill/>
                    <a:ln>
                      <a:noFill/>
                    </a:ln>
                  </pic:spPr>
                </pic:pic>
              </a:graphicData>
            </a:graphic>
          </wp:inline>
        </w:drawing>
      </w:r>
    </w:p>
    <w:p w14:paraId="112D8CC5" w14:textId="77777777" w:rsidR="00BD685F" w:rsidRDefault="00BD685F">
      <w:pPr>
        <w:pStyle w:val="NormalWeb"/>
        <w:rPr>
          <w:sz w:val="22"/>
          <w:szCs w:val="22"/>
        </w:rPr>
      </w:pPr>
      <w:r>
        <w:rPr>
          <w:sz w:val="22"/>
          <w:szCs w:val="22"/>
        </w:rPr>
        <w:t>10. This book author has a special request on how we will handle ellipse in these files, here is how they need to appear in the psdmx files:</w:t>
      </w:r>
    </w:p>
    <w:p w14:paraId="1B7E2AEC" w14:textId="77777777" w:rsidR="00BD685F" w:rsidRDefault="00BD685F">
      <w:pPr>
        <w:pStyle w:val="NormalWeb"/>
        <w:spacing w:before="120" w:beforeAutospacing="0" w:after="120" w:afterAutospacing="0"/>
        <w:rPr>
          <w:sz w:val="22"/>
          <w:szCs w:val="22"/>
        </w:rPr>
      </w:pPr>
      <w:r>
        <w:rPr>
          <w:rStyle w:val="confluence-embedded-file-wrapper"/>
          <w:b/>
          <w:bCs/>
          <w:sz w:val="22"/>
          <w:szCs w:val="22"/>
        </w:rPr>
        <w:t>Example 1</w:t>
      </w:r>
    </w:p>
    <w:p w14:paraId="524172E7" w14:textId="77777777" w:rsidR="00BD685F" w:rsidRDefault="00BD685F">
      <w:pPr>
        <w:pStyle w:val="NormalWeb"/>
        <w:spacing w:before="120" w:beforeAutospacing="0" w:after="120" w:afterAutospacing="0"/>
        <w:rPr>
          <w:sz w:val="22"/>
          <w:szCs w:val="22"/>
        </w:rPr>
      </w:pPr>
      <w:r>
        <w:rPr>
          <w:rStyle w:val="confluence-embedded-file-wrapper"/>
          <w:sz w:val="22"/>
          <w:szCs w:val="22"/>
        </w:rPr>
        <w:t>"The work may be transferred by another</w:t>
      </w:r>
      <w:r>
        <w:rPr>
          <w:rStyle w:val="Strong"/>
          <w:color w:val="FF0000"/>
          <w:sz w:val="22"/>
          <w:szCs w:val="22"/>
        </w:rPr>
        <w:t> ... </w:t>
      </w:r>
      <w:r>
        <w:rPr>
          <w:rStyle w:val="confluence-embedded-file-wrapper"/>
          <w:color w:val="000000"/>
          <w:sz w:val="22"/>
          <w:szCs w:val="22"/>
        </w:rPr>
        <w:t>or to an alter ego corporation. The work even be subcontracted out to another company."</w:t>
      </w:r>
    </w:p>
    <w:p w14:paraId="33E1F996" w14:textId="77777777" w:rsidR="00BD685F" w:rsidRDefault="00BD685F">
      <w:pPr>
        <w:pStyle w:val="NormalWeb"/>
        <w:spacing w:before="120" w:beforeAutospacing="0" w:after="120" w:afterAutospacing="0"/>
        <w:rPr>
          <w:sz w:val="22"/>
          <w:szCs w:val="22"/>
        </w:rPr>
      </w:pPr>
      <w:r>
        <w:rPr>
          <w:rStyle w:val="confluence-embedded-file-wrapper"/>
          <w:color w:val="FF0000"/>
          <w:sz w:val="22"/>
          <w:szCs w:val="22"/>
        </w:rPr>
        <w:t>Such cases need to be tagged as space/ellipse/space</w:t>
      </w:r>
    </w:p>
    <w:p w14:paraId="7F30B805" w14:textId="77777777" w:rsidR="00BD685F" w:rsidRDefault="00BD685F">
      <w:pPr>
        <w:pStyle w:val="NormalWeb"/>
        <w:spacing w:before="120" w:beforeAutospacing="0" w:after="120" w:afterAutospacing="0"/>
        <w:rPr>
          <w:sz w:val="22"/>
          <w:szCs w:val="22"/>
        </w:rPr>
      </w:pPr>
      <w:r>
        <w:rPr>
          <w:rStyle w:val="confluence-embedded-file-wrapper"/>
          <w:b/>
          <w:bCs/>
          <w:color w:val="000000"/>
          <w:sz w:val="22"/>
          <w:szCs w:val="22"/>
        </w:rPr>
        <w:t>Example 2</w:t>
      </w:r>
    </w:p>
    <w:p w14:paraId="0B10916E" w14:textId="77777777" w:rsidR="00BD685F" w:rsidRDefault="00BD685F">
      <w:pPr>
        <w:pStyle w:val="NormalWeb"/>
        <w:spacing w:before="120" w:beforeAutospacing="0" w:after="120" w:afterAutospacing="0"/>
        <w:rPr>
          <w:sz w:val="22"/>
          <w:szCs w:val="22"/>
        </w:rPr>
      </w:pPr>
      <w:r>
        <w:rPr>
          <w:rStyle w:val="confluence-embedded-file-wrapper"/>
          <w:color w:val="000000"/>
          <w:sz w:val="22"/>
          <w:szCs w:val="22"/>
        </w:rPr>
        <w:t>"The work may be transferred to another plant</w:t>
      </w:r>
      <w:r>
        <w:rPr>
          <w:rStyle w:val="Strong"/>
          <w:color w:val="FF0000"/>
          <w:sz w:val="22"/>
          <w:szCs w:val="22"/>
        </w:rPr>
        <w:t> ... . </w:t>
      </w:r>
      <w:r>
        <w:rPr>
          <w:rStyle w:val="confluence-embedded-file-wrapper"/>
          <w:color w:val="000000"/>
          <w:sz w:val="22"/>
          <w:szCs w:val="22"/>
        </w:rPr>
        <w:t>The work may even be subcontracted out to another company"</w:t>
      </w:r>
    </w:p>
    <w:p w14:paraId="15A7D4F2" w14:textId="77777777" w:rsidR="00BD685F" w:rsidRDefault="00BD685F">
      <w:pPr>
        <w:pStyle w:val="NormalWeb"/>
        <w:spacing w:before="120" w:beforeAutospacing="0" w:after="120" w:afterAutospacing="0"/>
        <w:rPr>
          <w:sz w:val="22"/>
          <w:szCs w:val="22"/>
        </w:rPr>
      </w:pPr>
      <w:r>
        <w:rPr>
          <w:rStyle w:val="confluence-embedded-file-wrapper"/>
          <w:color w:val="FF0000"/>
          <w:sz w:val="22"/>
          <w:szCs w:val="22"/>
        </w:rPr>
        <w:t>Such cases need to be tagged as space/ellipse/space/period</w:t>
      </w:r>
    </w:p>
    <w:p w14:paraId="62A1134A" w14:textId="77777777" w:rsidR="00BD685F" w:rsidRDefault="00BD685F">
      <w:pPr>
        <w:pStyle w:val="NormalWeb"/>
        <w:spacing w:before="120" w:beforeAutospacing="0" w:after="120" w:afterAutospacing="0"/>
        <w:rPr>
          <w:sz w:val="22"/>
          <w:szCs w:val="22"/>
        </w:rPr>
      </w:pPr>
      <w:r>
        <w:rPr>
          <w:rStyle w:val="confluence-embedded-file-wrapper"/>
          <w:b/>
          <w:bCs/>
          <w:color w:val="000000"/>
          <w:sz w:val="22"/>
          <w:szCs w:val="22"/>
        </w:rPr>
        <w:t>Example 3</w:t>
      </w:r>
    </w:p>
    <w:p w14:paraId="586DF3BE" w14:textId="77777777" w:rsidR="00BD685F" w:rsidRDefault="00BD685F">
      <w:pPr>
        <w:pStyle w:val="NormalWeb"/>
        <w:spacing w:before="120" w:beforeAutospacing="0" w:after="120" w:afterAutospacing="0"/>
        <w:rPr>
          <w:sz w:val="22"/>
          <w:szCs w:val="22"/>
        </w:rPr>
      </w:pPr>
      <w:r>
        <w:rPr>
          <w:rStyle w:val="confluence-embedded-file-wrapper"/>
          <w:color w:val="000000"/>
          <w:sz w:val="22"/>
          <w:szCs w:val="22"/>
        </w:rPr>
        <w:t>"The work may be transferred to another plant, to other employees of the same employer, or to an alter ego corporation</w:t>
      </w:r>
      <w:r>
        <w:rPr>
          <w:rStyle w:val="Strong"/>
          <w:color w:val="FF0000"/>
          <w:sz w:val="22"/>
          <w:szCs w:val="22"/>
        </w:rPr>
        <w:t>. ...</w:t>
      </w:r>
      <w:r>
        <w:rPr>
          <w:rStyle w:val="confluence-embedded-file-wrapper"/>
          <w:color w:val="000000"/>
          <w:sz w:val="22"/>
          <w:szCs w:val="22"/>
        </w:rPr>
        <w:t> Most of these Section 8(a)(3) cases turn on employer motivation in transferring the work"</w:t>
      </w:r>
    </w:p>
    <w:p w14:paraId="0D2CB584" w14:textId="77777777" w:rsidR="00BD685F" w:rsidRDefault="00BD685F">
      <w:pPr>
        <w:pStyle w:val="NormalWeb"/>
        <w:spacing w:before="120" w:beforeAutospacing="0" w:after="120" w:afterAutospacing="0"/>
        <w:rPr>
          <w:sz w:val="22"/>
          <w:szCs w:val="22"/>
        </w:rPr>
      </w:pPr>
      <w:r>
        <w:rPr>
          <w:rStyle w:val="confluence-embedded-file-wrapper"/>
          <w:color w:val="FF0000"/>
          <w:sz w:val="22"/>
          <w:szCs w:val="22"/>
        </w:rPr>
        <w:t>Such case need to be tagged as period/space/ellipse/space</w:t>
      </w:r>
    </w:p>
    <w:p w14:paraId="073C353D" w14:textId="77777777" w:rsidR="00BD685F" w:rsidRDefault="00BD685F">
      <w:pPr>
        <w:pStyle w:val="NormalWeb"/>
        <w:rPr>
          <w:sz w:val="22"/>
          <w:szCs w:val="22"/>
        </w:rPr>
      </w:pPr>
      <w:r>
        <w:rPr>
          <w:rStyle w:val="Emphasis"/>
          <w:sz w:val="22"/>
          <w:szCs w:val="22"/>
        </w:rPr>
        <w:t xml:space="preserve">Look for </w:t>
      </w:r>
      <w:bookmarkStart w:id="0" w:name="_Hlk187918079"/>
      <w:r>
        <w:rPr>
          <w:rStyle w:val="Emphasis"/>
          <w:sz w:val="22"/>
          <w:szCs w:val="22"/>
        </w:rPr>
        <w:t>ellipse</w:t>
      </w:r>
      <w:bookmarkEnd w:id="0"/>
      <w:r>
        <w:rPr>
          <w:rStyle w:val="Emphasis"/>
          <w:sz w:val="22"/>
          <w:szCs w:val="22"/>
        </w:rPr>
        <w:t xml:space="preserve"> (…) in the document and make sure that there is space on both sides as shown above.</w:t>
      </w:r>
    </w:p>
    <w:p w14:paraId="2BD3260D" w14:textId="77777777" w:rsidR="00BD685F" w:rsidRDefault="00BD685F">
      <w:pPr>
        <w:pStyle w:val="NormalWeb"/>
      </w:pPr>
      <w:r>
        <w:rPr>
          <w:i/>
          <w:noProof/>
        </w:rPr>
        <w:drawing>
          <wp:inline distT="0" distB="0" distL="0" distR="0" wp14:anchorId="083B7018" wp14:editId="6B47FA9E">
            <wp:extent cx="3581400" cy="1714500"/>
            <wp:effectExtent l="0" t="0" r="0" b="0"/>
            <wp:docPr id="1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81400" cy="1714500"/>
                    </a:xfrm>
                    <a:prstGeom prst="rect">
                      <a:avLst/>
                    </a:prstGeom>
                    <a:noFill/>
                    <a:ln>
                      <a:noFill/>
                    </a:ln>
                  </pic:spPr>
                </pic:pic>
              </a:graphicData>
            </a:graphic>
          </wp:inline>
        </w:drawing>
      </w:r>
    </w:p>
    <w:p w14:paraId="5E677FBC" w14:textId="77777777" w:rsidR="00BD685F" w:rsidRDefault="00BD685F">
      <w:pPr>
        <w:pStyle w:val="NormalWeb"/>
      </w:pPr>
      <w:r>
        <w:rPr>
          <w:rStyle w:val="confluence-embedded-file-wrapper"/>
        </w:rPr>
        <w:lastRenderedPageBreak/>
        <w:t>11</w:t>
      </w:r>
      <w:r>
        <w:rPr>
          <w:rStyle w:val="confluence-embedded-file-wrapper"/>
          <w:i/>
          <w:iCs/>
        </w:rPr>
        <w:t xml:space="preserve">. </w:t>
      </w:r>
      <w:r>
        <w:t>Add cite.url tags for below strings in the chapter:</w:t>
      </w:r>
    </w:p>
    <w:p w14:paraId="439C4648" w14:textId="77777777" w:rsidR="00BD685F" w:rsidRDefault="00BD685F">
      <w:pPr>
        <w:numPr>
          <w:ilvl w:val="0"/>
          <w:numId w:val="6"/>
        </w:numPr>
        <w:spacing w:before="100" w:beforeAutospacing="1" w:after="100" w:afterAutospacing="1"/>
        <w:rPr>
          <w:rFonts w:eastAsia="Times New Roman"/>
          <w:sz w:val="18"/>
          <w:szCs w:val="18"/>
        </w:rPr>
      </w:pPr>
      <w:r>
        <w:rPr>
          <w:rFonts w:eastAsia="Times New Roman"/>
        </w:rPr>
        <w:t xml:space="preserve">BRIAN M. MALSBERGER, EMPLOYEE DUTY OF LOYALTY: A STATE-BY-STATE SURVEY - </w:t>
      </w:r>
      <w:r>
        <w:rPr>
          <w:rFonts w:eastAsia="Times New Roman"/>
        </w:rPr>
        <w:br/>
      </w:r>
      <w:r>
        <w:rPr>
          <w:rFonts w:eastAsia="Times New Roman"/>
          <w:sz w:val="18"/>
          <w:szCs w:val="18"/>
        </w:rPr>
        <w:t>&lt;cite.url ref="https://www.bloomberglaw.com/browser/105.469776#"&gt;Employee Duty of Loyalty: A State-by-State Survey&lt;/cite.url&gt;</w:t>
      </w:r>
    </w:p>
    <w:p w14:paraId="5D412314" w14:textId="77777777" w:rsidR="00BD685F" w:rsidRDefault="00BD685F">
      <w:pPr>
        <w:numPr>
          <w:ilvl w:val="0"/>
          <w:numId w:val="6"/>
        </w:numPr>
        <w:spacing w:before="100" w:beforeAutospacing="1" w:after="100" w:afterAutospacing="1"/>
        <w:rPr>
          <w:rFonts w:eastAsia="Times New Roman"/>
          <w:sz w:val="18"/>
          <w:szCs w:val="18"/>
        </w:rPr>
      </w:pPr>
      <w:r>
        <w:rPr>
          <w:rFonts w:eastAsia="Times New Roman"/>
        </w:rPr>
        <w:t xml:space="preserve">BRIAN M. MALSBERGER, TRADE SECRETS: A STATE-BY-STATE SURVEY - </w:t>
      </w:r>
      <w:r>
        <w:rPr>
          <w:rFonts w:eastAsia="Times New Roman"/>
          <w:sz w:val="18"/>
          <w:szCs w:val="18"/>
        </w:rPr>
        <w:t>&lt;cite.url ref="https://www.bloomberglaw.com/browser/105.469782#"&gt;Trade Secrets: A State-by-State Survey&lt;/cite.url&gt;</w:t>
      </w:r>
    </w:p>
    <w:p w14:paraId="26EB97D3" w14:textId="77777777" w:rsidR="00BD685F" w:rsidRDefault="00BD685F">
      <w:pPr>
        <w:numPr>
          <w:ilvl w:val="0"/>
          <w:numId w:val="6"/>
        </w:numPr>
        <w:spacing w:before="100" w:beforeAutospacing="1" w:after="100" w:afterAutospacing="1"/>
        <w:rPr>
          <w:rFonts w:eastAsia="Times New Roman"/>
        </w:rPr>
      </w:pPr>
      <w:r>
        <w:rPr>
          <w:rFonts w:eastAsia="Times New Roman"/>
        </w:rPr>
        <w:t xml:space="preserve">BRIAN M. MALSBERGER, TORTIOUS INTERFERENCE IN THE EMPLOYMENT CONTEXT: A STATE-BY-STATE SURVEY - </w:t>
      </w:r>
      <w:r>
        <w:rPr>
          <w:rFonts w:eastAsia="Times New Roman"/>
        </w:rPr>
        <w:br/>
      </w:r>
      <w:r>
        <w:rPr>
          <w:rFonts w:eastAsia="Times New Roman"/>
          <w:sz w:val="18"/>
          <w:szCs w:val="18"/>
        </w:rPr>
        <w:t>&lt;cite.url ref="https://www.bloomberglaw.com/browser/105.468942#"&gt;Tortious Interference in the Employment Context: A State-by-State Survey&lt;/cite.url&gt;</w:t>
      </w:r>
    </w:p>
    <w:p w14:paraId="372C4029" w14:textId="77777777" w:rsidR="00BD685F" w:rsidRDefault="00BD685F">
      <w:pPr>
        <w:pStyle w:val="NormalWeb"/>
      </w:pPr>
      <w:r>
        <w:t>12. Add baseball card and outside paywall tagged to each chapter, here is the tagging</w:t>
      </w:r>
    </w:p>
    <w:p w14:paraId="37A63BD0" w14:textId="77777777" w:rsidR="00BD685F" w:rsidRDefault="00BD685F">
      <w:pPr>
        <w:pStyle w:val="NormalWeb"/>
        <w:spacing w:before="0" w:beforeAutospacing="0" w:after="0" w:afterAutospacing="0"/>
        <w:rPr>
          <w:sz w:val="20"/>
          <w:szCs w:val="20"/>
        </w:rPr>
      </w:pPr>
      <w:r>
        <w:rPr>
          <w:sz w:val="20"/>
          <w:szCs w:val="20"/>
        </w:rPr>
        <w:t>&lt;related.to&gt;&lt;baseball.card label.id="books_noncompete"&gt;&lt;/baseball.card&gt;</w:t>
      </w:r>
    </w:p>
    <w:p w14:paraId="7F516902" w14:textId="77777777" w:rsidR="00BD685F" w:rsidRDefault="00BD685F">
      <w:pPr>
        <w:pStyle w:val="NormalWeb"/>
        <w:spacing w:before="0" w:beforeAutospacing="0" w:after="0" w:afterAutospacing="0"/>
        <w:rPr>
          <w:sz w:val="20"/>
          <w:szCs w:val="20"/>
        </w:rPr>
      </w:pPr>
      <w:r>
        <w:rPr>
          <w:sz w:val="20"/>
          <w:szCs w:val="20"/>
        </w:rPr>
        <w:t>&lt;</w:t>
      </w:r>
      <w:r>
        <w:rPr>
          <w:color w:val="3366FF"/>
          <w:sz w:val="20"/>
          <w:szCs w:val="20"/>
        </w:rPr>
        <w:t xml:space="preserve">outside.paywall paywall.status="summary" seo.description="Joint ABA/Bloomberg Law survey of </w:t>
      </w:r>
      <w:r>
        <w:rPr>
          <w:rStyle w:val="Strong"/>
          <w:color w:val="FF0000"/>
          <w:sz w:val="20"/>
          <w:szCs w:val="20"/>
        </w:rPr>
        <w:t>South Carolina</w:t>
      </w:r>
      <w:r>
        <w:rPr>
          <w:color w:val="3366FF"/>
          <w:sz w:val="20"/>
          <w:szCs w:val="20"/>
        </w:rPr>
        <w:t xml:space="preserve"> noncompete agreement laws &amp;amp; related topics such as employer’s protectable interest &amp;amp; overbroad restrictions" related.page="https://www.bloomberglaw.com/page/book_aba_cnc"/&gt;</w:t>
      </w:r>
    </w:p>
    <w:p w14:paraId="713678BF" w14:textId="77777777" w:rsidR="00BD685F" w:rsidRDefault="00BD685F">
      <w:pPr>
        <w:pStyle w:val="NormalWeb"/>
        <w:spacing w:before="0" w:beforeAutospacing="0" w:after="0" w:afterAutospacing="0"/>
      </w:pPr>
      <w:r>
        <w:rPr>
          <w:sz w:val="20"/>
          <w:szCs w:val="20"/>
        </w:rPr>
        <w:t>&lt;/related.to&gt;</w:t>
      </w:r>
    </w:p>
    <w:p w14:paraId="51C31D83" w14:textId="77777777" w:rsidR="00BD685F" w:rsidRDefault="00BD685F">
      <w:pPr>
        <w:pStyle w:val="NormalWeb"/>
        <w:spacing w:before="120" w:beforeAutospacing="0"/>
        <w:rPr>
          <w:sz w:val="22"/>
          <w:szCs w:val="22"/>
        </w:rPr>
      </w:pPr>
      <w:r>
        <w:rPr>
          <w:rStyle w:val="Strong"/>
          <w:i/>
          <w:iCs/>
          <w:sz w:val="22"/>
          <w:szCs w:val="22"/>
        </w:rPr>
        <w:t>Note: Replace "South Carolina" with the State you are working on in the attribute value of seo.description.</w:t>
      </w:r>
    </w:p>
    <w:p w14:paraId="45501A9C" w14:textId="77777777" w:rsidR="00BD685F" w:rsidRDefault="00BD685F">
      <w:pPr>
        <w:pStyle w:val="NormalWeb"/>
      </w:pPr>
      <w:r>
        <w:t>13.  Before running Autocite on BWIP, make sure to fix format of the state laws, as shown below:</w:t>
      </w:r>
    </w:p>
    <w:p w14:paraId="2D199B5B" w14:textId="77777777" w:rsidR="00BD685F" w:rsidRDefault="00BD685F">
      <w:pPr>
        <w:pStyle w:val="NormalWeb"/>
      </w:pPr>
      <w:r>
        <w:t xml:space="preserve">look for cases where period is outside the emphsis tags - </w:t>
      </w:r>
      <w:r>
        <w:br/>
      </w:r>
      <w:r>
        <w:rPr>
          <w:sz w:val="20"/>
          <w:szCs w:val="20"/>
        </w:rPr>
        <w:t>&lt;emph face="lsc"&gt;Mo. Rev. Stat&lt;/emph&gt;. §290.530 change this to &lt;emph face="lsc"&gt;Mo. Rev. Stat. &lt;/emph&gt;§290.530</w:t>
      </w:r>
      <w:r>
        <w:br/>
        <w:t xml:space="preserve">look for cases where state code is outside the emphsis tags - </w:t>
      </w:r>
      <w:r>
        <w:br/>
      </w:r>
      <w:r>
        <w:rPr>
          <w:sz w:val="20"/>
          <w:szCs w:val="20"/>
        </w:rPr>
        <w:t>Mo. &lt;emph face="lsc"&gt;Rev. Stat. &lt;/emph&gt;§290.530 change this to &lt;emph face="lsc"&gt;Mo. Rev. Stat. &lt;/emph&gt;§290.530</w:t>
      </w:r>
      <w:r>
        <w:br/>
        <w:t xml:space="preserve">look for cases where there is space after section symbol for state codes - </w:t>
      </w:r>
      <w:r>
        <w:br/>
      </w:r>
      <w:r>
        <w:rPr>
          <w:sz w:val="20"/>
          <w:szCs w:val="20"/>
        </w:rPr>
        <w:t>&lt;emph face="lsc"&gt;Mo. Rev. Stat. &lt;/emph&gt;§ 290.530  change this to &lt;emph face="lsc"&gt;Mo. Rev. Stat. &lt;/emph&gt;§290.530</w:t>
      </w:r>
    </w:p>
    <w:p w14:paraId="4A69ACE1" w14:textId="77777777" w:rsidR="00BD685F" w:rsidRDefault="00BD685F">
      <w:pPr>
        <w:pStyle w:val="NormalWeb"/>
      </w:pPr>
      <w:r>
        <w:t>14. Run Autocite in two parts, select option in the sequence shown below</w:t>
      </w:r>
    </w:p>
    <w:p w14:paraId="5319FDC4" w14:textId="77777777" w:rsidR="00BD685F" w:rsidRDefault="00BD685F">
      <w:pPr>
        <w:pStyle w:val="NormalWeb"/>
        <w:numPr>
          <w:ilvl w:val="0"/>
          <w:numId w:val="8"/>
        </w:numPr>
      </w:pPr>
      <w:r>
        <w:t>Run autocite with following option:</w:t>
      </w:r>
    </w:p>
    <w:p w14:paraId="272933BA" w14:textId="77777777" w:rsidR="00BD685F" w:rsidRDefault="00BD685F">
      <w:pPr>
        <w:pStyle w:val="NormalWeb"/>
        <w:ind w:left="720"/>
        <w:rPr>
          <w:sz w:val="20"/>
          <w:szCs w:val="20"/>
        </w:rPr>
      </w:pPr>
      <w:r>
        <w:rPr>
          <w:sz w:val="20"/>
          <w:szCs w:val="20"/>
        </w:rPr>
        <w:t>All BNA Services</w:t>
      </w:r>
      <w:r>
        <w:rPr>
          <w:sz w:val="20"/>
          <w:szCs w:val="20"/>
        </w:rPr>
        <w:br/>
        <w:t>All Federal Rules of Procedure</w:t>
      </w:r>
      <w:r>
        <w:rPr>
          <w:sz w:val="20"/>
          <w:szCs w:val="20"/>
        </w:rPr>
        <w:br/>
        <w:t>All Federal Agency Documents (NOT Federal Agency Documents - Tax Services only)</w:t>
      </w:r>
      <w:r>
        <w:rPr>
          <w:sz w:val="20"/>
          <w:szCs w:val="20"/>
        </w:rPr>
        <w:br/>
        <w:t>All Federal Laws</w:t>
      </w:r>
      <w:r>
        <w:rPr>
          <w:sz w:val="20"/>
          <w:szCs w:val="20"/>
        </w:rPr>
        <w:br/>
        <w:t>All Federal Laws by Acronym (NOT either of the EHS Federal Laws)</w:t>
      </w:r>
      <w:r>
        <w:rPr>
          <w:sz w:val="20"/>
          <w:szCs w:val="20"/>
        </w:rPr>
        <w:br/>
        <w:t>Federal Laws by Name</w:t>
      </w:r>
      <w:r>
        <w:rPr>
          <w:sz w:val="20"/>
          <w:szCs w:val="20"/>
        </w:rPr>
        <w:br/>
        <w:t>Federal Regulations</w:t>
      </w:r>
      <w:r>
        <w:rPr>
          <w:sz w:val="20"/>
          <w:szCs w:val="20"/>
        </w:rPr>
        <w:br/>
        <w:t>Model Acts</w:t>
      </w:r>
      <w:r>
        <w:rPr>
          <w:sz w:val="20"/>
          <w:szCs w:val="20"/>
        </w:rPr>
        <w:br/>
        <w:t>State Agency Documents</w:t>
      </w:r>
      <w:r>
        <w:rPr>
          <w:sz w:val="20"/>
          <w:szCs w:val="20"/>
        </w:rPr>
        <w:br/>
        <w:t>State Constitutions</w:t>
      </w:r>
      <w:r>
        <w:rPr>
          <w:sz w:val="20"/>
          <w:szCs w:val="20"/>
        </w:rPr>
        <w:br/>
      </w:r>
      <w:r>
        <w:rPr>
          <w:sz w:val="20"/>
          <w:szCs w:val="20"/>
        </w:rPr>
        <w:lastRenderedPageBreak/>
        <w:t>State Laws</w:t>
      </w:r>
      <w:r>
        <w:rPr>
          <w:sz w:val="20"/>
          <w:szCs w:val="20"/>
        </w:rPr>
        <w:br/>
        <w:t>Web</w:t>
      </w:r>
      <w:r>
        <w:rPr>
          <w:sz w:val="20"/>
          <w:szCs w:val="20"/>
        </w:rPr>
        <w:br/>
        <w:t>TM State Regulations</w:t>
      </w:r>
    </w:p>
    <w:p w14:paraId="72B23325" w14:textId="77777777" w:rsidR="00BD685F" w:rsidRDefault="00BD685F">
      <w:pPr>
        <w:pStyle w:val="NormalWeb"/>
        <w:numPr>
          <w:ilvl w:val="0"/>
          <w:numId w:val="8"/>
        </w:numPr>
      </w:pPr>
      <w:r>
        <w:t>Run autocite with following option</w:t>
      </w:r>
    </w:p>
    <w:p w14:paraId="396104B5" w14:textId="77777777" w:rsidR="00BD685F" w:rsidRDefault="00BD685F">
      <w:pPr>
        <w:pStyle w:val="NormalWeb"/>
        <w:ind w:firstLine="720"/>
        <w:rPr>
          <w:sz w:val="20"/>
          <w:szCs w:val="20"/>
        </w:rPr>
      </w:pPr>
      <w:r>
        <w:rPr>
          <w:sz w:val="20"/>
          <w:szCs w:val="20"/>
        </w:rPr>
        <w:t>All Cases</w:t>
      </w:r>
    </w:p>
    <w:p w14:paraId="59FE6DBE" w14:textId="783B2002" w:rsidR="00BD685F" w:rsidRDefault="00BD685F">
      <w:pPr>
        <w:spacing w:before="100" w:beforeAutospacing="1" w:after="100" w:afterAutospacing="1"/>
        <w:rPr>
          <w:rFonts w:eastAsia="Times New Roman"/>
          <w:color w:val="172B4D"/>
        </w:rPr>
      </w:pPr>
      <w:r>
        <w:rPr>
          <w:rFonts w:eastAsia="Times New Roman"/>
          <w:color w:val="172B4D"/>
        </w:rPr>
        <w:t xml:space="preserve">15. Pull file to BWIP into Queue </w:t>
      </w:r>
      <w:r w:rsidR="00F9493D" w:rsidRPr="00F9493D">
        <w:rPr>
          <w:rFonts w:eastAsia="Times New Roman"/>
          <w:color w:val="FF0000"/>
        </w:rPr>
        <w:t>INFOBOOKS-PSP</w:t>
      </w:r>
      <w:r>
        <w:rPr>
          <w:rFonts w:eastAsia="Times New Roman"/>
          <w:color w:val="172B4D"/>
        </w:rPr>
        <w:t xml:space="preserve">. Mark the status of the file to “Ready for Approval” </w:t>
      </w:r>
    </w:p>
    <w:p w14:paraId="10C4F1A3" w14:textId="77777777" w:rsidR="00BD685F" w:rsidRDefault="00BD685F">
      <w:pPr>
        <w:spacing w:before="100" w:beforeAutospacing="1" w:after="100" w:afterAutospacing="1"/>
        <w:rPr>
          <w:rFonts w:eastAsia="Times New Roman"/>
        </w:rPr>
      </w:pPr>
      <w:r>
        <w:rPr>
          <w:noProof/>
        </w:rPr>
        <w:drawing>
          <wp:inline distT="0" distB="0" distL="0" distR="0" wp14:anchorId="43667E8D" wp14:editId="6CD928A1">
            <wp:extent cx="5934075" cy="447675"/>
            <wp:effectExtent l="0" t="0" r="9525" b="9525"/>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34075" cy="447675"/>
                    </a:xfrm>
                    <a:prstGeom prst="rect">
                      <a:avLst/>
                    </a:prstGeom>
                    <a:noFill/>
                    <a:ln>
                      <a:noFill/>
                    </a:ln>
                  </pic:spPr>
                </pic:pic>
              </a:graphicData>
            </a:graphic>
          </wp:inline>
        </w:drawing>
      </w:r>
    </w:p>
    <w:sectPr w:rsidR="00BD68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652EF"/>
    <w:multiLevelType w:val="multilevel"/>
    <w:tmpl w:val="A96E5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F4A28FD"/>
    <w:multiLevelType w:val="multilevel"/>
    <w:tmpl w:val="62D86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DB727F2"/>
    <w:multiLevelType w:val="multilevel"/>
    <w:tmpl w:val="367ECC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518D54C7"/>
    <w:multiLevelType w:val="multilevel"/>
    <w:tmpl w:val="24680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E1C2AE4"/>
    <w:multiLevelType w:val="hybridMultilevel"/>
    <w:tmpl w:val="569CF05E"/>
    <w:lvl w:ilvl="0" w:tplc="03BC9A54">
      <w:start w:val="1"/>
      <w:numFmt w:val="lowerLetter"/>
      <w:lvlText w:val="%1. "/>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64358645">
    <w:abstractNumId w:val="1"/>
  </w:num>
  <w:num w:numId="2" w16cid:durableId="641926800">
    <w:abstractNumId w:val="2"/>
  </w:num>
  <w:num w:numId="3" w16cid:durableId="17998830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98118842">
    <w:abstractNumId w:val="0"/>
  </w:num>
  <w:num w:numId="5" w16cid:durableId="1211258617">
    <w:abstractNumId w:val="3"/>
  </w:num>
  <w:num w:numId="6" w16cid:durableId="1344478417">
    <w:abstractNumId w:val="3"/>
  </w:num>
  <w:num w:numId="7" w16cid:durableId="575943565">
    <w:abstractNumId w:val="4"/>
  </w:num>
  <w:num w:numId="8" w16cid:durableId="16015271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A1D"/>
    <w:rsid w:val="00A20A1D"/>
    <w:rsid w:val="00B77D9D"/>
    <w:rsid w:val="00BD685F"/>
    <w:rsid w:val="00F949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E610A9"/>
  <w15:chartTrackingRefBased/>
  <w15:docId w15:val="{F8979216-72DB-4C12-8B62-1C030F6E7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customStyle="1" w:styleId="Heading1Char">
    <w:name w:val="Heading 1 Char"/>
    <w:basedOn w:val="DefaultParagraphFont"/>
    <w:link w:val="Heading1"/>
    <w:uiPriority w:val="9"/>
    <w:locked/>
    <w:rPr>
      <w:rFonts w:asciiTheme="majorHAnsi" w:eastAsiaTheme="majorEastAsia" w:hAnsiTheme="majorHAnsi" w:cstheme="majorBidi" w:hint="default"/>
      <w:color w:val="2F5496" w:themeColor="accent1" w:themeShade="BF"/>
      <w:sz w:val="32"/>
      <w:szCs w:val="32"/>
    </w:rPr>
  </w:style>
  <w:style w:type="paragraph" w:customStyle="1" w:styleId="msonormal0">
    <w:name w:val="msonormal"/>
    <w:basedOn w:val="Normal"/>
    <w:uiPriority w:val="99"/>
    <w:pPr>
      <w:spacing w:before="100" w:beforeAutospacing="1" w:after="100" w:afterAutospacing="1"/>
    </w:pPr>
  </w:style>
  <w:style w:type="paragraph" w:styleId="NormalWeb">
    <w:name w:val="Normal (Web)"/>
    <w:basedOn w:val="Normal"/>
    <w:uiPriority w:val="99"/>
    <w:semiHidden/>
    <w:unhideWhenUsed/>
    <w:pPr>
      <w:spacing w:before="100" w:beforeAutospacing="1" w:after="100" w:afterAutospacing="1"/>
    </w:pPr>
  </w:style>
  <w:style w:type="paragraph" w:styleId="ListParagraph">
    <w:name w:val="List Paragraph"/>
    <w:basedOn w:val="Normal"/>
    <w:uiPriority w:val="34"/>
    <w:qFormat/>
    <w:pPr>
      <w:ind w:left="720"/>
      <w:contextualSpacing/>
    </w:p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customStyle="1" w:styleId="confluence-embedded-file-wrapper">
    <w:name w:val="confluence-embedded-file-wrapp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nicode"/>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786616f-5bb4-45d1-b9c4-7a19bded0f1d}" enabled="1" method="Standard" siteId="{97be21fd-c601-4b16-9920-f5accc69da65}"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7</Pages>
  <Words>1029</Words>
  <Characters>6328</Characters>
  <Application>Microsoft Office Word</Application>
  <DocSecurity>0</DocSecurity>
  <Lines>52</Lines>
  <Paragraphs>14</Paragraphs>
  <ScaleCrop>false</ScaleCrop>
  <Company/>
  <LinksUpToDate>false</LinksUpToDate>
  <CharactersWithSpaces>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Covenants Not to Compete A State-by-State Survey</dc:title>
  <dc:subject/>
  <dc:creator>Ravulapalli, Vijay</dc:creator>
  <cp:keywords/>
  <dc:description/>
  <cp:lastModifiedBy>Ravulapalli, Vijay</cp:lastModifiedBy>
  <cp:revision>5</cp:revision>
  <dcterms:created xsi:type="dcterms:W3CDTF">2025-01-16T17:02:00Z</dcterms:created>
  <dcterms:modified xsi:type="dcterms:W3CDTF">2025-01-16T19:59:00Z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86616f-5bb4-45d1-b9c4-7a19bded0f1d_Enabled">
    <vt:lpwstr>true</vt:lpwstr>
  </property>
  <property fmtid="{D5CDD505-2E9C-101B-9397-08002B2CF9AE}" pid="3" name="MSIP_Label_f786616f-5bb4-45d1-b9c4-7a19bded0f1d_SetDate">
    <vt:lpwstr>2025-01-16T16:26:17Z</vt:lpwstr>
  </property>
  <property fmtid="{D5CDD505-2E9C-101B-9397-08002B2CF9AE}" pid="4" name="MSIP_Label_f786616f-5bb4-45d1-b9c4-7a19bded0f1d_Method">
    <vt:lpwstr>Standard</vt:lpwstr>
  </property>
  <property fmtid="{D5CDD505-2E9C-101B-9397-08002B2CF9AE}" pid="5" name="MSIP_Label_f786616f-5bb4-45d1-b9c4-7a19bded0f1d_Name">
    <vt:lpwstr>Public</vt:lpwstr>
  </property>
  <property fmtid="{D5CDD505-2E9C-101B-9397-08002B2CF9AE}" pid="6" name="MSIP_Label_f786616f-5bb4-45d1-b9c4-7a19bded0f1d_SiteId">
    <vt:lpwstr>97be21fd-c601-4b16-9920-f5accc69da65</vt:lpwstr>
  </property>
  <property fmtid="{D5CDD505-2E9C-101B-9397-08002B2CF9AE}" pid="7" name="MSIP_Label_f786616f-5bb4-45d1-b9c4-7a19bded0f1d_ActionId">
    <vt:lpwstr>afebdfc6-66bb-4447-9395-b33d0c2c3cc6</vt:lpwstr>
  </property>
  <property fmtid="{D5CDD505-2E9C-101B-9397-08002B2CF9AE}" pid="8" name="MSIP_Label_f786616f-5bb4-45d1-b9c4-7a19bded0f1d_ContentBits">
    <vt:lpwstr>0</vt:lpwstr>
  </property>
</Properties>
</file>