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C913C" w14:textId="1104D569" w:rsidR="001333EC" w:rsidRPr="00A7020C" w:rsidRDefault="001333EC" w:rsidP="00A7020C">
      <w:pPr>
        <w:jc w:val="center"/>
        <w:rPr>
          <w:b/>
          <w:bCs/>
          <w:caps/>
          <w:sz w:val="24"/>
          <w:szCs w:val="24"/>
          <w:u w:val="single"/>
        </w:rPr>
      </w:pPr>
      <w:r w:rsidRPr="00A7020C">
        <w:rPr>
          <w:b/>
          <w:bCs/>
          <w:caps/>
          <w:sz w:val="24"/>
          <w:szCs w:val="24"/>
          <w:u w:val="single"/>
        </w:rPr>
        <w:t>LEGISLATIVE HISTORY</w:t>
      </w:r>
    </w:p>
    <w:p w14:paraId="743D7316" w14:textId="77777777" w:rsidR="001333EC" w:rsidRDefault="001333EC">
      <w:pPr>
        <w:rPr>
          <w:b/>
          <w:bCs/>
          <w:caps/>
          <w:sz w:val="24"/>
          <w:szCs w:val="24"/>
        </w:rPr>
      </w:pPr>
    </w:p>
    <w:p w14:paraId="2AED51AC" w14:textId="1281F1F9" w:rsidR="00B0409F" w:rsidRPr="00561013" w:rsidRDefault="00561013">
      <w:pPr>
        <w:rPr>
          <w:b/>
          <w:bCs/>
          <w:caps/>
          <w:sz w:val="24"/>
          <w:szCs w:val="24"/>
        </w:rPr>
      </w:pPr>
      <w:r w:rsidRPr="00561013">
        <w:rPr>
          <w:b/>
          <w:bCs/>
          <w:caps/>
          <w:sz w:val="24"/>
          <w:szCs w:val="24"/>
        </w:rPr>
        <w:t>To search for Prior Version</w:t>
      </w:r>
    </w:p>
    <w:p w14:paraId="7A4899CF" w14:textId="77777777" w:rsidR="00561013" w:rsidRDefault="00561013">
      <w:pPr>
        <w:rPr>
          <w:b/>
          <w:bCs/>
          <w:caps/>
        </w:rPr>
      </w:pPr>
    </w:p>
    <w:p w14:paraId="4A7FB808" w14:textId="47B26C76" w:rsidR="00041F05" w:rsidRDefault="00041F05">
      <w:pPr>
        <w:rPr>
          <w:b/>
          <w:bCs/>
          <w:caps/>
        </w:rPr>
      </w:pPr>
      <w:r>
        <w:rPr>
          <w:b/>
          <w:bCs/>
          <w:caps/>
        </w:rPr>
        <w:t>in summary:</w:t>
      </w:r>
    </w:p>
    <w:p w14:paraId="41333049" w14:textId="77777777" w:rsidR="00041F05" w:rsidRDefault="00041F05" w:rsidP="00041F05">
      <w:pPr>
        <w:rPr>
          <w14:ligatures w14:val="none"/>
        </w:rPr>
      </w:pPr>
      <w:r>
        <w:t xml:space="preserve">Log on to BTAX, Federal and go to the relevant Code section. Click on the Versions icon on the right rail. </w:t>
      </w:r>
      <w:r w:rsidRPr="00127F14">
        <w:rPr>
          <w:highlight w:val="yellow"/>
        </w:rPr>
        <w:t>Find the version amended immediately preceding the Public Law you are working on.</w:t>
      </w:r>
      <w:r>
        <w:t xml:space="preserve"> </w:t>
      </w:r>
      <w:r w:rsidRPr="00127F14">
        <w:rPr>
          <w:highlight w:val="yellow"/>
          <w14:ligatures w14:val="none"/>
        </w:rPr>
        <w:t>Note that the Public Law you are working on might not be the most recent Public Law to amend the Code section.</w:t>
      </w:r>
      <w:r>
        <w:rPr>
          <w14:ligatures w14:val="none"/>
        </w:rPr>
        <w:t xml:space="preserve"> Click on “View Codified Text” to bring up the text of this version.</w:t>
      </w:r>
    </w:p>
    <w:p w14:paraId="63D04A3E" w14:textId="77777777" w:rsidR="00041F05" w:rsidRDefault="00041F05" w:rsidP="00041F05">
      <w:pPr>
        <w:rPr>
          <w:sz w:val="20"/>
          <w:szCs w:val="20"/>
        </w:rPr>
      </w:pPr>
      <w:r>
        <w:rPr>
          <w:sz w:val="20"/>
          <w:szCs w:val="20"/>
        </w:rPr>
        <w:t>For example, if you are creating a legislative history file for Code Sec. 118 as amended by PL 117-58, you would select the version amended by PL 115-97 and click on “View Codified Text” under the heading for PL 115-97.</w:t>
      </w:r>
    </w:p>
    <w:p w14:paraId="1619E73D" w14:textId="77777777" w:rsidR="00041F05" w:rsidRDefault="00041F05">
      <w:pPr>
        <w:rPr>
          <w:b/>
          <w:bCs/>
          <w:caps/>
        </w:rPr>
      </w:pPr>
    </w:p>
    <w:p w14:paraId="6BBB2C32" w14:textId="3339FCC3" w:rsidR="00652E8E" w:rsidRDefault="00652E8E" w:rsidP="00652E8E">
      <w:r>
        <w:rPr>
          <w:noProof/>
          <w14:ligatures w14:val="none"/>
        </w:rPr>
        <w:drawing>
          <wp:inline distT="0" distB="0" distL="0" distR="0" wp14:anchorId="2FDA7B5B" wp14:editId="75D2CE1C">
            <wp:extent cx="3859530" cy="287655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859530" cy="2876550"/>
                    </a:xfrm>
                    <a:prstGeom prst="rect">
                      <a:avLst/>
                    </a:prstGeom>
                    <a:noFill/>
                    <a:ln>
                      <a:noFill/>
                    </a:ln>
                  </pic:spPr>
                </pic:pic>
              </a:graphicData>
            </a:graphic>
          </wp:inline>
        </w:drawing>
      </w:r>
    </w:p>
    <w:p w14:paraId="19671FD1" w14:textId="069B67B7" w:rsidR="00041F05" w:rsidRDefault="00652E8E" w:rsidP="00652E8E">
      <w:r>
        <w:t>Copy the text starting with the section number/title through the end of the Code section language. Do not copy text appearing after the line rule. Save the file and follow the same steps for each Code section amended by the Public Law.</w:t>
      </w:r>
    </w:p>
    <w:p w14:paraId="524CF642" w14:textId="77777777" w:rsidR="00CA65BB" w:rsidRDefault="00CA65BB" w:rsidP="00652E8E"/>
    <w:p w14:paraId="4F22D498" w14:textId="4AB579A5" w:rsidR="00CA65BB" w:rsidRDefault="00801377" w:rsidP="00652E8E">
      <w:r>
        <w:t>If it’s a new Code section, then there won’t be any prior version. Just put “None” for the prior version</w:t>
      </w:r>
    </w:p>
    <w:p w14:paraId="462A7D77" w14:textId="77777777" w:rsidR="00CA65BB" w:rsidRDefault="00CA65BB" w:rsidP="00652E8E">
      <w:pPr>
        <w:rPr>
          <w:b/>
          <w:bCs/>
          <w:caps/>
        </w:rPr>
      </w:pPr>
    </w:p>
    <w:p w14:paraId="37FD25BA" w14:textId="77777777" w:rsidR="00041F05" w:rsidRDefault="00041F05">
      <w:pPr>
        <w:rPr>
          <w:b/>
          <w:bCs/>
          <w:caps/>
        </w:rPr>
      </w:pPr>
    </w:p>
    <w:p w14:paraId="7A9042E1" w14:textId="77777777" w:rsidR="00041F05" w:rsidRDefault="00041F05">
      <w:pPr>
        <w:rPr>
          <w:b/>
          <w:bCs/>
          <w:caps/>
        </w:rPr>
      </w:pPr>
    </w:p>
    <w:p w14:paraId="65BB6C00" w14:textId="77777777" w:rsidR="00041F05" w:rsidRDefault="00041F05">
      <w:pPr>
        <w:rPr>
          <w:b/>
          <w:bCs/>
          <w:caps/>
        </w:rPr>
      </w:pPr>
    </w:p>
    <w:p w14:paraId="2D97E0BF" w14:textId="5668EE11" w:rsidR="00041F05" w:rsidRDefault="00F0391F">
      <w:pPr>
        <w:rPr>
          <w:b/>
          <w:bCs/>
          <w:caps/>
        </w:rPr>
      </w:pPr>
      <w:r>
        <w:rPr>
          <w:b/>
          <w:bCs/>
          <w:caps/>
        </w:rPr>
        <w:t>Detailed instruction</w:t>
      </w:r>
      <w:r w:rsidR="001333EC">
        <w:rPr>
          <w:b/>
          <w:bCs/>
          <w:caps/>
        </w:rPr>
        <w:t>s:</w:t>
      </w:r>
    </w:p>
    <w:p w14:paraId="2E2B72B3" w14:textId="77777777" w:rsidR="00041F05" w:rsidRDefault="00041F05">
      <w:pPr>
        <w:rPr>
          <w:b/>
          <w:bCs/>
          <w:caps/>
        </w:rPr>
      </w:pPr>
    </w:p>
    <w:p w14:paraId="3C3E01A4" w14:textId="77777777" w:rsidR="00041F05" w:rsidRDefault="00041F05">
      <w:pPr>
        <w:rPr>
          <w:b/>
          <w:bCs/>
          <w:caps/>
        </w:rPr>
      </w:pPr>
    </w:p>
    <w:p w14:paraId="6BDE94DE" w14:textId="3C055CC3" w:rsidR="00F95DA9" w:rsidRPr="005A0457" w:rsidRDefault="00561013" w:rsidP="005A0457">
      <w:pPr>
        <w:pStyle w:val="ListParagraph"/>
        <w:numPr>
          <w:ilvl w:val="0"/>
          <w:numId w:val="1"/>
        </w:numPr>
        <w:rPr>
          <w:b/>
          <w:bCs/>
          <w:caps/>
        </w:rPr>
      </w:pPr>
      <w:r w:rsidRPr="005A0457">
        <w:rPr>
          <w:b/>
          <w:bCs/>
          <w:caps/>
        </w:rPr>
        <w:t xml:space="preserve">Go to BTAX </w:t>
      </w:r>
      <w:r w:rsidR="00F95DA9" w:rsidRPr="005A0457">
        <w:rPr>
          <w:b/>
          <w:bCs/>
          <w:caps/>
        </w:rPr>
        <w:t>–</w:t>
      </w:r>
      <w:r w:rsidR="005C2532">
        <w:rPr>
          <w:b/>
          <w:bCs/>
          <w:caps/>
        </w:rPr>
        <w:t xml:space="preserve"> </w:t>
      </w:r>
      <w:hyperlink r:id="rId7" w:history="1">
        <w:r w:rsidR="00244D29" w:rsidRPr="00244D29">
          <w:rPr>
            <w:rStyle w:val="Hyperlink"/>
            <w:b/>
            <w:bCs/>
            <w:caps/>
          </w:rPr>
          <w:t>https://www.bloomberglaw.com/product/tax/page/page_federal</w:t>
        </w:r>
      </w:hyperlink>
    </w:p>
    <w:p w14:paraId="45125BA5" w14:textId="6BA3D98F" w:rsidR="00561013" w:rsidRPr="005A0457" w:rsidRDefault="005A0457" w:rsidP="005A0457">
      <w:pPr>
        <w:pStyle w:val="ListParagraph"/>
        <w:numPr>
          <w:ilvl w:val="0"/>
          <w:numId w:val="1"/>
        </w:numPr>
        <w:rPr>
          <w:b/>
          <w:bCs/>
          <w:caps/>
        </w:rPr>
      </w:pPr>
      <w:r w:rsidRPr="005A0457">
        <w:rPr>
          <w:b/>
          <w:bCs/>
          <w:caps/>
        </w:rPr>
        <w:t xml:space="preserve">THEN CLICK ON </w:t>
      </w:r>
      <w:r w:rsidR="00561013" w:rsidRPr="005A0457">
        <w:rPr>
          <w:b/>
          <w:bCs/>
          <w:caps/>
        </w:rPr>
        <w:t>federal</w:t>
      </w:r>
      <w:r w:rsidRPr="005A0457">
        <w:rPr>
          <w:b/>
          <w:bCs/>
          <w:caps/>
        </w:rPr>
        <w:t xml:space="preserve"> ICON</w:t>
      </w:r>
    </w:p>
    <w:p w14:paraId="461E0BE4" w14:textId="77777777" w:rsidR="005C2532" w:rsidRDefault="00561013" w:rsidP="005A0457">
      <w:pPr>
        <w:pStyle w:val="ListParagraph"/>
        <w:numPr>
          <w:ilvl w:val="0"/>
          <w:numId w:val="1"/>
        </w:numPr>
        <w:rPr>
          <w:b/>
          <w:bCs/>
          <w:caps/>
        </w:rPr>
      </w:pPr>
      <w:r w:rsidRPr="005A0457">
        <w:rPr>
          <w:b/>
          <w:bCs/>
          <w:caps/>
        </w:rPr>
        <w:t xml:space="preserve">in </w:t>
      </w:r>
      <w:r w:rsidR="00C9489D">
        <w:rPr>
          <w:b/>
          <w:bCs/>
          <w:caps/>
        </w:rPr>
        <w:t>g</w:t>
      </w:r>
      <w:r w:rsidR="006B3D17">
        <w:rPr>
          <w:b/>
          <w:bCs/>
          <w:caps/>
        </w:rPr>
        <w:t xml:space="preserve">o </w:t>
      </w:r>
      <w:r w:rsidR="00C9489D">
        <w:rPr>
          <w:b/>
          <w:bCs/>
          <w:caps/>
        </w:rPr>
        <w:t xml:space="preserve">to </w:t>
      </w:r>
      <w:r w:rsidRPr="005A0457">
        <w:rPr>
          <w:b/>
          <w:bCs/>
          <w:caps/>
        </w:rPr>
        <w:t>primary source document</w:t>
      </w:r>
      <w:r w:rsidR="00653766">
        <w:rPr>
          <w:b/>
          <w:bCs/>
          <w:caps/>
        </w:rPr>
        <w:t xml:space="preserve"> </w:t>
      </w:r>
      <w:r w:rsidR="006B3D17">
        <w:rPr>
          <w:b/>
          <w:bCs/>
          <w:caps/>
        </w:rPr>
        <w:t xml:space="preserve">CHOOSE </w:t>
      </w:r>
      <w:r w:rsidR="00653766">
        <w:rPr>
          <w:b/>
          <w:bCs/>
          <w:caps/>
        </w:rPr>
        <w:t>Internal Revenue Code in the drop down menu</w:t>
      </w:r>
      <w:r w:rsidR="00182B66">
        <w:rPr>
          <w:b/>
          <w:bCs/>
          <w:caps/>
        </w:rPr>
        <w:t xml:space="preserve"> </w:t>
      </w:r>
    </w:p>
    <w:p w14:paraId="285B37D5" w14:textId="47F9682B" w:rsidR="00561013" w:rsidRPr="005A0457" w:rsidRDefault="00182B66" w:rsidP="005A0457">
      <w:pPr>
        <w:pStyle w:val="ListParagraph"/>
        <w:numPr>
          <w:ilvl w:val="0"/>
          <w:numId w:val="1"/>
        </w:numPr>
        <w:rPr>
          <w:b/>
          <w:bCs/>
          <w:caps/>
        </w:rPr>
      </w:pPr>
      <w:r>
        <w:rPr>
          <w:b/>
          <w:bCs/>
          <w:caps/>
        </w:rPr>
        <w:t xml:space="preserve">then </w:t>
      </w:r>
      <w:r w:rsidR="00561013" w:rsidRPr="005A0457">
        <w:rPr>
          <w:b/>
          <w:bCs/>
          <w:caps/>
        </w:rPr>
        <w:t>key section number</w:t>
      </w:r>
      <w:r w:rsidR="000264DE">
        <w:rPr>
          <w:b/>
          <w:bCs/>
          <w:caps/>
        </w:rPr>
        <w:t xml:space="preserve"> (</w:t>
      </w:r>
      <w:r w:rsidR="00817D79">
        <w:rPr>
          <w:b/>
          <w:bCs/>
          <w:caps/>
        </w:rPr>
        <w:t>Example: section 117)</w:t>
      </w:r>
    </w:p>
    <w:p w14:paraId="3B272E37" w14:textId="3C1AF76C" w:rsidR="00561013" w:rsidRDefault="00561013">
      <w:pPr>
        <w:rPr>
          <w:b/>
          <w:bCs/>
          <w:caps/>
        </w:rPr>
      </w:pPr>
      <w:r>
        <w:rPr>
          <w:noProof/>
        </w:rPr>
        <w:drawing>
          <wp:inline distT="0" distB="0" distL="0" distR="0" wp14:anchorId="2F932CA3" wp14:editId="7192BB4E">
            <wp:extent cx="5943600" cy="4499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99610"/>
                    </a:xfrm>
                    <a:prstGeom prst="rect">
                      <a:avLst/>
                    </a:prstGeom>
                  </pic:spPr>
                </pic:pic>
              </a:graphicData>
            </a:graphic>
          </wp:inline>
        </w:drawing>
      </w:r>
    </w:p>
    <w:p w14:paraId="592F929F" w14:textId="77777777" w:rsidR="00561013" w:rsidRDefault="00561013">
      <w:pPr>
        <w:rPr>
          <w:b/>
          <w:bCs/>
          <w:caps/>
        </w:rPr>
      </w:pPr>
    </w:p>
    <w:p w14:paraId="7D70734B" w14:textId="0C93F201" w:rsidR="00561013" w:rsidRPr="0041158A" w:rsidRDefault="005909B6" w:rsidP="0041158A">
      <w:pPr>
        <w:pStyle w:val="ListParagraph"/>
        <w:numPr>
          <w:ilvl w:val="0"/>
          <w:numId w:val="1"/>
        </w:numPr>
        <w:rPr>
          <w:b/>
          <w:bCs/>
          <w:caps/>
        </w:rPr>
      </w:pPr>
      <w:r w:rsidRPr="0041158A">
        <w:rPr>
          <w:b/>
          <w:bCs/>
          <w:caps/>
        </w:rPr>
        <w:t xml:space="preserve">on the right panel </w:t>
      </w:r>
      <w:r w:rsidR="00561013" w:rsidRPr="0041158A">
        <w:rPr>
          <w:b/>
          <w:bCs/>
          <w:caps/>
        </w:rPr>
        <w:t xml:space="preserve">Click on </w:t>
      </w:r>
      <w:r w:rsidR="00561013" w:rsidRPr="0041158A">
        <w:rPr>
          <w:b/>
          <w:bCs/>
          <w:caps/>
          <w:highlight w:val="yellow"/>
        </w:rPr>
        <w:t>Versions</w:t>
      </w:r>
    </w:p>
    <w:p w14:paraId="45C0EEF0" w14:textId="0E8198DD" w:rsidR="00561013" w:rsidRDefault="00561013">
      <w:pPr>
        <w:rPr>
          <w:b/>
          <w:bCs/>
          <w:caps/>
        </w:rPr>
      </w:pPr>
      <w:r>
        <w:rPr>
          <w:b/>
          <w:bCs/>
          <w:caps/>
        </w:rPr>
        <w:t xml:space="preserve">Under </w:t>
      </w:r>
      <w:r w:rsidRPr="00BF012B">
        <w:rPr>
          <w:b/>
          <w:bCs/>
          <w:caps/>
          <w:highlight w:val="yellow"/>
        </w:rPr>
        <w:t>Prior Versions</w:t>
      </w:r>
      <w:r>
        <w:rPr>
          <w:b/>
          <w:bCs/>
          <w:caps/>
        </w:rPr>
        <w:t xml:space="preserve"> choose the first entry</w:t>
      </w:r>
      <w:r w:rsidR="003E0D71">
        <w:rPr>
          <w:b/>
          <w:bCs/>
          <w:caps/>
        </w:rPr>
        <w:t xml:space="preserve"> (there might</w:t>
      </w:r>
      <w:r w:rsidR="002F5A9D">
        <w:rPr>
          <w:b/>
          <w:bCs/>
          <w:caps/>
        </w:rPr>
        <w:t xml:space="preserve"> </w:t>
      </w:r>
      <w:r w:rsidR="00965BB2">
        <w:rPr>
          <w:b/>
          <w:bCs/>
          <w:caps/>
        </w:rPr>
        <w:t xml:space="preserve">cases wherein there are </w:t>
      </w:r>
      <w:r w:rsidR="002F5A9D">
        <w:rPr>
          <w:b/>
          <w:bCs/>
          <w:caps/>
        </w:rPr>
        <w:t xml:space="preserve">multiple </w:t>
      </w:r>
      <w:r w:rsidR="00965BB2">
        <w:rPr>
          <w:b/>
          <w:bCs/>
          <w:caps/>
        </w:rPr>
        <w:t>p</w:t>
      </w:r>
      <w:r w:rsidR="00A47BA2">
        <w:rPr>
          <w:b/>
          <w:bCs/>
          <w:caps/>
        </w:rPr>
        <w:t>rior versions</w:t>
      </w:r>
      <w:r w:rsidR="002F5A9D">
        <w:rPr>
          <w:b/>
          <w:bCs/>
          <w:caps/>
        </w:rPr>
        <w:t xml:space="preserve"> but the first entry is u</w:t>
      </w:r>
      <w:r w:rsidR="0079602F">
        <w:rPr>
          <w:b/>
          <w:bCs/>
          <w:caps/>
        </w:rPr>
        <w:t>s</w:t>
      </w:r>
      <w:r w:rsidR="002F5A9D">
        <w:rPr>
          <w:b/>
          <w:bCs/>
          <w:caps/>
        </w:rPr>
        <w:t xml:space="preserve">ually the </w:t>
      </w:r>
      <w:r w:rsidR="0079602F">
        <w:rPr>
          <w:b/>
          <w:bCs/>
          <w:caps/>
        </w:rPr>
        <w:t>latest</w:t>
      </w:r>
      <w:r w:rsidR="00035729">
        <w:rPr>
          <w:b/>
          <w:bCs/>
          <w:caps/>
        </w:rPr>
        <w:t xml:space="preserve"> prior version</w:t>
      </w:r>
      <w:r w:rsidR="00A47BA2">
        <w:rPr>
          <w:b/>
          <w:bCs/>
          <w:caps/>
        </w:rPr>
        <w:t>)</w:t>
      </w:r>
    </w:p>
    <w:p w14:paraId="343DB606" w14:textId="425456D9" w:rsidR="00561013" w:rsidRPr="0041158A" w:rsidRDefault="00561013" w:rsidP="0041158A">
      <w:pPr>
        <w:pStyle w:val="ListParagraph"/>
        <w:numPr>
          <w:ilvl w:val="0"/>
          <w:numId w:val="1"/>
        </w:numPr>
        <w:rPr>
          <w:b/>
          <w:bCs/>
          <w:caps/>
        </w:rPr>
      </w:pPr>
      <w:r w:rsidRPr="0041158A">
        <w:rPr>
          <w:b/>
          <w:bCs/>
          <w:caps/>
        </w:rPr>
        <w:t xml:space="preserve">then click on </w:t>
      </w:r>
      <w:r w:rsidRPr="0041158A">
        <w:rPr>
          <w:b/>
          <w:bCs/>
          <w:caps/>
          <w:highlight w:val="yellow"/>
        </w:rPr>
        <w:t>Codified Text</w:t>
      </w:r>
    </w:p>
    <w:p w14:paraId="225AEC79" w14:textId="77777777" w:rsidR="00561013" w:rsidRDefault="00561013">
      <w:pPr>
        <w:rPr>
          <w:b/>
          <w:bCs/>
          <w:caps/>
        </w:rPr>
      </w:pPr>
    </w:p>
    <w:p w14:paraId="3A3456F7" w14:textId="3C44D662" w:rsidR="00561013" w:rsidRDefault="00561013">
      <w:pPr>
        <w:rPr>
          <w:b/>
          <w:bCs/>
          <w:caps/>
        </w:rPr>
      </w:pPr>
      <w:r>
        <w:rPr>
          <w:noProof/>
        </w:rPr>
        <w:drawing>
          <wp:inline distT="0" distB="0" distL="0" distR="0" wp14:anchorId="37E14D70" wp14:editId="33E16679">
            <wp:extent cx="5943600" cy="3780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80155"/>
                    </a:xfrm>
                    <a:prstGeom prst="rect">
                      <a:avLst/>
                    </a:prstGeom>
                  </pic:spPr>
                </pic:pic>
              </a:graphicData>
            </a:graphic>
          </wp:inline>
        </w:drawing>
      </w:r>
    </w:p>
    <w:p w14:paraId="5ABB667E" w14:textId="2939A7D0" w:rsidR="00561013" w:rsidRDefault="00561013">
      <w:pPr>
        <w:rPr>
          <w:b/>
          <w:bCs/>
          <w:caps/>
        </w:rPr>
      </w:pPr>
    </w:p>
    <w:p w14:paraId="150BDF19" w14:textId="77777777" w:rsidR="00B75740" w:rsidRDefault="00B75740">
      <w:pPr>
        <w:rPr>
          <w:b/>
          <w:bCs/>
          <w:caps/>
        </w:rPr>
      </w:pPr>
    </w:p>
    <w:p w14:paraId="562965E8" w14:textId="77777777" w:rsidR="00B75740" w:rsidRDefault="00B75740">
      <w:pPr>
        <w:rPr>
          <w:b/>
          <w:bCs/>
          <w:caps/>
        </w:rPr>
      </w:pPr>
      <w:r>
        <w:rPr>
          <w:b/>
          <w:bCs/>
          <w:caps/>
        </w:rPr>
        <w:t>Go to Prior Version – Codified text</w:t>
      </w:r>
    </w:p>
    <w:p w14:paraId="4950DA51" w14:textId="3FEF30A1" w:rsidR="00561013" w:rsidRDefault="00B75740">
      <w:pPr>
        <w:rPr>
          <w:b/>
          <w:bCs/>
          <w:caps/>
        </w:rPr>
      </w:pPr>
      <w:r>
        <w:rPr>
          <w:b/>
          <w:bCs/>
          <w:caps/>
        </w:rPr>
        <w:t>copy text only before the line</w:t>
      </w:r>
    </w:p>
    <w:p w14:paraId="5A8DDF8F" w14:textId="22BEC6B9" w:rsidR="00B75740" w:rsidRDefault="00F90842">
      <w:pPr>
        <w:rPr>
          <w:b/>
          <w:bCs/>
          <w:caps/>
        </w:rPr>
      </w:pPr>
      <w:r>
        <w:rPr>
          <w:noProof/>
        </w:rPr>
        <w:drawing>
          <wp:inline distT="0" distB="0" distL="0" distR="0" wp14:anchorId="0BDA5E95" wp14:editId="16207FC2">
            <wp:extent cx="5943600" cy="4878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878705"/>
                    </a:xfrm>
                    <a:prstGeom prst="rect">
                      <a:avLst/>
                    </a:prstGeom>
                  </pic:spPr>
                </pic:pic>
              </a:graphicData>
            </a:graphic>
          </wp:inline>
        </w:drawing>
      </w:r>
    </w:p>
    <w:p w14:paraId="5A38BAC0" w14:textId="77777777" w:rsidR="00BF55FF" w:rsidRDefault="00BF55FF">
      <w:pPr>
        <w:rPr>
          <w:b/>
          <w:bCs/>
          <w:caps/>
        </w:rPr>
      </w:pPr>
    </w:p>
    <w:p w14:paraId="2495C115" w14:textId="77777777" w:rsidR="00BF55FF" w:rsidRDefault="00BF55FF">
      <w:pPr>
        <w:rPr>
          <w:b/>
          <w:bCs/>
          <w:caps/>
        </w:rPr>
      </w:pPr>
    </w:p>
    <w:p w14:paraId="1E44D410" w14:textId="77777777" w:rsidR="00C30470" w:rsidRDefault="00C30470" w:rsidP="00C30470">
      <w:pPr>
        <w:rPr>
          <w:b/>
          <w:bCs/>
          <w:caps/>
        </w:rPr>
      </w:pPr>
    </w:p>
    <w:p w14:paraId="51881D36" w14:textId="77777777" w:rsidR="00C30470" w:rsidRDefault="00C30470" w:rsidP="00C30470">
      <w:pPr>
        <w:rPr>
          <w:b/>
          <w:bCs/>
          <w:caps/>
        </w:rPr>
      </w:pPr>
      <w:r>
        <w:rPr>
          <w:b/>
          <w:bCs/>
          <w:caps/>
        </w:rPr>
        <w:t>to check if you have the right version:</w:t>
      </w:r>
    </w:p>
    <w:p w14:paraId="6DD591AE" w14:textId="77777777" w:rsidR="00C30470" w:rsidRDefault="00C30470" w:rsidP="00C30470">
      <w:pPr>
        <w:rPr>
          <w:b/>
          <w:bCs/>
          <w:caps/>
        </w:rPr>
      </w:pPr>
    </w:p>
    <w:p w14:paraId="3542C416" w14:textId="77777777" w:rsidR="00C30470" w:rsidRDefault="00C30470" w:rsidP="00C30470">
      <w:pPr>
        <w:rPr>
          <w:b/>
          <w:bCs/>
          <w:caps/>
        </w:rPr>
      </w:pPr>
      <w:r>
        <w:rPr>
          <w:b/>
          <w:bCs/>
          <w:caps/>
        </w:rPr>
        <w:t xml:space="preserve">go to the current version History at the bottom of the Page Just Before Background Notes   </w:t>
      </w:r>
    </w:p>
    <w:p w14:paraId="5D694DD7" w14:textId="77777777" w:rsidR="00C30470" w:rsidRDefault="00C30470" w:rsidP="00C30470">
      <w:pPr>
        <w:rPr>
          <w:b/>
          <w:bCs/>
          <w:caps/>
        </w:rPr>
      </w:pPr>
      <w:r>
        <w:rPr>
          <w:b/>
          <w:bCs/>
          <w:caps/>
        </w:rPr>
        <w:t>(Note: Generally prior versions don’t have Editor’s note)</w:t>
      </w:r>
    </w:p>
    <w:p w14:paraId="2BDC26BF" w14:textId="77777777" w:rsidR="00C30470" w:rsidRDefault="00C30470" w:rsidP="00C30470">
      <w:pPr>
        <w:rPr>
          <w:b/>
          <w:bCs/>
          <w:caps/>
        </w:rPr>
      </w:pPr>
    </w:p>
    <w:p w14:paraId="37C7279B" w14:textId="77777777" w:rsidR="00C30470" w:rsidRDefault="00C30470" w:rsidP="00C30470">
      <w:pPr>
        <w:rPr>
          <w:b/>
          <w:bCs/>
          <w:caps/>
        </w:rPr>
      </w:pPr>
      <w:r>
        <w:rPr>
          <w:noProof/>
        </w:rPr>
        <w:drawing>
          <wp:inline distT="0" distB="0" distL="0" distR="0" wp14:anchorId="19B8BA3E" wp14:editId="5ECDA534">
            <wp:extent cx="5943600" cy="43948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394835"/>
                    </a:xfrm>
                    <a:prstGeom prst="rect">
                      <a:avLst/>
                    </a:prstGeom>
                  </pic:spPr>
                </pic:pic>
              </a:graphicData>
            </a:graphic>
          </wp:inline>
        </w:drawing>
      </w:r>
    </w:p>
    <w:p w14:paraId="6E474451" w14:textId="77777777" w:rsidR="00C30470" w:rsidRDefault="00C30470" w:rsidP="00C30470">
      <w:pPr>
        <w:rPr>
          <w:b/>
          <w:bCs/>
          <w:caps/>
        </w:rPr>
      </w:pPr>
    </w:p>
    <w:p w14:paraId="3F14BD8E" w14:textId="77777777" w:rsidR="00C30470" w:rsidRPr="00561013" w:rsidRDefault="00C30470" w:rsidP="00C30470">
      <w:pPr>
        <w:rPr>
          <w:b/>
          <w:bCs/>
          <w:caps/>
        </w:rPr>
      </w:pPr>
      <w:r>
        <w:rPr>
          <w:b/>
          <w:bCs/>
          <w:caps/>
        </w:rPr>
        <w:t>IN the sample above the current version is pub. l. 114-113  &amp; THe prIOR VERSION IS PUB. L. 107-16. The last Pub. L. entry is the current version and the one before that is the prior version. (IN CASES WHERE THEY DO NOT MATCH SEND US AN EMAIL OR LEAVE A note IN THE JIRA TICKET).</w:t>
      </w:r>
    </w:p>
    <w:p w14:paraId="13B2691F" w14:textId="77777777" w:rsidR="00BF55FF" w:rsidRDefault="00BF55FF">
      <w:pPr>
        <w:rPr>
          <w:b/>
          <w:bCs/>
          <w:caps/>
        </w:rPr>
      </w:pPr>
    </w:p>
    <w:p w14:paraId="07989EED" w14:textId="77777777" w:rsidR="00BF55FF" w:rsidRDefault="00BF55FF">
      <w:pPr>
        <w:rPr>
          <w:b/>
          <w:bCs/>
          <w:caps/>
        </w:rPr>
      </w:pPr>
    </w:p>
    <w:p w14:paraId="1B2EA983" w14:textId="77777777" w:rsidR="00EB637D" w:rsidRDefault="00EB637D">
      <w:pPr>
        <w:rPr>
          <w:b/>
          <w:bCs/>
          <w:caps/>
        </w:rPr>
      </w:pPr>
    </w:p>
    <w:p w14:paraId="1D894460" w14:textId="77777777" w:rsidR="000B28DE" w:rsidRDefault="000B28DE">
      <w:pPr>
        <w:rPr>
          <w:b/>
          <w:bCs/>
          <w:caps/>
        </w:rPr>
      </w:pPr>
    </w:p>
    <w:p w14:paraId="40434CEF" w14:textId="77777777" w:rsidR="000B28DE" w:rsidRDefault="000B28DE">
      <w:pPr>
        <w:rPr>
          <w:b/>
          <w:bCs/>
          <w:caps/>
        </w:rPr>
      </w:pPr>
    </w:p>
    <w:p w14:paraId="0A7356EB" w14:textId="77777777" w:rsidR="000B28DE" w:rsidRDefault="000B28DE">
      <w:pPr>
        <w:rPr>
          <w:b/>
          <w:bCs/>
          <w:caps/>
        </w:rPr>
      </w:pPr>
    </w:p>
    <w:p w14:paraId="2026BE6F" w14:textId="77777777" w:rsidR="000B28DE" w:rsidRDefault="000B28DE">
      <w:pPr>
        <w:rPr>
          <w:b/>
          <w:bCs/>
          <w:caps/>
        </w:rPr>
      </w:pPr>
    </w:p>
    <w:p w14:paraId="6C22421F" w14:textId="77777777" w:rsidR="000B28DE" w:rsidRDefault="000B28DE">
      <w:pPr>
        <w:rPr>
          <w:b/>
          <w:bCs/>
          <w:caps/>
        </w:rPr>
      </w:pPr>
    </w:p>
    <w:p w14:paraId="7DE1F2C5" w14:textId="77777777" w:rsidR="000B28DE" w:rsidRDefault="000B28DE">
      <w:pPr>
        <w:rPr>
          <w:b/>
          <w:bCs/>
          <w:caps/>
        </w:rPr>
      </w:pPr>
    </w:p>
    <w:p w14:paraId="2732490D" w14:textId="77777777" w:rsidR="00EB637D" w:rsidRDefault="00EB637D">
      <w:pPr>
        <w:rPr>
          <w:b/>
          <w:bCs/>
          <w:caps/>
        </w:rPr>
      </w:pPr>
    </w:p>
    <w:p w14:paraId="7DCC22C2" w14:textId="4A9434DC" w:rsidR="00EB637D" w:rsidRDefault="000166B0">
      <w:pPr>
        <w:rPr>
          <w:b/>
          <w:bCs/>
          <w:caps/>
        </w:rPr>
      </w:pPr>
      <w:r w:rsidRPr="00C54269">
        <w:rPr>
          <w:b/>
          <w:bCs/>
          <w:caps/>
          <w:highlight w:val="yellow"/>
        </w:rPr>
        <w:t>I</w:t>
      </w:r>
      <w:r w:rsidR="00E75345" w:rsidRPr="00C54269">
        <w:rPr>
          <w:b/>
          <w:bCs/>
          <w:caps/>
          <w:highlight w:val="yellow"/>
        </w:rPr>
        <w:t>n instances wherein the PUBic law is not the latest</w:t>
      </w:r>
      <w:r w:rsidR="00AC3C9C" w:rsidRPr="00C54269">
        <w:rPr>
          <w:b/>
          <w:bCs/>
          <w:caps/>
          <w:highlight w:val="yellow"/>
        </w:rPr>
        <w:t xml:space="preserve"> that affected the code section us</w:t>
      </w:r>
      <w:r w:rsidR="00C35D94" w:rsidRPr="00C54269">
        <w:rPr>
          <w:b/>
          <w:bCs/>
          <w:caps/>
          <w:highlight w:val="yellow"/>
        </w:rPr>
        <w:t xml:space="preserve">e </w:t>
      </w:r>
      <w:r w:rsidR="00AC3C9C" w:rsidRPr="00C54269">
        <w:rPr>
          <w:b/>
          <w:bCs/>
          <w:caps/>
          <w:highlight w:val="yellow"/>
        </w:rPr>
        <w:t>the one</w:t>
      </w:r>
      <w:r w:rsidR="00C35D94" w:rsidRPr="00C54269">
        <w:rPr>
          <w:b/>
          <w:bCs/>
          <w:caps/>
          <w:highlight w:val="yellow"/>
        </w:rPr>
        <w:t xml:space="preserve"> before it.</w:t>
      </w:r>
    </w:p>
    <w:p w14:paraId="11061AC1" w14:textId="77777777" w:rsidR="00EB637D" w:rsidRDefault="00EB637D">
      <w:pPr>
        <w:rPr>
          <w:b/>
          <w:bCs/>
          <w:caps/>
        </w:rPr>
      </w:pPr>
    </w:p>
    <w:p w14:paraId="70A3E437" w14:textId="77777777" w:rsidR="00997C69" w:rsidRDefault="00997C69">
      <w:pPr>
        <w:rPr>
          <w:b/>
          <w:bCs/>
          <w:caps/>
        </w:rPr>
      </w:pPr>
    </w:p>
    <w:p w14:paraId="43B24851" w14:textId="40C61D16" w:rsidR="007761F7" w:rsidRDefault="007761F7">
      <w:pPr>
        <w:rPr>
          <w:b/>
          <w:bCs/>
          <w:caps/>
        </w:rPr>
      </w:pPr>
      <w:r w:rsidRPr="008200A7">
        <w:rPr>
          <w:b/>
          <w:bCs/>
          <w:caps/>
          <w:highlight w:val="yellow"/>
        </w:rPr>
        <w:t>in the example below</w:t>
      </w:r>
      <w:r w:rsidR="00924368" w:rsidRPr="008200A7">
        <w:rPr>
          <w:b/>
          <w:bCs/>
          <w:caps/>
          <w:highlight w:val="yellow"/>
        </w:rPr>
        <w:t xml:space="preserve"> </w:t>
      </w:r>
      <w:r w:rsidR="001424C0" w:rsidRPr="008200A7">
        <w:rPr>
          <w:b/>
          <w:bCs/>
          <w:caps/>
          <w:highlight w:val="yellow"/>
        </w:rPr>
        <w:t xml:space="preserve">if we are working on </w:t>
      </w:r>
      <w:r w:rsidR="00CB027B" w:rsidRPr="008200A7">
        <w:rPr>
          <w:b/>
          <w:bCs/>
          <w:caps/>
          <w:highlight w:val="yellow"/>
        </w:rPr>
        <w:t>pl</w:t>
      </w:r>
      <w:r w:rsidR="00D47CCD" w:rsidRPr="008200A7">
        <w:rPr>
          <w:b/>
          <w:bCs/>
          <w:caps/>
          <w:highlight w:val="yellow"/>
        </w:rPr>
        <w:t xml:space="preserve"> </w:t>
      </w:r>
      <w:r w:rsidR="00972B7A" w:rsidRPr="008200A7">
        <w:rPr>
          <w:b/>
          <w:bCs/>
          <w:caps/>
          <w:highlight w:val="yellow"/>
        </w:rPr>
        <w:t>117-44</w:t>
      </w:r>
      <w:r w:rsidR="00E747CF" w:rsidRPr="008200A7">
        <w:rPr>
          <w:b/>
          <w:bCs/>
          <w:caps/>
          <w:highlight w:val="yellow"/>
        </w:rPr>
        <w:t xml:space="preserve"> am</w:t>
      </w:r>
      <w:r w:rsidR="00CE0E4F" w:rsidRPr="008200A7">
        <w:rPr>
          <w:b/>
          <w:bCs/>
          <w:caps/>
          <w:highlight w:val="yellow"/>
        </w:rPr>
        <w:t>en</w:t>
      </w:r>
      <w:r w:rsidR="00D6286B" w:rsidRPr="008200A7">
        <w:rPr>
          <w:b/>
          <w:bCs/>
          <w:caps/>
          <w:highlight w:val="yellow"/>
        </w:rPr>
        <w:t>d</w:t>
      </w:r>
      <w:r w:rsidR="00CE0E4F" w:rsidRPr="008200A7">
        <w:rPr>
          <w:b/>
          <w:bCs/>
          <w:caps/>
          <w:highlight w:val="yellow"/>
        </w:rPr>
        <w:t>ing code section</w:t>
      </w:r>
      <w:r w:rsidR="00E714C8" w:rsidRPr="008200A7">
        <w:rPr>
          <w:b/>
          <w:bCs/>
          <w:caps/>
          <w:highlight w:val="yellow"/>
        </w:rPr>
        <w:t xml:space="preserve"> 9508</w:t>
      </w:r>
      <w:r w:rsidR="00304D19" w:rsidRPr="008200A7">
        <w:rPr>
          <w:b/>
          <w:bCs/>
          <w:caps/>
          <w:highlight w:val="yellow"/>
        </w:rPr>
        <w:t xml:space="preserve"> (note </w:t>
      </w:r>
      <w:r w:rsidR="00F47075" w:rsidRPr="008200A7">
        <w:rPr>
          <w:b/>
          <w:bCs/>
          <w:caps/>
          <w:highlight w:val="yellow"/>
        </w:rPr>
        <w:t xml:space="preserve">that </w:t>
      </w:r>
      <w:r w:rsidR="000D0FB5" w:rsidRPr="008200A7">
        <w:rPr>
          <w:b/>
          <w:bCs/>
          <w:caps/>
          <w:highlight w:val="yellow"/>
        </w:rPr>
        <w:t>PL</w:t>
      </w:r>
      <w:r w:rsidR="00BE7E9F" w:rsidRPr="008200A7">
        <w:rPr>
          <w:b/>
          <w:bCs/>
          <w:caps/>
          <w:highlight w:val="yellow"/>
        </w:rPr>
        <w:t xml:space="preserve"> 117-44 is not the</w:t>
      </w:r>
      <w:r w:rsidR="00D50B83" w:rsidRPr="008200A7">
        <w:rPr>
          <w:b/>
          <w:bCs/>
          <w:caps/>
          <w:highlight w:val="yellow"/>
        </w:rPr>
        <w:t xml:space="preserve"> most recent Pubic law </w:t>
      </w:r>
      <w:r w:rsidR="00FE2430" w:rsidRPr="008200A7">
        <w:rPr>
          <w:b/>
          <w:bCs/>
          <w:caps/>
          <w:highlight w:val="yellow"/>
        </w:rPr>
        <w:t xml:space="preserve">to amend </w:t>
      </w:r>
      <w:r w:rsidR="009373CA" w:rsidRPr="008200A7">
        <w:rPr>
          <w:b/>
          <w:bCs/>
          <w:caps/>
          <w:highlight w:val="yellow"/>
        </w:rPr>
        <w:t>Code section</w:t>
      </w:r>
      <w:r w:rsidR="00935AD9" w:rsidRPr="008200A7">
        <w:rPr>
          <w:b/>
          <w:bCs/>
          <w:caps/>
          <w:highlight w:val="yellow"/>
        </w:rPr>
        <w:t xml:space="preserve"> 9508</w:t>
      </w:r>
      <w:r w:rsidR="006B6848" w:rsidRPr="008200A7">
        <w:rPr>
          <w:b/>
          <w:bCs/>
          <w:caps/>
          <w:highlight w:val="yellow"/>
        </w:rPr>
        <w:t>,</w:t>
      </w:r>
      <w:r w:rsidR="007F6595" w:rsidRPr="008200A7">
        <w:rPr>
          <w:b/>
          <w:bCs/>
          <w:caps/>
          <w:highlight w:val="yellow"/>
        </w:rPr>
        <w:t xml:space="preserve"> </w:t>
      </w:r>
      <w:r w:rsidR="00ED3812" w:rsidRPr="008200A7">
        <w:rPr>
          <w:b/>
          <w:bCs/>
          <w:caps/>
          <w:highlight w:val="yellow"/>
        </w:rPr>
        <w:t>pl</w:t>
      </w:r>
      <w:r w:rsidR="00F862FE" w:rsidRPr="008200A7">
        <w:rPr>
          <w:b/>
          <w:bCs/>
          <w:caps/>
          <w:highlight w:val="yellow"/>
        </w:rPr>
        <w:t xml:space="preserve"> </w:t>
      </w:r>
      <w:r w:rsidR="00ED3812" w:rsidRPr="008200A7">
        <w:rPr>
          <w:b/>
          <w:bCs/>
          <w:caps/>
          <w:highlight w:val="yellow"/>
        </w:rPr>
        <w:t>117-58</w:t>
      </w:r>
      <w:r w:rsidR="00F862FE" w:rsidRPr="008200A7">
        <w:rPr>
          <w:b/>
          <w:bCs/>
          <w:caps/>
          <w:highlight w:val="yellow"/>
        </w:rPr>
        <w:t xml:space="preserve"> is the latest</w:t>
      </w:r>
      <w:r w:rsidR="00F457E9" w:rsidRPr="008200A7">
        <w:rPr>
          <w:b/>
          <w:bCs/>
          <w:caps/>
          <w:highlight w:val="yellow"/>
        </w:rPr>
        <w:t xml:space="preserve"> then PL</w:t>
      </w:r>
      <w:r w:rsidR="008927FF" w:rsidRPr="008200A7">
        <w:rPr>
          <w:b/>
          <w:bCs/>
          <w:caps/>
          <w:highlight w:val="yellow"/>
        </w:rPr>
        <w:t>117-52</w:t>
      </w:r>
      <w:r w:rsidR="00D773C7" w:rsidRPr="008200A7">
        <w:rPr>
          <w:b/>
          <w:bCs/>
          <w:caps/>
          <w:highlight w:val="yellow"/>
        </w:rPr>
        <w:t xml:space="preserve">) </w:t>
      </w:r>
    </w:p>
    <w:p w14:paraId="1D37117A" w14:textId="73285659" w:rsidR="008B75F2" w:rsidRDefault="00257F81">
      <w:pPr>
        <w:rPr>
          <w:b/>
          <w:bCs/>
          <w:caps/>
        </w:rPr>
      </w:pPr>
      <w:r>
        <w:rPr>
          <w:b/>
          <w:bCs/>
          <w:caps/>
        </w:rPr>
        <w:t xml:space="preserve">in this case we </w:t>
      </w:r>
      <w:r w:rsidR="00C54269">
        <w:rPr>
          <w:b/>
          <w:bCs/>
          <w:caps/>
        </w:rPr>
        <w:t>use</w:t>
      </w:r>
      <w:r w:rsidR="008C36C5">
        <w:rPr>
          <w:b/>
          <w:bCs/>
          <w:caps/>
        </w:rPr>
        <w:t xml:space="preserve"> </w:t>
      </w:r>
      <w:r w:rsidR="004732EF">
        <w:rPr>
          <w:b/>
          <w:bCs/>
          <w:caps/>
        </w:rPr>
        <w:t xml:space="preserve">the </w:t>
      </w:r>
      <w:r w:rsidR="00153800">
        <w:rPr>
          <w:b/>
          <w:bCs/>
          <w:caps/>
        </w:rPr>
        <w:t xml:space="preserve"> </w:t>
      </w:r>
      <w:r w:rsidR="004732EF">
        <w:rPr>
          <w:b/>
          <w:bCs/>
          <w:caps/>
        </w:rPr>
        <w:t>pl 116-159</w:t>
      </w:r>
      <w:r>
        <w:rPr>
          <w:b/>
          <w:bCs/>
          <w:caps/>
        </w:rPr>
        <w:t xml:space="preserve"> wh</w:t>
      </w:r>
      <w:r w:rsidR="002F4113">
        <w:rPr>
          <w:b/>
          <w:bCs/>
          <w:caps/>
        </w:rPr>
        <w:t xml:space="preserve">ich is the </w:t>
      </w:r>
      <w:r w:rsidR="0017145B">
        <w:rPr>
          <w:b/>
          <w:bCs/>
          <w:caps/>
        </w:rPr>
        <w:t>version immediately</w:t>
      </w:r>
      <w:r w:rsidR="00517DEA">
        <w:rPr>
          <w:b/>
          <w:bCs/>
          <w:caps/>
        </w:rPr>
        <w:t xml:space="preserve"> preceding</w:t>
      </w:r>
      <w:r w:rsidR="004C5F82">
        <w:rPr>
          <w:b/>
          <w:bCs/>
          <w:caps/>
        </w:rPr>
        <w:t xml:space="preserve"> PL 117-44.</w:t>
      </w:r>
    </w:p>
    <w:p w14:paraId="3B712166" w14:textId="77777777" w:rsidR="00A4391E" w:rsidRDefault="00A4391E">
      <w:pPr>
        <w:rPr>
          <w:b/>
          <w:bCs/>
          <w:caps/>
        </w:rPr>
      </w:pPr>
    </w:p>
    <w:p w14:paraId="23D90DA4" w14:textId="12A7799D" w:rsidR="00741715" w:rsidRDefault="00741715" w:rsidP="00741715">
      <w:pPr>
        <w:rPr>
          <w:b/>
          <w:bCs/>
          <w:caps/>
        </w:rPr>
      </w:pPr>
      <w:r w:rsidRPr="008200A7">
        <w:rPr>
          <w:b/>
          <w:bCs/>
          <w:caps/>
          <w:highlight w:val="yellow"/>
        </w:rPr>
        <w:t>And if were are working on PL 117-52 we will use the codified text for pl 117-44</w:t>
      </w:r>
      <w:r w:rsidR="00587235">
        <w:rPr>
          <w:b/>
          <w:bCs/>
          <w:caps/>
          <w:highlight w:val="yellow"/>
        </w:rPr>
        <w:t xml:space="preserve"> </w:t>
      </w:r>
      <w:r w:rsidRPr="008200A7">
        <w:rPr>
          <w:b/>
          <w:bCs/>
          <w:caps/>
          <w:highlight w:val="yellow"/>
        </w:rPr>
        <w:t>.</w:t>
      </w:r>
    </w:p>
    <w:p w14:paraId="319A5B52" w14:textId="77777777" w:rsidR="008D3847" w:rsidRDefault="008D3847">
      <w:pPr>
        <w:rPr>
          <w:b/>
          <w:bCs/>
          <w:caps/>
        </w:rPr>
      </w:pPr>
    </w:p>
    <w:p w14:paraId="79A2AA20" w14:textId="77777777" w:rsidR="008D3847" w:rsidRDefault="008D3847">
      <w:pPr>
        <w:rPr>
          <w:b/>
          <w:bCs/>
          <w:caps/>
        </w:rPr>
      </w:pPr>
    </w:p>
    <w:p w14:paraId="7C6C3BFC" w14:textId="77777777" w:rsidR="00A4391E" w:rsidRDefault="00A4391E">
      <w:pPr>
        <w:rPr>
          <w:b/>
          <w:bCs/>
          <w:caps/>
        </w:rPr>
      </w:pPr>
    </w:p>
    <w:p w14:paraId="6BECBE9F" w14:textId="681D2CBA" w:rsidR="00EB637D" w:rsidRDefault="000166B0">
      <w:pPr>
        <w:rPr>
          <w:b/>
          <w:bCs/>
          <w:caps/>
        </w:rPr>
      </w:pPr>
      <w:r>
        <w:rPr>
          <w:noProof/>
        </w:rPr>
        <w:drawing>
          <wp:inline distT="0" distB="0" distL="0" distR="0" wp14:anchorId="4249D494" wp14:editId="66D47E49">
            <wp:extent cx="5943600" cy="34467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46780"/>
                    </a:xfrm>
                    <a:prstGeom prst="rect">
                      <a:avLst/>
                    </a:prstGeom>
                  </pic:spPr>
                </pic:pic>
              </a:graphicData>
            </a:graphic>
          </wp:inline>
        </w:drawing>
      </w:r>
    </w:p>
    <w:p w14:paraId="31A7BCF8" w14:textId="77777777" w:rsidR="00EB637D" w:rsidRDefault="00EB637D">
      <w:pPr>
        <w:rPr>
          <w:b/>
          <w:bCs/>
          <w:caps/>
        </w:rPr>
      </w:pPr>
    </w:p>
    <w:p w14:paraId="7F40D603" w14:textId="77777777" w:rsidR="00EB637D" w:rsidRDefault="00EB637D">
      <w:pPr>
        <w:rPr>
          <w:b/>
          <w:bCs/>
          <w:caps/>
        </w:rPr>
      </w:pPr>
    </w:p>
    <w:p w14:paraId="0A4E3346" w14:textId="77777777" w:rsidR="007C765B" w:rsidRDefault="007C765B">
      <w:pPr>
        <w:rPr>
          <w:b/>
          <w:bCs/>
          <w:caps/>
        </w:rPr>
      </w:pPr>
    </w:p>
    <w:p w14:paraId="697BEAED" w14:textId="77777777" w:rsidR="00980BD2" w:rsidRDefault="00980BD2">
      <w:pPr>
        <w:rPr>
          <w:b/>
          <w:bCs/>
          <w:caps/>
        </w:rPr>
      </w:pPr>
    </w:p>
    <w:p w14:paraId="0FDC31FF" w14:textId="468966DF" w:rsidR="00980BD2" w:rsidRDefault="00980BD2">
      <w:pPr>
        <w:rPr>
          <w:b/>
          <w:bCs/>
          <w:caps/>
        </w:rPr>
      </w:pPr>
      <w:r>
        <w:rPr>
          <w:b/>
          <w:bCs/>
          <w:caps/>
        </w:rPr>
        <w:t xml:space="preserve">SAMPLE </w:t>
      </w:r>
      <w:r w:rsidR="00343FE0">
        <w:rPr>
          <w:b/>
          <w:bCs/>
          <w:caps/>
        </w:rPr>
        <w:t xml:space="preserve"> EXCERPT OF PRIOR LAW OF CODE SETION 1</w:t>
      </w:r>
      <w:r w:rsidR="00994814">
        <w:rPr>
          <w:b/>
          <w:bCs/>
          <w:caps/>
        </w:rPr>
        <w:t>17</w:t>
      </w:r>
      <w:r w:rsidR="001D695B">
        <w:rPr>
          <w:b/>
          <w:bCs/>
          <w:caps/>
        </w:rPr>
        <w:t xml:space="preserve"> as it appears in BTAX</w:t>
      </w:r>
      <w:r w:rsidR="0049245A">
        <w:rPr>
          <w:b/>
          <w:bCs/>
          <w:caps/>
        </w:rPr>
        <w:t xml:space="preserve"> (unformatted)</w:t>
      </w:r>
    </w:p>
    <w:p w14:paraId="7CCD97BC" w14:textId="77777777" w:rsidR="00343FE0" w:rsidRDefault="00343FE0">
      <w:pPr>
        <w:rPr>
          <w:b/>
          <w:bCs/>
          <w:caps/>
        </w:rPr>
      </w:pPr>
    </w:p>
    <w:p w14:paraId="020847E8" w14:textId="77777777" w:rsidR="00343FE0" w:rsidRDefault="00343FE0">
      <w:pPr>
        <w:rPr>
          <w:b/>
          <w:bCs/>
          <w:caps/>
        </w:rPr>
      </w:pPr>
    </w:p>
    <w:p w14:paraId="13807E7F" w14:textId="77777777" w:rsidR="007C765B" w:rsidRPr="007C765B" w:rsidRDefault="007C765B" w:rsidP="007C765B">
      <w:pPr>
        <w:shd w:val="clear" w:color="auto" w:fill="FFFFFF"/>
        <w:spacing w:after="150" w:line="240" w:lineRule="auto"/>
        <w:outlineLvl w:val="0"/>
        <w:rPr>
          <w:rFonts w:ascii="Arial" w:eastAsia="Times New Roman" w:hAnsi="Arial" w:cs="Arial"/>
          <w:b/>
          <w:bCs/>
          <w:color w:val="333333"/>
          <w:kern w:val="36"/>
          <w:sz w:val="27"/>
          <w:szCs w:val="27"/>
          <w14:ligatures w14:val="none"/>
        </w:rPr>
      </w:pPr>
      <w:r w:rsidRPr="007C765B">
        <w:rPr>
          <w:rFonts w:ascii="Arial" w:eastAsia="Times New Roman" w:hAnsi="Arial" w:cs="Arial"/>
          <w:b/>
          <w:bCs/>
          <w:color w:val="333333"/>
          <w:kern w:val="36"/>
          <w:sz w:val="27"/>
          <w:szCs w:val="27"/>
          <w14:ligatures w14:val="none"/>
        </w:rPr>
        <w:t>26 U.S.C. § 117. Qualified scholarships</w:t>
      </w:r>
    </w:p>
    <w:p w14:paraId="438177DF"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0" w:name="section(a)_0"/>
      <w:r w:rsidRPr="007C765B">
        <w:rPr>
          <w:rFonts w:ascii="Open Sans" w:eastAsia="Times New Roman" w:hAnsi="Open Sans" w:cs="Open Sans"/>
          <w:b/>
          <w:bCs/>
          <w:color w:val="333333"/>
          <w:kern w:val="0"/>
          <w:sz w:val="21"/>
          <w:szCs w:val="21"/>
          <w14:ligatures w14:val="none"/>
        </w:rPr>
        <w:t>(a)</w:t>
      </w:r>
      <w:bookmarkEnd w:id="0"/>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"https://www.bloomberglaw.com/product/tax/view_menu/related_content_internal_revenue_code/cite_refs?citation=26%20U%2ES%2EC%2E%20%20117(a)&amp;term=26%20U%2ES%2EC%2E%20%20117(a)" \o "26 U.S.C. § 117(a)"</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r w:rsidRPr="007C765B">
        <w:rPr>
          <w:rFonts w:ascii="Open Sans" w:eastAsia="Times New Roman" w:hAnsi="Open Sans" w:cs="Open Sans"/>
          <w:color w:val="000000"/>
          <w:kern w:val="0"/>
          <w:sz w:val="21"/>
          <w:szCs w:val="21"/>
          <w14:ligatures w14:val="none"/>
        </w:rPr>
        <w:br/>
      </w:r>
      <w:r w:rsidRPr="007C765B">
        <w:rPr>
          <w:rFonts w:ascii="Open Sans" w:eastAsia="Times New Roman" w:hAnsi="Open Sans" w:cs="Open Sans"/>
          <w:b/>
          <w:bCs/>
          <w:color w:val="000000"/>
          <w:kern w:val="0"/>
          <w:sz w:val="21"/>
          <w:szCs w:val="21"/>
          <w14:ligatures w14:val="none"/>
        </w:rPr>
        <w:t>General rule</w:t>
      </w:r>
      <w:r w:rsidRPr="007C765B">
        <w:rPr>
          <w:rFonts w:ascii="Open Sans" w:eastAsia="Times New Roman" w:hAnsi="Open Sans" w:cs="Open Sans"/>
          <w:color w:val="000000"/>
          <w:kern w:val="0"/>
          <w:sz w:val="21"/>
          <w:szCs w:val="21"/>
          <w14:ligatures w14:val="none"/>
        </w:rPr>
        <w:t> — </w:t>
      </w:r>
    </w:p>
    <w:p w14:paraId="58E08685"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r w:rsidRPr="007C765B">
        <w:rPr>
          <w:rFonts w:ascii="Open Sans" w:eastAsia="Times New Roman" w:hAnsi="Open Sans" w:cs="Open Sans"/>
          <w:color w:val="000000"/>
          <w:kern w:val="0"/>
          <w:sz w:val="21"/>
          <w:szCs w:val="21"/>
          <w14:ligatures w14:val="none"/>
        </w:rPr>
        <w:t>Gross income does not include any amount received as a qualified scholarship by an individual who is a candidate for a degree at an educational organization described in section </w:t>
      </w:r>
      <w:hyperlink r:id="rId13" w:anchor="jcite" w:history="1">
        <w:r w:rsidRPr="007C765B">
          <w:rPr>
            <w:rFonts w:ascii="Open Sans" w:eastAsia="Times New Roman" w:hAnsi="Open Sans" w:cs="Open Sans"/>
            <w:b/>
            <w:bCs/>
            <w:color w:val="225379"/>
            <w:kern w:val="0"/>
            <w:sz w:val="21"/>
            <w:szCs w:val="21"/>
            <w:u w:val="single"/>
            <w14:ligatures w14:val="none"/>
          </w:rPr>
          <w:t>170(b)(1)(A)(ii)</w:t>
        </w:r>
      </w:hyperlink>
      <w:r w:rsidRPr="007C765B">
        <w:rPr>
          <w:rFonts w:ascii="Open Sans" w:eastAsia="Times New Roman" w:hAnsi="Open Sans" w:cs="Open Sans"/>
          <w:color w:val="000000"/>
          <w:kern w:val="0"/>
          <w:sz w:val="21"/>
          <w:szCs w:val="21"/>
          <w14:ligatures w14:val="none"/>
        </w:rPr>
        <w:t>.</w:t>
      </w:r>
    </w:p>
    <w:p w14:paraId="3895745C"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1" w:name="section(b)_0"/>
      <w:r w:rsidRPr="007C765B">
        <w:rPr>
          <w:rFonts w:ascii="Open Sans" w:eastAsia="Times New Roman" w:hAnsi="Open Sans" w:cs="Open Sans"/>
          <w:b/>
          <w:bCs/>
          <w:color w:val="333333"/>
          <w:kern w:val="0"/>
          <w:sz w:val="21"/>
          <w:szCs w:val="21"/>
          <w14:ligatures w14:val="none"/>
        </w:rPr>
        <w:t>(b)</w:t>
      </w:r>
      <w:bookmarkEnd w:id="1"/>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"https://www.bloomberglaw.com/product/tax/view_menu/related_content_internal_revenue_code/cite_refs?citation=26%20U%2ES%2EC%2E%20%20117(b)&amp;term=26%20U%2ES%2EC%2E%20%20117(b)" \o "26 U.S.C. § 117(b)"</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r w:rsidRPr="007C765B">
        <w:rPr>
          <w:rFonts w:ascii="Open Sans" w:eastAsia="Times New Roman" w:hAnsi="Open Sans" w:cs="Open Sans"/>
          <w:color w:val="000000"/>
          <w:kern w:val="0"/>
          <w:sz w:val="21"/>
          <w:szCs w:val="21"/>
          <w14:ligatures w14:val="none"/>
        </w:rPr>
        <w:br/>
      </w:r>
      <w:r w:rsidRPr="007C765B">
        <w:rPr>
          <w:rFonts w:ascii="Open Sans" w:eastAsia="Times New Roman" w:hAnsi="Open Sans" w:cs="Open Sans"/>
          <w:b/>
          <w:bCs/>
          <w:color w:val="000000"/>
          <w:kern w:val="0"/>
          <w:sz w:val="21"/>
          <w:szCs w:val="21"/>
          <w14:ligatures w14:val="none"/>
        </w:rPr>
        <w:t>Qualified scholarship</w:t>
      </w:r>
      <w:r w:rsidRPr="007C765B">
        <w:rPr>
          <w:rFonts w:ascii="Open Sans" w:eastAsia="Times New Roman" w:hAnsi="Open Sans" w:cs="Open Sans"/>
          <w:color w:val="000000"/>
          <w:kern w:val="0"/>
          <w:sz w:val="21"/>
          <w:szCs w:val="21"/>
          <w14:ligatures w14:val="none"/>
        </w:rPr>
        <w:t> — </w:t>
      </w:r>
    </w:p>
    <w:p w14:paraId="589DB14E"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r w:rsidRPr="007C765B">
        <w:rPr>
          <w:rFonts w:ascii="Open Sans" w:eastAsia="Times New Roman" w:hAnsi="Open Sans" w:cs="Open Sans"/>
          <w:color w:val="000000"/>
          <w:kern w:val="0"/>
          <w:sz w:val="21"/>
          <w:szCs w:val="21"/>
          <w14:ligatures w14:val="none"/>
        </w:rPr>
        <w:t>For purposes of this section—</w:t>
      </w:r>
    </w:p>
    <w:p w14:paraId="34A7ECE8"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2" w:name="section(b)(b)(1)_0"/>
      <w:r w:rsidRPr="007C765B">
        <w:rPr>
          <w:rFonts w:ascii="Open Sans" w:eastAsia="Times New Roman" w:hAnsi="Open Sans" w:cs="Open Sans"/>
          <w:b/>
          <w:bCs/>
          <w:color w:val="333333"/>
          <w:kern w:val="0"/>
          <w:sz w:val="21"/>
          <w:szCs w:val="21"/>
          <w14:ligatures w14:val="none"/>
        </w:rPr>
        <w:t>(1)</w:t>
      </w:r>
      <w:bookmarkEnd w:id="2"/>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"https://www.bloomberglaw.com/product/tax/view_menu/related_content_internal_revenue_code/cite_refs?citation=26%20U%2ES%2EC%2E%20%20117(b)(1)&amp;term=26%20U%2ES%2EC%2E%20%20117(b)(1)" \o "26 U.S.C. § 117(b)(1)"</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r w:rsidRPr="007C765B">
        <w:rPr>
          <w:rFonts w:ascii="Open Sans" w:eastAsia="Times New Roman" w:hAnsi="Open Sans" w:cs="Open Sans"/>
          <w:color w:val="000000"/>
          <w:kern w:val="0"/>
          <w:sz w:val="21"/>
          <w:szCs w:val="21"/>
          <w14:ligatures w14:val="none"/>
        </w:rPr>
        <w:br/>
      </w:r>
      <w:r w:rsidRPr="007C765B">
        <w:rPr>
          <w:rFonts w:ascii="Open Sans" w:eastAsia="Times New Roman" w:hAnsi="Open Sans" w:cs="Open Sans"/>
          <w:b/>
          <w:bCs/>
          <w:color w:val="000000"/>
          <w:kern w:val="0"/>
          <w:sz w:val="21"/>
          <w:szCs w:val="21"/>
          <w14:ligatures w14:val="none"/>
        </w:rPr>
        <w:t>In general</w:t>
      </w:r>
      <w:r w:rsidRPr="007C765B">
        <w:rPr>
          <w:rFonts w:ascii="Open Sans" w:eastAsia="Times New Roman" w:hAnsi="Open Sans" w:cs="Open Sans"/>
          <w:color w:val="000000"/>
          <w:kern w:val="0"/>
          <w:sz w:val="21"/>
          <w:szCs w:val="21"/>
          <w14:ligatures w14:val="none"/>
        </w:rPr>
        <w:t> — </w:t>
      </w:r>
    </w:p>
    <w:p w14:paraId="29384584"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r w:rsidRPr="007C765B">
        <w:rPr>
          <w:rFonts w:ascii="Open Sans" w:eastAsia="Times New Roman" w:hAnsi="Open Sans" w:cs="Open Sans"/>
          <w:color w:val="000000"/>
          <w:kern w:val="0"/>
          <w:sz w:val="21"/>
          <w:szCs w:val="21"/>
          <w14:ligatures w14:val="none"/>
        </w:rPr>
        <w:t>The term "qualified scholarship" means any amount received by an individual as a scholarship or fellowship grant to the extent the individual establishes that, in accordance with the conditions of the grant, such amount was used for qualified tuition and related expenses.</w:t>
      </w:r>
    </w:p>
    <w:p w14:paraId="6ECFAC7F"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3" w:name="section(b)(b)(2)_0"/>
      <w:r w:rsidRPr="007C765B">
        <w:rPr>
          <w:rFonts w:ascii="Open Sans" w:eastAsia="Times New Roman" w:hAnsi="Open Sans" w:cs="Open Sans"/>
          <w:b/>
          <w:bCs/>
          <w:color w:val="333333"/>
          <w:kern w:val="0"/>
          <w:sz w:val="21"/>
          <w:szCs w:val="21"/>
          <w14:ligatures w14:val="none"/>
        </w:rPr>
        <w:t>(2)</w:t>
      </w:r>
      <w:bookmarkEnd w:id="3"/>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"https://www.bloomberglaw.com/product/tax/view_menu/related_content_internal_revenue_code/cite_refs?citation=26%20U%2ES%2EC%2E%20%20117(b)(2)&amp;term=26%20U%2ES%2EC%2E%20%20117(b)(2)" \o "26 U.S.C. § 117(b)(2)"</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r w:rsidRPr="007C765B">
        <w:rPr>
          <w:rFonts w:ascii="Open Sans" w:eastAsia="Times New Roman" w:hAnsi="Open Sans" w:cs="Open Sans"/>
          <w:color w:val="000000"/>
          <w:kern w:val="0"/>
          <w:sz w:val="21"/>
          <w:szCs w:val="21"/>
          <w14:ligatures w14:val="none"/>
        </w:rPr>
        <w:br/>
      </w:r>
      <w:r w:rsidRPr="007C765B">
        <w:rPr>
          <w:rFonts w:ascii="Open Sans" w:eastAsia="Times New Roman" w:hAnsi="Open Sans" w:cs="Open Sans"/>
          <w:b/>
          <w:bCs/>
          <w:color w:val="000000"/>
          <w:kern w:val="0"/>
          <w:sz w:val="21"/>
          <w:szCs w:val="21"/>
          <w14:ligatures w14:val="none"/>
        </w:rPr>
        <w:t>Qualified tuition and related expenses</w:t>
      </w:r>
      <w:r w:rsidRPr="007C765B">
        <w:rPr>
          <w:rFonts w:ascii="Open Sans" w:eastAsia="Times New Roman" w:hAnsi="Open Sans" w:cs="Open Sans"/>
          <w:color w:val="000000"/>
          <w:kern w:val="0"/>
          <w:sz w:val="21"/>
          <w:szCs w:val="21"/>
          <w14:ligatures w14:val="none"/>
        </w:rPr>
        <w:t> — </w:t>
      </w:r>
    </w:p>
    <w:p w14:paraId="30197248"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r w:rsidRPr="007C765B">
        <w:rPr>
          <w:rFonts w:ascii="Open Sans" w:eastAsia="Times New Roman" w:hAnsi="Open Sans" w:cs="Open Sans"/>
          <w:color w:val="000000"/>
          <w:kern w:val="0"/>
          <w:sz w:val="21"/>
          <w:szCs w:val="21"/>
          <w14:ligatures w14:val="none"/>
        </w:rPr>
        <w:t>For purposes of paragraph (1), the term "qualified tuition and related expenses" means—</w:t>
      </w:r>
    </w:p>
    <w:p w14:paraId="5B420E98"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4" w:name="section(b)(b)(2)(b)(2)(A)_0"/>
      <w:r w:rsidRPr="007C765B">
        <w:rPr>
          <w:rFonts w:ascii="Open Sans" w:eastAsia="Times New Roman" w:hAnsi="Open Sans" w:cs="Open Sans"/>
          <w:b/>
          <w:bCs/>
          <w:color w:val="333333"/>
          <w:kern w:val="0"/>
          <w:sz w:val="21"/>
          <w:szCs w:val="21"/>
          <w14:ligatures w14:val="none"/>
        </w:rPr>
        <w:t>(A)</w:t>
      </w:r>
      <w:bookmarkEnd w:id="4"/>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"https://www.bloomberglaw.com/product/tax/view_menu/related_content_internal_revenue_code/cite_refs?citation=26%20U%2ES%2EC%2E%20%20117(b)(2)(A)&amp;term=26%20U%2ES%2EC%2E%20%20117(b)(2)(A)" \o "26 U.S.C. § 117(b)(2)(A)"</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p>
    <w:p w14:paraId="1036C047"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r w:rsidRPr="007C765B">
        <w:rPr>
          <w:rFonts w:ascii="Open Sans" w:eastAsia="Times New Roman" w:hAnsi="Open Sans" w:cs="Open Sans"/>
          <w:color w:val="000000"/>
          <w:kern w:val="0"/>
          <w:sz w:val="21"/>
          <w:szCs w:val="21"/>
          <w14:ligatures w14:val="none"/>
        </w:rPr>
        <w:t>tuition and fees required for the enrollment or attendance of a student at an educational organization described in section </w:t>
      </w:r>
      <w:hyperlink r:id="rId14" w:anchor="jcite" w:history="1">
        <w:r w:rsidRPr="007C765B">
          <w:rPr>
            <w:rFonts w:ascii="Open Sans" w:eastAsia="Times New Roman" w:hAnsi="Open Sans" w:cs="Open Sans"/>
            <w:b/>
            <w:bCs/>
            <w:color w:val="225379"/>
            <w:kern w:val="0"/>
            <w:sz w:val="21"/>
            <w:szCs w:val="21"/>
            <w:u w:val="single"/>
            <w14:ligatures w14:val="none"/>
          </w:rPr>
          <w:t>170(b)(1)(A)(ii)</w:t>
        </w:r>
      </w:hyperlink>
      <w:r w:rsidRPr="007C765B">
        <w:rPr>
          <w:rFonts w:ascii="Open Sans" w:eastAsia="Times New Roman" w:hAnsi="Open Sans" w:cs="Open Sans"/>
          <w:color w:val="000000"/>
          <w:kern w:val="0"/>
          <w:sz w:val="21"/>
          <w:szCs w:val="21"/>
          <w14:ligatures w14:val="none"/>
        </w:rPr>
        <w:t>, and</w:t>
      </w:r>
    </w:p>
    <w:p w14:paraId="1F7B1C37"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5" w:name="section(b)(b)(2)(b)(2)(B)_0"/>
      <w:r w:rsidRPr="007C765B">
        <w:rPr>
          <w:rFonts w:ascii="Open Sans" w:eastAsia="Times New Roman" w:hAnsi="Open Sans" w:cs="Open Sans"/>
          <w:b/>
          <w:bCs/>
          <w:color w:val="333333"/>
          <w:kern w:val="0"/>
          <w:sz w:val="21"/>
          <w:szCs w:val="21"/>
          <w14:ligatures w14:val="none"/>
        </w:rPr>
        <w:t>(B)</w:t>
      </w:r>
      <w:bookmarkEnd w:id="5"/>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"https://www.bloomberglaw.com/product/tax/view_menu/related_content_internal_revenue_code/cite_refs?citation=26%20U%2ES%2EC%2E%20%20117(b)(2)(B)&amp;term=26%20U%2ES%2EC%2E%20%20117(b)(2)(B)" \o "26 U.S.C. § 117(b)(2)(B)"</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p>
    <w:p w14:paraId="50F63B34"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r w:rsidRPr="007C765B">
        <w:rPr>
          <w:rFonts w:ascii="Open Sans" w:eastAsia="Times New Roman" w:hAnsi="Open Sans" w:cs="Open Sans"/>
          <w:color w:val="000000"/>
          <w:kern w:val="0"/>
          <w:sz w:val="21"/>
          <w:szCs w:val="21"/>
          <w14:ligatures w14:val="none"/>
        </w:rPr>
        <w:t>fees, books, supplies, and equipment required for courses of instruction at such an educational organization.</w:t>
      </w:r>
    </w:p>
    <w:p w14:paraId="114A0FD6"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6" w:name="section(c)_0"/>
      <w:r w:rsidRPr="007C765B">
        <w:rPr>
          <w:rFonts w:ascii="Open Sans" w:eastAsia="Times New Roman" w:hAnsi="Open Sans" w:cs="Open Sans"/>
          <w:b/>
          <w:bCs/>
          <w:color w:val="333333"/>
          <w:kern w:val="0"/>
          <w:sz w:val="21"/>
          <w:szCs w:val="21"/>
          <w14:ligatures w14:val="none"/>
        </w:rPr>
        <w:t>(c)</w:t>
      </w:r>
      <w:bookmarkEnd w:id="6"/>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"https://www.bloomberglaw.com/product/tax/view_menu/related_content_internal_revenue_code/cite_refs?citation=26%20U%2ES%2EC%2E%20%20117(c)&amp;term=26%20U%2ES%2EC%2E%20%20117(c)" \o "26 U.S.C. § 117(c)"</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r w:rsidRPr="007C765B">
        <w:rPr>
          <w:rFonts w:ascii="Open Sans" w:eastAsia="Times New Roman" w:hAnsi="Open Sans" w:cs="Open Sans"/>
          <w:color w:val="000000"/>
          <w:kern w:val="0"/>
          <w:sz w:val="21"/>
          <w:szCs w:val="21"/>
          <w14:ligatures w14:val="none"/>
        </w:rPr>
        <w:br/>
      </w:r>
      <w:r w:rsidRPr="007C765B">
        <w:rPr>
          <w:rFonts w:ascii="Open Sans" w:eastAsia="Times New Roman" w:hAnsi="Open Sans" w:cs="Open Sans"/>
          <w:b/>
          <w:bCs/>
          <w:color w:val="000000"/>
          <w:kern w:val="0"/>
          <w:sz w:val="21"/>
          <w:szCs w:val="21"/>
          <w14:ligatures w14:val="none"/>
        </w:rPr>
        <w:t>Limitation</w:t>
      </w:r>
    </w:p>
    <w:p w14:paraId="614E4554"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7" w:name="section(c)(c)(1)_0"/>
      <w:r w:rsidRPr="007C765B">
        <w:rPr>
          <w:rFonts w:ascii="Open Sans" w:eastAsia="Times New Roman" w:hAnsi="Open Sans" w:cs="Open Sans"/>
          <w:b/>
          <w:bCs/>
          <w:color w:val="333333"/>
          <w:kern w:val="0"/>
          <w:sz w:val="21"/>
          <w:szCs w:val="21"/>
          <w14:ligatures w14:val="none"/>
        </w:rPr>
        <w:t>(1)</w:t>
      </w:r>
      <w:bookmarkEnd w:id="7"/>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"https://www.bloomberglaw.com/product/tax/view_menu/related_content_internal_revenue_code/cite_refs?citation=26%20U%2ES%2EC%2E%20%20117(c)(1)&amp;term=26%20U%2ES%2EC%2E%20%20117(c)(1)" \o "26 U.S.C. § 117(c)(1)"</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r w:rsidRPr="007C765B">
        <w:rPr>
          <w:rFonts w:ascii="Open Sans" w:eastAsia="Times New Roman" w:hAnsi="Open Sans" w:cs="Open Sans"/>
          <w:color w:val="000000"/>
          <w:kern w:val="0"/>
          <w:sz w:val="21"/>
          <w:szCs w:val="21"/>
          <w14:ligatures w14:val="none"/>
        </w:rPr>
        <w:br/>
      </w:r>
      <w:r w:rsidRPr="007C765B">
        <w:rPr>
          <w:rFonts w:ascii="Open Sans" w:eastAsia="Times New Roman" w:hAnsi="Open Sans" w:cs="Open Sans"/>
          <w:b/>
          <w:bCs/>
          <w:color w:val="000000"/>
          <w:kern w:val="0"/>
          <w:sz w:val="21"/>
          <w:szCs w:val="21"/>
          <w14:ligatures w14:val="none"/>
        </w:rPr>
        <w:t>In general</w:t>
      </w:r>
      <w:r w:rsidRPr="007C765B">
        <w:rPr>
          <w:rFonts w:ascii="Open Sans" w:eastAsia="Times New Roman" w:hAnsi="Open Sans" w:cs="Open Sans"/>
          <w:color w:val="000000"/>
          <w:kern w:val="0"/>
          <w:sz w:val="21"/>
          <w:szCs w:val="21"/>
          <w14:ligatures w14:val="none"/>
        </w:rPr>
        <w:t> — </w:t>
      </w:r>
    </w:p>
    <w:p w14:paraId="12C69763"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r w:rsidRPr="007C765B">
        <w:rPr>
          <w:rFonts w:ascii="Open Sans" w:eastAsia="Times New Roman" w:hAnsi="Open Sans" w:cs="Open Sans"/>
          <w:color w:val="000000"/>
          <w:kern w:val="0"/>
          <w:sz w:val="21"/>
          <w:szCs w:val="21"/>
          <w14:ligatures w14:val="none"/>
        </w:rPr>
        <w:t>Except as provided in paragraph (2), subsections (a) and (d) shall not apply to that portion of any amount received which represents payment for teaching, research, or other services by the student required as a condition for receiving the qualified scholarship or qualified tuition reduction.</w:t>
      </w:r>
    </w:p>
    <w:p w14:paraId="67AA6BB5"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8" w:name="section(c)(c)(2)_0"/>
      <w:r w:rsidRPr="007C765B">
        <w:rPr>
          <w:rFonts w:ascii="Open Sans" w:eastAsia="Times New Roman" w:hAnsi="Open Sans" w:cs="Open Sans"/>
          <w:b/>
          <w:bCs/>
          <w:color w:val="333333"/>
          <w:kern w:val="0"/>
          <w:sz w:val="21"/>
          <w:szCs w:val="21"/>
          <w14:ligatures w14:val="none"/>
        </w:rPr>
        <w:t>(2)</w:t>
      </w:r>
      <w:bookmarkEnd w:id="8"/>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"https://www.bloomberglaw.com/product/tax/view_menu/related_content_internal_revenue_code/cite_refs?citation=26%20U%2ES%2EC%2E%20%20117(c)(2)&amp;term=26%20U%2ES%2EC%2E%20%20117(c)(2)" \o "26 U.S.C. § 117(c)(2)"</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r w:rsidRPr="007C765B">
        <w:rPr>
          <w:rFonts w:ascii="Open Sans" w:eastAsia="Times New Roman" w:hAnsi="Open Sans" w:cs="Open Sans"/>
          <w:color w:val="000000"/>
          <w:kern w:val="0"/>
          <w:sz w:val="21"/>
          <w:szCs w:val="21"/>
          <w14:ligatures w14:val="none"/>
        </w:rPr>
        <w:br/>
      </w:r>
      <w:r w:rsidRPr="007C765B">
        <w:rPr>
          <w:rFonts w:ascii="Open Sans" w:eastAsia="Times New Roman" w:hAnsi="Open Sans" w:cs="Open Sans"/>
          <w:b/>
          <w:bCs/>
          <w:color w:val="000000"/>
          <w:kern w:val="0"/>
          <w:sz w:val="21"/>
          <w:szCs w:val="21"/>
          <w14:ligatures w14:val="none"/>
        </w:rPr>
        <w:t>Exceptions</w:t>
      </w:r>
      <w:r w:rsidRPr="007C765B">
        <w:rPr>
          <w:rFonts w:ascii="Open Sans" w:eastAsia="Times New Roman" w:hAnsi="Open Sans" w:cs="Open Sans"/>
          <w:color w:val="000000"/>
          <w:kern w:val="0"/>
          <w:sz w:val="21"/>
          <w:szCs w:val="21"/>
          <w14:ligatures w14:val="none"/>
        </w:rPr>
        <w:t> — </w:t>
      </w:r>
    </w:p>
    <w:p w14:paraId="0FF2E82E"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r w:rsidRPr="007C765B">
        <w:rPr>
          <w:rFonts w:ascii="Open Sans" w:eastAsia="Times New Roman" w:hAnsi="Open Sans" w:cs="Open Sans"/>
          <w:color w:val="000000"/>
          <w:kern w:val="0"/>
          <w:sz w:val="21"/>
          <w:szCs w:val="21"/>
          <w14:ligatures w14:val="none"/>
        </w:rPr>
        <w:t>Paragraph (1) shall not apply to any amount received by an individual under—</w:t>
      </w:r>
    </w:p>
    <w:p w14:paraId="74C1F5FD"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9" w:name="section(c)(c)(2)(c)(2)(A)_0"/>
      <w:r w:rsidRPr="007C765B">
        <w:rPr>
          <w:rFonts w:ascii="Open Sans" w:eastAsia="Times New Roman" w:hAnsi="Open Sans" w:cs="Open Sans"/>
          <w:b/>
          <w:bCs/>
          <w:color w:val="333333"/>
          <w:kern w:val="0"/>
          <w:sz w:val="21"/>
          <w:szCs w:val="21"/>
          <w14:ligatures w14:val="none"/>
        </w:rPr>
        <w:t>(A)</w:t>
      </w:r>
      <w:bookmarkEnd w:id="9"/>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"https://www.bloomberglaw.com/product/tax/view_menu/related_content_internal_revenue_code/cite_refs?citation=26%20U%2ES%2EC%2E%20%20117(c)(2)(A)&amp;term=26%20U%2ES%2EC%2E%20%20117(c)(2)(A)" \o "26 U.S.C. § 117(c)(2)(A)"</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p>
    <w:p w14:paraId="5006DD7A"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r w:rsidRPr="007C765B">
        <w:rPr>
          <w:rFonts w:ascii="Open Sans" w:eastAsia="Times New Roman" w:hAnsi="Open Sans" w:cs="Open Sans"/>
          <w:color w:val="000000"/>
          <w:kern w:val="0"/>
          <w:sz w:val="21"/>
          <w:szCs w:val="21"/>
          <w14:ligatures w14:val="none"/>
        </w:rPr>
        <w:t>the National Health Service Corps Scholarship Program under section 338A(g)(1)(A) of the </w:t>
      </w:r>
      <w:hyperlink r:id="rId15" w:anchor="jcite" w:history="1">
        <w:r w:rsidRPr="007C765B">
          <w:rPr>
            <w:rFonts w:ascii="Open Sans" w:eastAsia="Times New Roman" w:hAnsi="Open Sans" w:cs="Open Sans"/>
            <w:b/>
            <w:bCs/>
            <w:color w:val="225379"/>
            <w:kern w:val="0"/>
            <w:sz w:val="21"/>
            <w:szCs w:val="21"/>
            <w:u w:val="single"/>
            <w14:ligatures w14:val="none"/>
          </w:rPr>
          <w:t>Public Health Service Act</w:t>
        </w:r>
      </w:hyperlink>
      <w:r w:rsidRPr="007C765B">
        <w:rPr>
          <w:rFonts w:ascii="Open Sans" w:eastAsia="Times New Roman" w:hAnsi="Open Sans" w:cs="Open Sans"/>
          <w:color w:val="000000"/>
          <w:kern w:val="0"/>
          <w:sz w:val="21"/>
          <w:szCs w:val="21"/>
          <w14:ligatures w14:val="none"/>
        </w:rPr>
        <w:t>, or</w:t>
      </w:r>
    </w:p>
    <w:p w14:paraId="326B60D2"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10" w:name="section(c)(c)(2)(c)(2)(B)_0"/>
      <w:r w:rsidRPr="007C765B">
        <w:rPr>
          <w:rFonts w:ascii="Open Sans" w:eastAsia="Times New Roman" w:hAnsi="Open Sans" w:cs="Open Sans"/>
          <w:b/>
          <w:bCs/>
          <w:color w:val="333333"/>
          <w:kern w:val="0"/>
          <w:sz w:val="21"/>
          <w:szCs w:val="21"/>
          <w14:ligatures w14:val="none"/>
        </w:rPr>
        <w:t>(B)</w:t>
      </w:r>
      <w:bookmarkEnd w:id="10"/>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"https://www.bloomberglaw.com/product/tax/view_menu/related_content_internal_revenue_code/cite_refs?citation=26%20U%2ES%2EC%2E%20%20117(c)(2)(B)&amp;term=26%20U%2ES%2EC%2E%20%20117(c)(2)(B)" \o "26 U.S.C. § 117(c)(2)(B)"</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p>
    <w:p w14:paraId="5C6E2769"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r w:rsidRPr="007C765B">
        <w:rPr>
          <w:rFonts w:ascii="Open Sans" w:eastAsia="Times New Roman" w:hAnsi="Open Sans" w:cs="Open Sans"/>
          <w:color w:val="000000"/>
          <w:kern w:val="0"/>
          <w:sz w:val="21"/>
          <w:szCs w:val="21"/>
          <w14:ligatures w14:val="none"/>
        </w:rPr>
        <w:t>the Armed Forces Health Professions Scholarship and Financial Assistance program under subchapter I of chapter 105 of title 10, United States Code.</w:t>
      </w:r>
    </w:p>
    <w:p w14:paraId="08EAE028"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11" w:name="section(d)_0"/>
      <w:r w:rsidRPr="007C765B">
        <w:rPr>
          <w:rFonts w:ascii="Open Sans" w:eastAsia="Times New Roman" w:hAnsi="Open Sans" w:cs="Open Sans"/>
          <w:b/>
          <w:bCs/>
          <w:color w:val="333333"/>
          <w:kern w:val="0"/>
          <w:sz w:val="21"/>
          <w:szCs w:val="21"/>
          <w14:ligatures w14:val="none"/>
        </w:rPr>
        <w:t>(d)</w:t>
      </w:r>
      <w:bookmarkEnd w:id="11"/>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"https://www.bloomberglaw.com/product/tax/view_menu/related_content_internal_revenue_code/cite_refs?citation=26%20U%2ES%2EC%2E%20%20117(d)&amp;term=26%20U%2ES%2EC%2E%20%20117(d)" \o "26 U.S.C. § 117(d)"</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r w:rsidRPr="007C765B">
        <w:rPr>
          <w:rFonts w:ascii="Open Sans" w:eastAsia="Times New Roman" w:hAnsi="Open Sans" w:cs="Open Sans"/>
          <w:color w:val="000000"/>
          <w:kern w:val="0"/>
          <w:sz w:val="21"/>
          <w:szCs w:val="21"/>
          <w14:ligatures w14:val="none"/>
        </w:rPr>
        <w:br/>
      </w:r>
      <w:r w:rsidRPr="007C765B">
        <w:rPr>
          <w:rFonts w:ascii="Open Sans" w:eastAsia="Times New Roman" w:hAnsi="Open Sans" w:cs="Open Sans"/>
          <w:b/>
          <w:bCs/>
          <w:color w:val="000000"/>
          <w:kern w:val="0"/>
          <w:sz w:val="21"/>
          <w:szCs w:val="21"/>
          <w14:ligatures w14:val="none"/>
        </w:rPr>
        <w:t>Qualified tuition reduction</w:t>
      </w:r>
    </w:p>
    <w:p w14:paraId="35A61F6C"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12" w:name="section(d)(d)(1)_0"/>
      <w:r w:rsidRPr="007C765B">
        <w:rPr>
          <w:rFonts w:ascii="Open Sans" w:eastAsia="Times New Roman" w:hAnsi="Open Sans" w:cs="Open Sans"/>
          <w:b/>
          <w:bCs/>
          <w:color w:val="333333"/>
          <w:kern w:val="0"/>
          <w:sz w:val="21"/>
          <w:szCs w:val="21"/>
          <w14:ligatures w14:val="none"/>
        </w:rPr>
        <w:t>(1)</w:t>
      </w:r>
      <w:bookmarkEnd w:id="12"/>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"https://www.bloomberglaw.com/product/tax/view_menu/related_content_internal_revenue_code/cite_refs?citation=26%20U%2ES%2EC%2E%20%20117(d)(1)&amp;term=26%20U%2ES%2EC%2E%20%20117(d)(1)" \o "26 U.S.C. § 117(d)(1)"</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r w:rsidRPr="007C765B">
        <w:rPr>
          <w:rFonts w:ascii="Open Sans" w:eastAsia="Times New Roman" w:hAnsi="Open Sans" w:cs="Open Sans"/>
          <w:color w:val="000000"/>
          <w:kern w:val="0"/>
          <w:sz w:val="21"/>
          <w:szCs w:val="21"/>
          <w14:ligatures w14:val="none"/>
        </w:rPr>
        <w:br/>
      </w:r>
      <w:r w:rsidRPr="007C765B">
        <w:rPr>
          <w:rFonts w:ascii="Open Sans" w:eastAsia="Times New Roman" w:hAnsi="Open Sans" w:cs="Open Sans"/>
          <w:b/>
          <w:bCs/>
          <w:color w:val="000000"/>
          <w:kern w:val="0"/>
          <w:sz w:val="21"/>
          <w:szCs w:val="21"/>
          <w14:ligatures w14:val="none"/>
        </w:rPr>
        <w:t>In general</w:t>
      </w:r>
      <w:r w:rsidRPr="007C765B">
        <w:rPr>
          <w:rFonts w:ascii="Open Sans" w:eastAsia="Times New Roman" w:hAnsi="Open Sans" w:cs="Open Sans"/>
          <w:color w:val="000000"/>
          <w:kern w:val="0"/>
          <w:sz w:val="21"/>
          <w:szCs w:val="21"/>
          <w14:ligatures w14:val="none"/>
        </w:rPr>
        <w:t> — </w:t>
      </w:r>
    </w:p>
    <w:p w14:paraId="41103140"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r w:rsidRPr="007C765B">
        <w:rPr>
          <w:rFonts w:ascii="Open Sans" w:eastAsia="Times New Roman" w:hAnsi="Open Sans" w:cs="Open Sans"/>
          <w:color w:val="000000"/>
          <w:kern w:val="0"/>
          <w:sz w:val="21"/>
          <w:szCs w:val="21"/>
          <w14:ligatures w14:val="none"/>
        </w:rPr>
        <w:t>Gross income shall not include any qualified tuition reduction.</w:t>
      </w:r>
    </w:p>
    <w:p w14:paraId="253E34E0"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13" w:name="section(d)(d)(2)_0"/>
      <w:r w:rsidRPr="007C765B">
        <w:rPr>
          <w:rFonts w:ascii="Open Sans" w:eastAsia="Times New Roman" w:hAnsi="Open Sans" w:cs="Open Sans"/>
          <w:b/>
          <w:bCs/>
          <w:color w:val="333333"/>
          <w:kern w:val="0"/>
          <w:sz w:val="21"/>
          <w:szCs w:val="21"/>
          <w14:ligatures w14:val="none"/>
        </w:rPr>
        <w:t>(2)</w:t>
      </w:r>
      <w:bookmarkEnd w:id="13"/>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"https://www.bloomberglaw.com/product/tax/view_menu/related_content_internal_revenue_code/cite_refs?citation=26%20U%2ES%2EC%2E%20%20117(d)(2)&amp;term=26%20U%2ES%2EC%2E%20%20117(d)(2)" \o "26 U.S.C. § 117(d)(2)"</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r w:rsidRPr="007C765B">
        <w:rPr>
          <w:rFonts w:ascii="Open Sans" w:eastAsia="Times New Roman" w:hAnsi="Open Sans" w:cs="Open Sans"/>
          <w:color w:val="000000"/>
          <w:kern w:val="0"/>
          <w:sz w:val="21"/>
          <w:szCs w:val="21"/>
          <w14:ligatures w14:val="none"/>
        </w:rPr>
        <w:br/>
      </w:r>
      <w:r w:rsidRPr="007C765B">
        <w:rPr>
          <w:rFonts w:ascii="Open Sans" w:eastAsia="Times New Roman" w:hAnsi="Open Sans" w:cs="Open Sans"/>
          <w:b/>
          <w:bCs/>
          <w:color w:val="000000"/>
          <w:kern w:val="0"/>
          <w:sz w:val="21"/>
          <w:szCs w:val="21"/>
          <w14:ligatures w14:val="none"/>
        </w:rPr>
        <w:t>Qualified tuition reduction</w:t>
      </w:r>
      <w:r w:rsidRPr="007C765B">
        <w:rPr>
          <w:rFonts w:ascii="Open Sans" w:eastAsia="Times New Roman" w:hAnsi="Open Sans" w:cs="Open Sans"/>
          <w:color w:val="000000"/>
          <w:kern w:val="0"/>
          <w:sz w:val="21"/>
          <w:szCs w:val="21"/>
          <w14:ligatures w14:val="none"/>
        </w:rPr>
        <w:t> — </w:t>
      </w:r>
    </w:p>
    <w:p w14:paraId="5E7F39EF"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r w:rsidRPr="007C765B">
        <w:rPr>
          <w:rFonts w:ascii="Open Sans" w:eastAsia="Times New Roman" w:hAnsi="Open Sans" w:cs="Open Sans"/>
          <w:color w:val="000000"/>
          <w:kern w:val="0"/>
          <w:sz w:val="21"/>
          <w:szCs w:val="21"/>
          <w14:ligatures w14:val="none"/>
        </w:rPr>
        <w:t>For purposes of this subsection, the term "qualified tuition reduction" means the amount of any reduction in tuition provided to an employee of an organization described in section </w:t>
      </w:r>
      <w:hyperlink r:id="rId16" w:anchor="jcite" w:history="1">
        <w:r w:rsidRPr="007C765B">
          <w:rPr>
            <w:rFonts w:ascii="Open Sans" w:eastAsia="Times New Roman" w:hAnsi="Open Sans" w:cs="Open Sans"/>
            <w:b/>
            <w:bCs/>
            <w:color w:val="225379"/>
            <w:kern w:val="0"/>
            <w:sz w:val="21"/>
            <w:szCs w:val="21"/>
            <w:u w:val="single"/>
            <w14:ligatures w14:val="none"/>
          </w:rPr>
          <w:t>170(b)(1)(A)(ii)</w:t>
        </w:r>
      </w:hyperlink>
      <w:r w:rsidRPr="007C765B">
        <w:rPr>
          <w:rFonts w:ascii="Open Sans" w:eastAsia="Times New Roman" w:hAnsi="Open Sans" w:cs="Open Sans"/>
          <w:color w:val="000000"/>
          <w:kern w:val="0"/>
          <w:sz w:val="21"/>
          <w:szCs w:val="21"/>
          <w14:ligatures w14:val="none"/>
        </w:rPr>
        <w:t> for the education (below the graduate level) at such organization (or another organization described in section </w:t>
      </w:r>
      <w:hyperlink r:id="rId17" w:anchor="jcite" w:history="1">
        <w:r w:rsidRPr="007C765B">
          <w:rPr>
            <w:rFonts w:ascii="Open Sans" w:eastAsia="Times New Roman" w:hAnsi="Open Sans" w:cs="Open Sans"/>
            <w:b/>
            <w:bCs/>
            <w:color w:val="225379"/>
            <w:kern w:val="0"/>
            <w:sz w:val="21"/>
            <w:szCs w:val="21"/>
            <w:u w:val="single"/>
            <w14:ligatures w14:val="none"/>
          </w:rPr>
          <w:t>170(b)(1)(A)(ii)</w:t>
        </w:r>
      </w:hyperlink>
      <w:r w:rsidRPr="007C765B">
        <w:rPr>
          <w:rFonts w:ascii="Open Sans" w:eastAsia="Times New Roman" w:hAnsi="Open Sans" w:cs="Open Sans"/>
          <w:color w:val="000000"/>
          <w:kern w:val="0"/>
          <w:sz w:val="21"/>
          <w:szCs w:val="21"/>
          <w14:ligatures w14:val="none"/>
        </w:rPr>
        <w:t>) of—</w:t>
      </w:r>
    </w:p>
    <w:p w14:paraId="51DE6761"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bookmarkStart w:id="14" w:name="section(d)(d)(2)(d)(2)(A)_0"/>
      <w:r w:rsidRPr="007C765B">
        <w:rPr>
          <w:rFonts w:ascii="Open Sans" w:eastAsia="Times New Roman" w:hAnsi="Open Sans" w:cs="Open Sans"/>
          <w:b/>
          <w:bCs/>
          <w:color w:val="333333"/>
          <w:kern w:val="0"/>
          <w:sz w:val="21"/>
          <w:szCs w:val="21"/>
          <w14:ligatures w14:val="none"/>
        </w:rPr>
        <w:t>(A)</w:t>
      </w:r>
      <w:bookmarkEnd w:id="14"/>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"https://www.bloomberglaw.com/product/tax/view_menu/related_content_internal_revenue_code/cite_refs?citation=26%20U%2ES%2EC%2E%20%20117(d)(2)(A)&amp;term=26%20U%2ES%2EC%2E%20%20117(d)(2)(A)" \o "26 U.S.C. § 117(d)(2)(A)"</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r w:rsidRPr="007C765B">
        <w:rPr>
          <w:rFonts w:ascii="Open Sans" w:eastAsia="Times New Roman" w:hAnsi="Open Sans" w:cs="Open Sans"/>
          <w:color w:val="000000"/>
          <w:kern w:val="0"/>
          <w:sz w:val="21"/>
          <w:szCs w:val="21"/>
          <w14:ligatures w14:val="none"/>
        </w:rPr>
        <w:br/>
      </w:r>
      <w:r w:rsidRPr="007C765B">
        <w:rPr>
          <w:rFonts w:ascii="Open Sans" w:eastAsia="Times New Roman" w:hAnsi="Open Sans" w:cs="Open Sans"/>
          <w:b/>
          <w:bCs/>
          <w:color w:val="000000"/>
          <w:kern w:val="0"/>
          <w:sz w:val="21"/>
          <w:szCs w:val="21"/>
          <w14:ligatures w14:val="none"/>
        </w:rPr>
        <w:t>such employee, or</w:t>
      </w:r>
    </w:p>
    <w:p w14:paraId="5C30E11C"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15" w:name="section(d)(d)(2)(d)(2)(B)_0"/>
      <w:r w:rsidRPr="007C765B">
        <w:rPr>
          <w:rFonts w:ascii="Open Sans" w:eastAsia="Times New Roman" w:hAnsi="Open Sans" w:cs="Open Sans"/>
          <w:b/>
          <w:bCs/>
          <w:color w:val="333333"/>
          <w:kern w:val="0"/>
          <w:sz w:val="21"/>
          <w:szCs w:val="21"/>
          <w14:ligatures w14:val="none"/>
        </w:rPr>
        <w:t>(B)</w:t>
      </w:r>
      <w:bookmarkEnd w:id="15"/>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"https://www.bloomberglaw.com/product/tax/view_menu/related_content_internal_revenue_code/cite_refs?citation=26%20U%2ES%2EC%2E%20%20117(d)(2)(B)&amp;term=26%20U%2ES%2EC%2E%20%20117(d)(2)(B)" \o "26 U.S.C. § 117(d)(2)(B)"</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p>
    <w:p w14:paraId="5A38C616"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r w:rsidRPr="007C765B">
        <w:rPr>
          <w:rFonts w:ascii="Open Sans" w:eastAsia="Times New Roman" w:hAnsi="Open Sans" w:cs="Open Sans"/>
          <w:color w:val="000000"/>
          <w:kern w:val="0"/>
          <w:sz w:val="21"/>
          <w:szCs w:val="21"/>
          <w14:ligatures w14:val="none"/>
        </w:rPr>
        <w:t>any person treated as an employee (or whose use is treated as an employee use) under the rules of section </w:t>
      </w:r>
      <w:hyperlink r:id="rId18" w:anchor="jcite" w:history="1">
        <w:r w:rsidRPr="007C765B">
          <w:rPr>
            <w:rFonts w:ascii="Open Sans" w:eastAsia="Times New Roman" w:hAnsi="Open Sans" w:cs="Open Sans"/>
            <w:b/>
            <w:bCs/>
            <w:color w:val="225379"/>
            <w:kern w:val="0"/>
            <w:sz w:val="21"/>
            <w:szCs w:val="21"/>
            <w:u w:val="single"/>
            <w14:ligatures w14:val="none"/>
          </w:rPr>
          <w:t>132(h)</w:t>
        </w:r>
      </w:hyperlink>
      <w:r w:rsidRPr="007C765B">
        <w:rPr>
          <w:rFonts w:ascii="Open Sans" w:eastAsia="Times New Roman" w:hAnsi="Open Sans" w:cs="Open Sans"/>
          <w:color w:val="000000"/>
          <w:kern w:val="0"/>
          <w:sz w:val="21"/>
          <w:szCs w:val="21"/>
          <w14:ligatures w14:val="none"/>
        </w:rPr>
        <w:t>.</w:t>
      </w:r>
    </w:p>
    <w:p w14:paraId="4F142ECE"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16" w:name="section(d)(d)(3)_0"/>
      <w:r w:rsidRPr="007C765B">
        <w:rPr>
          <w:rFonts w:ascii="Open Sans" w:eastAsia="Times New Roman" w:hAnsi="Open Sans" w:cs="Open Sans"/>
          <w:b/>
          <w:bCs/>
          <w:color w:val="333333"/>
          <w:kern w:val="0"/>
          <w:sz w:val="21"/>
          <w:szCs w:val="21"/>
          <w14:ligatures w14:val="none"/>
        </w:rPr>
        <w:t>(3)</w:t>
      </w:r>
      <w:bookmarkEnd w:id="16"/>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"https://www.bloomberglaw.com/product/tax/view_menu/related_content_internal_revenue_code/cite_refs?citation=26%20U%2ES%2EC%2E%20%20117(d)(3)&amp;term=26%20U%2ES%2EC%2E%20%20117(d)(3)" \o "26 U.S.C. § 117(d)(3)"</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r w:rsidRPr="007C765B">
        <w:rPr>
          <w:rFonts w:ascii="Open Sans" w:eastAsia="Times New Roman" w:hAnsi="Open Sans" w:cs="Open Sans"/>
          <w:color w:val="000000"/>
          <w:kern w:val="0"/>
          <w:sz w:val="21"/>
          <w:szCs w:val="21"/>
          <w14:ligatures w14:val="none"/>
        </w:rPr>
        <w:br/>
      </w:r>
      <w:r w:rsidRPr="007C765B">
        <w:rPr>
          <w:rFonts w:ascii="Open Sans" w:eastAsia="Times New Roman" w:hAnsi="Open Sans" w:cs="Open Sans"/>
          <w:b/>
          <w:bCs/>
          <w:color w:val="000000"/>
          <w:kern w:val="0"/>
          <w:sz w:val="21"/>
          <w:szCs w:val="21"/>
          <w14:ligatures w14:val="none"/>
        </w:rPr>
        <w:t>Reduction must not discriminate in favor of highly compensated, etc.</w:t>
      </w:r>
      <w:r w:rsidRPr="007C765B">
        <w:rPr>
          <w:rFonts w:ascii="Open Sans" w:eastAsia="Times New Roman" w:hAnsi="Open Sans" w:cs="Open Sans"/>
          <w:color w:val="000000"/>
          <w:kern w:val="0"/>
          <w:sz w:val="21"/>
          <w:szCs w:val="21"/>
          <w14:ligatures w14:val="none"/>
        </w:rPr>
        <w:t> — </w:t>
      </w:r>
    </w:p>
    <w:p w14:paraId="5454757E"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r w:rsidRPr="007C765B">
        <w:rPr>
          <w:rFonts w:ascii="Open Sans" w:eastAsia="Times New Roman" w:hAnsi="Open Sans" w:cs="Open Sans"/>
          <w:color w:val="000000"/>
          <w:kern w:val="0"/>
          <w:sz w:val="21"/>
          <w:szCs w:val="21"/>
          <w14:ligatures w14:val="none"/>
        </w:rPr>
        <w:t>Paragraph (1) shall apply with respect to any qualified tuition reduction provided with respect to any highly compensated employee only if such reduction is available on substantially the same terms to each member of a group of employees which is defined under a reasonable classification set up by the employer which does not discriminate in favor of highly compensated employees (within the meaning of section </w:t>
      </w:r>
      <w:hyperlink r:id="rId19" w:anchor="jcite" w:history="1">
        <w:r w:rsidRPr="007C765B">
          <w:rPr>
            <w:rFonts w:ascii="Open Sans" w:eastAsia="Times New Roman" w:hAnsi="Open Sans" w:cs="Open Sans"/>
            <w:b/>
            <w:bCs/>
            <w:color w:val="225379"/>
            <w:kern w:val="0"/>
            <w:sz w:val="21"/>
            <w:szCs w:val="21"/>
            <w:u w:val="single"/>
            <w14:ligatures w14:val="none"/>
          </w:rPr>
          <w:t>414(q)</w:t>
        </w:r>
      </w:hyperlink>
      <w:r w:rsidRPr="007C765B">
        <w:rPr>
          <w:rFonts w:ascii="Open Sans" w:eastAsia="Times New Roman" w:hAnsi="Open Sans" w:cs="Open Sans"/>
          <w:color w:val="000000"/>
          <w:kern w:val="0"/>
          <w:sz w:val="21"/>
          <w:szCs w:val="21"/>
          <w14:ligatures w14:val="none"/>
        </w:rPr>
        <w:t>). For purposes of this paragraph, the term "highly compensated employee" has the meaning given such term by section </w:t>
      </w:r>
      <w:hyperlink r:id="rId20" w:anchor="jcite" w:history="1">
        <w:r w:rsidRPr="007C765B">
          <w:rPr>
            <w:rFonts w:ascii="Open Sans" w:eastAsia="Times New Roman" w:hAnsi="Open Sans" w:cs="Open Sans"/>
            <w:b/>
            <w:bCs/>
            <w:color w:val="225379"/>
            <w:kern w:val="0"/>
            <w:sz w:val="21"/>
            <w:szCs w:val="21"/>
            <w:u w:val="single"/>
            <w14:ligatures w14:val="none"/>
          </w:rPr>
          <w:t>414(q)</w:t>
        </w:r>
      </w:hyperlink>
      <w:r w:rsidRPr="007C765B">
        <w:rPr>
          <w:rFonts w:ascii="Open Sans" w:eastAsia="Times New Roman" w:hAnsi="Open Sans" w:cs="Open Sans"/>
          <w:color w:val="000000"/>
          <w:kern w:val="0"/>
          <w:sz w:val="21"/>
          <w:szCs w:val="21"/>
          <w14:ligatures w14:val="none"/>
        </w:rPr>
        <w:t>.</w:t>
      </w:r>
    </w:p>
    <w:p w14:paraId="472C48C0"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17" w:name="section(d)(d)(4)_0"/>
      <w:r w:rsidRPr="007C765B">
        <w:rPr>
          <w:rFonts w:ascii="Open Sans" w:eastAsia="Times New Roman" w:hAnsi="Open Sans" w:cs="Open Sans"/>
          <w:b/>
          <w:bCs/>
          <w:color w:val="333333"/>
          <w:kern w:val="0"/>
          <w:sz w:val="21"/>
          <w:szCs w:val="21"/>
          <w14:ligatures w14:val="none"/>
        </w:rPr>
        <w:t>(4)</w:t>
      </w:r>
      <w:bookmarkEnd w:id="17"/>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"https://www.bloomberglaw.com/product/tax/view_menu/related_content_internal_revenue_code/cite_refs?citation=26%20U%2ES%2EC%2E%20%20117(d)(4)&amp;term=26%20U%2ES%2EC%2E%20%20117(d)(4)" \o "26 U.S.C. § 117(d)(4)"</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p>
    <w:p w14:paraId="08EFCFC3"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r w:rsidRPr="007C765B">
        <w:rPr>
          <w:rFonts w:ascii="Open Sans" w:eastAsia="Times New Roman" w:hAnsi="Open Sans" w:cs="Open Sans"/>
          <w:color w:val="000000"/>
          <w:kern w:val="0"/>
          <w:sz w:val="21"/>
          <w:szCs w:val="21"/>
          <w14:ligatures w14:val="none"/>
        </w:rPr>
        <w:t>Repealed. </w:t>
      </w:r>
      <w:hyperlink r:id="rId21" w:anchor="jcite" w:history="1">
        <w:r w:rsidRPr="007C765B">
          <w:rPr>
            <w:rFonts w:ascii="Open Sans" w:eastAsia="Times New Roman" w:hAnsi="Open Sans" w:cs="Open Sans"/>
            <w:b/>
            <w:bCs/>
            <w:color w:val="225379"/>
            <w:kern w:val="0"/>
            <w:sz w:val="21"/>
            <w:szCs w:val="21"/>
            <w:u w:val="single"/>
            <w14:ligatures w14:val="none"/>
          </w:rPr>
          <w:t>Pub. L. 101-140</w:t>
        </w:r>
      </w:hyperlink>
      <w:r w:rsidRPr="007C765B">
        <w:rPr>
          <w:rFonts w:ascii="Open Sans" w:eastAsia="Times New Roman" w:hAnsi="Open Sans" w:cs="Open Sans"/>
          <w:color w:val="000000"/>
          <w:kern w:val="0"/>
          <w:sz w:val="21"/>
          <w:szCs w:val="21"/>
          <w14:ligatures w14:val="none"/>
        </w:rPr>
        <w:t>, title II, Sec. 203(a)(1), (2), Nov. 8, 1989, </w:t>
      </w:r>
      <w:hyperlink r:id="rId22" w:anchor="jcite" w:history="1">
        <w:r w:rsidRPr="007C765B">
          <w:rPr>
            <w:rFonts w:ascii="Open Sans" w:eastAsia="Times New Roman" w:hAnsi="Open Sans" w:cs="Open Sans"/>
            <w:b/>
            <w:bCs/>
            <w:color w:val="225379"/>
            <w:kern w:val="0"/>
            <w:sz w:val="21"/>
            <w:szCs w:val="21"/>
            <w:u w:val="single"/>
            <w14:ligatures w14:val="none"/>
          </w:rPr>
          <w:t>103 Stat. 830</w:t>
        </w:r>
      </w:hyperlink>
    </w:p>
    <w:p w14:paraId="73020F6E" w14:textId="77777777" w:rsidR="007C765B" w:rsidRPr="007C765B" w:rsidRDefault="007C765B" w:rsidP="007C765B">
      <w:pPr>
        <w:shd w:val="clear" w:color="auto" w:fill="FFFFFF"/>
        <w:spacing w:after="0" w:line="240" w:lineRule="auto"/>
        <w:rPr>
          <w:rFonts w:ascii="Open Sans" w:eastAsia="Times New Roman" w:hAnsi="Open Sans" w:cs="Open Sans"/>
          <w:color w:val="000000"/>
          <w:kern w:val="0"/>
          <w:sz w:val="21"/>
          <w:szCs w:val="21"/>
          <w14:ligatures w14:val="none"/>
        </w:rPr>
      </w:pPr>
      <w:bookmarkStart w:id="18" w:name="section(d)(d)(5)_0"/>
      <w:r w:rsidRPr="007C765B">
        <w:rPr>
          <w:rFonts w:ascii="Open Sans" w:eastAsia="Times New Roman" w:hAnsi="Open Sans" w:cs="Open Sans"/>
          <w:b/>
          <w:bCs/>
          <w:color w:val="333333"/>
          <w:kern w:val="0"/>
          <w:sz w:val="21"/>
          <w:szCs w:val="21"/>
          <w14:ligatures w14:val="none"/>
        </w:rPr>
        <w:t>(5)</w:t>
      </w:r>
      <w:bookmarkStart w:id="19" w:name="_Hlk167891250"/>
      <w:bookmarkEnd w:id="18"/>
      <w:r w:rsidRPr="007C765B">
        <w:rPr>
          <w:rFonts w:ascii="Open Sans" w:eastAsia="Times New Roman" w:hAnsi="Open Sans" w:cs="Open Sans"/>
          <w:color w:val="000000"/>
          <w:kern w:val="0"/>
          <w:sz w:val="21"/>
          <w:szCs w:val="21"/>
          <w14:ligatures w14:val="none"/>
        </w:rPr>
        <w:fldChar w:fldCharType="begin"/>
      </w:r>
      <w:r w:rsidRPr="007C765B">
        <w:rPr>
          <w:rFonts w:ascii="Open Sans" w:eastAsia="Times New Roman" w:hAnsi="Open Sans" w:cs="Open Sans"/>
          <w:color w:val="000000"/>
          <w:kern w:val="0"/>
          <w:sz w:val="21"/>
          <w:szCs w:val="21"/>
          <w14:ligatures w14:val="none"/>
        </w:rPr>
        <w:instrText>HYPERLINK "https://www.bloomberglaw.com/product/tax/view_menu/related_content_internal_revenue_code/cite_refs?citation=26%20U%2ES%2EC%2E%20%20117(d)(5)&amp;term=26%20U%2ES%2EC%2E%20%20117(d)(5)" \o "26 U.S.C. § 117(d)(5)"</w:instrText>
      </w:r>
      <w:r w:rsidRPr="007C765B">
        <w:rPr>
          <w:rFonts w:ascii="Open Sans" w:eastAsia="Times New Roman" w:hAnsi="Open Sans" w:cs="Open Sans"/>
          <w:color w:val="000000"/>
          <w:kern w:val="0"/>
          <w:sz w:val="21"/>
          <w:szCs w:val="21"/>
          <w14:ligatures w14:val="none"/>
        </w:rPr>
      </w:r>
      <w:r w:rsidRPr="007C765B">
        <w:rPr>
          <w:rFonts w:ascii="Open Sans" w:eastAsia="Times New Roman" w:hAnsi="Open Sans" w:cs="Open Sans"/>
          <w:color w:val="000000"/>
          <w:kern w:val="0"/>
          <w:sz w:val="21"/>
          <w:szCs w:val="21"/>
          <w14:ligatures w14:val="none"/>
        </w:rPr>
        <w:fldChar w:fldCharType="separate"/>
      </w:r>
      <w:r w:rsidRPr="007C765B">
        <w:rPr>
          <w:rFonts w:ascii="Open Sans" w:eastAsia="Times New Roman" w:hAnsi="Open Sans" w:cs="Open Sans"/>
          <w:b/>
          <w:bCs/>
          <w:color w:val="225379"/>
          <w:kern w:val="0"/>
          <w:sz w:val="18"/>
          <w:szCs w:val="18"/>
          <w:u w:val="single"/>
          <w:shd w:val="clear" w:color="auto" w:fill="0D9DDB"/>
          <w14:ligatures w14:val="none"/>
        </w:rPr>
        <w:t>Related </w:t>
      </w:r>
      <w:r w:rsidRPr="007C765B">
        <w:rPr>
          <w:rFonts w:ascii="Open Sans" w:eastAsia="Times New Roman" w:hAnsi="Open Sans" w:cs="Open Sans"/>
          <w:color w:val="000000"/>
          <w:kern w:val="0"/>
          <w:sz w:val="21"/>
          <w:szCs w:val="21"/>
          <w14:ligatures w14:val="none"/>
        </w:rPr>
        <w:fldChar w:fldCharType="end"/>
      </w:r>
      <w:bookmarkEnd w:id="19"/>
      <w:r w:rsidRPr="007C765B">
        <w:rPr>
          <w:rFonts w:ascii="Open Sans" w:eastAsia="Times New Roman" w:hAnsi="Open Sans" w:cs="Open Sans"/>
          <w:color w:val="000000"/>
          <w:kern w:val="0"/>
          <w:sz w:val="21"/>
          <w:szCs w:val="21"/>
          <w14:ligatures w14:val="none"/>
        </w:rPr>
        <w:br/>
      </w:r>
      <w:r w:rsidRPr="007C765B">
        <w:rPr>
          <w:rFonts w:ascii="Open Sans" w:eastAsia="Times New Roman" w:hAnsi="Open Sans" w:cs="Open Sans"/>
          <w:b/>
          <w:bCs/>
          <w:color w:val="000000"/>
          <w:kern w:val="0"/>
          <w:sz w:val="21"/>
          <w:szCs w:val="21"/>
          <w14:ligatures w14:val="none"/>
        </w:rPr>
        <w:t>Special rules for teaching and research assistants</w:t>
      </w:r>
      <w:r w:rsidRPr="007C765B">
        <w:rPr>
          <w:rFonts w:ascii="Open Sans" w:eastAsia="Times New Roman" w:hAnsi="Open Sans" w:cs="Open Sans"/>
          <w:color w:val="000000"/>
          <w:kern w:val="0"/>
          <w:sz w:val="21"/>
          <w:szCs w:val="21"/>
          <w14:ligatures w14:val="none"/>
        </w:rPr>
        <w:t> — </w:t>
      </w:r>
    </w:p>
    <w:p w14:paraId="3116D384" w14:textId="77777777" w:rsidR="007C765B" w:rsidRPr="007C765B" w:rsidRDefault="007C765B" w:rsidP="007C765B">
      <w:pPr>
        <w:shd w:val="clear" w:color="auto" w:fill="FFFFFF"/>
        <w:spacing w:line="240" w:lineRule="auto"/>
        <w:rPr>
          <w:rFonts w:ascii="Open Sans" w:eastAsia="Times New Roman" w:hAnsi="Open Sans" w:cs="Open Sans"/>
          <w:color w:val="000000"/>
          <w:kern w:val="0"/>
          <w:sz w:val="21"/>
          <w:szCs w:val="21"/>
          <w14:ligatures w14:val="none"/>
        </w:rPr>
      </w:pPr>
      <w:r w:rsidRPr="007C765B">
        <w:rPr>
          <w:rFonts w:ascii="Open Sans" w:eastAsia="Times New Roman" w:hAnsi="Open Sans" w:cs="Open Sans"/>
          <w:color w:val="000000"/>
          <w:kern w:val="0"/>
          <w:sz w:val="21"/>
          <w:szCs w:val="21"/>
          <w14:ligatures w14:val="none"/>
        </w:rPr>
        <w:t>In the case of the education of an individual who is a graduate student at an educational organization described in section </w:t>
      </w:r>
      <w:hyperlink r:id="rId23" w:anchor="jcite" w:history="1">
        <w:r w:rsidRPr="007C765B">
          <w:rPr>
            <w:rFonts w:ascii="Open Sans" w:eastAsia="Times New Roman" w:hAnsi="Open Sans" w:cs="Open Sans"/>
            <w:b/>
            <w:bCs/>
            <w:color w:val="225379"/>
            <w:kern w:val="0"/>
            <w:sz w:val="21"/>
            <w:szCs w:val="21"/>
            <w:u w:val="single"/>
            <w14:ligatures w14:val="none"/>
          </w:rPr>
          <w:t>170(b)(1)(A)(ii)</w:t>
        </w:r>
      </w:hyperlink>
      <w:r w:rsidRPr="007C765B">
        <w:rPr>
          <w:rFonts w:ascii="Open Sans" w:eastAsia="Times New Roman" w:hAnsi="Open Sans" w:cs="Open Sans"/>
          <w:color w:val="000000"/>
          <w:kern w:val="0"/>
          <w:sz w:val="21"/>
          <w:szCs w:val="21"/>
          <w14:ligatures w14:val="none"/>
        </w:rPr>
        <w:t> and who is engaged in teaching or research activities for such organization, paragraph (2) shall be applied as if it did not contain the phrase "(below the graduate level)".</w:t>
      </w:r>
    </w:p>
    <w:p w14:paraId="45F3D7FE" w14:textId="77777777" w:rsidR="007C765B" w:rsidRDefault="007C765B">
      <w:pPr>
        <w:rPr>
          <w:b/>
          <w:bCs/>
          <w:caps/>
        </w:rPr>
      </w:pPr>
    </w:p>
    <w:p w14:paraId="53185B9A" w14:textId="7C9E6D5E" w:rsidR="00BF55FF" w:rsidRDefault="00BF55FF">
      <w:pPr>
        <w:rPr>
          <w:b/>
          <w:bCs/>
          <w:caps/>
        </w:rPr>
      </w:pPr>
    </w:p>
    <w:p w14:paraId="6A5B60B3" w14:textId="77777777" w:rsidR="00BF55FF" w:rsidRDefault="00BF55FF">
      <w:pPr>
        <w:rPr>
          <w:b/>
          <w:bCs/>
          <w:caps/>
        </w:rPr>
      </w:pPr>
    </w:p>
    <w:p w14:paraId="472142AE" w14:textId="77777777" w:rsidR="00B75740" w:rsidRDefault="00B75740">
      <w:pPr>
        <w:rPr>
          <w:b/>
          <w:bCs/>
          <w:caps/>
        </w:rPr>
      </w:pPr>
    </w:p>
    <w:p w14:paraId="5A81C42B" w14:textId="77777777" w:rsidR="00780F0A" w:rsidRDefault="00780F0A" w:rsidP="00780F0A">
      <w:pPr>
        <w:rPr>
          <w:b/>
          <w:bCs/>
          <w:caps/>
        </w:rPr>
      </w:pPr>
      <w:r>
        <w:rPr>
          <w:b/>
          <w:bCs/>
          <w:caps/>
        </w:rPr>
        <w:t>COPY, paste, Format text, combine into single file, &amp; attach to Jira ticket</w:t>
      </w:r>
    </w:p>
    <w:p w14:paraId="3F4F89E0" w14:textId="77777777" w:rsidR="00780F0A" w:rsidRPr="00980BD2" w:rsidRDefault="00780F0A" w:rsidP="00780F0A">
      <w:pPr>
        <w:shd w:val="clear" w:color="auto" w:fill="FFFFFF"/>
        <w:spacing w:before="150" w:after="0" w:line="240" w:lineRule="auto"/>
        <w:rPr>
          <w:rFonts w:ascii="Segoe UI" w:eastAsia="Times New Roman" w:hAnsi="Segoe UI" w:cs="Segoe UI"/>
          <w:color w:val="172B4D"/>
          <w:kern w:val="0"/>
          <w:sz w:val="21"/>
          <w:szCs w:val="21"/>
          <w14:ligatures w14:val="none"/>
        </w:rPr>
      </w:pPr>
      <w:bookmarkStart w:id="20" w:name="_Hlk167889620"/>
      <w:r w:rsidRPr="00980BD2">
        <w:rPr>
          <w:rFonts w:ascii="Segoe UI" w:eastAsia="Times New Roman" w:hAnsi="Segoe UI" w:cs="Segoe UI"/>
          <w:color w:val="172B4D"/>
          <w:kern w:val="0"/>
          <w:sz w:val="21"/>
          <w:szCs w:val="21"/>
          <w14:ligatures w14:val="none"/>
        </w:rPr>
        <w:t>Copy/paste each code section excerpt out into a single Word file, code sections in numerical order (see attached sample)</w:t>
      </w:r>
      <w:r>
        <w:rPr>
          <w:rFonts w:ascii="Segoe UI" w:eastAsia="Times New Roman" w:hAnsi="Segoe UI" w:cs="Segoe UI"/>
          <w:color w:val="172B4D"/>
          <w:kern w:val="0"/>
          <w:sz w:val="21"/>
          <w:szCs w:val="21"/>
          <w14:ligatures w14:val="none"/>
        </w:rPr>
        <w:t xml:space="preserve">   </w:t>
      </w:r>
    </w:p>
    <w:p w14:paraId="6969318F" w14:textId="77777777" w:rsidR="00780F0A" w:rsidRPr="00980BD2" w:rsidRDefault="00780F0A" w:rsidP="00780F0A">
      <w:pPr>
        <w:shd w:val="clear" w:color="auto" w:fill="FFFFFF"/>
        <w:spacing w:before="150" w:after="0" w:line="240" w:lineRule="auto"/>
        <w:rPr>
          <w:rFonts w:ascii="Segoe UI" w:eastAsia="Times New Roman" w:hAnsi="Segoe UI" w:cs="Segoe UI"/>
          <w:color w:val="172B4D"/>
          <w:kern w:val="0"/>
          <w:sz w:val="21"/>
          <w:szCs w:val="21"/>
          <w14:ligatures w14:val="none"/>
        </w:rPr>
      </w:pPr>
      <w:r w:rsidRPr="00980BD2">
        <w:rPr>
          <w:rFonts w:ascii="Segoe UI" w:eastAsia="Times New Roman" w:hAnsi="Segoe UI" w:cs="Segoe UI"/>
          <w:color w:val="172B4D"/>
          <w:kern w:val="0"/>
          <w:sz w:val="21"/>
          <w:szCs w:val="21"/>
          <w14:ligatures w14:val="none"/>
        </w:rPr>
        <w:t>Clean up text so that it matches attached sample, e.g.:</w:t>
      </w:r>
    </w:p>
    <w:p w14:paraId="039F3D54" w14:textId="77777777" w:rsidR="00780F0A" w:rsidRPr="00980BD2" w:rsidRDefault="00780F0A" w:rsidP="00780F0A">
      <w:pPr>
        <w:numPr>
          <w:ilvl w:val="0"/>
          <w:numId w:val="2"/>
        </w:numPr>
        <w:shd w:val="clear" w:color="auto" w:fill="FFFFFF"/>
        <w:spacing w:before="100" w:beforeAutospacing="1" w:after="100" w:afterAutospacing="1" w:line="240" w:lineRule="auto"/>
        <w:rPr>
          <w:rFonts w:ascii="Segoe UI" w:eastAsia="Times New Roman" w:hAnsi="Segoe UI" w:cs="Segoe UI"/>
          <w:color w:val="172B4D"/>
          <w:kern w:val="0"/>
          <w:sz w:val="21"/>
          <w:szCs w:val="21"/>
          <w14:ligatures w14:val="none"/>
        </w:rPr>
      </w:pPr>
      <w:r w:rsidRPr="00980BD2">
        <w:rPr>
          <w:rFonts w:ascii="Segoe UI" w:eastAsia="Times New Roman" w:hAnsi="Segoe UI" w:cs="Segoe UI"/>
          <w:color w:val="172B4D"/>
          <w:kern w:val="0"/>
          <w:sz w:val="21"/>
          <w:szCs w:val="21"/>
          <w14:ligatures w14:val="none"/>
        </w:rPr>
        <w:t>heading text, following sample</w:t>
      </w:r>
    </w:p>
    <w:p w14:paraId="0F007518" w14:textId="77777777" w:rsidR="00780F0A" w:rsidRPr="00980BD2" w:rsidRDefault="00780F0A" w:rsidP="00780F0A">
      <w:pPr>
        <w:numPr>
          <w:ilvl w:val="0"/>
          <w:numId w:val="2"/>
        </w:numPr>
        <w:shd w:val="clear" w:color="auto" w:fill="FFFFFF"/>
        <w:spacing w:before="100" w:beforeAutospacing="1" w:after="100" w:afterAutospacing="1" w:line="240" w:lineRule="auto"/>
        <w:rPr>
          <w:rFonts w:ascii="Segoe UI" w:eastAsia="Times New Roman" w:hAnsi="Segoe UI" w:cs="Segoe UI"/>
          <w:color w:val="172B4D"/>
          <w:kern w:val="0"/>
          <w:sz w:val="21"/>
          <w:szCs w:val="21"/>
          <w14:ligatures w14:val="none"/>
        </w:rPr>
      </w:pPr>
      <w:r w:rsidRPr="00980BD2">
        <w:rPr>
          <w:rFonts w:ascii="Segoe UI" w:eastAsia="Times New Roman" w:hAnsi="Segoe UI" w:cs="Segoe UI"/>
          <w:color w:val="172B4D"/>
          <w:kern w:val="0"/>
          <w:sz w:val="21"/>
          <w:szCs w:val="21"/>
          <w14:ligatures w14:val="none"/>
        </w:rPr>
        <w:t>font (Avenir Next P for BBG, 9pt)</w:t>
      </w:r>
    </w:p>
    <w:bookmarkEnd w:id="20"/>
    <w:p w14:paraId="021A5704" w14:textId="77777777" w:rsidR="00506C23" w:rsidRPr="00980BD2" w:rsidRDefault="00506C23" w:rsidP="00506C23">
      <w:pPr>
        <w:numPr>
          <w:ilvl w:val="0"/>
          <w:numId w:val="2"/>
        </w:numPr>
        <w:shd w:val="clear" w:color="auto" w:fill="FFFFFF"/>
        <w:spacing w:before="100" w:beforeAutospacing="1" w:after="100" w:afterAutospacing="1" w:line="240" w:lineRule="auto"/>
        <w:rPr>
          <w:rFonts w:ascii="Segoe UI" w:eastAsia="Times New Roman" w:hAnsi="Segoe UI" w:cs="Segoe UI"/>
          <w:color w:val="172B4D"/>
          <w:kern w:val="0"/>
          <w:sz w:val="21"/>
          <w:szCs w:val="21"/>
          <w14:ligatures w14:val="none"/>
        </w:rPr>
      </w:pPr>
      <w:r w:rsidRPr="00980BD2">
        <w:rPr>
          <w:rFonts w:ascii="Segoe UI" w:eastAsia="Times New Roman" w:hAnsi="Segoe UI" w:cs="Segoe UI"/>
          <w:color w:val="172B4D"/>
          <w:kern w:val="0"/>
          <w:sz w:val="21"/>
          <w:szCs w:val="21"/>
          <w14:ligatures w14:val="none"/>
        </w:rPr>
        <w:t>flush left</w:t>
      </w:r>
    </w:p>
    <w:p w14:paraId="4788F86A" w14:textId="77777777" w:rsidR="00506C23" w:rsidRPr="00980BD2" w:rsidRDefault="00506C23" w:rsidP="00506C23">
      <w:pPr>
        <w:numPr>
          <w:ilvl w:val="0"/>
          <w:numId w:val="2"/>
        </w:numPr>
        <w:shd w:val="clear" w:color="auto" w:fill="FFFFFF"/>
        <w:spacing w:before="100" w:beforeAutospacing="1" w:after="100" w:afterAutospacing="1" w:line="240" w:lineRule="auto"/>
        <w:rPr>
          <w:rFonts w:ascii="Segoe UI" w:eastAsia="Times New Roman" w:hAnsi="Segoe UI" w:cs="Segoe UI"/>
          <w:color w:val="172B4D"/>
          <w:kern w:val="0"/>
          <w:sz w:val="21"/>
          <w:szCs w:val="21"/>
          <w14:ligatures w14:val="none"/>
        </w:rPr>
      </w:pPr>
      <w:r w:rsidRPr="00980BD2">
        <w:rPr>
          <w:rFonts w:ascii="Segoe UI" w:eastAsia="Times New Roman" w:hAnsi="Segoe UI" w:cs="Segoe UI"/>
          <w:color w:val="172B4D"/>
          <w:kern w:val="0"/>
          <w:sz w:val="21"/>
          <w:szCs w:val="21"/>
          <w14:ligatures w14:val="none"/>
        </w:rPr>
        <w:t>no extra paragraph returns between paragraphs</w:t>
      </w:r>
    </w:p>
    <w:p w14:paraId="6CAECAAE" w14:textId="77777777" w:rsidR="00506C23" w:rsidRPr="00980BD2" w:rsidRDefault="00506C23" w:rsidP="00506C23">
      <w:pPr>
        <w:numPr>
          <w:ilvl w:val="0"/>
          <w:numId w:val="2"/>
        </w:numPr>
        <w:shd w:val="clear" w:color="auto" w:fill="FFFFFF"/>
        <w:spacing w:before="100" w:beforeAutospacing="1" w:after="100" w:afterAutospacing="1" w:line="240" w:lineRule="auto"/>
        <w:rPr>
          <w:rFonts w:ascii="Segoe UI" w:eastAsia="Times New Roman" w:hAnsi="Segoe UI" w:cs="Segoe UI"/>
          <w:color w:val="172B4D"/>
          <w:kern w:val="0"/>
          <w:sz w:val="21"/>
          <w:szCs w:val="21"/>
          <w14:ligatures w14:val="none"/>
        </w:rPr>
      </w:pPr>
      <w:r w:rsidRPr="00980BD2">
        <w:rPr>
          <w:rFonts w:ascii="Segoe UI" w:eastAsia="Times New Roman" w:hAnsi="Segoe UI" w:cs="Segoe UI"/>
          <w:color w:val="172B4D"/>
          <w:kern w:val="0"/>
          <w:sz w:val="21"/>
          <w:szCs w:val="21"/>
          <w14:ligatures w14:val="none"/>
        </w:rPr>
        <w:t>bold text as in sample</w:t>
      </w:r>
    </w:p>
    <w:p w14:paraId="08A273B2" w14:textId="4F3488E1" w:rsidR="00506C23" w:rsidRPr="00980BD2" w:rsidRDefault="00506C23" w:rsidP="00506C23">
      <w:pPr>
        <w:numPr>
          <w:ilvl w:val="0"/>
          <w:numId w:val="2"/>
        </w:numPr>
        <w:shd w:val="clear" w:color="auto" w:fill="FFFFFF"/>
        <w:spacing w:before="100" w:beforeAutospacing="1" w:after="100" w:afterAutospacing="1" w:line="240" w:lineRule="auto"/>
        <w:rPr>
          <w:rFonts w:ascii="Segoe UI" w:eastAsia="Times New Roman" w:hAnsi="Segoe UI" w:cs="Segoe UI"/>
          <w:color w:val="4472C4" w:themeColor="accent1"/>
          <w:kern w:val="0"/>
          <w:sz w:val="21"/>
          <w:szCs w:val="21"/>
          <w:highlight w:val="yellow"/>
          <w14:ligatures w14:val="none"/>
        </w:rPr>
      </w:pPr>
      <w:r w:rsidRPr="00980BD2">
        <w:rPr>
          <w:rFonts w:ascii="Segoe UI" w:eastAsia="Times New Roman" w:hAnsi="Segoe UI" w:cs="Segoe UI"/>
          <w:color w:val="172B4D"/>
          <w:kern w:val="0"/>
          <w:sz w:val="21"/>
          <w:szCs w:val="21"/>
          <w14:ligatures w14:val="none"/>
        </w:rPr>
        <w:t xml:space="preserve">text pulled up to follow heading, separated by hyphen, as in </w:t>
      </w:r>
      <w:r w:rsidR="005B3C3B">
        <w:rPr>
          <w:rFonts w:ascii="Segoe UI" w:eastAsia="Times New Roman" w:hAnsi="Segoe UI" w:cs="Segoe UI"/>
          <w:color w:val="172B4D"/>
          <w:kern w:val="0"/>
          <w:sz w:val="21"/>
          <w:szCs w:val="21"/>
          <w14:ligatures w14:val="none"/>
        </w:rPr>
        <w:t xml:space="preserve">attached </w:t>
      </w:r>
      <w:r w:rsidRPr="00980BD2">
        <w:rPr>
          <w:rFonts w:ascii="Segoe UI" w:eastAsia="Times New Roman" w:hAnsi="Segoe UI" w:cs="Segoe UI"/>
          <w:color w:val="172B4D"/>
          <w:kern w:val="0"/>
          <w:sz w:val="21"/>
          <w:szCs w:val="21"/>
          <w14:ligatures w14:val="none"/>
        </w:rPr>
        <w:t>sample</w:t>
      </w:r>
      <w:r w:rsidR="006A7877" w:rsidRPr="00B8506E">
        <w:rPr>
          <w:rFonts w:ascii="Segoe UI" w:eastAsia="Times New Roman" w:hAnsi="Segoe UI" w:cs="Segoe UI"/>
          <w:color w:val="4472C4" w:themeColor="accent1"/>
          <w:kern w:val="0"/>
          <w:sz w:val="21"/>
          <w:szCs w:val="21"/>
          <w14:ligatures w14:val="none"/>
        </w:rPr>
        <w:t xml:space="preserve"> </w:t>
      </w:r>
      <w:r w:rsidR="006A7877" w:rsidRPr="00B8506E">
        <w:rPr>
          <w:rFonts w:ascii="Segoe UI" w:eastAsia="Times New Roman" w:hAnsi="Segoe UI" w:cs="Segoe UI"/>
          <w:color w:val="4472C4" w:themeColor="accent1"/>
          <w:kern w:val="0"/>
          <w:sz w:val="21"/>
          <w:szCs w:val="21"/>
          <w:highlight w:val="yellow"/>
          <w14:ligatures w14:val="none"/>
        </w:rPr>
        <w:t>(</w:t>
      </w:r>
      <w:r w:rsidR="00575129" w:rsidRPr="00B8506E">
        <w:rPr>
          <w:rFonts w:ascii="Segoe UI" w:eastAsia="Times New Roman" w:hAnsi="Segoe UI" w:cs="Segoe UI"/>
          <w:color w:val="4472C4" w:themeColor="accent1"/>
          <w:kern w:val="0"/>
          <w:sz w:val="21"/>
          <w:szCs w:val="21"/>
          <w:highlight w:val="yellow"/>
          <w14:ligatures w14:val="none"/>
        </w:rPr>
        <w:t>P</w:t>
      </w:r>
      <w:r w:rsidR="00DF3A77" w:rsidRPr="00B8506E">
        <w:rPr>
          <w:rFonts w:ascii="Segoe UI" w:eastAsia="Times New Roman" w:hAnsi="Segoe UI" w:cs="Segoe UI"/>
          <w:color w:val="4472C4" w:themeColor="accent1"/>
          <w:kern w:val="0"/>
          <w:sz w:val="21"/>
          <w:szCs w:val="21"/>
          <w:highlight w:val="yellow"/>
          <w14:ligatures w14:val="none"/>
        </w:rPr>
        <w:t>rior Law – Secs combined and formatted</w:t>
      </w:r>
      <w:r w:rsidR="00B8506E" w:rsidRPr="00B8506E">
        <w:rPr>
          <w:rFonts w:ascii="Segoe UI" w:eastAsia="Times New Roman" w:hAnsi="Segoe UI" w:cs="Segoe UI"/>
          <w:color w:val="4472C4" w:themeColor="accent1"/>
          <w:kern w:val="0"/>
          <w:sz w:val="21"/>
          <w:szCs w:val="21"/>
          <w:highlight w:val="yellow"/>
          <w14:ligatures w14:val="none"/>
        </w:rPr>
        <w:t>_sample.docx)</w:t>
      </w:r>
    </w:p>
    <w:p w14:paraId="5B3D1827" w14:textId="2F6015F1" w:rsidR="00506C23" w:rsidRPr="00980BD2" w:rsidRDefault="00506C23" w:rsidP="00506C23">
      <w:pPr>
        <w:shd w:val="clear" w:color="auto" w:fill="FFFFFF"/>
        <w:spacing w:before="150" w:after="0" w:line="240" w:lineRule="auto"/>
        <w:rPr>
          <w:rFonts w:ascii="Segoe UI" w:eastAsia="Times New Roman" w:hAnsi="Segoe UI" w:cs="Segoe UI"/>
          <w:color w:val="172B4D"/>
          <w:kern w:val="0"/>
          <w:sz w:val="21"/>
          <w:szCs w:val="21"/>
          <w14:ligatures w14:val="none"/>
        </w:rPr>
      </w:pPr>
      <w:r w:rsidRPr="00980BD2">
        <w:rPr>
          <w:rFonts w:ascii="Segoe UI" w:eastAsia="Times New Roman" w:hAnsi="Segoe UI" w:cs="Segoe UI"/>
          <w:color w:val="172B4D"/>
          <w:kern w:val="0"/>
          <w:sz w:val="21"/>
          <w:szCs w:val="21"/>
          <w14:ligatures w14:val="none"/>
        </w:rPr>
        <w:t>Attach combined file to ticket</w:t>
      </w:r>
    </w:p>
    <w:p w14:paraId="51D47B9D" w14:textId="77777777" w:rsidR="00506C23" w:rsidRDefault="00506C23" w:rsidP="00506C23">
      <w:pPr>
        <w:rPr>
          <w:b/>
          <w:bCs/>
          <w:caps/>
        </w:rPr>
      </w:pPr>
    </w:p>
    <w:p w14:paraId="4C341728" w14:textId="77777777" w:rsidR="00506C23" w:rsidRPr="00561013" w:rsidRDefault="00506C23">
      <w:pPr>
        <w:rPr>
          <w:b/>
          <w:bCs/>
          <w:caps/>
        </w:rPr>
      </w:pPr>
    </w:p>
    <w:sectPr w:rsidR="00506C23" w:rsidRPr="005610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DA0AA4"/>
    <w:multiLevelType w:val="hybridMultilevel"/>
    <w:tmpl w:val="20C0A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7E74EC"/>
    <w:multiLevelType w:val="multilevel"/>
    <w:tmpl w:val="94005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199898">
    <w:abstractNumId w:val="0"/>
  </w:num>
  <w:num w:numId="2" w16cid:durableId="219487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013"/>
    <w:rsid w:val="000166B0"/>
    <w:rsid w:val="000264DE"/>
    <w:rsid w:val="00035729"/>
    <w:rsid w:val="00041F05"/>
    <w:rsid w:val="000B28DE"/>
    <w:rsid w:val="000D0FB5"/>
    <w:rsid w:val="00105209"/>
    <w:rsid w:val="00127F14"/>
    <w:rsid w:val="001333EC"/>
    <w:rsid w:val="001424C0"/>
    <w:rsid w:val="00153800"/>
    <w:rsid w:val="0017145B"/>
    <w:rsid w:val="00182B66"/>
    <w:rsid w:val="00185DE2"/>
    <w:rsid w:val="001C7F31"/>
    <w:rsid w:val="001D695B"/>
    <w:rsid w:val="001F16E8"/>
    <w:rsid w:val="002268D8"/>
    <w:rsid w:val="00234DC2"/>
    <w:rsid w:val="00244D29"/>
    <w:rsid w:val="00257F81"/>
    <w:rsid w:val="002A77D7"/>
    <w:rsid w:val="002F4113"/>
    <w:rsid w:val="002F5A9D"/>
    <w:rsid w:val="00304D19"/>
    <w:rsid w:val="003173C1"/>
    <w:rsid w:val="00343FE0"/>
    <w:rsid w:val="00352713"/>
    <w:rsid w:val="003B0F49"/>
    <w:rsid w:val="003E0D71"/>
    <w:rsid w:val="00405005"/>
    <w:rsid w:val="0041158A"/>
    <w:rsid w:val="004732EF"/>
    <w:rsid w:val="0049245A"/>
    <w:rsid w:val="004951B7"/>
    <w:rsid w:val="004C5F82"/>
    <w:rsid w:val="004E40DC"/>
    <w:rsid w:val="00506C23"/>
    <w:rsid w:val="00517DEA"/>
    <w:rsid w:val="00545842"/>
    <w:rsid w:val="005545CA"/>
    <w:rsid w:val="00561013"/>
    <w:rsid w:val="005719B5"/>
    <w:rsid w:val="00574413"/>
    <w:rsid w:val="00575129"/>
    <w:rsid w:val="00587235"/>
    <w:rsid w:val="005909B6"/>
    <w:rsid w:val="005949FF"/>
    <w:rsid w:val="005A0457"/>
    <w:rsid w:val="005B3C3B"/>
    <w:rsid w:val="005C2532"/>
    <w:rsid w:val="00623CEE"/>
    <w:rsid w:val="00634BB7"/>
    <w:rsid w:val="00652E8E"/>
    <w:rsid w:val="00653766"/>
    <w:rsid w:val="006732F3"/>
    <w:rsid w:val="006A7877"/>
    <w:rsid w:val="006B3D17"/>
    <w:rsid w:val="006B50AC"/>
    <w:rsid w:val="006B6848"/>
    <w:rsid w:val="0073155C"/>
    <w:rsid w:val="00741715"/>
    <w:rsid w:val="007556A2"/>
    <w:rsid w:val="007761F7"/>
    <w:rsid w:val="00777338"/>
    <w:rsid w:val="00780F0A"/>
    <w:rsid w:val="007936D1"/>
    <w:rsid w:val="0079602F"/>
    <w:rsid w:val="007C765B"/>
    <w:rsid w:val="007F6595"/>
    <w:rsid w:val="00801377"/>
    <w:rsid w:val="008154E1"/>
    <w:rsid w:val="008169AD"/>
    <w:rsid w:val="00817D79"/>
    <w:rsid w:val="008200A7"/>
    <w:rsid w:val="008459E5"/>
    <w:rsid w:val="00892165"/>
    <w:rsid w:val="008927FF"/>
    <w:rsid w:val="0089339E"/>
    <w:rsid w:val="008B75F2"/>
    <w:rsid w:val="008C36C5"/>
    <w:rsid w:val="008D3847"/>
    <w:rsid w:val="00904B5C"/>
    <w:rsid w:val="0091531B"/>
    <w:rsid w:val="00924368"/>
    <w:rsid w:val="00935AD9"/>
    <w:rsid w:val="009373CA"/>
    <w:rsid w:val="0094547B"/>
    <w:rsid w:val="00960FA0"/>
    <w:rsid w:val="00965BB2"/>
    <w:rsid w:val="00972B7A"/>
    <w:rsid w:val="009776AF"/>
    <w:rsid w:val="00980BD2"/>
    <w:rsid w:val="00994814"/>
    <w:rsid w:val="00997C69"/>
    <w:rsid w:val="009F1740"/>
    <w:rsid w:val="00A04136"/>
    <w:rsid w:val="00A356EE"/>
    <w:rsid w:val="00A35849"/>
    <w:rsid w:val="00A4391E"/>
    <w:rsid w:val="00A47BA2"/>
    <w:rsid w:val="00A7020C"/>
    <w:rsid w:val="00AA5BCE"/>
    <w:rsid w:val="00AA5CC0"/>
    <w:rsid w:val="00AC3C9C"/>
    <w:rsid w:val="00AE00C9"/>
    <w:rsid w:val="00B0409F"/>
    <w:rsid w:val="00B5542A"/>
    <w:rsid w:val="00B75740"/>
    <w:rsid w:val="00B8506E"/>
    <w:rsid w:val="00BB476D"/>
    <w:rsid w:val="00BD01E0"/>
    <w:rsid w:val="00BE7E9F"/>
    <w:rsid w:val="00BF012B"/>
    <w:rsid w:val="00BF55FF"/>
    <w:rsid w:val="00C204B5"/>
    <w:rsid w:val="00C30470"/>
    <w:rsid w:val="00C35D94"/>
    <w:rsid w:val="00C36683"/>
    <w:rsid w:val="00C47537"/>
    <w:rsid w:val="00C540BF"/>
    <w:rsid w:val="00C54269"/>
    <w:rsid w:val="00C9489D"/>
    <w:rsid w:val="00C94A9D"/>
    <w:rsid w:val="00CA65BB"/>
    <w:rsid w:val="00CB027B"/>
    <w:rsid w:val="00CB0BB9"/>
    <w:rsid w:val="00CB4701"/>
    <w:rsid w:val="00CC7A88"/>
    <w:rsid w:val="00CE0E4F"/>
    <w:rsid w:val="00CE27C0"/>
    <w:rsid w:val="00CF03F7"/>
    <w:rsid w:val="00CF6298"/>
    <w:rsid w:val="00D01CE0"/>
    <w:rsid w:val="00D3016E"/>
    <w:rsid w:val="00D47CCD"/>
    <w:rsid w:val="00D50B83"/>
    <w:rsid w:val="00D517DF"/>
    <w:rsid w:val="00D6286B"/>
    <w:rsid w:val="00D66300"/>
    <w:rsid w:val="00D72101"/>
    <w:rsid w:val="00D773C7"/>
    <w:rsid w:val="00DA2451"/>
    <w:rsid w:val="00DB05CC"/>
    <w:rsid w:val="00DB21D8"/>
    <w:rsid w:val="00DB384C"/>
    <w:rsid w:val="00DB5E09"/>
    <w:rsid w:val="00DF3A77"/>
    <w:rsid w:val="00E074C0"/>
    <w:rsid w:val="00E23490"/>
    <w:rsid w:val="00E45C35"/>
    <w:rsid w:val="00E514A1"/>
    <w:rsid w:val="00E714C8"/>
    <w:rsid w:val="00E747CF"/>
    <w:rsid w:val="00E75345"/>
    <w:rsid w:val="00E90579"/>
    <w:rsid w:val="00EA7494"/>
    <w:rsid w:val="00EB637D"/>
    <w:rsid w:val="00ED3812"/>
    <w:rsid w:val="00F0391F"/>
    <w:rsid w:val="00F17B2C"/>
    <w:rsid w:val="00F457E9"/>
    <w:rsid w:val="00F47075"/>
    <w:rsid w:val="00F610D8"/>
    <w:rsid w:val="00F862FE"/>
    <w:rsid w:val="00F90842"/>
    <w:rsid w:val="00F95DA9"/>
    <w:rsid w:val="00F97D9B"/>
    <w:rsid w:val="00FE2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FBFB0"/>
  <w15:chartTrackingRefBased/>
  <w15:docId w15:val="{D31B4A06-C700-4592-8839-35E16E33D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C765B"/>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457"/>
    <w:pPr>
      <w:ind w:left="720"/>
      <w:contextualSpacing/>
    </w:pPr>
  </w:style>
  <w:style w:type="character" w:customStyle="1" w:styleId="Heading1Char">
    <w:name w:val="Heading 1 Char"/>
    <w:basedOn w:val="DefaultParagraphFont"/>
    <w:link w:val="Heading1"/>
    <w:uiPriority w:val="9"/>
    <w:rsid w:val="007C765B"/>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unhideWhenUsed/>
    <w:rsid w:val="007C765B"/>
    <w:rPr>
      <w:color w:val="0000FF"/>
      <w:u w:val="single"/>
    </w:rPr>
  </w:style>
  <w:style w:type="character" w:customStyle="1" w:styleId="heading-enum">
    <w:name w:val="heading-enum"/>
    <w:basedOn w:val="DefaultParagraphFont"/>
    <w:rsid w:val="007C765B"/>
  </w:style>
  <w:style w:type="paragraph" w:styleId="NormalWeb">
    <w:name w:val="Normal (Web)"/>
    <w:basedOn w:val="Normal"/>
    <w:uiPriority w:val="99"/>
    <w:semiHidden/>
    <w:unhideWhenUsed/>
    <w:rsid w:val="00980B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244D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914374">
      <w:bodyDiv w:val="1"/>
      <w:marLeft w:val="0"/>
      <w:marRight w:val="0"/>
      <w:marTop w:val="0"/>
      <w:marBottom w:val="0"/>
      <w:divBdr>
        <w:top w:val="none" w:sz="0" w:space="0" w:color="auto"/>
        <w:left w:val="none" w:sz="0" w:space="0" w:color="auto"/>
        <w:bottom w:val="none" w:sz="0" w:space="0" w:color="auto"/>
        <w:right w:val="none" w:sz="0" w:space="0" w:color="auto"/>
      </w:divBdr>
    </w:div>
    <w:div w:id="1734889894">
      <w:bodyDiv w:val="1"/>
      <w:marLeft w:val="0"/>
      <w:marRight w:val="0"/>
      <w:marTop w:val="0"/>
      <w:marBottom w:val="0"/>
      <w:divBdr>
        <w:top w:val="none" w:sz="0" w:space="0" w:color="auto"/>
        <w:left w:val="none" w:sz="0" w:space="0" w:color="auto"/>
        <w:bottom w:val="none" w:sz="0" w:space="0" w:color="auto"/>
        <w:right w:val="none" w:sz="0" w:space="0" w:color="auto"/>
      </w:divBdr>
      <w:divsChild>
        <w:div w:id="2088729211">
          <w:marLeft w:val="0"/>
          <w:marRight w:val="0"/>
          <w:marTop w:val="210"/>
          <w:marBottom w:val="210"/>
          <w:divBdr>
            <w:top w:val="none" w:sz="0" w:space="0" w:color="auto"/>
            <w:left w:val="none" w:sz="0" w:space="0" w:color="auto"/>
            <w:bottom w:val="none" w:sz="0" w:space="0" w:color="auto"/>
            <w:right w:val="none" w:sz="0" w:space="0" w:color="auto"/>
          </w:divBdr>
          <w:divsChild>
            <w:div w:id="4554300">
              <w:marLeft w:val="420"/>
              <w:marRight w:val="0"/>
              <w:marTop w:val="210"/>
              <w:marBottom w:val="210"/>
              <w:divBdr>
                <w:top w:val="none" w:sz="0" w:space="0" w:color="auto"/>
                <w:left w:val="none" w:sz="0" w:space="0" w:color="auto"/>
                <w:bottom w:val="none" w:sz="0" w:space="0" w:color="auto"/>
                <w:right w:val="none" w:sz="0" w:space="0" w:color="auto"/>
              </w:divBdr>
              <w:divsChild>
                <w:div w:id="294412458">
                  <w:marLeft w:val="420"/>
                  <w:marRight w:val="0"/>
                  <w:marTop w:val="210"/>
                  <w:marBottom w:val="210"/>
                  <w:divBdr>
                    <w:top w:val="none" w:sz="0" w:space="0" w:color="auto"/>
                    <w:left w:val="none" w:sz="0" w:space="0" w:color="auto"/>
                    <w:bottom w:val="none" w:sz="0" w:space="0" w:color="auto"/>
                    <w:right w:val="none" w:sz="0" w:space="0" w:color="auto"/>
                  </w:divBdr>
                  <w:divsChild>
                    <w:div w:id="371270912">
                      <w:marLeft w:val="420"/>
                      <w:marRight w:val="0"/>
                      <w:marTop w:val="210"/>
                      <w:marBottom w:val="210"/>
                      <w:divBdr>
                        <w:top w:val="none" w:sz="0" w:space="0" w:color="auto"/>
                        <w:left w:val="none" w:sz="0" w:space="0" w:color="auto"/>
                        <w:bottom w:val="none" w:sz="0" w:space="0" w:color="auto"/>
                        <w:right w:val="none" w:sz="0" w:space="0" w:color="auto"/>
                      </w:divBdr>
                      <w:divsChild>
                        <w:div w:id="575016404">
                          <w:marLeft w:val="0"/>
                          <w:marRight w:val="0"/>
                          <w:marTop w:val="210"/>
                          <w:marBottom w:val="210"/>
                          <w:divBdr>
                            <w:top w:val="none" w:sz="0" w:space="0" w:color="auto"/>
                            <w:left w:val="none" w:sz="0" w:space="0" w:color="auto"/>
                            <w:bottom w:val="none" w:sz="0" w:space="0" w:color="auto"/>
                            <w:right w:val="none" w:sz="0" w:space="0" w:color="auto"/>
                          </w:divBdr>
                        </w:div>
                      </w:divsChild>
                    </w:div>
                    <w:div w:id="440493214">
                      <w:marLeft w:val="420"/>
                      <w:marRight w:val="0"/>
                      <w:marTop w:val="210"/>
                      <w:marBottom w:val="210"/>
                      <w:divBdr>
                        <w:top w:val="none" w:sz="0" w:space="0" w:color="auto"/>
                        <w:left w:val="none" w:sz="0" w:space="0" w:color="auto"/>
                        <w:bottom w:val="none" w:sz="0" w:space="0" w:color="auto"/>
                        <w:right w:val="none" w:sz="0" w:space="0" w:color="auto"/>
                      </w:divBdr>
                      <w:divsChild>
                        <w:div w:id="1601833405">
                          <w:marLeft w:val="0"/>
                          <w:marRight w:val="0"/>
                          <w:marTop w:val="210"/>
                          <w:marBottom w:val="210"/>
                          <w:divBdr>
                            <w:top w:val="none" w:sz="0" w:space="0" w:color="auto"/>
                            <w:left w:val="none" w:sz="0" w:space="0" w:color="auto"/>
                            <w:bottom w:val="none" w:sz="0" w:space="0" w:color="auto"/>
                            <w:right w:val="none" w:sz="0" w:space="0" w:color="auto"/>
                          </w:divBdr>
                        </w:div>
                      </w:divsChild>
                    </w:div>
                    <w:div w:id="1989555516">
                      <w:marLeft w:val="0"/>
                      <w:marRight w:val="0"/>
                      <w:marTop w:val="210"/>
                      <w:marBottom w:val="210"/>
                      <w:divBdr>
                        <w:top w:val="none" w:sz="0" w:space="0" w:color="auto"/>
                        <w:left w:val="none" w:sz="0" w:space="0" w:color="auto"/>
                        <w:bottom w:val="none" w:sz="0" w:space="0" w:color="auto"/>
                        <w:right w:val="none" w:sz="0" w:space="0" w:color="auto"/>
                      </w:divBdr>
                    </w:div>
                  </w:divsChild>
                </w:div>
                <w:div w:id="1443844452">
                  <w:marLeft w:val="420"/>
                  <w:marRight w:val="0"/>
                  <w:marTop w:val="210"/>
                  <w:marBottom w:val="210"/>
                  <w:divBdr>
                    <w:top w:val="none" w:sz="0" w:space="0" w:color="auto"/>
                    <w:left w:val="none" w:sz="0" w:space="0" w:color="auto"/>
                    <w:bottom w:val="none" w:sz="0" w:space="0" w:color="auto"/>
                    <w:right w:val="none" w:sz="0" w:space="0" w:color="auto"/>
                  </w:divBdr>
                  <w:divsChild>
                    <w:div w:id="59880394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019701084">
              <w:marLeft w:val="420"/>
              <w:marRight w:val="0"/>
              <w:marTop w:val="210"/>
              <w:marBottom w:val="210"/>
              <w:divBdr>
                <w:top w:val="none" w:sz="0" w:space="0" w:color="auto"/>
                <w:left w:val="none" w:sz="0" w:space="0" w:color="auto"/>
                <w:bottom w:val="none" w:sz="0" w:space="0" w:color="auto"/>
                <w:right w:val="none" w:sz="0" w:space="0" w:color="auto"/>
              </w:divBdr>
              <w:divsChild>
                <w:div w:id="1934705126">
                  <w:marLeft w:val="0"/>
                  <w:marRight w:val="0"/>
                  <w:marTop w:val="210"/>
                  <w:marBottom w:val="210"/>
                  <w:divBdr>
                    <w:top w:val="none" w:sz="0" w:space="0" w:color="auto"/>
                    <w:left w:val="none" w:sz="0" w:space="0" w:color="auto"/>
                    <w:bottom w:val="none" w:sz="0" w:space="0" w:color="auto"/>
                    <w:right w:val="none" w:sz="0" w:space="0" w:color="auto"/>
                  </w:divBdr>
                </w:div>
              </w:divsChild>
            </w:div>
            <w:div w:id="1816140642">
              <w:marLeft w:val="420"/>
              <w:marRight w:val="0"/>
              <w:marTop w:val="210"/>
              <w:marBottom w:val="210"/>
              <w:divBdr>
                <w:top w:val="none" w:sz="0" w:space="0" w:color="auto"/>
                <w:left w:val="none" w:sz="0" w:space="0" w:color="auto"/>
                <w:bottom w:val="none" w:sz="0" w:space="0" w:color="auto"/>
                <w:right w:val="none" w:sz="0" w:space="0" w:color="auto"/>
              </w:divBdr>
              <w:divsChild>
                <w:div w:id="570845750">
                  <w:marLeft w:val="420"/>
                  <w:marRight w:val="0"/>
                  <w:marTop w:val="210"/>
                  <w:marBottom w:val="210"/>
                  <w:divBdr>
                    <w:top w:val="none" w:sz="0" w:space="0" w:color="auto"/>
                    <w:left w:val="none" w:sz="0" w:space="0" w:color="auto"/>
                    <w:bottom w:val="none" w:sz="0" w:space="0" w:color="auto"/>
                    <w:right w:val="none" w:sz="0" w:space="0" w:color="auto"/>
                  </w:divBdr>
                  <w:divsChild>
                    <w:div w:id="475073744">
                      <w:marLeft w:val="0"/>
                      <w:marRight w:val="0"/>
                      <w:marTop w:val="210"/>
                      <w:marBottom w:val="210"/>
                      <w:divBdr>
                        <w:top w:val="none" w:sz="0" w:space="0" w:color="auto"/>
                        <w:left w:val="none" w:sz="0" w:space="0" w:color="auto"/>
                        <w:bottom w:val="none" w:sz="0" w:space="0" w:color="auto"/>
                        <w:right w:val="none" w:sz="0" w:space="0" w:color="auto"/>
                      </w:divBdr>
                    </w:div>
                  </w:divsChild>
                </w:div>
                <w:div w:id="748115221">
                  <w:marLeft w:val="420"/>
                  <w:marRight w:val="0"/>
                  <w:marTop w:val="210"/>
                  <w:marBottom w:val="210"/>
                  <w:divBdr>
                    <w:top w:val="none" w:sz="0" w:space="0" w:color="auto"/>
                    <w:left w:val="none" w:sz="0" w:space="0" w:color="auto"/>
                    <w:bottom w:val="none" w:sz="0" w:space="0" w:color="auto"/>
                    <w:right w:val="none" w:sz="0" w:space="0" w:color="auto"/>
                  </w:divBdr>
                  <w:divsChild>
                    <w:div w:id="523249439">
                      <w:marLeft w:val="420"/>
                      <w:marRight w:val="0"/>
                      <w:marTop w:val="210"/>
                      <w:marBottom w:val="210"/>
                      <w:divBdr>
                        <w:top w:val="none" w:sz="0" w:space="0" w:color="auto"/>
                        <w:left w:val="none" w:sz="0" w:space="0" w:color="auto"/>
                        <w:bottom w:val="none" w:sz="0" w:space="0" w:color="auto"/>
                        <w:right w:val="none" w:sz="0" w:space="0" w:color="auto"/>
                      </w:divBdr>
                    </w:div>
                    <w:div w:id="1362320385">
                      <w:marLeft w:val="420"/>
                      <w:marRight w:val="0"/>
                      <w:marTop w:val="210"/>
                      <w:marBottom w:val="210"/>
                      <w:divBdr>
                        <w:top w:val="none" w:sz="0" w:space="0" w:color="auto"/>
                        <w:left w:val="none" w:sz="0" w:space="0" w:color="auto"/>
                        <w:bottom w:val="none" w:sz="0" w:space="0" w:color="auto"/>
                        <w:right w:val="none" w:sz="0" w:space="0" w:color="auto"/>
                      </w:divBdr>
                      <w:divsChild>
                        <w:div w:id="1795555583">
                          <w:marLeft w:val="0"/>
                          <w:marRight w:val="0"/>
                          <w:marTop w:val="210"/>
                          <w:marBottom w:val="210"/>
                          <w:divBdr>
                            <w:top w:val="none" w:sz="0" w:space="0" w:color="auto"/>
                            <w:left w:val="none" w:sz="0" w:space="0" w:color="auto"/>
                            <w:bottom w:val="none" w:sz="0" w:space="0" w:color="auto"/>
                            <w:right w:val="none" w:sz="0" w:space="0" w:color="auto"/>
                          </w:divBdr>
                        </w:div>
                      </w:divsChild>
                    </w:div>
                    <w:div w:id="1637560694">
                      <w:marLeft w:val="0"/>
                      <w:marRight w:val="0"/>
                      <w:marTop w:val="210"/>
                      <w:marBottom w:val="210"/>
                      <w:divBdr>
                        <w:top w:val="none" w:sz="0" w:space="0" w:color="auto"/>
                        <w:left w:val="none" w:sz="0" w:space="0" w:color="auto"/>
                        <w:bottom w:val="none" w:sz="0" w:space="0" w:color="auto"/>
                        <w:right w:val="none" w:sz="0" w:space="0" w:color="auto"/>
                      </w:divBdr>
                    </w:div>
                  </w:divsChild>
                </w:div>
                <w:div w:id="928001230">
                  <w:marLeft w:val="420"/>
                  <w:marRight w:val="0"/>
                  <w:marTop w:val="210"/>
                  <w:marBottom w:val="210"/>
                  <w:divBdr>
                    <w:top w:val="none" w:sz="0" w:space="0" w:color="auto"/>
                    <w:left w:val="none" w:sz="0" w:space="0" w:color="auto"/>
                    <w:bottom w:val="none" w:sz="0" w:space="0" w:color="auto"/>
                    <w:right w:val="none" w:sz="0" w:space="0" w:color="auto"/>
                  </w:divBdr>
                  <w:divsChild>
                    <w:div w:id="90708031">
                      <w:marLeft w:val="0"/>
                      <w:marRight w:val="0"/>
                      <w:marTop w:val="210"/>
                      <w:marBottom w:val="210"/>
                      <w:divBdr>
                        <w:top w:val="none" w:sz="0" w:space="0" w:color="auto"/>
                        <w:left w:val="none" w:sz="0" w:space="0" w:color="auto"/>
                        <w:bottom w:val="none" w:sz="0" w:space="0" w:color="auto"/>
                        <w:right w:val="none" w:sz="0" w:space="0" w:color="auto"/>
                      </w:divBdr>
                    </w:div>
                  </w:divsChild>
                </w:div>
                <w:div w:id="1336763619">
                  <w:marLeft w:val="420"/>
                  <w:marRight w:val="0"/>
                  <w:marTop w:val="210"/>
                  <w:marBottom w:val="210"/>
                  <w:divBdr>
                    <w:top w:val="none" w:sz="0" w:space="0" w:color="auto"/>
                    <w:left w:val="none" w:sz="0" w:space="0" w:color="auto"/>
                    <w:bottom w:val="none" w:sz="0" w:space="0" w:color="auto"/>
                    <w:right w:val="none" w:sz="0" w:space="0" w:color="auto"/>
                  </w:divBdr>
                  <w:divsChild>
                    <w:div w:id="1166239506">
                      <w:marLeft w:val="0"/>
                      <w:marRight w:val="0"/>
                      <w:marTop w:val="210"/>
                      <w:marBottom w:val="210"/>
                      <w:divBdr>
                        <w:top w:val="none" w:sz="0" w:space="0" w:color="auto"/>
                        <w:left w:val="none" w:sz="0" w:space="0" w:color="auto"/>
                        <w:bottom w:val="none" w:sz="0" w:space="0" w:color="auto"/>
                        <w:right w:val="none" w:sz="0" w:space="0" w:color="auto"/>
                      </w:divBdr>
                    </w:div>
                  </w:divsChild>
                </w:div>
                <w:div w:id="1726948030">
                  <w:marLeft w:val="420"/>
                  <w:marRight w:val="0"/>
                  <w:marTop w:val="210"/>
                  <w:marBottom w:val="210"/>
                  <w:divBdr>
                    <w:top w:val="none" w:sz="0" w:space="0" w:color="auto"/>
                    <w:left w:val="none" w:sz="0" w:space="0" w:color="auto"/>
                    <w:bottom w:val="none" w:sz="0" w:space="0" w:color="auto"/>
                    <w:right w:val="none" w:sz="0" w:space="0" w:color="auto"/>
                  </w:divBdr>
                  <w:divsChild>
                    <w:div w:id="175049460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981036956">
              <w:marLeft w:val="420"/>
              <w:marRight w:val="0"/>
              <w:marTop w:val="210"/>
              <w:marBottom w:val="210"/>
              <w:divBdr>
                <w:top w:val="none" w:sz="0" w:space="0" w:color="auto"/>
                <w:left w:val="none" w:sz="0" w:space="0" w:color="auto"/>
                <w:bottom w:val="none" w:sz="0" w:space="0" w:color="auto"/>
                <w:right w:val="none" w:sz="0" w:space="0" w:color="auto"/>
              </w:divBdr>
              <w:divsChild>
                <w:div w:id="1093893037">
                  <w:marLeft w:val="420"/>
                  <w:marRight w:val="0"/>
                  <w:marTop w:val="210"/>
                  <w:marBottom w:val="210"/>
                  <w:divBdr>
                    <w:top w:val="none" w:sz="0" w:space="0" w:color="auto"/>
                    <w:left w:val="none" w:sz="0" w:space="0" w:color="auto"/>
                    <w:bottom w:val="none" w:sz="0" w:space="0" w:color="auto"/>
                    <w:right w:val="none" w:sz="0" w:space="0" w:color="auto"/>
                  </w:divBdr>
                  <w:divsChild>
                    <w:div w:id="1649088105">
                      <w:marLeft w:val="0"/>
                      <w:marRight w:val="0"/>
                      <w:marTop w:val="210"/>
                      <w:marBottom w:val="210"/>
                      <w:divBdr>
                        <w:top w:val="none" w:sz="0" w:space="0" w:color="auto"/>
                        <w:left w:val="none" w:sz="0" w:space="0" w:color="auto"/>
                        <w:bottom w:val="none" w:sz="0" w:space="0" w:color="auto"/>
                        <w:right w:val="none" w:sz="0" w:space="0" w:color="auto"/>
                      </w:divBdr>
                    </w:div>
                  </w:divsChild>
                </w:div>
                <w:div w:id="1363821355">
                  <w:marLeft w:val="420"/>
                  <w:marRight w:val="0"/>
                  <w:marTop w:val="210"/>
                  <w:marBottom w:val="210"/>
                  <w:divBdr>
                    <w:top w:val="none" w:sz="0" w:space="0" w:color="auto"/>
                    <w:left w:val="none" w:sz="0" w:space="0" w:color="auto"/>
                    <w:bottom w:val="none" w:sz="0" w:space="0" w:color="auto"/>
                    <w:right w:val="none" w:sz="0" w:space="0" w:color="auto"/>
                  </w:divBdr>
                  <w:divsChild>
                    <w:div w:id="420296015">
                      <w:marLeft w:val="420"/>
                      <w:marRight w:val="0"/>
                      <w:marTop w:val="210"/>
                      <w:marBottom w:val="210"/>
                      <w:divBdr>
                        <w:top w:val="none" w:sz="0" w:space="0" w:color="auto"/>
                        <w:left w:val="none" w:sz="0" w:space="0" w:color="auto"/>
                        <w:bottom w:val="none" w:sz="0" w:space="0" w:color="auto"/>
                        <w:right w:val="none" w:sz="0" w:space="0" w:color="auto"/>
                      </w:divBdr>
                      <w:divsChild>
                        <w:div w:id="1310475539">
                          <w:marLeft w:val="0"/>
                          <w:marRight w:val="0"/>
                          <w:marTop w:val="210"/>
                          <w:marBottom w:val="210"/>
                          <w:divBdr>
                            <w:top w:val="none" w:sz="0" w:space="0" w:color="auto"/>
                            <w:left w:val="none" w:sz="0" w:space="0" w:color="auto"/>
                            <w:bottom w:val="none" w:sz="0" w:space="0" w:color="auto"/>
                            <w:right w:val="none" w:sz="0" w:space="0" w:color="auto"/>
                          </w:divBdr>
                        </w:div>
                      </w:divsChild>
                    </w:div>
                    <w:div w:id="713893986">
                      <w:marLeft w:val="420"/>
                      <w:marRight w:val="0"/>
                      <w:marTop w:val="210"/>
                      <w:marBottom w:val="210"/>
                      <w:divBdr>
                        <w:top w:val="none" w:sz="0" w:space="0" w:color="auto"/>
                        <w:left w:val="none" w:sz="0" w:space="0" w:color="auto"/>
                        <w:bottom w:val="none" w:sz="0" w:space="0" w:color="auto"/>
                        <w:right w:val="none" w:sz="0" w:space="0" w:color="auto"/>
                      </w:divBdr>
                      <w:divsChild>
                        <w:div w:id="1113982671">
                          <w:marLeft w:val="0"/>
                          <w:marRight w:val="0"/>
                          <w:marTop w:val="210"/>
                          <w:marBottom w:val="210"/>
                          <w:divBdr>
                            <w:top w:val="none" w:sz="0" w:space="0" w:color="auto"/>
                            <w:left w:val="none" w:sz="0" w:space="0" w:color="auto"/>
                            <w:bottom w:val="none" w:sz="0" w:space="0" w:color="auto"/>
                            <w:right w:val="none" w:sz="0" w:space="0" w:color="auto"/>
                          </w:divBdr>
                        </w:div>
                      </w:divsChild>
                    </w:div>
                    <w:div w:id="1457528869">
                      <w:marLeft w:val="0"/>
                      <w:marRight w:val="0"/>
                      <w:marTop w:val="210"/>
                      <w:marBottom w:val="210"/>
                      <w:divBdr>
                        <w:top w:val="none" w:sz="0" w:space="0" w:color="auto"/>
                        <w:left w:val="none" w:sz="0" w:space="0" w:color="auto"/>
                        <w:bottom w:val="none" w:sz="0" w:space="0" w:color="auto"/>
                        <w:right w:val="none" w:sz="0" w:space="0" w:color="auto"/>
                      </w:divBdr>
                    </w:div>
                  </w:divsChild>
                </w:div>
                <w:div w:id="164627602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762943910">
      <w:bodyDiv w:val="1"/>
      <w:marLeft w:val="0"/>
      <w:marRight w:val="0"/>
      <w:marTop w:val="0"/>
      <w:marBottom w:val="0"/>
      <w:divBdr>
        <w:top w:val="none" w:sz="0" w:space="0" w:color="auto"/>
        <w:left w:val="none" w:sz="0" w:space="0" w:color="auto"/>
        <w:bottom w:val="none" w:sz="0" w:space="0" w:color="auto"/>
        <w:right w:val="none" w:sz="0" w:space="0" w:color="auto"/>
      </w:divBdr>
    </w:div>
    <w:div w:id="194453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loomberglaw.com/product/tax/document/1?citation=26%20USC%20170&amp;amp;summary=yes" TargetMode="External"/><Relationship Id="rId18" Type="http://schemas.openxmlformats.org/officeDocument/2006/relationships/hyperlink" Target="https://www.bloomberglaw.com/product/tax/document/1?citation=26%20USC%20132&amp;amp;summary=yes" TargetMode="External"/><Relationship Id="rId3" Type="http://schemas.openxmlformats.org/officeDocument/2006/relationships/settings" Target="settings.xml"/><Relationship Id="rId21" Type="http://schemas.openxmlformats.org/officeDocument/2006/relationships/hyperlink" Target="https://www.bloomberglaw.com/product/tax/document/1?citation=usacts%20101-140&amp;amp;summary=yes" TargetMode="External"/><Relationship Id="rId7" Type="http://schemas.openxmlformats.org/officeDocument/2006/relationships/hyperlink" Target="https://www.bloomberglaw.com/product/tax/page/page_federal" TargetMode="External"/><Relationship Id="rId12" Type="http://schemas.openxmlformats.org/officeDocument/2006/relationships/image" Target="media/image6.png"/><Relationship Id="rId17" Type="http://schemas.openxmlformats.org/officeDocument/2006/relationships/hyperlink" Target="https://www.bloomberglaw.com/product/tax/document/1?citation=26%20USC%20170&amp;amp;summary=y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loomberglaw.com/product/tax/document/1?citation=26%20USC%20170&amp;amp;summary=yes" TargetMode="External"/><Relationship Id="rId20" Type="http://schemas.openxmlformats.org/officeDocument/2006/relationships/hyperlink" Target="https://www.bloomberglaw.com/product/tax/document/1?citation=26%20USC%20414&amp;amp;summary=yes" TargetMode="External"/><Relationship Id="rId1" Type="http://schemas.openxmlformats.org/officeDocument/2006/relationships/numbering" Target="numbering.xml"/><Relationship Id="rId6" Type="http://schemas.openxmlformats.org/officeDocument/2006/relationships/image" Target="cid:image001.png@01DAB107.7847F4C0"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bloomberglaw.com/product/tax/document/1?citation=78%20Cong.%20Ch.%20373&amp;amp;summary=yes" TargetMode="External"/><Relationship Id="rId23" Type="http://schemas.openxmlformats.org/officeDocument/2006/relationships/hyperlink" Target="https://www.bloomberglaw.com/product/tax/document/1?citation=26%20USC%20170&amp;amp;summary=yes" TargetMode="External"/><Relationship Id="rId10" Type="http://schemas.openxmlformats.org/officeDocument/2006/relationships/image" Target="media/image4.png"/><Relationship Id="rId19" Type="http://schemas.openxmlformats.org/officeDocument/2006/relationships/hyperlink" Target="https://www.bloomberglaw.com/product/tax/document/1?citation=26%20USC%20414&amp;amp;summary=y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loomberglaw.com/product/tax/document/1?citation=26%20USC%20170&amp;amp;summary=yes" TargetMode="External"/><Relationship Id="rId22" Type="http://schemas.openxmlformats.org/officeDocument/2006/relationships/hyperlink" Target="https://www.bloomberglaw.com/product/tax/document/1?citation=103%20stat%20830&amp;amp;summary=y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786616f-5bb4-45d1-b9c4-7a19bded0f1d}" enabled="1" method="Standard" siteId="{97be21fd-c601-4b16-9920-f5accc69da65}" removed="0"/>
</clbl:labelList>
</file>

<file path=docProps/app.xml><?xml version="1.0" encoding="utf-8"?>
<Properties xmlns="http://schemas.openxmlformats.org/officeDocument/2006/extended-properties" xmlns:vt="http://schemas.openxmlformats.org/officeDocument/2006/docPropsVTypes">
  <Template>Normal.dotm</Template>
  <TotalTime>165</TotalTime>
  <Pages>1</Pages>
  <Words>1843</Words>
  <Characters>10508</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12327</CharactersWithSpaces>
  <SharedDoc>false</SharedDoc>
  <HLinks>
    <vt:vector size="186" baseType="variant">
      <vt:variant>
        <vt:i4>6553726</vt:i4>
      </vt:variant>
      <vt:variant>
        <vt:i4>90</vt:i4>
      </vt:variant>
      <vt:variant>
        <vt:i4>0</vt:i4>
      </vt:variant>
      <vt:variant>
        <vt:i4>5</vt:i4>
      </vt:variant>
      <vt:variant>
        <vt:lpwstr>https://www.bloomberglaw.com/product/tax/document/1?citation=26%20USC%20170&amp;amp;summary=yes</vt:lpwstr>
      </vt:variant>
      <vt:variant>
        <vt:lpwstr>jcite</vt:lpwstr>
      </vt:variant>
      <vt:variant>
        <vt:i4>3604535</vt:i4>
      </vt:variant>
      <vt:variant>
        <vt:i4>87</vt:i4>
      </vt:variant>
      <vt:variant>
        <vt:i4>0</vt:i4>
      </vt:variant>
      <vt:variant>
        <vt:i4>5</vt:i4>
      </vt:variant>
      <vt:variant>
        <vt:lpwstr>https://www.bloomberglaw.com/product/tax/view_menu/related_content_internal_revenue_code/cite_refs?citation=26%20U%2ES%2EC%2E%20%20117(d)(5)&amp;term=26%20U%2ES%2EC%2E%20%20117(d)(5)</vt:lpwstr>
      </vt:variant>
      <vt:variant>
        <vt:lpwstr/>
      </vt:variant>
      <vt:variant>
        <vt:i4>1441856</vt:i4>
      </vt:variant>
      <vt:variant>
        <vt:i4>84</vt:i4>
      </vt:variant>
      <vt:variant>
        <vt:i4>0</vt:i4>
      </vt:variant>
      <vt:variant>
        <vt:i4>5</vt:i4>
      </vt:variant>
      <vt:variant>
        <vt:lpwstr>https://www.bloomberglaw.com/product/tax/document/1?citation=103%20stat%20830&amp;amp;summary=yes</vt:lpwstr>
      </vt:variant>
      <vt:variant>
        <vt:lpwstr>jcite</vt:lpwstr>
      </vt:variant>
      <vt:variant>
        <vt:i4>5111823</vt:i4>
      </vt:variant>
      <vt:variant>
        <vt:i4>81</vt:i4>
      </vt:variant>
      <vt:variant>
        <vt:i4>0</vt:i4>
      </vt:variant>
      <vt:variant>
        <vt:i4>5</vt:i4>
      </vt:variant>
      <vt:variant>
        <vt:lpwstr>https://www.bloomberglaw.com/product/tax/document/1?citation=usacts%20101-140&amp;amp;summary=yes</vt:lpwstr>
      </vt:variant>
      <vt:variant>
        <vt:lpwstr>jcite</vt:lpwstr>
      </vt:variant>
      <vt:variant>
        <vt:i4>3604535</vt:i4>
      </vt:variant>
      <vt:variant>
        <vt:i4>78</vt:i4>
      </vt:variant>
      <vt:variant>
        <vt:i4>0</vt:i4>
      </vt:variant>
      <vt:variant>
        <vt:i4>5</vt:i4>
      </vt:variant>
      <vt:variant>
        <vt:lpwstr>https://www.bloomberglaw.com/product/tax/view_menu/related_content_internal_revenue_code/cite_refs?citation=26%20U%2ES%2EC%2E%20%20117(d)(4)&amp;term=26%20U%2ES%2EC%2E%20%20117(d)(4)</vt:lpwstr>
      </vt:variant>
      <vt:variant>
        <vt:lpwstr/>
      </vt:variant>
      <vt:variant>
        <vt:i4>6422655</vt:i4>
      </vt:variant>
      <vt:variant>
        <vt:i4>75</vt:i4>
      </vt:variant>
      <vt:variant>
        <vt:i4>0</vt:i4>
      </vt:variant>
      <vt:variant>
        <vt:i4>5</vt:i4>
      </vt:variant>
      <vt:variant>
        <vt:lpwstr>https://www.bloomberglaw.com/product/tax/document/1?citation=26%20USC%20414&amp;amp;summary=yes</vt:lpwstr>
      </vt:variant>
      <vt:variant>
        <vt:lpwstr>jcite</vt:lpwstr>
      </vt:variant>
      <vt:variant>
        <vt:i4>6422655</vt:i4>
      </vt:variant>
      <vt:variant>
        <vt:i4>72</vt:i4>
      </vt:variant>
      <vt:variant>
        <vt:i4>0</vt:i4>
      </vt:variant>
      <vt:variant>
        <vt:i4>5</vt:i4>
      </vt:variant>
      <vt:variant>
        <vt:lpwstr>https://www.bloomberglaw.com/product/tax/document/1?citation=26%20USC%20414&amp;amp;summary=yes</vt:lpwstr>
      </vt:variant>
      <vt:variant>
        <vt:lpwstr>jcite</vt:lpwstr>
      </vt:variant>
      <vt:variant>
        <vt:i4>3604535</vt:i4>
      </vt:variant>
      <vt:variant>
        <vt:i4>69</vt:i4>
      </vt:variant>
      <vt:variant>
        <vt:i4>0</vt:i4>
      </vt:variant>
      <vt:variant>
        <vt:i4>5</vt:i4>
      </vt:variant>
      <vt:variant>
        <vt:lpwstr>https://www.bloomberglaw.com/product/tax/view_menu/related_content_internal_revenue_code/cite_refs?citation=26%20U%2ES%2EC%2E%20%20117(d)(3)&amp;term=26%20U%2ES%2EC%2E%20%20117(d)(3)</vt:lpwstr>
      </vt:variant>
      <vt:variant>
        <vt:lpwstr/>
      </vt:variant>
      <vt:variant>
        <vt:i4>6291580</vt:i4>
      </vt:variant>
      <vt:variant>
        <vt:i4>66</vt:i4>
      </vt:variant>
      <vt:variant>
        <vt:i4>0</vt:i4>
      </vt:variant>
      <vt:variant>
        <vt:i4>5</vt:i4>
      </vt:variant>
      <vt:variant>
        <vt:lpwstr>https://www.bloomberglaw.com/product/tax/document/1?citation=26%20USC%20132&amp;amp;summary=yes</vt:lpwstr>
      </vt:variant>
      <vt:variant>
        <vt:lpwstr>jcite</vt:lpwstr>
      </vt:variant>
      <vt:variant>
        <vt:i4>1310740</vt:i4>
      </vt:variant>
      <vt:variant>
        <vt:i4>63</vt:i4>
      </vt:variant>
      <vt:variant>
        <vt:i4>0</vt:i4>
      </vt:variant>
      <vt:variant>
        <vt:i4>5</vt:i4>
      </vt:variant>
      <vt:variant>
        <vt:lpwstr>https://www.bloomberglaw.com/product/tax/view_menu/related_content_internal_revenue_code/cite_refs?citation=26%20U%2ES%2EC%2E%20%20117(d)(2)(B)&amp;term=26%20U%2ES%2EC%2E%20%20117(d)(2)(B)</vt:lpwstr>
      </vt:variant>
      <vt:variant>
        <vt:lpwstr/>
      </vt:variant>
      <vt:variant>
        <vt:i4>1507351</vt:i4>
      </vt:variant>
      <vt:variant>
        <vt:i4>60</vt:i4>
      </vt:variant>
      <vt:variant>
        <vt:i4>0</vt:i4>
      </vt:variant>
      <vt:variant>
        <vt:i4>5</vt:i4>
      </vt:variant>
      <vt:variant>
        <vt:lpwstr>https://www.bloomberglaw.com/product/tax/view_menu/related_content_internal_revenue_code/cite_refs?citation=26%20U%2ES%2EC%2E%20%20117(d)(2)(A)&amp;term=26%20U%2ES%2EC%2E%20%20117(d)(2)(A)</vt:lpwstr>
      </vt:variant>
      <vt:variant>
        <vt:lpwstr/>
      </vt:variant>
      <vt:variant>
        <vt:i4>6553726</vt:i4>
      </vt:variant>
      <vt:variant>
        <vt:i4>57</vt:i4>
      </vt:variant>
      <vt:variant>
        <vt:i4>0</vt:i4>
      </vt:variant>
      <vt:variant>
        <vt:i4>5</vt:i4>
      </vt:variant>
      <vt:variant>
        <vt:lpwstr>https://www.bloomberglaw.com/product/tax/document/1?citation=26%20USC%20170&amp;amp;summary=yes</vt:lpwstr>
      </vt:variant>
      <vt:variant>
        <vt:lpwstr>jcite</vt:lpwstr>
      </vt:variant>
      <vt:variant>
        <vt:i4>6553726</vt:i4>
      </vt:variant>
      <vt:variant>
        <vt:i4>54</vt:i4>
      </vt:variant>
      <vt:variant>
        <vt:i4>0</vt:i4>
      </vt:variant>
      <vt:variant>
        <vt:i4>5</vt:i4>
      </vt:variant>
      <vt:variant>
        <vt:lpwstr>https://www.bloomberglaw.com/product/tax/document/1?citation=26%20USC%20170&amp;amp;summary=yes</vt:lpwstr>
      </vt:variant>
      <vt:variant>
        <vt:lpwstr>jcite</vt:lpwstr>
      </vt:variant>
      <vt:variant>
        <vt:i4>3604535</vt:i4>
      </vt:variant>
      <vt:variant>
        <vt:i4>51</vt:i4>
      </vt:variant>
      <vt:variant>
        <vt:i4>0</vt:i4>
      </vt:variant>
      <vt:variant>
        <vt:i4>5</vt:i4>
      </vt:variant>
      <vt:variant>
        <vt:lpwstr>https://www.bloomberglaw.com/product/tax/view_menu/related_content_internal_revenue_code/cite_refs?citation=26%20U%2ES%2EC%2E%20%20117(d)(2)&amp;term=26%20U%2ES%2EC%2E%20%20117(d)(2)</vt:lpwstr>
      </vt:variant>
      <vt:variant>
        <vt:lpwstr/>
      </vt:variant>
      <vt:variant>
        <vt:i4>3604535</vt:i4>
      </vt:variant>
      <vt:variant>
        <vt:i4>48</vt:i4>
      </vt:variant>
      <vt:variant>
        <vt:i4>0</vt:i4>
      </vt:variant>
      <vt:variant>
        <vt:i4>5</vt:i4>
      </vt:variant>
      <vt:variant>
        <vt:lpwstr>https://www.bloomberglaw.com/product/tax/view_menu/related_content_internal_revenue_code/cite_refs?citation=26%20U%2ES%2EC%2E%20%20117(d)(1)&amp;term=26%20U%2ES%2EC%2E%20%20117(d)(1)</vt:lpwstr>
      </vt:variant>
      <vt:variant>
        <vt:lpwstr/>
      </vt:variant>
      <vt:variant>
        <vt:i4>4456516</vt:i4>
      </vt:variant>
      <vt:variant>
        <vt:i4>45</vt:i4>
      </vt:variant>
      <vt:variant>
        <vt:i4>0</vt:i4>
      </vt:variant>
      <vt:variant>
        <vt:i4>5</vt:i4>
      </vt:variant>
      <vt:variant>
        <vt:lpwstr>https://www.bloomberglaw.com/product/tax/view_menu/related_content_internal_revenue_code/cite_refs?citation=26%20U%2ES%2EC%2E%20%20117(d)&amp;term=26%20U%2ES%2EC%2E%20%20117(d)</vt:lpwstr>
      </vt:variant>
      <vt:variant>
        <vt:lpwstr/>
      </vt:variant>
      <vt:variant>
        <vt:i4>1245203</vt:i4>
      </vt:variant>
      <vt:variant>
        <vt:i4>42</vt:i4>
      </vt:variant>
      <vt:variant>
        <vt:i4>0</vt:i4>
      </vt:variant>
      <vt:variant>
        <vt:i4>5</vt:i4>
      </vt:variant>
      <vt:variant>
        <vt:lpwstr>https://www.bloomberglaw.com/product/tax/view_menu/related_content_internal_revenue_code/cite_refs?citation=26%20U%2ES%2EC%2E%20%20117(c)(2)(B)&amp;term=26%20U%2ES%2EC%2E%20%20117(c)(2)(B)</vt:lpwstr>
      </vt:variant>
      <vt:variant>
        <vt:lpwstr/>
      </vt:variant>
      <vt:variant>
        <vt:i4>6750267</vt:i4>
      </vt:variant>
      <vt:variant>
        <vt:i4>39</vt:i4>
      </vt:variant>
      <vt:variant>
        <vt:i4>0</vt:i4>
      </vt:variant>
      <vt:variant>
        <vt:i4>5</vt:i4>
      </vt:variant>
      <vt:variant>
        <vt:lpwstr>https://www.bloomberglaw.com/product/tax/document/1?citation=78%20Cong.%20Ch.%20373&amp;amp;summary=yes</vt:lpwstr>
      </vt:variant>
      <vt:variant>
        <vt:lpwstr>jcite</vt:lpwstr>
      </vt:variant>
      <vt:variant>
        <vt:i4>1048592</vt:i4>
      </vt:variant>
      <vt:variant>
        <vt:i4>36</vt:i4>
      </vt:variant>
      <vt:variant>
        <vt:i4>0</vt:i4>
      </vt:variant>
      <vt:variant>
        <vt:i4>5</vt:i4>
      </vt:variant>
      <vt:variant>
        <vt:lpwstr>https://www.bloomberglaw.com/product/tax/view_menu/related_content_internal_revenue_code/cite_refs?citation=26%20U%2ES%2EC%2E%20%20117(c)(2)(A)&amp;term=26%20U%2ES%2EC%2E%20%20117(c)(2)(A)</vt:lpwstr>
      </vt:variant>
      <vt:variant>
        <vt:lpwstr/>
      </vt:variant>
      <vt:variant>
        <vt:i4>3604535</vt:i4>
      </vt:variant>
      <vt:variant>
        <vt:i4>33</vt:i4>
      </vt:variant>
      <vt:variant>
        <vt:i4>0</vt:i4>
      </vt:variant>
      <vt:variant>
        <vt:i4>5</vt:i4>
      </vt:variant>
      <vt:variant>
        <vt:lpwstr>https://www.bloomberglaw.com/product/tax/view_menu/related_content_internal_revenue_code/cite_refs?citation=26%20U%2ES%2EC%2E%20%20117(c)(2)&amp;term=26%20U%2ES%2EC%2E%20%20117(c)(2)</vt:lpwstr>
      </vt:variant>
      <vt:variant>
        <vt:lpwstr/>
      </vt:variant>
      <vt:variant>
        <vt:i4>3604535</vt:i4>
      </vt:variant>
      <vt:variant>
        <vt:i4>30</vt:i4>
      </vt:variant>
      <vt:variant>
        <vt:i4>0</vt:i4>
      </vt:variant>
      <vt:variant>
        <vt:i4>5</vt:i4>
      </vt:variant>
      <vt:variant>
        <vt:lpwstr>https://www.bloomberglaw.com/product/tax/view_menu/related_content_internal_revenue_code/cite_refs?citation=26%20U%2ES%2EC%2E%20%20117(c)(1)&amp;term=26%20U%2ES%2EC%2E%20%20117(c)(1)</vt:lpwstr>
      </vt:variant>
      <vt:variant>
        <vt:lpwstr/>
      </vt:variant>
      <vt:variant>
        <vt:i4>4390979</vt:i4>
      </vt:variant>
      <vt:variant>
        <vt:i4>27</vt:i4>
      </vt:variant>
      <vt:variant>
        <vt:i4>0</vt:i4>
      </vt:variant>
      <vt:variant>
        <vt:i4>5</vt:i4>
      </vt:variant>
      <vt:variant>
        <vt:lpwstr>https://www.bloomberglaw.com/product/tax/view_menu/related_content_internal_revenue_code/cite_refs?citation=26%20U%2ES%2EC%2E%20%20117(c)&amp;term=26%20U%2ES%2EC%2E%20%20117(c)</vt:lpwstr>
      </vt:variant>
      <vt:variant>
        <vt:lpwstr/>
      </vt:variant>
      <vt:variant>
        <vt:i4>1179666</vt:i4>
      </vt:variant>
      <vt:variant>
        <vt:i4>24</vt:i4>
      </vt:variant>
      <vt:variant>
        <vt:i4>0</vt:i4>
      </vt:variant>
      <vt:variant>
        <vt:i4>5</vt:i4>
      </vt:variant>
      <vt:variant>
        <vt:lpwstr>https://www.bloomberglaw.com/product/tax/view_menu/related_content_internal_revenue_code/cite_refs?citation=26%20U%2ES%2EC%2E%20%20117(b)(2)(B)&amp;term=26%20U%2ES%2EC%2E%20%20117(b)(2)(B)</vt:lpwstr>
      </vt:variant>
      <vt:variant>
        <vt:lpwstr/>
      </vt:variant>
      <vt:variant>
        <vt:i4>6553726</vt:i4>
      </vt:variant>
      <vt:variant>
        <vt:i4>21</vt:i4>
      </vt:variant>
      <vt:variant>
        <vt:i4>0</vt:i4>
      </vt:variant>
      <vt:variant>
        <vt:i4>5</vt:i4>
      </vt:variant>
      <vt:variant>
        <vt:lpwstr>https://www.bloomberglaw.com/product/tax/document/1?citation=26%20USC%20170&amp;amp;summary=yes</vt:lpwstr>
      </vt:variant>
      <vt:variant>
        <vt:lpwstr>jcite</vt:lpwstr>
      </vt:variant>
      <vt:variant>
        <vt:i4>1114129</vt:i4>
      </vt:variant>
      <vt:variant>
        <vt:i4>18</vt:i4>
      </vt:variant>
      <vt:variant>
        <vt:i4>0</vt:i4>
      </vt:variant>
      <vt:variant>
        <vt:i4>5</vt:i4>
      </vt:variant>
      <vt:variant>
        <vt:lpwstr>https://www.bloomberglaw.com/product/tax/view_menu/related_content_internal_revenue_code/cite_refs?citation=26%20U%2ES%2EC%2E%20%20117(b)(2)(A)&amp;term=26%20U%2ES%2EC%2E%20%20117(b)(2)(A)</vt:lpwstr>
      </vt:variant>
      <vt:variant>
        <vt:lpwstr/>
      </vt:variant>
      <vt:variant>
        <vt:i4>3604535</vt:i4>
      </vt:variant>
      <vt:variant>
        <vt:i4>15</vt:i4>
      </vt:variant>
      <vt:variant>
        <vt:i4>0</vt:i4>
      </vt:variant>
      <vt:variant>
        <vt:i4>5</vt:i4>
      </vt:variant>
      <vt:variant>
        <vt:lpwstr>https://www.bloomberglaw.com/product/tax/view_menu/related_content_internal_revenue_code/cite_refs?citation=26%20U%2ES%2EC%2E%20%20117(b)(2)&amp;term=26%20U%2ES%2EC%2E%20%20117(b)(2)</vt:lpwstr>
      </vt:variant>
      <vt:variant>
        <vt:lpwstr/>
      </vt:variant>
      <vt:variant>
        <vt:i4>3604535</vt:i4>
      </vt:variant>
      <vt:variant>
        <vt:i4>12</vt:i4>
      </vt:variant>
      <vt:variant>
        <vt:i4>0</vt:i4>
      </vt:variant>
      <vt:variant>
        <vt:i4>5</vt:i4>
      </vt:variant>
      <vt:variant>
        <vt:lpwstr>https://www.bloomberglaw.com/product/tax/view_menu/related_content_internal_revenue_code/cite_refs?citation=26%20U%2ES%2EC%2E%20%20117(b)(1)&amp;term=26%20U%2ES%2EC%2E%20%20117(b)(1)</vt:lpwstr>
      </vt:variant>
      <vt:variant>
        <vt:lpwstr/>
      </vt:variant>
      <vt:variant>
        <vt:i4>4325442</vt:i4>
      </vt:variant>
      <vt:variant>
        <vt:i4>9</vt:i4>
      </vt:variant>
      <vt:variant>
        <vt:i4>0</vt:i4>
      </vt:variant>
      <vt:variant>
        <vt:i4>5</vt:i4>
      </vt:variant>
      <vt:variant>
        <vt:lpwstr>https://www.bloomberglaw.com/product/tax/view_menu/related_content_internal_revenue_code/cite_refs?citation=26%20U%2ES%2EC%2E%20%20117(b)&amp;term=26%20U%2ES%2EC%2E%20%20117(b)</vt:lpwstr>
      </vt:variant>
      <vt:variant>
        <vt:lpwstr/>
      </vt:variant>
      <vt:variant>
        <vt:i4>6553726</vt:i4>
      </vt:variant>
      <vt:variant>
        <vt:i4>6</vt:i4>
      </vt:variant>
      <vt:variant>
        <vt:i4>0</vt:i4>
      </vt:variant>
      <vt:variant>
        <vt:i4>5</vt:i4>
      </vt:variant>
      <vt:variant>
        <vt:lpwstr>https://www.bloomberglaw.com/product/tax/document/1?citation=26%20USC%20170&amp;amp;summary=yes</vt:lpwstr>
      </vt:variant>
      <vt:variant>
        <vt:lpwstr>jcite</vt:lpwstr>
      </vt:variant>
      <vt:variant>
        <vt:i4>4259905</vt:i4>
      </vt:variant>
      <vt:variant>
        <vt:i4>3</vt:i4>
      </vt:variant>
      <vt:variant>
        <vt:i4>0</vt:i4>
      </vt:variant>
      <vt:variant>
        <vt:i4>5</vt:i4>
      </vt:variant>
      <vt:variant>
        <vt:lpwstr>https://www.bloomberglaw.com/product/tax/view_menu/related_content_internal_revenue_code/cite_refs?citation=26%20U%2ES%2EC%2E%20%20117(a)&amp;term=26%20U%2ES%2EC%2E%20%20117(a)</vt:lpwstr>
      </vt:variant>
      <vt:variant>
        <vt:lpwstr/>
      </vt:variant>
      <vt:variant>
        <vt:i4>8126484</vt:i4>
      </vt:variant>
      <vt:variant>
        <vt:i4>0</vt:i4>
      </vt:variant>
      <vt:variant>
        <vt:i4>0</vt:i4>
      </vt:variant>
      <vt:variant>
        <vt:i4>5</vt:i4>
      </vt:variant>
      <vt:variant>
        <vt:lpwstr>https://www.bloomberglaw.com/product/tax/page/page_federal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Ricky</dc:creator>
  <cp:keywords/>
  <dc:description/>
  <cp:lastModifiedBy>Cruz, Ricky</cp:lastModifiedBy>
  <cp:revision>62</cp:revision>
  <dcterms:created xsi:type="dcterms:W3CDTF">2024-07-17T04:31:00Z</dcterms:created>
  <dcterms:modified xsi:type="dcterms:W3CDTF">2024-07-24T20:28:00Z</dcterms:modified>
</cp:coreProperties>
</file>