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59B96" w14:textId="443778EB" w:rsidR="00311404" w:rsidRPr="001C359C" w:rsidRDefault="00311404" w:rsidP="005B7689">
      <w:pPr>
        <w:pStyle w:val="level1"/>
        <w:spacing w:before="0" w:beforeAutospacing="0" w:after="0" w:afterAutospacing="0"/>
        <w:rPr>
          <w:rFonts w:ascii="Avenir Next P for BBG" w:hAnsi="Avenir Next P for BBG" w:cstheme="minorBidi"/>
          <w:color w:val="333333"/>
          <w:sz w:val="22"/>
          <w:szCs w:val="22"/>
        </w:rPr>
      </w:pPr>
      <w:r w:rsidRPr="089BDE62">
        <w:rPr>
          <w:rFonts w:ascii="Avenir Next P for BBG" w:eastAsiaTheme="majorEastAsia" w:hAnsi="Avenir Next P for BBG" w:cstheme="minorBidi"/>
          <w:b/>
          <w:sz w:val="22"/>
          <w:szCs w:val="22"/>
        </w:rPr>
        <w:t>SEC.</w:t>
      </w:r>
      <w:r>
        <w:rPr>
          <w:rFonts w:ascii="Avenir Next P for BBG" w:eastAsiaTheme="majorEastAsia" w:hAnsi="Avenir Next P for BBG" w:cstheme="minorBidi"/>
          <w:b/>
          <w:sz w:val="22"/>
          <w:szCs w:val="22"/>
        </w:rPr>
        <w:t xml:space="preserve"> 45Q</w:t>
      </w:r>
      <w:r w:rsidRPr="00CE5C16">
        <w:rPr>
          <w:rFonts w:ascii="Avenir Next P for BBG" w:eastAsiaTheme="majorEastAsia" w:hAnsi="Avenir Next P for BBG" w:cstheme="minorBidi"/>
          <w:b/>
          <w:bCs/>
          <w:sz w:val="22"/>
          <w:szCs w:val="22"/>
        </w:rPr>
        <w:t>.</w:t>
      </w:r>
      <w:r>
        <w:rPr>
          <w:rFonts w:ascii="Avenir Next P for BBG" w:eastAsiaTheme="majorEastAsia" w:hAnsi="Avenir Next P for BBG" w:cstheme="minorBidi"/>
          <w:b/>
          <w:sz w:val="22"/>
          <w:szCs w:val="22"/>
        </w:rPr>
        <w:t xml:space="preserve"> </w:t>
      </w:r>
      <w:r w:rsidRPr="00CE5C16">
        <w:rPr>
          <w:rFonts w:ascii="Avenir Next P for BBG" w:eastAsiaTheme="majorEastAsia" w:hAnsi="Avenir Next P for BBG" w:cstheme="minorBidi"/>
          <w:b/>
          <w:sz w:val="22"/>
          <w:szCs w:val="22"/>
        </w:rPr>
        <w:t>CREDIT</w:t>
      </w:r>
      <w:r>
        <w:rPr>
          <w:rFonts w:ascii="Avenir Next P for BBG" w:eastAsiaTheme="majorEastAsia" w:hAnsi="Avenir Next P for BBG" w:cstheme="minorBidi"/>
          <w:b/>
          <w:sz w:val="22"/>
          <w:szCs w:val="22"/>
        </w:rPr>
        <w:t xml:space="preserve"> </w:t>
      </w:r>
      <w:r w:rsidRPr="00CE5C16">
        <w:rPr>
          <w:rFonts w:ascii="Avenir Next P for BBG" w:eastAsiaTheme="majorEastAsia" w:hAnsi="Avenir Next P for BBG" w:cstheme="minorBidi"/>
          <w:b/>
          <w:sz w:val="22"/>
          <w:szCs w:val="22"/>
        </w:rPr>
        <w:t>FOR</w:t>
      </w:r>
      <w:r>
        <w:rPr>
          <w:rFonts w:ascii="Avenir Next P for BBG" w:eastAsiaTheme="majorEastAsia" w:hAnsi="Avenir Next P for BBG" w:cstheme="minorBidi"/>
          <w:b/>
          <w:sz w:val="22"/>
          <w:szCs w:val="22"/>
        </w:rPr>
        <w:t xml:space="preserve"> </w:t>
      </w:r>
      <w:r w:rsidRPr="00CE5C16">
        <w:rPr>
          <w:rFonts w:ascii="Avenir Next P for BBG" w:eastAsiaTheme="majorEastAsia" w:hAnsi="Avenir Next P for BBG" w:cstheme="minorBidi"/>
          <w:b/>
          <w:sz w:val="22"/>
          <w:szCs w:val="22"/>
        </w:rPr>
        <w:t>CARBON</w:t>
      </w:r>
      <w:r>
        <w:rPr>
          <w:rFonts w:ascii="Avenir Next P for BBG" w:eastAsiaTheme="majorEastAsia" w:hAnsi="Avenir Next P for BBG" w:cstheme="minorBidi"/>
          <w:b/>
          <w:sz w:val="22"/>
          <w:szCs w:val="22"/>
        </w:rPr>
        <w:t xml:space="preserve"> </w:t>
      </w:r>
      <w:r w:rsidRPr="00CE5C16">
        <w:rPr>
          <w:rFonts w:ascii="Avenir Next P for BBG" w:eastAsiaTheme="majorEastAsia" w:hAnsi="Avenir Next P for BBG" w:cstheme="minorBidi"/>
          <w:b/>
          <w:sz w:val="22"/>
          <w:szCs w:val="22"/>
        </w:rPr>
        <w:t>OXIDE</w:t>
      </w:r>
      <w:r>
        <w:rPr>
          <w:rFonts w:ascii="Avenir Next P for BBG" w:eastAsiaTheme="majorEastAsia" w:hAnsi="Avenir Next P for BBG" w:cstheme="minorBidi"/>
          <w:b/>
          <w:sz w:val="22"/>
          <w:szCs w:val="22"/>
        </w:rPr>
        <w:t xml:space="preserve"> </w:t>
      </w:r>
      <w:r w:rsidRPr="00CE5C16">
        <w:rPr>
          <w:rFonts w:ascii="Avenir Next P for BBG" w:eastAsiaTheme="majorEastAsia" w:hAnsi="Avenir Next P for BBG" w:cstheme="minorBidi"/>
          <w:b/>
          <w:sz w:val="22"/>
          <w:szCs w:val="22"/>
        </w:rPr>
        <w:t>SEQUESTRATION.</w:t>
      </w:r>
      <w:r>
        <w:rPr>
          <w:rFonts w:ascii="Avenir Next P for BBG" w:eastAsiaTheme="majorEastAsia" w:hAnsi="Avenir Next P for BBG" w:cstheme="minorBidi"/>
          <w:b/>
          <w:sz w:val="22"/>
          <w:szCs w:val="22"/>
        </w:rPr>
        <w:t xml:space="preserve"> </w:t>
      </w:r>
      <w:r w:rsidRPr="00CE5C16">
        <w:rPr>
          <w:rFonts w:eastAsiaTheme="majorEastAsia"/>
        </w:rPr>
        <w:br/>
      </w:r>
      <w:r w:rsidRPr="089BDE62">
        <w:rPr>
          <w:rFonts w:ascii="Avenir Next P for BBG" w:eastAsiaTheme="majorEastAsia" w:hAnsi="Avenir Next P for BBG" w:cstheme="minorBidi"/>
          <w:b/>
          <w:color w:val="333333"/>
          <w:sz w:val="22"/>
          <w:szCs w:val="22"/>
        </w:rPr>
        <w:t>(P.L.</w:t>
      </w:r>
      <w:r>
        <w:rPr>
          <w:rFonts w:ascii="Avenir Next P for BBG" w:eastAsiaTheme="majorEastAsia" w:hAnsi="Avenir Next P for BBG" w:cstheme="minorBidi"/>
          <w:b/>
          <w:color w:val="333333"/>
          <w:sz w:val="22"/>
          <w:szCs w:val="22"/>
        </w:rPr>
        <w:t xml:space="preserve"> </w:t>
      </w:r>
      <w:r w:rsidRPr="089BDE62">
        <w:rPr>
          <w:rFonts w:ascii="Avenir Next P for BBG" w:eastAsiaTheme="majorEastAsia" w:hAnsi="Avenir Next P for BBG" w:cstheme="minorBidi"/>
          <w:b/>
          <w:color w:val="333333"/>
          <w:sz w:val="22"/>
          <w:szCs w:val="22"/>
        </w:rPr>
        <w:t>117-58)</w:t>
      </w:r>
    </w:p>
    <w:p w14:paraId="3BCE86A2" w14:textId="2B8673A6" w:rsidR="00311404" w:rsidRPr="001C359C" w:rsidRDefault="00311404" w:rsidP="00B57EC9">
      <w:pPr>
        <w:pStyle w:val="level1"/>
        <w:tabs>
          <w:tab w:val="left" w:pos="1740"/>
        </w:tabs>
        <w:spacing w:before="0" w:beforeAutospacing="0" w:after="0" w:afterAutospacing="0"/>
        <w:rPr>
          <w:rFonts w:ascii="Avenir Next P for BBG" w:hAnsi="Avenir Next P for BBG" w:cstheme="minorHAnsi"/>
          <w:color w:val="FFFFFF" w:themeColor="background1"/>
          <w:sz w:val="22"/>
          <w:szCs w:val="22"/>
        </w:rPr>
      </w:pPr>
      <w:r w:rsidRPr="001C359C">
        <w:rPr>
          <w:rFonts w:ascii="Avenir Next P for BBG" w:eastAsiaTheme="majorEastAsia" w:hAnsi="Avenir Next P for BBG" w:cstheme="minorHAnsi"/>
          <w:b/>
          <w:bCs/>
          <w:color w:val="FFFFFF" w:themeColor="background1"/>
          <w:sz w:val="22"/>
          <w:szCs w:val="22"/>
        </w:rPr>
        <w:t>PRIOR</w:t>
      </w:r>
      <w:r>
        <w:rPr>
          <w:rFonts w:ascii="Avenir Next P for BBG" w:eastAsiaTheme="majorEastAsia" w:hAnsi="Avenir Next P for BBG" w:cstheme="minorHAnsi"/>
          <w:b/>
          <w:bCs/>
          <w:color w:val="FFFFFF" w:themeColor="background1"/>
          <w:sz w:val="22"/>
          <w:szCs w:val="22"/>
        </w:rPr>
        <w:t xml:space="preserve"> </w:t>
      </w:r>
      <w:r w:rsidRPr="001C359C">
        <w:rPr>
          <w:rFonts w:ascii="Avenir Next P for BBG" w:eastAsiaTheme="majorEastAsia" w:hAnsi="Avenir Next P for BBG" w:cstheme="minorHAnsi"/>
          <w:b/>
          <w:bCs/>
          <w:color w:val="FFFFFF" w:themeColor="background1"/>
          <w:sz w:val="22"/>
          <w:szCs w:val="22"/>
        </w:rPr>
        <w:t>LAW</w:t>
      </w:r>
    </w:p>
    <w:p w14:paraId="7D0FD714" w14:textId="61FA06D8" w:rsidR="00311404" w:rsidRPr="006F5909" w:rsidRDefault="00311404" w:rsidP="00446445">
      <w:pPr>
        <w:spacing w:after="120"/>
        <w:rPr>
          <w:rFonts w:ascii="Avenir Next P for BBG" w:hAnsi="Avenir Next P for BBG" w:cstheme="minorHAnsi"/>
          <w:noProof/>
          <w:color w:val="000000"/>
          <w:sz w:val="20"/>
          <w:szCs w:val="20"/>
        </w:rPr>
      </w:pPr>
      <w:r w:rsidRPr="006F5909">
        <w:rPr>
          <w:rFonts w:ascii="Avenir Next P for BBG" w:eastAsiaTheme="majorEastAsia" w:hAnsi="Avenir Next P for BBG"/>
          <w:b/>
          <w:sz w:val="20"/>
          <w:szCs w:val="20"/>
        </w:rPr>
        <w:t>SEC.</w:t>
      </w:r>
      <w:r>
        <w:rPr>
          <w:rFonts w:ascii="Avenir Next P for BBG" w:eastAsiaTheme="majorEastAsia" w:hAnsi="Avenir Next P for BBG"/>
          <w:b/>
          <w:sz w:val="20"/>
          <w:szCs w:val="20"/>
        </w:rPr>
        <w:t xml:space="preserve"> </w:t>
      </w:r>
      <w:r w:rsidRPr="006F5909">
        <w:rPr>
          <w:rFonts w:ascii="Avenir Next P for BBG" w:eastAsiaTheme="majorEastAsia" w:hAnsi="Avenir Next P for BBG"/>
          <w:b/>
          <w:sz w:val="20"/>
          <w:szCs w:val="20"/>
        </w:rPr>
        <w:t>45Q</w:t>
      </w:r>
      <w:r w:rsidRPr="006F5909">
        <w:rPr>
          <w:rFonts w:ascii="Avenir Next P for BBG" w:eastAsiaTheme="majorEastAsia" w:hAnsi="Avenir Next P for BBG"/>
          <w:b/>
          <w:bCs/>
          <w:sz w:val="20"/>
          <w:szCs w:val="20"/>
        </w:rPr>
        <w:t>.</w:t>
      </w:r>
      <w:r>
        <w:rPr>
          <w:rFonts w:ascii="Avenir Next P for BBG" w:eastAsiaTheme="majorEastAsia" w:hAnsi="Avenir Next P for BBG"/>
          <w:b/>
          <w:sz w:val="20"/>
          <w:szCs w:val="20"/>
        </w:rPr>
        <w:t xml:space="preserve"> </w:t>
      </w:r>
      <w:r w:rsidRPr="006F5909">
        <w:rPr>
          <w:rFonts w:ascii="Avenir Next P for BBG" w:eastAsiaTheme="majorEastAsia" w:hAnsi="Avenir Next P for BBG"/>
          <w:b/>
          <w:sz w:val="20"/>
          <w:szCs w:val="20"/>
        </w:rPr>
        <w:t>CREDIT</w:t>
      </w:r>
      <w:r>
        <w:rPr>
          <w:rFonts w:ascii="Avenir Next P for BBG" w:eastAsiaTheme="majorEastAsia" w:hAnsi="Avenir Next P for BBG"/>
          <w:b/>
          <w:sz w:val="20"/>
          <w:szCs w:val="20"/>
        </w:rPr>
        <w:t xml:space="preserve"> </w:t>
      </w:r>
      <w:r w:rsidRPr="006F5909">
        <w:rPr>
          <w:rFonts w:ascii="Avenir Next P for BBG" w:eastAsiaTheme="majorEastAsia" w:hAnsi="Avenir Next P for BBG"/>
          <w:b/>
          <w:sz w:val="20"/>
          <w:szCs w:val="20"/>
        </w:rPr>
        <w:t>FOR</w:t>
      </w:r>
      <w:r>
        <w:rPr>
          <w:rFonts w:ascii="Avenir Next P for BBG" w:eastAsiaTheme="majorEastAsia" w:hAnsi="Avenir Next P for BBG"/>
          <w:b/>
          <w:sz w:val="20"/>
          <w:szCs w:val="20"/>
        </w:rPr>
        <w:t xml:space="preserve"> </w:t>
      </w:r>
      <w:r w:rsidRPr="006F5909">
        <w:rPr>
          <w:rFonts w:ascii="Avenir Next P for BBG" w:eastAsiaTheme="majorEastAsia" w:hAnsi="Avenir Next P for BBG"/>
          <w:b/>
          <w:sz w:val="20"/>
          <w:szCs w:val="20"/>
        </w:rPr>
        <w:t>CARBON</w:t>
      </w:r>
      <w:r>
        <w:rPr>
          <w:rFonts w:ascii="Avenir Next P for BBG" w:eastAsiaTheme="majorEastAsia" w:hAnsi="Avenir Next P for BBG"/>
          <w:b/>
          <w:sz w:val="20"/>
          <w:szCs w:val="20"/>
        </w:rPr>
        <w:t xml:space="preserve"> </w:t>
      </w:r>
      <w:r w:rsidRPr="006F5909">
        <w:rPr>
          <w:rFonts w:ascii="Avenir Next P for BBG" w:eastAsiaTheme="majorEastAsia" w:hAnsi="Avenir Next P for BBG"/>
          <w:b/>
          <w:sz w:val="20"/>
          <w:szCs w:val="20"/>
        </w:rPr>
        <w:t>OXIDE</w:t>
      </w:r>
      <w:r>
        <w:rPr>
          <w:rFonts w:ascii="Avenir Next P for BBG" w:eastAsiaTheme="majorEastAsia" w:hAnsi="Avenir Next P for BBG"/>
          <w:b/>
          <w:sz w:val="20"/>
          <w:szCs w:val="20"/>
        </w:rPr>
        <w:t xml:space="preserve"> </w:t>
      </w:r>
      <w:r w:rsidRPr="006F5909">
        <w:rPr>
          <w:rFonts w:ascii="Avenir Next P for BBG" w:eastAsiaTheme="majorEastAsia" w:hAnsi="Avenir Next P for BBG"/>
          <w:b/>
          <w:sz w:val="20"/>
          <w:szCs w:val="20"/>
        </w:rPr>
        <w:t>SEQUESTRATION.</w:t>
      </w:r>
      <w:r>
        <w:rPr>
          <w:rFonts w:ascii="Avenir Next P for BBG" w:eastAsiaTheme="majorEastAsia" w:hAnsi="Avenir Next P for BBG"/>
          <w:b/>
          <w:sz w:val="20"/>
          <w:szCs w:val="20"/>
        </w:rPr>
        <w:t xml:space="preserve"> </w:t>
      </w:r>
    </w:p>
    <w:p w14:paraId="63BB1F7C" w14:textId="2F530DBF" w:rsidR="00311404" w:rsidRPr="00446445" w:rsidRDefault="00311404" w:rsidP="44E318AC">
      <w:pPr>
        <w:shd w:val="clear" w:color="auto" w:fill="FFFFFF" w:themeFill="background1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0" w:name="section(a)_0"/>
      <w:r w:rsidRPr="44E318AC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(a)</w:t>
      </w:r>
      <w:bookmarkEnd w:id="0"/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General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rule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38,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oxide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sequestration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credit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taxable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year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equal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sum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--</w:t>
      </w:r>
    </w:p>
    <w:p w14:paraId="1CB3D6C1" w14:textId="18502FF9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1" w:name="section(a)(a)(1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(1</w:t>
      </w:r>
      <w:bookmarkEnd w:id="1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$20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metric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oxide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is--</w:t>
      </w:r>
    </w:p>
    <w:p w14:paraId="3A426382" w14:textId="060FCBBC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2" w:name="section(a)(a)(1)(a)(1)(A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</w:t>
      </w:r>
      <w:bookmarkEnd w:id="2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captured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taxpayer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using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capture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equipment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originally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placed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service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before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enactment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Bipartisan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Budget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2018,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1FF05150" w14:textId="5F461BAE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3" w:name="section(a)(a)(1)(a)(1)(B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</w:t>
      </w:r>
      <w:bookmarkEnd w:id="3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disposed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taxpayer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secure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geological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storage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used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taxpayer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(2)(B),</w:t>
      </w:r>
    </w:p>
    <w:p w14:paraId="616C30CB" w14:textId="5147B8C6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4" w:name="section(a)(a)(2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(2</w:t>
      </w:r>
      <w:bookmarkEnd w:id="4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$10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metric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oxide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is--</w:t>
      </w:r>
    </w:p>
    <w:p w14:paraId="0E98C792" w14:textId="7F990F20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5" w:name="section(a)(a)(2)(a)(2)(A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</w:t>
      </w:r>
      <w:bookmarkEnd w:id="5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captured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taxpayer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using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capture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equipment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originally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placed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service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before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enactment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Bipartisan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Budget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2018,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and,</w:t>
      </w:r>
    </w:p>
    <w:p w14:paraId="162CEE21" w14:textId="4DCD50C8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6" w:name="section(a)(a)(2)(a)(2)(B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</w:t>
      </w:r>
      <w:bookmarkEnd w:id="6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bookmarkStart w:id="7" w:name="(a)(2)(B)(i)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</w:t>
      </w:r>
      <w:proofErr w:type="spellStart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i</w:t>
      </w:r>
      <w:proofErr w:type="spellEnd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bookmarkEnd w:id="7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used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taxpayer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tertiary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injectant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enhanced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oil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natural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gas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recovery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disposed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taxpayer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secure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geological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storage,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</w:t>
      </w:r>
    </w:p>
    <w:p w14:paraId="54B82368" w14:textId="7D7CD699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8" w:name="section(a)(a)(2)(a)(2)(B)(a)(2)(B)(ii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</w:t>
      </w:r>
      <w:bookmarkEnd w:id="8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utilized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taxpayer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manner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(f)(5),</w:t>
      </w:r>
    </w:p>
    <w:p w14:paraId="37332832" w14:textId="68B30A7E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9" w:name="section(a)(a)(3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(3</w:t>
      </w:r>
      <w:bookmarkEnd w:id="9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applicable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dollar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(as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determined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(b)(1))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metric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oxide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is—</w:t>
      </w:r>
    </w:p>
    <w:p w14:paraId="4099D0B8" w14:textId="328A3FB0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10" w:name="section(a)(a)(3)(a)(3)(A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</w:t>
      </w:r>
      <w:bookmarkEnd w:id="1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captured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taxpayer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using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capture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equipment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originally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placed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service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after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enactment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Bipartisan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Budget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2018,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during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12-year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period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beginning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equipment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was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originally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placed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service,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67E8F26A" w14:textId="5331B3F0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11" w:name="section(a)(a)(3)(a)(3)(B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</w:t>
      </w:r>
      <w:bookmarkEnd w:id="11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disposed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taxpayer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secure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geological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storage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used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taxpayer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(4)(B),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6EA8C8F6" w14:textId="1DE340AE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12" w:name="section(a)(a)(4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(4</w:t>
      </w:r>
      <w:bookmarkEnd w:id="12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applicable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dollar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(as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determined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(b)(1))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metric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oxide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is—</w:t>
      </w:r>
    </w:p>
    <w:p w14:paraId="5C327A41" w14:textId="48D04E03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13" w:name="section(a)(a)(4)(a)(4)(A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</w:t>
      </w:r>
      <w:bookmarkEnd w:id="13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captured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taxpayer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using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capture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equipment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originally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placed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service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after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enactment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Bipartisan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Budget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2018,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during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12-year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period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beginning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equipment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was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originally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placed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service,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1788F73E" w14:textId="6D828EB7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14" w:name="section(a)(a)(4)(a)(4)(B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</w:t>
      </w:r>
      <w:bookmarkEnd w:id="14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bookmarkStart w:id="15" w:name="section(a)(a)(4)(a)(4)(B)(a)(4)(B)(i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</w:t>
      </w:r>
      <w:proofErr w:type="spellStart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i</w:t>
      </w:r>
      <w:bookmarkEnd w:id="15"/>
      <w:proofErr w:type="spellEnd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used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taxpayer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tertiary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injectant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enhanced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oil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natural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gas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recovery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disposed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taxpayer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secure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geological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storage,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</w:t>
      </w:r>
    </w:p>
    <w:p w14:paraId="7C81C103" w14:textId="7263F624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16" w:name="section(a)(a)(4)(a)(4)(B)(a)(4)(B)(ii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</w:t>
      </w:r>
      <w:bookmarkEnd w:id="16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utilized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taxpayer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manner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(f)(5),</w:t>
      </w:r>
    </w:p>
    <w:p w14:paraId="18D698D6" w14:textId="16834A27" w:rsidR="00311404" w:rsidRPr="00446445" w:rsidRDefault="00311404" w:rsidP="44E318AC">
      <w:pPr>
        <w:shd w:val="clear" w:color="auto" w:fill="FFFFFF" w:themeFill="background1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17" w:name="section(b)_0"/>
      <w:r w:rsidRPr="44E318AC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(b)</w:t>
      </w:r>
      <w:bookmarkEnd w:id="17"/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Applicable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dollar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amount;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additional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equipment;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election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—</w:t>
      </w:r>
    </w:p>
    <w:p w14:paraId="7BB2103F" w14:textId="0543C53B" w:rsidR="00311404" w:rsidRPr="00446445" w:rsidRDefault="00311404" w:rsidP="44E318AC">
      <w:pPr>
        <w:shd w:val="clear" w:color="auto" w:fill="FFFFFF" w:themeFill="background1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18" w:name="section(b)(b)(1)_0"/>
      <w:r w:rsidRPr="44E318AC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(1)</w:t>
      </w:r>
      <w:bookmarkEnd w:id="18"/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Applicable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dollar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amount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—</w:t>
      </w:r>
    </w:p>
    <w:p w14:paraId="79263E2A" w14:textId="16E4DD09" w:rsidR="00311404" w:rsidRPr="00446445" w:rsidRDefault="00311404" w:rsidP="44E318AC">
      <w:pPr>
        <w:shd w:val="clear" w:color="auto" w:fill="FFFFFF" w:themeFill="background1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19" w:name="section(b)(b)(1)(b)(1)(A)_0"/>
      <w:r w:rsidRPr="44E318AC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(A)</w:t>
      </w:r>
      <w:bookmarkEnd w:id="19"/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In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general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—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applicable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dollar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equal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to—</w:t>
      </w:r>
    </w:p>
    <w:p w14:paraId="4B2BC612" w14:textId="59678CE7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20" w:name="section(b)(b)(1)(b)(1)(A)(b)(1)(A)(i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</w:t>
      </w:r>
      <w:proofErr w:type="spellStart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i</w:t>
      </w:r>
      <w:bookmarkEnd w:id="20"/>
      <w:proofErr w:type="spellEnd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taxable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year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beginning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calendar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year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after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2016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before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2027—</w:t>
      </w:r>
    </w:p>
    <w:p w14:paraId="695A8145" w14:textId="2B422AAE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21" w:name="(b)(1)(A)(i)(I)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(I)</w:t>
      </w:r>
      <w:bookmarkEnd w:id="2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(3)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(a),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dollar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established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linear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interpolation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between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$22.66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$50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each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calendar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year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during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period,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501E2103" w14:textId="720EE61D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22" w:name="(b)(1)(A)(i)(II)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lastRenderedPageBreak/>
        <w:t>(II)</w:t>
      </w:r>
      <w:bookmarkEnd w:id="22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(4)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subsection,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dollar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established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linear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interpolation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between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$12.83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$35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each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calendar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year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during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period,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2EE54DFA" w14:textId="007C6F4A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23" w:name="section(b)(b)(1)(b)(1)(A)(b)(1)(A)(ii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</w:t>
      </w:r>
      <w:bookmarkEnd w:id="23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taxable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year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beginning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calendar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year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after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2026—</w:t>
      </w:r>
    </w:p>
    <w:p w14:paraId="2DED3A27" w14:textId="732538AD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24" w:name="(b)(1)(A)(ii)(I)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(I)</w:t>
      </w:r>
      <w:bookmarkEnd w:id="24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(3)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(a),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equal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product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$50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inflation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adjustment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factor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calendar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year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determined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43(b)(3)(B)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calendar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year,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determined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substituting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“2025”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“1990”,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00DCA4D7" w14:textId="326CD12C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25" w:name="(b)(1)(A)(ii)(II)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(II)</w:t>
      </w:r>
      <w:bookmarkEnd w:id="25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(4)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subsection,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equal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product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$35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inflation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adjustment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factor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calendar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year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determined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43(b)(3)(B)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calendar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year,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determined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substituting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“2025”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“1990”.</w:t>
      </w:r>
    </w:p>
    <w:p w14:paraId="2BAC8833" w14:textId="3308A900" w:rsidR="00311404" w:rsidRPr="00446445" w:rsidRDefault="00311404" w:rsidP="44E318AC">
      <w:pPr>
        <w:shd w:val="clear" w:color="auto" w:fill="FFFFFF" w:themeFill="background1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26" w:name="section(b)(b)(1)(b)(1)(B)_0"/>
      <w:r w:rsidRPr="44E318AC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(B)</w:t>
      </w:r>
      <w:bookmarkEnd w:id="26"/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Rounding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—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applicable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dollar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determined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(A)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rounded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nearest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cent.</w:t>
      </w:r>
    </w:p>
    <w:p w14:paraId="14F1D9EF" w14:textId="085C376D" w:rsidR="00311404" w:rsidRPr="00446445" w:rsidRDefault="00311404" w:rsidP="44E318AC">
      <w:pPr>
        <w:shd w:val="clear" w:color="auto" w:fill="FFFFFF" w:themeFill="background1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27" w:name="section(b)(b)(2)_0"/>
      <w:r w:rsidRPr="44E318AC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(2)</w:t>
      </w:r>
      <w:bookmarkEnd w:id="27"/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Installation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additional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carbon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capture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equipment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on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existing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qualified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facility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—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case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placed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service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before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enactment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Bipartisan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Budget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Act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2018,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additional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capture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equipment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placed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service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after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enactment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Act,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oxide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captured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taxpayer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equal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to—</w:t>
      </w:r>
    </w:p>
    <w:p w14:paraId="1D4256CB" w14:textId="36AB72CB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28" w:name="section(b)(b)(2)(b)(2)(A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</w:t>
      </w:r>
      <w:bookmarkEnd w:id="28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paragraphs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(1)(A)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(2)(A)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(a),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lesser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of—</w:t>
      </w:r>
    </w:p>
    <w:p w14:paraId="150864FB" w14:textId="6627EE29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29" w:name="section(b)(b)(2)(b)(2)(A)(b)(2)(A)(i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</w:t>
      </w:r>
      <w:proofErr w:type="spellStart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i</w:t>
      </w:r>
      <w:bookmarkEnd w:id="29"/>
      <w:proofErr w:type="spellEnd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total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oxide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captured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taxable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year,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</w:t>
      </w:r>
    </w:p>
    <w:p w14:paraId="7E16A7FD" w14:textId="47C87139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30" w:name="section(b)(b)(2)(b)(2)(A)(b)(2)(A)(ii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</w:t>
      </w:r>
      <w:bookmarkEnd w:id="3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total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dioxide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capture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capacity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capture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equipment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service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day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before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enactment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Bipartisan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Budget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2018,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4637A350" w14:textId="6FCC12BD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31" w:name="section(b)(b)(2)(b)(2)(B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</w:t>
      </w:r>
      <w:bookmarkEnd w:id="31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paragraphs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(3)(A)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(4)(A)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subsection,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(not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less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zero)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equal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excess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of—</w:t>
      </w:r>
    </w:p>
    <w:p w14:paraId="5F8102CF" w14:textId="03D4D0BE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32" w:name="section(b)(b)(2)(b)(2)(B)(b)(2)(B)(i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</w:t>
      </w:r>
      <w:proofErr w:type="spellStart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i</w:t>
      </w:r>
      <w:bookmarkEnd w:id="32"/>
      <w:proofErr w:type="spellEnd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clause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(</w:t>
      </w:r>
      <w:proofErr w:type="spellStart"/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</w:t>
      </w:r>
      <w:proofErr w:type="spellEnd"/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(A),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over</w:t>
      </w:r>
    </w:p>
    <w:p w14:paraId="7355BBBA" w14:textId="316C9727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33" w:name="section(b)(b)(2)(b)(2)(B)(b)(2)(B)(ii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</w:t>
      </w:r>
      <w:bookmarkEnd w:id="33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clause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(ii)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subparagraph.</w:t>
      </w:r>
    </w:p>
    <w:p w14:paraId="3B0FCA6D" w14:textId="1FC02433" w:rsidR="00311404" w:rsidRPr="00446445" w:rsidRDefault="00311404" w:rsidP="44E318AC">
      <w:pPr>
        <w:shd w:val="clear" w:color="auto" w:fill="FFFFFF" w:themeFill="background1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34" w:name="section(b)(b)(3)_0"/>
      <w:r w:rsidRPr="44E318AC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(3)</w:t>
      </w:r>
      <w:bookmarkEnd w:id="34"/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Election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—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determining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oxide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sequestration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credit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section,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taxpayer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may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elect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have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dollar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amounts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applicable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paragraph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(1)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(2)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(a)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apply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lieu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dollar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amounts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applicable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paragraph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(3)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(4)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each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metric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oxide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captured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taxpayer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using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capture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equipment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originally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placed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service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after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enactment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Bipartisan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Budget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Act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2018.</w:t>
      </w:r>
    </w:p>
    <w:p w14:paraId="67D59B2D" w14:textId="17A95E6A" w:rsidR="00311404" w:rsidRPr="00446445" w:rsidRDefault="00311404" w:rsidP="44E318AC">
      <w:pPr>
        <w:shd w:val="clear" w:color="auto" w:fill="FFFFFF" w:themeFill="background1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35" w:name="section(c)__0"/>
      <w:r w:rsidRPr="44E318AC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(c)</w:t>
      </w:r>
      <w:bookmarkEnd w:id="35"/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Qualified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carbon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oxide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—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section—</w:t>
      </w:r>
    </w:p>
    <w:p w14:paraId="08AEF68D" w14:textId="6A48EDF4" w:rsidR="00311404" w:rsidRPr="00446445" w:rsidRDefault="00311404" w:rsidP="44E318AC">
      <w:pPr>
        <w:shd w:val="clear" w:color="auto" w:fill="FFFFFF" w:themeFill="background1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36" w:name="section(c)_(c)_(1)__0"/>
      <w:r w:rsidRPr="44E318AC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(1)</w:t>
      </w:r>
      <w:bookmarkEnd w:id="36"/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In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general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—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“qualified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oxide”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means—</w:t>
      </w:r>
    </w:p>
    <w:p w14:paraId="3B353399" w14:textId="33C9FFDF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37" w:name="section(c)_(c)_(1)_(c)_(1)_(A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</w:t>
      </w:r>
      <w:bookmarkEnd w:id="37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dioxide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which—</w:t>
      </w:r>
    </w:p>
    <w:p w14:paraId="03094D27" w14:textId="4883287A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</w:t>
      </w:r>
      <w:proofErr w:type="spellStart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i</w:t>
      </w:r>
      <w:proofErr w:type="spellEnd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captured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from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industrial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source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capture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equipment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originally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placed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service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before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enactment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Bipartisan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Budget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2018,</w:t>
      </w:r>
    </w:p>
    <w:p w14:paraId="16E1791C" w14:textId="593329A2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would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otherwise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released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atmosphere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industrial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emission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greenhouse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gas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lead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release,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62EFD388" w14:textId="5C29FDFB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38" w:name="section(c)_(c)_(1)_(c)_(1)_(A)(c)_(1)_(A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(iii</w:t>
      </w:r>
      <w:bookmarkEnd w:id="38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measured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source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capture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verified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point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disposal,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injection,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utilization,</w:t>
      </w:r>
    </w:p>
    <w:p w14:paraId="2592E744" w14:textId="47C80F8B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39" w:name="section(c)_(c)_(1)_(c)_(1)_(B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</w:t>
      </w:r>
      <w:bookmarkEnd w:id="39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dioxide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other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oxide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which—</w:t>
      </w:r>
    </w:p>
    <w:p w14:paraId="0FBEF3E6" w14:textId="26E2DFF2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lastRenderedPageBreak/>
        <w:t>(</w:t>
      </w:r>
      <w:proofErr w:type="spellStart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i</w:t>
      </w:r>
      <w:proofErr w:type="spellEnd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captured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from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industrial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source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capture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equipment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originally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placed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service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after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enactment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Bipartisan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Budget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2018,</w:t>
      </w:r>
    </w:p>
    <w:p w14:paraId="2B9F6A04" w14:textId="1C1B2FFB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would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otherwise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released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atmosphere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industrial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emission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greenhouse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gas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lead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release,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1DB2DC6B" w14:textId="1F7CEF98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40" w:name="section(c)_(c)_(1)_(c)_(1)_(B)(c)_(1)_(B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(iii</w:t>
      </w:r>
      <w:bookmarkEnd w:id="4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measured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source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capture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verified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point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disposal,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injection,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utilization,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</w:t>
      </w:r>
    </w:p>
    <w:p w14:paraId="71BEBADA" w14:textId="10ADECB8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41" w:name="section(c)_(c)_(1)_(c)_(1)_(C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(C</w:t>
      </w:r>
      <w:bookmarkEnd w:id="41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direct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air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capture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facility,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dioxide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which—</w:t>
      </w:r>
    </w:p>
    <w:p w14:paraId="3D133010" w14:textId="0E5EFB47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</w:t>
      </w:r>
      <w:proofErr w:type="spellStart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i</w:t>
      </w:r>
      <w:proofErr w:type="spellEnd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captured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directly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from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ambient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air,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24279AD3" w14:textId="48BA8988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42" w:name="section(c)_(c)_(1)_(c)_(1)_(C)(c)_(1)_(C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</w:t>
      </w:r>
      <w:bookmarkEnd w:id="42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measured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source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capture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verified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point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disposal,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injection,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utilization.</w:t>
      </w:r>
    </w:p>
    <w:p w14:paraId="1E6B4F4B" w14:textId="03FBD201" w:rsidR="00311404" w:rsidRPr="00446445" w:rsidRDefault="00311404" w:rsidP="44E318AC">
      <w:pPr>
        <w:shd w:val="clear" w:color="auto" w:fill="FFFFFF" w:themeFill="background1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43" w:name="section(c)_(c)_(2)__0"/>
      <w:r w:rsidRPr="44E318AC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(2)</w:t>
      </w:r>
      <w:bookmarkEnd w:id="43"/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Recycled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carbon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oxide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—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“qualified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oxide”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includes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initial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deposit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captured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oxide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used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tertiary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injectant.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does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include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oxide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that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recaptured,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recycled,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re-injected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part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enhanced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oil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natural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gas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recovery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process.</w:t>
      </w:r>
    </w:p>
    <w:p w14:paraId="15CDC465" w14:textId="6F74235E" w:rsidR="00311404" w:rsidRPr="00446445" w:rsidRDefault="00311404" w:rsidP="44E318AC">
      <w:pPr>
        <w:shd w:val="clear" w:color="auto" w:fill="FFFFFF" w:themeFill="background1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44" w:name="section(d)_0"/>
      <w:r w:rsidRPr="44E318AC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(d)</w:t>
      </w:r>
      <w:bookmarkEnd w:id="44"/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Qualified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facility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—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section,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“qualified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facility”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means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industrial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direct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air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capture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facility—</w:t>
      </w:r>
    </w:p>
    <w:p w14:paraId="11F4097F" w14:textId="7C2CDAAD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45" w:name="section(d)(d)(1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(1</w:t>
      </w:r>
      <w:bookmarkEnd w:id="45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construction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begins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before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January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1,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2026,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and—</w:t>
      </w:r>
    </w:p>
    <w:p w14:paraId="5A1D0675" w14:textId="5DBD3A97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46" w:name="section(d)(d)(1)(d)(1)(A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</w:t>
      </w:r>
      <w:bookmarkEnd w:id="46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construction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capture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equipment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begins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before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date,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</w:t>
      </w:r>
    </w:p>
    <w:p w14:paraId="268D8E9F" w14:textId="6C9FCC40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47" w:name="section(d)(d)(1)(d)(1)(B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</w:t>
      </w:r>
      <w:bookmarkEnd w:id="47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original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planning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design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includes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installation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capture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equipment,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1FA5349E" w14:textId="27180E0F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48" w:name="section(d)(d)(2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(2</w:t>
      </w:r>
      <w:bookmarkEnd w:id="48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captures—</w:t>
      </w:r>
    </w:p>
    <w:p w14:paraId="1FE0567C" w14:textId="4AD23EFC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49" w:name="section(d)(d)(2)(d)(2)(A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</w:t>
      </w:r>
      <w:bookmarkEnd w:id="49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emits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more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500,000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metric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tons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oxide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atmosphere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during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taxable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year,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less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25,000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metric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tons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oxide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during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taxable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year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utilized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manner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(f)(5),</w:t>
      </w:r>
    </w:p>
    <w:p w14:paraId="7C6298A7" w14:textId="181AF402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50" w:name="section(d)(d)(2)(d)(2)(B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</w:t>
      </w:r>
      <w:bookmarkEnd w:id="5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electricity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generating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(A),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less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500,000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metric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tons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oxide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during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taxable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year,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</w:t>
      </w:r>
    </w:p>
    <w:p w14:paraId="6D87350D" w14:textId="28123311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51" w:name="section(d)(d)(2)(d)(2)(C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(C</w:t>
      </w:r>
      <w:bookmarkEnd w:id="51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direct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air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capture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(A)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(B),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less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100,000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metric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tons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oxide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during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taxable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year.</w:t>
      </w:r>
    </w:p>
    <w:p w14:paraId="770B339F" w14:textId="790E2BF8" w:rsidR="00311404" w:rsidRPr="00446445" w:rsidRDefault="00311404" w:rsidP="44E318AC">
      <w:pPr>
        <w:shd w:val="clear" w:color="auto" w:fill="FFFFFF" w:themeFill="background1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52" w:name="section(e)__0"/>
      <w:r w:rsidRPr="44E318AC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(e)</w:t>
      </w:r>
      <w:bookmarkEnd w:id="52"/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Definitions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—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section—</w:t>
      </w:r>
    </w:p>
    <w:p w14:paraId="03C85D5E" w14:textId="75409921" w:rsidR="00311404" w:rsidRPr="00446445" w:rsidRDefault="00311404" w:rsidP="44E318AC">
      <w:pPr>
        <w:shd w:val="clear" w:color="auto" w:fill="FFFFFF" w:themeFill="background1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53" w:name="section(e)_(e)_(1)__0"/>
      <w:r w:rsidRPr="44E318AC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(1)</w:t>
      </w:r>
      <w:bookmarkEnd w:id="53"/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Direct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air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capture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facility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—</w:t>
      </w:r>
    </w:p>
    <w:p w14:paraId="38B28357" w14:textId="6F38C3CE" w:rsidR="00311404" w:rsidRPr="00446445" w:rsidRDefault="00311404" w:rsidP="44E318AC">
      <w:pPr>
        <w:shd w:val="clear" w:color="auto" w:fill="FFFFFF" w:themeFill="background1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54" w:name="section(e)_(e)_(1)_(e)_(1)_(A)__0"/>
      <w:r w:rsidRPr="44E318AC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(A)</w:t>
      </w:r>
      <w:bookmarkEnd w:id="54"/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In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general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—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Subject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(B),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“direct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air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capture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facility”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means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uses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capture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equipment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capture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dioxide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directly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from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ambient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air.</w:t>
      </w:r>
    </w:p>
    <w:p w14:paraId="3365702E" w14:textId="268022DD" w:rsidR="00311404" w:rsidRPr="00446445" w:rsidRDefault="00311404" w:rsidP="44E318AC">
      <w:pPr>
        <w:shd w:val="clear" w:color="auto" w:fill="FFFFFF" w:themeFill="background1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55" w:name="section(e)_(e)_(1)_(e)_(1)_(B)__0"/>
      <w:r w:rsidRPr="44E318AC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(B)</w:t>
      </w:r>
      <w:bookmarkEnd w:id="55"/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Exception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—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“direct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air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capture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facility”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include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captures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dioxide—</w:t>
      </w:r>
    </w:p>
    <w:p w14:paraId="558D6ACD" w14:textId="6B73216B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</w:t>
      </w:r>
      <w:proofErr w:type="spellStart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i</w:t>
      </w:r>
      <w:proofErr w:type="spellEnd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deliberately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released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from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naturally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occurring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subsurface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springs,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</w:t>
      </w:r>
    </w:p>
    <w:p w14:paraId="2D472F5D" w14:textId="4D6314E5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56" w:name="section(e)_(e)_(1)_(e)_(1)_(B)_(e)_(1)_(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</w:t>
      </w:r>
      <w:bookmarkEnd w:id="56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using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natural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photosynthesis.</w:t>
      </w:r>
    </w:p>
    <w:p w14:paraId="1EF0C40D" w14:textId="4FFDF82A" w:rsidR="00311404" w:rsidRPr="00446445" w:rsidRDefault="00311404" w:rsidP="44E318AC">
      <w:pPr>
        <w:shd w:val="clear" w:color="auto" w:fill="FFFFFF" w:themeFill="background1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57" w:name="section(e)_(e)_(2)_0"/>
      <w:r w:rsidRPr="44E318AC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(2)</w:t>
      </w:r>
      <w:bookmarkEnd w:id="57"/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Qualified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enhanced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oil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or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natural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gas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recovery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project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—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“qualified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enhanced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oil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natural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gas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recovery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project”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has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meaning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given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“qualified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enhanced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oil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recovery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project”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43(c)(2),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substituting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“crude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oil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natural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gas”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“crude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oil”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(A)(</w:t>
      </w:r>
      <w:proofErr w:type="spellStart"/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</w:t>
      </w:r>
      <w:proofErr w:type="spellEnd"/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)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thereof.</w:t>
      </w:r>
    </w:p>
    <w:p w14:paraId="159DE238" w14:textId="603AD122" w:rsidR="00311404" w:rsidRPr="00446445" w:rsidRDefault="00311404" w:rsidP="44E318AC">
      <w:pPr>
        <w:shd w:val="clear" w:color="auto" w:fill="FFFFFF" w:themeFill="background1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58" w:name="section(e)_(e)_(3)_0"/>
      <w:r w:rsidRPr="44E318AC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(3)</w:t>
      </w:r>
      <w:bookmarkEnd w:id="58"/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Tertiary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injectant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—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“tertiary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injectant”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has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same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meaning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when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used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within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193(b)(1).</w:t>
      </w:r>
    </w:p>
    <w:p w14:paraId="64FC3A5C" w14:textId="62193735" w:rsidR="00311404" w:rsidRPr="00446445" w:rsidRDefault="00311404" w:rsidP="44E318AC">
      <w:pPr>
        <w:shd w:val="clear" w:color="auto" w:fill="FFFFFF" w:themeFill="background1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59" w:name="section(f)_0"/>
      <w:r w:rsidRPr="44E318AC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(f)</w:t>
      </w:r>
      <w:bookmarkEnd w:id="59"/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Special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rules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—</w:t>
      </w:r>
    </w:p>
    <w:p w14:paraId="3B57C838" w14:textId="414C6505" w:rsidR="00311404" w:rsidRPr="00446445" w:rsidRDefault="00311404" w:rsidP="44E318AC">
      <w:pPr>
        <w:shd w:val="clear" w:color="auto" w:fill="FFFFFF" w:themeFill="background1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60" w:name="section(f)(f)(1)_0"/>
      <w:r w:rsidRPr="44E318AC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lastRenderedPageBreak/>
        <w:t>(1)</w:t>
      </w:r>
      <w:bookmarkEnd w:id="60"/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Only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qualified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carbon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oxide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captured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and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disposed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or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used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within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United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States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proofErr w:type="gramStart"/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taken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into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account</w:t>
      </w:r>
      <w:proofErr w:type="gramEnd"/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—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credit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apply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only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respect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oxide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capture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disposal,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use,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utilization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within—</w:t>
      </w:r>
    </w:p>
    <w:p w14:paraId="31A8DC4B" w14:textId="43B55C76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61" w:name="section(f)(f)(1)(f)(1)(A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</w:t>
      </w:r>
      <w:bookmarkEnd w:id="61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United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States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(within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meaning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638(1)),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</w:t>
      </w:r>
    </w:p>
    <w:p w14:paraId="3617FBD1" w14:textId="11E03F84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62" w:name="section(f)(f)(1)(f)(1)(B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</w:t>
      </w:r>
      <w:bookmarkEnd w:id="62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possession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United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States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(within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meaning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638(2)).</w:t>
      </w:r>
    </w:p>
    <w:p w14:paraId="51246135" w14:textId="41BEAB1E" w:rsidR="00311404" w:rsidRPr="00446445" w:rsidRDefault="00311404" w:rsidP="44E318AC">
      <w:pPr>
        <w:shd w:val="clear" w:color="auto" w:fill="FFFFFF" w:themeFill="background1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63" w:name="section(f)(f)(2)_0"/>
      <w:r w:rsidRPr="44E318AC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(2)</w:t>
      </w:r>
      <w:bookmarkEnd w:id="63"/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Secure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geological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storage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—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Secretary,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consultation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Administrator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Environmental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Protection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Agency,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Secretary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Energy,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Secretary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Interior,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establish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regulations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determining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adequate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security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measures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geological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storage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oxide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(a)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that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oxide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does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escape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into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atmosphere.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proofErr w:type="gramStart"/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term</w:t>
      </w:r>
      <w:proofErr w:type="gramEnd"/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include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storage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deep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saline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formations,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proofErr w:type="gramStart"/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oil</w:t>
      </w:r>
      <w:proofErr w:type="gramEnd"/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gas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reservoirs,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proofErr w:type="spellStart"/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unminable</w:t>
      </w:r>
      <w:proofErr w:type="spellEnd"/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coal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seams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conditions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Secretary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may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determine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regulations.</w:t>
      </w:r>
    </w:p>
    <w:p w14:paraId="7BB217C0" w14:textId="683455DB" w:rsidR="00311404" w:rsidRPr="00446445" w:rsidRDefault="00311404" w:rsidP="44E318AC">
      <w:pPr>
        <w:shd w:val="clear" w:color="auto" w:fill="FFFFFF" w:themeFill="background1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64" w:name="section(f)(f)(3)_0"/>
      <w:r w:rsidRPr="44E318AC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(3)</w:t>
      </w:r>
      <w:bookmarkEnd w:id="64"/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Credit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attributable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to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taxpayer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—</w:t>
      </w:r>
    </w:p>
    <w:p w14:paraId="7A46175C" w14:textId="7F9B5C43" w:rsidR="00311404" w:rsidRPr="00446445" w:rsidRDefault="00311404" w:rsidP="44E318AC">
      <w:pPr>
        <w:shd w:val="clear" w:color="auto" w:fill="FFFFFF" w:themeFill="background1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65" w:name="section(f)(f)(3)(f)(3)(A)_0"/>
      <w:r w:rsidRPr="44E318AC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(A)</w:t>
      </w:r>
      <w:bookmarkEnd w:id="65"/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In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general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—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Except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provided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(B)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regulations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prescribed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Secretary,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credit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attributable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to—</w:t>
      </w:r>
    </w:p>
    <w:p w14:paraId="6DFB12F0" w14:textId="24C202B3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66" w:name="section(f)(f)(3)(f)(3)(A)(f)(3)(A)(i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</w:t>
      </w:r>
      <w:proofErr w:type="spellStart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i</w:t>
      </w:r>
      <w:bookmarkEnd w:id="66"/>
      <w:proofErr w:type="spellEnd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oxide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captured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using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capture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equipment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originally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placed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service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before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enactment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Bipartisan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Budget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2018,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person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captures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physically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contractually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ensures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disposal,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utilization,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use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tertiary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injectant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oxide,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54127E64" w14:textId="359BE2AD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67" w:name="section(f)(f)(3)(f)(3)(A)(f)(3)(A)(ii)__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</w:t>
      </w:r>
      <w:bookmarkEnd w:id="67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oxide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captured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using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capture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equipment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originally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placed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service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after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enactment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Bipartisan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Budget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2018,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person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owns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capture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equipment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physically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contractually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ensures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capture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disposal,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utilization,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use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tertiary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injectant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oxide.</w:t>
      </w:r>
    </w:p>
    <w:p w14:paraId="6487B03F" w14:textId="2FCCEA4E" w:rsidR="00311404" w:rsidRPr="00446445" w:rsidRDefault="00311404" w:rsidP="44E318AC">
      <w:pPr>
        <w:shd w:val="clear" w:color="auto" w:fill="FFFFFF" w:themeFill="background1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68" w:name="section(f)(f)(3)(f)(3)(B)_0"/>
      <w:r w:rsidRPr="44E318AC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(B)</w:t>
      </w:r>
      <w:bookmarkEnd w:id="68"/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Election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—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person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(A)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makes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election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time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manner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Secretary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may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prescribe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regulations,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credit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section—</w:t>
      </w:r>
    </w:p>
    <w:p w14:paraId="44814CA2" w14:textId="685AC091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69" w:name="section(f)(f)(3)(f)(3)(B)(f)(3)(B)(i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</w:t>
      </w:r>
      <w:proofErr w:type="spellStart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i</w:t>
      </w:r>
      <w:bookmarkEnd w:id="69"/>
      <w:proofErr w:type="spellEnd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allowable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person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disposes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oxide,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utilizes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oxide,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uses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oxide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tertiary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injectant,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2F65C456" w14:textId="10F71BCB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70" w:name="section(f)(f)(3)(f)(3)(B)(f)(3)(B)(ii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</w:t>
      </w:r>
      <w:bookmarkEnd w:id="7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allowable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person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(A).</w:t>
      </w:r>
    </w:p>
    <w:p w14:paraId="6E29D6C7" w14:textId="4B358AA7" w:rsidR="00311404" w:rsidRPr="00446445" w:rsidRDefault="00311404" w:rsidP="44E318AC">
      <w:pPr>
        <w:shd w:val="clear" w:color="auto" w:fill="FFFFFF" w:themeFill="background1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71" w:name="section(f)(f)(4)_0"/>
      <w:r w:rsidRPr="44E318AC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(4)</w:t>
      </w:r>
      <w:bookmarkEnd w:id="71"/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Recapture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—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Secretary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shall,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regulations,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provide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recapturing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benefit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credit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allowable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(a)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respect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oxide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ceases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captured,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disposed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used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tertiary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injectant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manner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consistent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requirements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section.</w:t>
      </w:r>
    </w:p>
    <w:p w14:paraId="562191B1" w14:textId="01B2774C" w:rsidR="00311404" w:rsidRPr="00446445" w:rsidRDefault="00311404" w:rsidP="44E318AC">
      <w:pPr>
        <w:shd w:val="clear" w:color="auto" w:fill="FFFFFF" w:themeFill="background1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72" w:name="section(f)(f)(5)_0"/>
      <w:r w:rsidRPr="44E318AC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(5)</w:t>
      </w:r>
      <w:bookmarkEnd w:id="72"/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Utilization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qualified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carbon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oxide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—</w:t>
      </w:r>
    </w:p>
    <w:p w14:paraId="60DF27D0" w14:textId="0BC29119" w:rsidR="00311404" w:rsidRPr="00446445" w:rsidRDefault="00311404" w:rsidP="44E318AC">
      <w:pPr>
        <w:shd w:val="clear" w:color="auto" w:fill="FFFFFF" w:themeFill="background1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73" w:name="section(f)(f)(5)(f)(5)(A)_0"/>
      <w:r w:rsidRPr="44E318AC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(A)</w:t>
      </w:r>
      <w:bookmarkEnd w:id="73"/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In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general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—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section,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utilization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oxide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means—</w:t>
      </w:r>
    </w:p>
    <w:p w14:paraId="6C0741B5" w14:textId="3D4DA05E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74" w:name="section(f)(f)(5)(f)(5)(A)(f)(5)(A)(i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</w:t>
      </w:r>
      <w:proofErr w:type="spellStart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i</w:t>
      </w:r>
      <w:bookmarkEnd w:id="74"/>
      <w:proofErr w:type="spellEnd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fixation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oxide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through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photosynthesis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chemosynthesis,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through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growing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algae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bacteria,</w:t>
      </w:r>
    </w:p>
    <w:p w14:paraId="6D70B337" w14:textId="0172CA13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75" w:name="section(f)(f)(5)(f)(5)(A)(f)(5)(A)(ii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</w:t>
      </w:r>
      <w:bookmarkEnd w:id="75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chemical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conversion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oxide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material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chemical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compound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oxide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securely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stored,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</w:t>
      </w:r>
    </w:p>
    <w:p w14:paraId="17982591" w14:textId="44717EE7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76" w:name="section(f)(f)(5)(f)(5)(A)(f)(5)(A)(iii)_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(iii</w:t>
      </w:r>
      <w:bookmarkEnd w:id="76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use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oxide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other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purpose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commercial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market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exists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(</w:t>
      </w:r>
      <w:proofErr w:type="gramStart"/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exception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proofErr w:type="gramEnd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use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tertiary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injectant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enhanced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oil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natural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gas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recovery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project),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determined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Secretary.</w:t>
      </w:r>
    </w:p>
    <w:p w14:paraId="42E5E466" w14:textId="58D11570" w:rsidR="00311404" w:rsidRPr="00446445" w:rsidRDefault="00311404" w:rsidP="44E318AC">
      <w:pPr>
        <w:shd w:val="clear" w:color="auto" w:fill="FFFFFF" w:themeFill="background1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77" w:name="section(f)(f)(5)(f)(5)(B)_0"/>
      <w:r w:rsidRPr="44E318AC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(B)</w:t>
      </w:r>
      <w:bookmarkEnd w:id="77"/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Measurement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—</w:t>
      </w:r>
    </w:p>
    <w:p w14:paraId="0877E3CA" w14:textId="65F83BBE" w:rsidR="00311404" w:rsidRPr="00446445" w:rsidRDefault="00311404" w:rsidP="44E318AC">
      <w:pPr>
        <w:shd w:val="clear" w:color="auto" w:fill="FFFFFF" w:themeFill="background1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78" w:name="section(f)(f)(5)(f)(5)(B)(f)(5)(B)(i)_0"/>
      <w:r w:rsidRPr="44E318AC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lastRenderedPageBreak/>
        <w:t>(</w:t>
      </w:r>
      <w:proofErr w:type="spellStart"/>
      <w:r w:rsidRPr="44E318AC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i</w:t>
      </w:r>
      <w:proofErr w:type="spellEnd"/>
      <w:r w:rsidRPr="44E318AC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bookmarkEnd w:id="78"/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In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general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—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determining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oxide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utilized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taxpayer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paragraph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(2)(B)(ii)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(4)(B)(ii)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(a),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equal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metric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tons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oxide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taxpayer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demonstrates,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based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upon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analysis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lifecycle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greenhouse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gas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emissions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subject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requirements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Secretary,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consultation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Secretary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Energy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Administrator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Environmental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Protection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Agency,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determines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appropriate,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were—</w:t>
      </w:r>
    </w:p>
    <w:p w14:paraId="7A6A81D7" w14:textId="016B07F1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79" w:name="(f)(5)(B)(i)(I)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(I)</w:t>
      </w:r>
      <w:bookmarkEnd w:id="79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captured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permanently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isolated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from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atmosphere,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or</w:t>
      </w:r>
    </w:p>
    <w:p w14:paraId="6303FD8E" w14:textId="215010F5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80" w:name="(f)(5)(B)(i)(II)_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(II)</w:t>
      </w:r>
      <w:bookmarkEnd w:id="80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displaced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from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being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emitted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proofErr w:type="spellStart"/>
      <w:proofErr w:type="gramStart"/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atmosphere,through</w:t>
      </w:r>
      <w:proofErr w:type="spellEnd"/>
      <w:proofErr w:type="gramEnd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use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process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(A).</w:t>
      </w:r>
    </w:p>
    <w:p w14:paraId="2B231285" w14:textId="0351E245" w:rsidR="00311404" w:rsidRPr="00446445" w:rsidRDefault="00311404" w:rsidP="44E318AC">
      <w:pPr>
        <w:shd w:val="clear" w:color="auto" w:fill="FFFFFF" w:themeFill="background1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81" w:name="section(f)(f)(5)(f)(5)(B)(f)(5)(B)(ii)_0"/>
      <w:r w:rsidRPr="44E318AC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(ii)</w:t>
      </w:r>
      <w:bookmarkEnd w:id="81"/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Lifecycle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greenhouse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gas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emissions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—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clause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(</w:t>
      </w:r>
      <w:proofErr w:type="spellStart"/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</w:t>
      </w:r>
      <w:proofErr w:type="spellEnd"/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),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“lifecycle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greenhouse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gas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emissions”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has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same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meaning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given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(H)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211(o)(1)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Clean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Air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Act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(42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U.S.C.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7545(o)(1)),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effect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enactment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Bipartisan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Budget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Act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2018,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except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that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“product”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substituted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“fuel”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each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place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appears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subparagraph.</w:t>
      </w:r>
    </w:p>
    <w:p w14:paraId="7B8A3B4D" w14:textId="2C2A14DA" w:rsidR="00311404" w:rsidRPr="00446445" w:rsidRDefault="00311404" w:rsidP="44E318AC">
      <w:pPr>
        <w:shd w:val="clear" w:color="auto" w:fill="FFFFFF" w:themeFill="background1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82" w:name="section(f)(f)(6)_0"/>
      <w:r w:rsidRPr="44E318AC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(6)</w:t>
      </w:r>
      <w:bookmarkEnd w:id="82"/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Election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for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applicable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facilities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—</w:t>
      </w:r>
    </w:p>
    <w:p w14:paraId="0111E1A7" w14:textId="37ECC5E7" w:rsidR="00311404" w:rsidRPr="00446445" w:rsidRDefault="00311404" w:rsidP="44E318AC">
      <w:pPr>
        <w:shd w:val="clear" w:color="auto" w:fill="FFFFFF" w:themeFill="background1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83" w:name="section(f)(f)(6)(f)(6)(A)_0"/>
      <w:r w:rsidRPr="44E318AC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(A)</w:t>
      </w:r>
      <w:bookmarkEnd w:id="83"/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In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general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—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section,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case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applicable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facility,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taxable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year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captures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less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than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500,000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metric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tons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oxide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during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taxable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year,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person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paragraph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(3)(A)(ii)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may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elect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have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facility,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capture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equipment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placed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service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facility,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deemed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having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been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placed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service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enactment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Bipartisan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Budget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Act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2018.</w:t>
      </w:r>
    </w:p>
    <w:p w14:paraId="260A6DB4" w14:textId="5B95FA17" w:rsidR="00311404" w:rsidRPr="00446445" w:rsidRDefault="00311404" w:rsidP="44E318AC">
      <w:pPr>
        <w:shd w:val="clear" w:color="auto" w:fill="FFFFFF" w:themeFill="background1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84" w:name="section(f)(f)(6)(f)(6)(B)_0"/>
      <w:r w:rsidRPr="44E318AC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(B)</w:t>
      </w:r>
      <w:bookmarkEnd w:id="84"/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Applicable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facility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—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paragraph,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“applicable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facility”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means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facility—</w:t>
      </w:r>
    </w:p>
    <w:p w14:paraId="791F6868" w14:textId="6074A134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85" w:name="section(f)(f)(6)(f)(6)(B)(f)(6)(B)(i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</w:t>
      </w:r>
      <w:proofErr w:type="spellStart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i</w:t>
      </w:r>
      <w:bookmarkEnd w:id="85"/>
      <w:proofErr w:type="spellEnd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was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placed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service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before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enactment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Bipartisan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Budget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2018,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44F55734" w14:textId="6A5A3251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86" w:name="section(f)(f)(6)(f)(6)(B)(f)(6)(B)(ii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</w:t>
      </w:r>
      <w:bookmarkEnd w:id="86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no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taxpayer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claimed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credit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proofErr w:type="gramStart"/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regards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to</w:t>
      </w:r>
      <w:proofErr w:type="gramEnd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taxable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year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ending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before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enactment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Act.</w:t>
      </w:r>
    </w:p>
    <w:p w14:paraId="131F3A0A" w14:textId="269A8934" w:rsidR="00311404" w:rsidRPr="00446445" w:rsidRDefault="00311404" w:rsidP="44E318AC">
      <w:pPr>
        <w:shd w:val="clear" w:color="auto" w:fill="FFFFFF" w:themeFill="background1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87" w:name="section(f)(f)(7)_0"/>
      <w:r w:rsidRPr="44E318AC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(7)</w:t>
      </w:r>
      <w:bookmarkEnd w:id="87"/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Inflation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adjustment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—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case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taxable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year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beginning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calendar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year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after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2009,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there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substituted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each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dollar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contained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paragraphs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(1)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(2)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(a)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equal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product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of—</w:t>
      </w:r>
    </w:p>
    <w:p w14:paraId="3002446F" w14:textId="6F373827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88" w:name="section(f)(f)(7)(f)(7)(A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</w:t>
      </w:r>
      <w:bookmarkEnd w:id="88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dollar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amount,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multiplied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by</w:t>
      </w:r>
    </w:p>
    <w:p w14:paraId="62083602" w14:textId="55E3438C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89" w:name="section(f)(f)(7)(f)(7)(B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</w:t>
      </w:r>
      <w:bookmarkEnd w:id="89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inflation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adjustment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factor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calendar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year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determined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43(b)(3)(B)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calendar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year,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determined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substituting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“2008”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“1990”.</w:t>
      </w:r>
    </w:p>
    <w:p w14:paraId="700CC2D7" w14:textId="6E5CD0A5" w:rsidR="00311404" w:rsidRPr="00446445" w:rsidRDefault="00311404" w:rsidP="44E318AC">
      <w:pPr>
        <w:shd w:val="clear" w:color="auto" w:fill="FFFFFF" w:themeFill="background1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90" w:name="section(g)_0"/>
      <w:r w:rsidRPr="44E318AC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(g)</w:t>
      </w:r>
      <w:bookmarkEnd w:id="90"/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Application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section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for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certain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carbon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capture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equipment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—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case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capture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equipment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placed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service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before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enactment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Bipartisan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Budget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Act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2018,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credit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apply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respect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oxide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captured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using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equipment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before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end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calendar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year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Secretary,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consultation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Administrator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Environmental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Protection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Agency,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certifies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that,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during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period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beginning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after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October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3,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2008,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total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75,000,000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metric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tons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oxide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have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been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taken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into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account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accordance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with—</w:t>
      </w:r>
    </w:p>
    <w:p w14:paraId="349BA353" w14:textId="14528280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91" w:name="section(g)(g)(1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(1</w:t>
      </w:r>
      <w:bookmarkEnd w:id="91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(a)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section,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effect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day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before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enactment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Bipartisan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Budget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2018,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51D56C4F" w14:textId="0DAD2B4B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92" w:name="section(g)(g)(2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(2</w:t>
      </w:r>
      <w:bookmarkEnd w:id="92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paragraphs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(1)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(2)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(a)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section.</w:t>
      </w:r>
    </w:p>
    <w:p w14:paraId="03A905A5" w14:textId="04DA7260" w:rsidR="00311404" w:rsidRPr="00446445" w:rsidRDefault="00311404" w:rsidP="44E318AC">
      <w:pPr>
        <w:shd w:val="clear" w:color="auto" w:fill="FFFFFF" w:themeFill="background1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93" w:name="section(h)_0"/>
      <w:r w:rsidRPr="44E318AC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(h)</w:t>
      </w:r>
      <w:bookmarkEnd w:id="93"/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Regulations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>—</w:t>
      </w:r>
      <w:r>
        <w:rPr>
          <w:rStyle w:val="heading-enum"/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Secretary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may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prescribe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regulations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other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guidance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may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necessary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appropriate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carry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out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section,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including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regulations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other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guidance</w:t>
      </w:r>
      <w:r>
        <w:rPr>
          <w:rFonts w:ascii="Avenir Next P for BBG" w:hAnsi="Avenir Next P for BBG" w:cs="Open Sans"/>
          <w:color w:val="000000" w:themeColor="text1"/>
          <w:sz w:val="18"/>
          <w:szCs w:val="18"/>
        </w:rPr>
        <w:t xml:space="preserve"> </w:t>
      </w:r>
      <w:r w:rsidRPr="44E318AC">
        <w:rPr>
          <w:rFonts w:ascii="Avenir Next P for BBG" w:hAnsi="Avenir Next P for BBG" w:cs="Open Sans"/>
          <w:color w:val="000000" w:themeColor="text1"/>
          <w:sz w:val="18"/>
          <w:szCs w:val="18"/>
        </w:rPr>
        <w:t>to—</w:t>
      </w:r>
    </w:p>
    <w:p w14:paraId="064A307C" w14:textId="2D63FB59" w:rsidR="00311404" w:rsidRPr="00446445" w:rsidRDefault="00311404" w:rsidP="0044644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94" w:name="section(h)(h)(1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(1</w:t>
      </w:r>
      <w:bookmarkEnd w:id="94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ensure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proper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allocation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(a)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carbon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oxide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captured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taxpayer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during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taxable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year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ending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after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enactment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Bipartisan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Budget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2018,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6732B898" w14:textId="1ECC7968" w:rsidR="00311404" w:rsidRDefault="00311404" w:rsidP="00401BE5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bookmarkStart w:id="95" w:name="section(h)(h)(2)_0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lastRenderedPageBreak/>
        <w:t>(2</w:t>
      </w:r>
      <w:bookmarkEnd w:id="95"/>
      <w:r w:rsidRPr="00446445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determine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whether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satisfies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requirements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(d)(1)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during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proofErr w:type="gramStart"/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taxable</w:t>
      </w:r>
      <w:proofErr w:type="gramEnd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446445">
        <w:rPr>
          <w:rFonts w:ascii="Avenir Next P for BBG" w:hAnsi="Avenir Next P for BBG" w:cs="Open Sans"/>
          <w:color w:val="000000"/>
          <w:sz w:val="18"/>
          <w:szCs w:val="18"/>
        </w:rPr>
        <w:t>year.</w:t>
      </w:r>
    </w:p>
    <w:p w14:paraId="24E782A3" w14:textId="621C70AE" w:rsidR="00311404" w:rsidRDefault="00311404">
      <w:pPr>
        <w:rPr>
          <w:rFonts w:ascii="Avenir Next P for BBG" w:hAnsi="Avenir Next P for BBG" w:cstheme="minorHAnsi"/>
          <w:noProof/>
          <w:color w:val="000000"/>
          <w:sz w:val="18"/>
          <w:szCs w:val="18"/>
        </w:rPr>
      </w:pPr>
      <w:r>
        <w:rPr>
          <w:rFonts w:ascii="Avenir Next P for BBG" w:hAnsi="Avenir Next P for BBG" w:cstheme="minorHAnsi"/>
          <w:noProof/>
          <w:color w:val="000000"/>
          <w:sz w:val="18"/>
          <w:szCs w:val="18"/>
        </w:rPr>
        <w:br w:type="page"/>
      </w:r>
    </w:p>
    <w:p w14:paraId="412089EB" w14:textId="58B212E2" w:rsidR="00311404" w:rsidRPr="00D715DC" w:rsidRDefault="00311404" w:rsidP="00AD7D6C">
      <w:pPr>
        <w:pStyle w:val="LegHisExcerpt-CenteredHeads"/>
        <w:spacing w:line="240" w:lineRule="auto"/>
      </w:pPr>
    </w:p>
    <w:p w14:paraId="61DC9CAD" w14:textId="65EF6E6E" w:rsidR="00311404" w:rsidRPr="001C359C" w:rsidRDefault="00311404" w:rsidP="005B7689">
      <w:pPr>
        <w:pStyle w:val="level1"/>
        <w:spacing w:before="0" w:beforeAutospacing="0" w:after="0" w:afterAutospacing="0"/>
        <w:rPr>
          <w:rFonts w:ascii="Avenir Next P for BBG" w:hAnsi="Avenir Next P for BBG" w:cstheme="minorBidi"/>
          <w:color w:val="333333"/>
          <w:sz w:val="22"/>
          <w:szCs w:val="22"/>
        </w:rPr>
      </w:pPr>
      <w:r w:rsidRPr="089BDE62">
        <w:rPr>
          <w:rFonts w:ascii="Avenir Next P for BBG" w:eastAsiaTheme="majorEastAsia" w:hAnsi="Avenir Next P for BBG" w:cstheme="minorBidi"/>
          <w:b/>
          <w:sz w:val="22"/>
          <w:szCs w:val="22"/>
        </w:rPr>
        <w:t>SEC.</w:t>
      </w:r>
      <w:r>
        <w:rPr>
          <w:rFonts w:ascii="Avenir Next P for BBG" w:eastAsiaTheme="majorEastAsia" w:hAnsi="Avenir Next P for BBG" w:cstheme="minorBidi"/>
          <w:b/>
          <w:sz w:val="22"/>
          <w:szCs w:val="22"/>
        </w:rPr>
        <w:t xml:space="preserve"> </w:t>
      </w:r>
      <w:r w:rsidRPr="00E40F45">
        <w:rPr>
          <w:rFonts w:ascii="Avenir Next P for BBG" w:eastAsiaTheme="majorEastAsia" w:hAnsi="Avenir Next P for BBG" w:cstheme="minorBidi"/>
          <w:b/>
          <w:sz w:val="22"/>
          <w:szCs w:val="22"/>
        </w:rPr>
        <w:t>141.</w:t>
      </w:r>
      <w:r>
        <w:rPr>
          <w:rFonts w:ascii="Avenir Next P for BBG" w:eastAsiaTheme="majorEastAsia" w:hAnsi="Avenir Next P for BBG" w:cstheme="minorBidi"/>
          <w:b/>
          <w:sz w:val="22"/>
          <w:szCs w:val="22"/>
        </w:rPr>
        <w:t xml:space="preserve"> </w:t>
      </w:r>
      <w:r w:rsidRPr="00E40F45">
        <w:rPr>
          <w:rFonts w:ascii="Avenir Next P for BBG" w:eastAsiaTheme="majorEastAsia" w:hAnsi="Avenir Next P for BBG" w:cstheme="minorBidi"/>
          <w:b/>
          <w:sz w:val="22"/>
          <w:szCs w:val="22"/>
        </w:rPr>
        <w:t>PRIVATE</w:t>
      </w:r>
      <w:r>
        <w:rPr>
          <w:rFonts w:ascii="Avenir Next P for BBG" w:eastAsiaTheme="majorEastAsia" w:hAnsi="Avenir Next P for BBG" w:cstheme="minorBidi"/>
          <w:b/>
          <w:sz w:val="22"/>
          <w:szCs w:val="22"/>
        </w:rPr>
        <w:t xml:space="preserve"> </w:t>
      </w:r>
      <w:r w:rsidRPr="00E40F45">
        <w:rPr>
          <w:rFonts w:ascii="Avenir Next P for BBG" w:eastAsiaTheme="majorEastAsia" w:hAnsi="Avenir Next P for BBG" w:cstheme="minorBidi"/>
          <w:b/>
          <w:sz w:val="22"/>
          <w:szCs w:val="22"/>
        </w:rPr>
        <w:t>ACTIVITY</w:t>
      </w:r>
      <w:r>
        <w:rPr>
          <w:rFonts w:ascii="Avenir Next P for BBG" w:eastAsiaTheme="majorEastAsia" w:hAnsi="Avenir Next P for BBG" w:cstheme="minorBidi"/>
          <w:b/>
          <w:sz w:val="22"/>
          <w:szCs w:val="22"/>
        </w:rPr>
        <w:t xml:space="preserve"> </w:t>
      </w:r>
      <w:r w:rsidRPr="00E40F45">
        <w:rPr>
          <w:rFonts w:ascii="Avenir Next P for BBG" w:eastAsiaTheme="majorEastAsia" w:hAnsi="Avenir Next P for BBG" w:cstheme="minorBidi"/>
          <w:b/>
          <w:sz w:val="22"/>
          <w:szCs w:val="22"/>
        </w:rPr>
        <w:t>BOND;</w:t>
      </w:r>
      <w:r>
        <w:rPr>
          <w:rFonts w:ascii="Avenir Next P for BBG" w:eastAsiaTheme="majorEastAsia" w:hAnsi="Avenir Next P for BBG" w:cstheme="minorBidi"/>
          <w:b/>
          <w:sz w:val="22"/>
          <w:szCs w:val="22"/>
        </w:rPr>
        <w:t xml:space="preserve"> </w:t>
      </w:r>
      <w:r w:rsidRPr="00E40F45">
        <w:rPr>
          <w:rFonts w:ascii="Avenir Next P for BBG" w:eastAsiaTheme="majorEastAsia" w:hAnsi="Avenir Next P for BBG" w:cstheme="minorBidi"/>
          <w:b/>
          <w:sz w:val="22"/>
          <w:szCs w:val="22"/>
        </w:rPr>
        <w:t>QUALIFIED</w:t>
      </w:r>
      <w:r>
        <w:rPr>
          <w:rFonts w:ascii="Avenir Next P for BBG" w:eastAsiaTheme="majorEastAsia" w:hAnsi="Avenir Next P for BBG" w:cstheme="minorBidi"/>
          <w:b/>
          <w:sz w:val="22"/>
          <w:szCs w:val="22"/>
        </w:rPr>
        <w:t xml:space="preserve"> </w:t>
      </w:r>
      <w:r w:rsidRPr="00E40F45">
        <w:rPr>
          <w:rFonts w:ascii="Avenir Next P for BBG" w:eastAsiaTheme="majorEastAsia" w:hAnsi="Avenir Next P for BBG" w:cstheme="minorBidi"/>
          <w:b/>
          <w:sz w:val="22"/>
          <w:szCs w:val="22"/>
        </w:rPr>
        <w:t>BOND</w:t>
      </w:r>
      <w:r w:rsidRPr="007C52E4">
        <w:rPr>
          <w:rFonts w:ascii="Avenir Next P for BBG" w:eastAsiaTheme="majorEastAsia" w:hAnsi="Avenir Next P for BBG" w:cstheme="minorBidi"/>
          <w:b/>
          <w:sz w:val="22"/>
          <w:szCs w:val="22"/>
        </w:rPr>
        <w:t>.</w:t>
      </w:r>
      <w:r>
        <w:rPr>
          <w:rFonts w:ascii="Avenir Next P for BBG" w:eastAsiaTheme="majorEastAsia" w:hAnsi="Avenir Next P for BBG" w:cstheme="minorBidi"/>
          <w:b/>
          <w:sz w:val="22"/>
          <w:szCs w:val="22"/>
        </w:rPr>
        <w:t xml:space="preserve"> </w:t>
      </w:r>
      <w:r>
        <w:rPr>
          <w:rFonts w:eastAsiaTheme="majorEastAsia"/>
        </w:rPr>
        <w:br/>
      </w:r>
      <w:r w:rsidRPr="089BDE62">
        <w:rPr>
          <w:rFonts w:ascii="Avenir Next P for BBG" w:eastAsiaTheme="majorEastAsia" w:hAnsi="Avenir Next P for BBG" w:cstheme="minorBidi"/>
          <w:b/>
          <w:color w:val="333333"/>
          <w:sz w:val="22"/>
          <w:szCs w:val="22"/>
        </w:rPr>
        <w:t>(P.L.</w:t>
      </w:r>
      <w:r>
        <w:rPr>
          <w:rFonts w:ascii="Avenir Next P for BBG" w:eastAsiaTheme="majorEastAsia" w:hAnsi="Avenir Next P for BBG" w:cstheme="minorBidi"/>
          <w:b/>
          <w:color w:val="333333"/>
          <w:sz w:val="22"/>
          <w:szCs w:val="22"/>
        </w:rPr>
        <w:t xml:space="preserve"> </w:t>
      </w:r>
      <w:r w:rsidRPr="089BDE62">
        <w:rPr>
          <w:rFonts w:ascii="Avenir Next P for BBG" w:eastAsiaTheme="majorEastAsia" w:hAnsi="Avenir Next P for BBG" w:cstheme="minorBidi"/>
          <w:b/>
          <w:color w:val="333333"/>
          <w:sz w:val="22"/>
          <w:szCs w:val="22"/>
        </w:rPr>
        <w:t>117-58)</w:t>
      </w:r>
    </w:p>
    <w:p w14:paraId="67737622" w14:textId="3031774C" w:rsidR="00311404" w:rsidRPr="001C359C" w:rsidRDefault="00311404" w:rsidP="00B57EC9">
      <w:pPr>
        <w:pStyle w:val="level1"/>
        <w:tabs>
          <w:tab w:val="left" w:pos="1740"/>
        </w:tabs>
        <w:spacing w:before="0" w:beforeAutospacing="0" w:after="0" w:afterAutospacing="0"/>
        <w:rPr>
          <w:rFonts w:ascii="Avenir Next P for BBG" w:hAnsi="Avenir Next P for BBG" w:cstheme="minorHAnsi"/>
          <w:color w:val="FFFFFF" w:themeColor="background1"/>
          <w:sz w:val="22"/>
          <w:szCs w:val="22"/>
        </w:rPr>
      </w:pPr>
      <w:r w:rsidRPr="001C359C">
        <w:rPr>
          <w:rFonts w:ascii="Avenir Next P for BBG" w:eastAsiaTheme="majorEastAsia" w:hAnsi="Avenir Next P for BBG" w:cstheme="minorHAnsi"/>
          <w:b/>
          <w:bCs/>
          <w:color w:val="FFFFFF" w:themeColor="background1"/>
          <w:sz w:val="22"/>
          <w:szCs w:val="22"/>
        </w:rPr>
        <w:t>PRIOR</w:t>
      </w:r>
      <w:r>
        <w:rPr>
          <w:rFonts w:ascii="Avenir Next P for BBG" w:eastAsiaTheme="majorEastAsia" w:hAnsi="Avenir Next P for BBG" w:cstheme="minorHAnsi"/>
          <w:b/>
          <w:bCs/>
          <w:color w:val="FFFFFF" w:themeColor="background1"/>
          <w:sz w:val="22"/>
          <w:szCs w:val="22"/>
        </w:rPr>
        <w:t xml:space="preserve"> </w:t>
      </w:r>
      <w:r w:rsidRPr="001C359C">
        <w:rPr>
          <w:rFonts w:ascii="Avenir Next P for BBG" w:eastAsiaTheme="majorEastAsia" w:hAnsi="Avenir Next P for BBG" w:cstheme="minorHAnsi"/>
          <w:b/>
          <w:bCs/>
          <w:color w:val="FFFFFF" w:themeColor="background1"/>
          <w:sz w:val="22"/>
          <w:szCs w:val="22"/>
        </w:rPr>
        <w:t>LAW</w:t>
      </w:r>
    </w:p>
    <w:p w14:paraId="5387D5A9" w14:textId="765DF63C" w:rsidR="00311404" w:rsidRPr="00763CE5" w:rsidRDefault="00311404" w:rsidP="00F119BD">
      <w:pPr>
        <w:rPr>
          <w:rFonts w:ascii="Avenir Next P for BBG" w:hAnsi="Avenir Next P for BBG" w:cstheme="minorHAnsi"/>
          <w:b/>
          <w:bCs/>
          <w:sz w:val="20"/>
          <w:szCs w:val="20"/>
        </w:rPr>
      </w:pPr>
      <w:r w:rsidRPr="00763CE5">
        <w:rPr>
          <w:rFonts w:ascii="Avenir Next P for BBG" w:hAnsi="Avenir Next P for BBG" w:cstheme="minorHAnsi"/>
          <w:b/>
          <w:bCs/>
          <w:sz w:val="20"/>
          <w:szCs w:val="20"/>
        </w:rPr>
        <w:t>SEC.</w:t>
      </w:r>
      <w:r>
        <w:rPr>
          <w:rFonts w:ascii="Avenir Next P for BBG" w:hAnsi="Avenir Next P for BBG" w:cstheme="minorHAnsi"/>
          <w:b/>
          <w:bCs/>
          <w:sz w:val="20"/>
          <w:szCs w:val="20"/>
        </w:rPr>
        <w:t xml:space="preserve"> </w:t>
      </w:r>
      <w:r w:rsidRPr="00763CE5">
        <w:rPr>
          <w:rFonts w:ascii="Avenir Next P for BBG" w:eastAsia="Times New Roman" w:hAnsi="Avenir Next P for BBG" w:cs="Arial"/>
          <w:b/>
          <w:bCs/>
          <w:caps/>
          <w:kern w:val="36"/>
          <w:sz w:val="20"/>
          <w:szCs w:val="20"/>
          <w14:ligatures w14:val="none"/>
        </w:rPr>
        <w:t>141.</w:t>
      </w:r>
      <w:r>
        <w:rPr>
          <w:rFonts w:ascii="Avenir Next P for BBG" w:eastAsia="Times New Roman" w:hAnsi="Avenir Next P for BBG" w:cs="Arial"/>
          <w:b/>
          <w:bCs/>
          <w:caps/>
          <w:kern w:val="36"/>
          <w:sz w:val="20"/>
          <w:szCs w:val="20"/>
          <w14:ligatures w14:val="none"/>
        </w:rPr>
        <w:t xml:space="preserve"> </w:t>
      </w:r>
      <w:r w:rsidRPr="00763CE5">
        <w:rPr>
          <w:rFonts w:ascii="Avenir Next P for BBG" w:eastAsia="Times New Roman" w:hAnsi="Avenir Next P for BBG" w:cs="Arial"/>
          <w:b/>
          <w:bCs/>
          <w:caps/>
          <w:kern w:val="36"/>
          <w:sz w:val="20"/>
          <w:szCs w:val="20"/>
          <w14:ligatures w14:val="none"/>
        </w:rPr>
        <w:t>Private</w:t>
      </w:r>
      <w:r>
        <w:rPr>
          <w:rFonts w:ascii="Avenir Next P for BBG" w:eastAsia="Times New Roman" w:hAnsi="Avenir Next P for BBG" w:cs="Arial"/>
          <w:b/>
          <w:bCs/>
          <w:caps/>
          <w:kern w:val="36"/>
          <w:sz w:val="20"/>
          <w:szCs w:val="20"/>
          <w14:ligatures w14:val="none"/>
        </w:rPr>
        <w:t xml:space="preserve"> </w:t>
      </w:r>
      <w:r w:rsidRPr="00763CE5">
        <w:rPr>
          <w:rFonts w:ascii="Avenir Next P for BBG" w:eastAsia="Times New Roman" w:hAnsi="Avenir Next P for BBG" w:cs="Arial"/>
          <w:b/>
          <w:bCs/>
          <w:caps/>
          <w:kern w:val="36"/>
          <w:sz w:val="20"/>
          <w:szCs w:val="20"/>
          <w14:ligatures w14:val="none"/>
        </w:rPr>
        <w:t>activity</w:t>
      </w:r>
      <w:r>
        <w:rPr>
          <w:rFonts w:ascii="Avenir Next P for BBG" w:eastAsia="Times New Roman" w:hAnsi="Avenir Next P for BBG" w:cs="Arial"/>
          <w:b/>
          <w:bCs/>
          <w:caps/>
          <w:kern w:val="36"/>
          <w:sz w:val="20"/>
          <w:szCs w:val="20"/>
          <w14:ligatures w14:val="none"/>
        </w:rPr>
        <w:t xml:space="preserve"> </w:t>
      </w:r>
      <w:r w:rsidRPr="00763CE5">
        <w:rPr>
          <w:rFonts w:ascii="Avenir Next P for BBG" w:eastAsia="Times New Roman" w:hAnsi="Avenir Next P for BBG" w:cs="Arial"/>
          <w:b/>
          <w:bCs/>
          <w:caps/>
          <w:kern w:val="36"/>
          <w:sz w:val="20"/>
          <w:szCs w:val="20"/>
          <w14:ligatures w14:val="none"/>
        </w:rPr>
        <w:t>bond;</w:t>
      </w:r>
      <w:r>
        <w:rPr>
          <w:rFonts w:ascii="Avenir Next P for BBG" w:eastAsia="Times New Roman" w:hAnsi="Avenir Next P for BBG" w:cs="Arial"/>
          <w:b/>
          <w:bCs/>
          <w:caps/>
          <w:kern w:val="36"/>
          <w:sz w:val="20"/>
          <w:szCs w:val="20"/>
          <w14:ligatures w14:val="none"/>
        </w:rPr>
        <w:t xml:space="preserve"> </w:t>
      </w:r>
      <w:r w:rsidRPr="00763CE5">
        <w:rPr>
          <w:rFonts w:ascii="Avenir Next P for BBG" w:eastAsia="Times New Roman" w:hAnsi="Avenir Next P for BBG" w:cs="Arial"/>
          <w:b/>
          <w:bCs/>
          <w:caps/>
          <w:kern w:val="36"/>
          <w:sz w:val="20"/>
          <w:szCs w:val="20"/>
          <w14:ligatures w14:val="none"/>
        </w:rPr>
        <w:t>qualified</w:t>
      </w:r>
      <w:r>
        <w:rPr>
          <w:rFonts w:ascii="Avenir Next P for BBG" w:eastAsia="Times New Roman" w:hAnsi="Avenir Next P for BBG" w:cs="Arial"/>
          <w:b/>
          <w:bCs/>
          <w:caps/>
          <w:kern w:val="36"/>
          <w:sz w:val="20"/>
          <w:szCs w:val="20"/>
          <w14:ligatures w14:val="none"/>
        </w:rPr>
        <w:t xml:space="preserve"> </w:t>
      </w:r>
      <w:r w:rsidRPr="00763CE5">
        <w:rPr>
          <w:rFonts w:ascii="Avenir Next P for BBG" w:eastAsia="Times New Roman" w:hAnsi="Avenir Next P for BBG" w:cs="Arial"/>
          <w:b/>
          <w:bCs/>
          <w:caps/>
          <w:kern w:val="36"/>
          <w:sz w:val="20"/>
          <w:szCs w:val="20"/>
          <w14:ligatures w14:val="none"/>
        </w:rPr>
        <w:t>bond</w:t>
      </w:r>
      <w:r w:rsidRPr="00763CE5">
        <w:rPr>
          <w:rFonts w:ascii="Avenir Next P for BBG" w:hAnsi="Avenir Next P for BBG" w:cstheme="minorHAnsi"/>
          <w:b/>
          <w:bCs/>
          <w:sz w:val="20"/>
          <w:szCs w:val="20"/>
        </w:rPr>
        <w:t>.</w:t>
      </w:r>
    </w:p>
    <w:p w14:paraId="1D1C9009" w14:textId="3B3068A3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(a)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Private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activity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bond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—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purposes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title,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term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"private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activity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bond"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means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bond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issued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part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issue—</w:t>
      </w:r>
    </w:p>
    <w:p w14:paraId="6BCE625D" w14:textId="5384DC20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(1)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which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meets—</w:t>
      </w:r>
    </w:p>
    <w:p w14:paraId="67A0735B" w14:textId="7F3FD09B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(A)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private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business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test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paragraph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(1)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subsection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(b),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and</w:t>
      </w:r>
    </w:p>
    <w:p w14:paraId="117667B7" w14:textId="034F7B54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(B)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private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security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payment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test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paragraph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(2)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subsection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(b),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or</w:t>
      </w:r>
    </w:p>
    <w:p w14:paraId="0675A26A" w14:textId="7328BA04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(2)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which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meets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private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loan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financing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test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subsection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(c)</w:t>
      </w:r>
      <w:hyperlink r:id="rId4" w:tooltip="26 U.S.C. § 141(c)" w:history="1">
        <w:r>
          <w:rPr>
            <w:rFonts w:ascii="Avenir Next P for BBG" w:hAnsi="Avenir Next P for BBG" w:cs="Open Sans"/>
            <w:b/>
            <w:bCs/>
            <w:sz w:val="18"/>
            <w:szCs w:val="18"/>
            <w:u w:val="single"/>
            <w:shd w:val="clear" w:color="auto" w:fill="0D9DDB"/>
          </w:rPr>
          <w:t xml:space="preserve"> </w:t>
        </w:r>
      </w:hyperlink>
    </w:p>
    <w:p w14:paraId="69E46232" w14:textId="53D02D51" w:rsidR="00311404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(b)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Private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business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proofErr w:type="gramStart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tests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—</w:t>
      </w:r>
      <w:proofErr w:type="gramEnd"/>
      <w:r>
        <w:rPr>
          <w:rFonts w:ascii="Avenir Next P for BBG" w:hAnsi="Avenir Next P for BBG" w:cs="Open Sans"/>
          <w:sz w:val="18"/>
          <w:szCs w:val="18"/>
        </w:rPr>
        <w:t xml:space="preserve"> </w:t>
      </w:r>
    </w:p>
    <w:p w14:paraId="79980003" w14:textId="18A205E6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(1)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Private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business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use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test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—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Except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otherwise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provided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subsection,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issue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meets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test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paragraph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more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than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10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percent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proceeds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issue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are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private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business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use.</w:t>
      </w:r>
    </w:p>
    <w:p w14:paraId="574569DA" w14:textId="6EE0C414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(2)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Private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security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or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payment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test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—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Except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otherwise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provided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subsection,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issue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meets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test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paragraph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payment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principal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interest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on,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more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than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10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percent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proceeds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issue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(under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terms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issue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underlying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arrangement)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directly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indirectly—</w:t>
      </w:r>
    </w:p>
    <w:p w14:paraId="1CFAA64A" w14:textId="3FF6DE3B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(A)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secured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interest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in—</w:t>
      </w:r>
    </w:p>
    <w:p w14:paraId="56CA3368" w14:textId="07789C56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</w:t>
      </w:r>
      <w:proofErr w:type="spellStart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i</w:t>
      </w:r>
      <w:proofErr w:type="spellEnd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property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private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business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or</w:t>
      </w:r>
    </w:p>
    <w:p w14:paraId="26230469" w14:textId="55EBE42C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(ii)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payments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respect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property,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or</w:t>
      </w:r>
    </w:p>
    <w:p w14:paraId="286CEBA4" w14:textId="61C7AA02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(B)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derived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from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payments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</w:t>
      </w:r>
      <w:proofErr w:type="gramStart"/>
      <w:r w:rsidRPr="00763CE5">
        <w:rPr>
          <w:rFonts w:ascii="Avenir Next P for BBG" w:hAnsi="Avenir Next P for BBG" w:cs="Open Sans"/>
          <w:sz w:val="18"/>
          <w:szCs w:val="18"/>
        </w:rPr>
        <w:t>whether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not</w:t>
      </w:r>
      <w:proofErr w:type="gramEnd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issuer)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respect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property,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borrowed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money,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proofErr w:type="gramStart"/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private</w:t>
      </w:r>
      <w:proofErr w:type="gramEnd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business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use.</w:t>
      </w:r>
    </w:p>
    <w:p w14:paraId="7598AE98" w14:textId="4EDF72DA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(3)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5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percent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test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for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private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business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use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not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related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or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disproportionate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to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government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use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financed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by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the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issue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—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</w:p>
    <w:p w14:paraId="7D6EEA03" w14:textId="6D13B822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96" w:name="section(b)(b)(3)(b)(3)(A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(A)</w:t>
      </w:r>
      <w:bookmarkEnd w:id="96"/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In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general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—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issue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shall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treated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meeting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tests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paragraphs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(1)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(2)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tests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would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met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paragraphs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were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applied—</w:t>
      </w:r>
    </w:p>
    <w:p w14:paraId="23146B67" w14:textId="4AC03716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97" w:name="section(b)(b)(3)(b)(3)(A)(b)(3)(A)(i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</w:t>
      </w:r>
      <w:proofErr w:type="spellStart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i</w:t>
      </w:r>
      <w:proofErr w:type="spellEnd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)</w:t>
      </w:r>
      <w:bookmarkEnd w:id="97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substituting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"5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percent"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"10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percent"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each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place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appears,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and</w:t>
      </w:r>
    </w:p>
    <w:p w14:paraId="61692110" w14:textId="575BC0AB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98" w:name="section(b)(b)(3)(b)(3)(A)(b)(3)(A)(ii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(ii)</w:t>
      </w:r>
      <w:bookmarkEnd w:id="98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proofErr w:type="gramStart"/>
      <w:r w:rsidRPr="00763CE5">
        <w:rPr>
          <w:rFonts w:ascii="Avenir Next P for BBG" w:hAnsi="Avenir Next P for BBG" w:cs="Open Sans"/>
          <w:sz w:val="18"/>
          <w:szCs w:val="18"/>
        </w:rPr>
        <w:t>taking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account</w:t>
      </w:r>
      <w:proofErr w:type="gramEnd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only—</w:t>
      </w:r>
    </w:p>
    <w:p w14:paraId="19264A11" w14:textId="53237E2F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99" w:name="(b)(3)(A)(ii)(I)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(I)</w:t>
      </w:r>
      <w:bookmarkEnd w:id="99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proceeds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issue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which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are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private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business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which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not</w:t>
      </w:r>
      <w:r>
        <w:rPr>
          <w:rFonts w:ascii="Avenir Next P for BBG" w:hAnsi="Avenir Next P for BBG" w:cs="Open Sans"/>
          <w:sz w:val="18"/>
          <w:szCs w:val="18"/>
        </w:rPr>
        <w:t xml:space="preserve">   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government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proceeds,</w:t>
      </w:r>
    </w:p>
    <w:p w14:paraId="6CF42D30" w14:textId="68E1D12B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00" w:name="(b)(3)(A)(ii)(II)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(II)</w:t>
      </w:r>
      <w:bookmarkEnd w:id="100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disproportionate</w:t>
      </w:r>
      <w:r>
        <w:rPr>
          <w:rFonts w:ascii="Avenir Next P for BBG" w:hAnsi="Avenir Next P for BBG" w:cs="Open Sans"/>
          <w:sz w:val="18"/>
          <w:szCs w:val="18"/>
        </w:rPr>
        <w:t xml:space="preserve">    </w:t>
      </w:r>
      <w:r w:rsidRPr="00763CE5">
        <w:rPr>
          <w:rFonts w:ascii="Avenir Next P for BBG" w:hAnsi="Avenir Next P for BBG" w:cs="Open Sans"/>
          <w:sz w:val="18"/>
          <w:szCs w:val="18"/>
        </w:rPr>
        <w:t>business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proceeds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issue,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and</w:t>
      </w:r>
    </w:p>
    <w:p w14:paraId="6E76816C" w14:textId="75390B2C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01" w:name="(b)(3)(A)(ii)(III)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(III)</w:t>
      </w:r>
      <w:bookmarkEnd w:id="101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payments,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property,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borrowed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money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with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respect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proceeds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described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subclause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(I)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(II).</w:t>
      </w:r>
    </w:p>
    <w:p w14:paraId="534FF728" w14:textId="5F364C6F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02" w:name="section(b)(b)(3)(b)(3)(B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(B)</w:t>
      </w:r>
      <w:bookmarkEnd w:id="102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Disproportionate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  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business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use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proceeds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—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purposes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subparagraph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(A),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disproportionate</w:t>
      </w:r>
      <w:r>
        <w:rPr>
          <w:rFonts w:ascii="Avenir Next P for BBG" w:hAnsi="Avenir Next P for BBG" w:cs="Open Sans"/>
          <w:sz w:val="18"/>
          <w:szCs w:val="18"/>
        </w:rPr>
        <w:t xml:space="preserve">    </w:t>
      </w:r>
      <w:r w:rsidRPr="00763CE5">
        <w:rPr>
          <w:rFonts w:ascii="Avenir Next P for BBG" w:hAnsi="Avenir Next P for BBG" w:cs="Open Sans"/>
          <w:sz w:val="18"/>
          <w:szCs w:val="18"/>
        </w:rPr>
        <w:t>business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proceeds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issue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proofErr w:type="gramStart"/>
      <w:r w:rsidRPr="00763CE5">
        <w:rPr>
          <w:rFonts w:ascii="Avenir Next P for BBG" w:hAnsi="Avenir Next P for BBG" w:cs="Open Sans"/>
          <w:sz w:val="18"/>
          <w:szCs w:val="18"/>
        </w:rPr>
        <w:t>is</w:t>
      </w:r>
      <w:proofErr w:type="gramEnd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amount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equal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aggregate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excesses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(determined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under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following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sentence)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each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private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business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proceeds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issue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which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</w:t>
      </w:r>
      <w:r>
        <w:rPr>
          <w:rFonts w:ascii="Avenir Next P for BBG" w:hAnsi="Avenir Next P for BBG" w:cs="Open Sans"/>
          <w:sz w:val="18"/>
          <w:szCs w:val="18"/>
        </w:rPr>
        <w:t xml:space="preserve">   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government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</w:p>
    <w:p w14:paraId="3DC99B2A" w14:textId="1A8D1756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03" w:name="section(b)(b)(3)(b)(3)(B)(b)(3)(B)(i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</w:t>
      </w:r>
      <w:proofErr w:type="spellStart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i</w:t>
      </w:r>
      <w:proofErr w:type="spellEnd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)</w:t>
      </w:r>
      <w:bookmarkEnd w:id="103"/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proceeds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issue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which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are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private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business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over</w:t>
      </w:r>
    </w:p>
    <w:p w14:paraId="7A5267BB" w14:textId="46599769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04" w:name="section(b)(b)(3)(b)(3)(B)(b)(3)(B)(ii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lastRenderedPageBreak/>
        <w:t>(ii)</w:t>
      </w:r>
      <w:bookmarkEnd w:id="104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proceeds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issue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which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are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government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which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private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business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relates.</w:t>
      </w:r>
    </w:p>
    <w:p w14:paraId="46626A18" w14:textId="3E8FEA63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05" w:name="section(b)(b)(4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(4)</w:t>
      </w:r>
      <w:bookmarkEnd w:id="105"/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Lower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limitation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for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certain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output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facilities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—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issue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5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percent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more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proceeds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which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are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with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respect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output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facility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(other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than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facility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furnishing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water)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shall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treated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meeting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tests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paragraphs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(1)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(2)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nonqualified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amount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with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respect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issue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exceeds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excess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of—</w:t>
      </w:r>
    </w:p>
    <w:p w14:paraId="488CE99E" w14:textId="4809A562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06" w:name="section(b)(b)(4)(b)(4)(A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(A)</w:t>
      </w:r>
      <w:bookmarkEnd w:id="106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$15,000,000,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over</w:t>
      </w:r>
    </w:p>
    <w:p w14:paraId="60EB3680" w14:textId="0A5B74D5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07" w:name="section(b)(b)(4)(b)(4)(B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(B)</w:t>
      </w:r>
      <w:bookmarkEnd w:id="107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aggregate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nonqualified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amounts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with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respect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all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prior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tax-exempt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issues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5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percent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more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proceeds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which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are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will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with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respect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facility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other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facility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which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part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same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project).</w:t>
      </w:r>
    </w:p>
    <w:p w14:paraId="3A96C01D" w14:textId="0BC26FC4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r w:rsidRPr="00763CE5">
        <w:rPr>
          <w:rFonts w:ascii="Avenir Next P for BBG" w:hAnsi="Avenir Next P for BBG" w:cs="Open Sans"/>
          <w:sz w:val="18"/>
          <w:szCs w:val="18"/>
        </w:rPr>
        <w:t>There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shall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not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taken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account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under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subparagraph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(B)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bond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which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not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outstanding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time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later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proofErr w:type="gramStart"/>
      <w:r w:rsidRPr="00763CE5">
        <w:rPr>
          <w:rFonts w:ascii="Avenir Next P for BBG" w:hAnsi="Avenir Next P for BBG" w:cs="Open Sans"/>
          <w:sz w:val="18"/>
          <w:szCs w:val="18"/>
        </w:rPr>
        <w:t>issue</w:t>
      </w:r>
      <w:proofErr w:type="gramEnd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which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redeemed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(other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than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advance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refunding)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from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net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proceeds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later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issue.</w:t>
      </w:r>
    </w:p>
    <w:p w14:paraId="4454FCCA" w14:textId="34D1BCDF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08" w:name="section(b)(b)(5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(5)</w:t>
      </w:r>
      <w:bookmarkEnd w:id="108"/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Coordination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with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volume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cap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where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nonqualified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amount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exceeds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$15,000,000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—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nonqualified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amount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with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respect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issue—</w:t>
      </w:r>
    </w:p>
    <w:p w14:paraId="0B72AC93" w14:textId="571D768C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09" w:name="section(b)(b)(5)(b)(5)(A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(A)</w:t>
      </w:r>
      <w:bookmarkEnd w:id="109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exceeds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$15,000,000,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but</w:t>
      </w:r>
    </w:p>
    <w:p w14:paraId="4953390D" w14:textId="676F9FF0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10" w:name="section(b)(b)(5)(b)(5)(B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(B)</w:t>
      </w:r>
      <w:bookmarkEnd w:id="110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does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not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exceed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amount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which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would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cause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bond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which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part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issue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treated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private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activity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bond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without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regard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paragraph,</w:t>
      </w:r>
    </w:p>
    <w:p w14:paraId="18C083AA" w14:textId="3BE338D4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r w:rsidRPr="00763CE5">
        <w:rPr>
          <w:rFonts w:ascii="Avenir Next P for BBG" w:hAnsi="Avenir Next P for BBG" w:cs="Open Sans"/>
          <w:sz w:val="18"/>
          <w:szCs w:val="18"/>
        </w:rPr>
        <w:t>such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bond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shall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nonetheless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treated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private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activity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bond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unless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issuer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allocates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portion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its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volume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cap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under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section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hyperlink r:id="rId5" w:anchor="jcite" w:history="1">
        <w:r w:rsidRPr="00763CE5">
          <w:rPr>
            <w:rFonts w:ascii="Avenir Next P for BBG" w:hAnsi="Avenir Next P for BBG" w:cs="Open Sans"/>
            <w:b/>
            <w:bCs/>
            <w:sz w:val="18"/>
            <w:szCs w:val="18"/>
            <w:u w:val="single"/>
          </w:rPr>
          <w:t>146</w:t>
        </w:r>
      </w:hyperlink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issue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amount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equal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excess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nonqualified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amount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over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$15,000,000.</w:t>
      </w:r>
    </w:p>
    <w:p w14:paraId="2C87BF5D" w14:textId="49EE2DDC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11" w:name="section(b)(b)(6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(6)</w:t>
      </w:r>
      <w:bookmarkEnd w:id="111"/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Private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business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use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defined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—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</w:p>
    <w:p w14:paraId="6EC52BDF" w14:textId="596577C6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12" w:name="section(b)(b)(6)(b)(6)(A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(A)</w:t>
      </w:r>
      <w:bookmarkEnd w:id="112"/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In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general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—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purposes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subsection,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term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"private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business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use"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means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(directly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indirectly)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trade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business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carried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person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other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than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governmental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unit.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purposes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preceding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sentence,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member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proofErr w:type="gramStart"/>
      <w:r w:rsidRPr="00763CE5">
        <w:rPr>
          <w:rFonts w:ascii="Avenir Next P for BBG" w:hAnsi="Avenir Next P for BBG" w:cs="Open Sans"/>
          <w:sz w:val="18"/>
          <w:szCs w:val="18"/>
        </w:rPr>
        <w:t>general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public</w:t>
      </w:r>
      <w:proofErr w:type="gramEnd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shall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not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taken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account.</w:t>
      </w:r>
    </w:p>
    <w:p w14:paraId="1D310918" w14:textId="0658726D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13" w:name="section(b)(b)(6)(b)(6)(B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(B)</w:t>
      </w:r>
      <w:bookmarkEnd w:id="113"/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Clarification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of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trade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or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business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—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purposes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1st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sentence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subparagraph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(A),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activity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carried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person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other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than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natural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person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shall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treated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trade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business.</w:t>
      </w:r>
    </w:p>
    <w:p w14:paraId="7D369397" w14:textId="6A79AE25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14" w:name="section(b)(b)(7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(7)</w:t>
      </w:r>
      <w:bookmarkEnd w:id="114"/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Government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use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—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term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"government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use"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means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other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than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private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business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use.</w:t>
      </w:r>
    </w:p>
    <w:p w14:paraId="31C8F8B3" w14:textId="4F0FB2E8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15" w:name="section(b)(b)(8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(8)</w:t>
      </w:r>
      <w:bookmarkEnd w:id="115"/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Nonqualified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amount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—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purposes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subsection,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term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"nonqualified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amount"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means,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with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respect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issue,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lesser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of—</w:t>
      </w:r>
    </w:p>
    <w:p w14:paraId="05F9B3C9" w14:textId="581F193C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16" w:name="section(b)(b)(8)(b)(8)(A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(A)</w:t>
      </w:r>
      <w:bookmarkEnd w:id="116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proceeds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issue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which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are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private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business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or</w:t>
      </w:r>
    </w:p>
    <w:p w14:paraId="5772E7CE" w14:textId="51F0A33E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17" w:name="section(b)(b)(8)(b)(8)(B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(B)</w:t>
      </w:r>
      <w:bookmarkEnd w:id="117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proceeds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issue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with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respect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which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there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are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payments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property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borrowed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money)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described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paragraph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(2).</w:t>
      </w:r>
    </w:p>
    <w:p w14:paraId="6E33B61B" w14:textId="6984E45B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18" w:name="section(b)(b)(9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(9)</w:t>
      </w:r>
      <w:bookmarkEnd w:id="118"/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Exception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for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qualified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501(c)(3)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bonds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—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There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shall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not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taken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account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under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subsection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subsection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(c)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portion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proceeds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issue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which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(if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issued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separate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issue)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would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treated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qualified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hyperlink r:id="rId6" w:anchor="jcite" w:history="1">
        <w:r w:rsidRPr="00763CE5">
          <w:rPr>
            <w:rFonts w:ascii="Avenir Next P for BBG" w:hAnsi="Avenir Next P for BBG" w:cs="Open Sans"/>
            <w:sz w:val="18"/>
            <w:szCs w:val="18"/>
          </w:rPr>
          <w:t>501</w:t>
        </w:r>
      </w:hyperlink>
      <w:r w:rsidRPr="00763CE5">
        <w:rPr>
          <w:rFonts w:ascii="Avenir Next P for BBG" w:hAnsi="Avenir Next P for BBG" w:cs="Open Sans"/>
          <w:sz w:val="18"/>
          <w:szCs w:val="18"/>
        </w:rPr>
        <w:t>(c)(3)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bond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issuer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elects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treat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portion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qualified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hyperlink r:id="rId7" w:anchor="jcite" w:history="1">
        <w:r w:rsidRPr="00763CE5">
          <w:rPr>
            <w:rFonts w:ascii="Avenir Next P for BBG" w:hAnsi="Avenir Next P for BBG" w:cs="Open Sans"/>
            <w:sz w:val="18"/>
            <w:szCs w:val="18"/>
          </w:rPr>
          <w:t>501</w:t>
        </w:r>
      </w:hyperlink>
      <w:r w:rsidRPr="00763CE5">
        <w:rPr>
          <w:rFonts w:ascii="Avenir Next P for BBG" w:hAnsi="Avenir Next P for BBG" w:cs="Open Sans"/>
          <w:sz w:val="18"/>
          <w:szCs w:val="18"/>
        </w:rPr>
        <w:t>(c)(3)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bond.</w:t>
      </w:r>
    </w:p>
    <w:p w14:paraId="50DE15B4" w14:textId="077549CA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19" w:name="section(c)_1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(c</w:t>
      </w:r>
      <w:bookmarkEnd w:id="119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Private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loan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financing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test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—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</w:p>
    <w:p w14:paraId="72F389CE" w14:textId="04FAFB8E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20" w:name="section(c)(c)(1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lastRenderedPageBreak/>
        <w:t>(1)</w:t>
      </w:r>
      <w:bookmarkEnd w:id="120"/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In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general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—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issue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meets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test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subsection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amount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proceeds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issue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which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are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(directly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indirectly)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make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finance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loans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(other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than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loans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described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paragraph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(2))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persons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other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than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governmental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units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exceeds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lesser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of—</w:t>
      </w:r>
    </w:p>
    <w:p w14:paraId="03FAA7DD" w14:textId="5F2EA694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21" w:name="section(c)(c)(1)(c)(1)(A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(A)</w:t>
      </w:r>
      <w:bookmarkEnd w:id="121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5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percent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proceeds,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or</w:t>
      </w:r>
    </w:p>
    <w:p w14:paraId="42067EDC" w14:textId="30FBE2A3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22" w:name="section(c)(c)(1)(c)(1)(B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(B)</w:t>
      </w:r>
      <w:bookmarkEnd w:id="122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$5,000,000.</w:t>
      </w:r>
    </w:p>
    <w:p w14:paraId="0E3D92E5" w14:textId="7B63F31A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23" w:name="section(c)(c)(2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(2)</w:t>
      </w:r>
      <w:bookmarkEnd w:id="123"/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Exception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for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tax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assessment,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etc.,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loans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—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purposes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paragraph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(1),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loan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described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paragraph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loan—</w:t>
      </w:r>
    </w:p>
    <w:p w14:paraId="6B390DEA" w14:textId="0DB95DC4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24" w:name="section(c)(c)(2)(c)(2)(A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(A)</w:t>
      </w:r>
      <w:bookmarkEnd w:id="124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enables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borrower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finance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governmental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tax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assessment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general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application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specific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essential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governmental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function,</w:t>
      </w:r>
    </w:p>
    <w:p w14:paraId="06D7C917" w14:textId="2058176E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25" w:name="section(c)(c)(2)(c)(2)(B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(B)</w:t>
      </w:r>
      <w:bookmarkEnd w:id="125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proofErr w:type="spellStart"/>
      <w:r w:rsidRPr="00763CE5">
        <w:rPr>
          <w:rFonts w:ascii="Avenir Next P for BBG" w:hAnsi="Avenir Next P for BBG" w:cs="Open Sans"/>
          <w:sz w:val="18"/>
          <w:szCs w:val="18"/>
        </w:rPr>
        <w:t>nonpurpose</w:t>
      </w:r>
      <w:proofErr w:type="spellEnd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investment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(within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meaning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section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hyperlink r:id="rId8" w:anchor="jcite" w:history="1">
        <w:r w:rsidRPr="00763CE5">
          <w:rPr>
            <w:rFonts w:ascii="Avenir Next P for BBG" w:hAnsi="Avenir Next P for BBG" w:cs="Open Sans"/>
            <w:sz w:val="18"/>
            <w:szCs w:val="18"/>
          </w:rPr>
          <w:t>148</w:t>
        </w:r>
      </w:hyperlink>
      <w:r w:rsidRPr="00763CE5">
        <w:rPr>
          <w:rFonts w:ascii="Avenir Next P for BBG" w:hAnsi="Avenir Next P for BBG" w:cs="Open Sans"/>
          <w:sz w:val="18"/>
          <w:szCs w:val="18"/>
        </w:rPr>
        <w:t>(f)(6)(A)),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or</w:t>
      </w:r>
    </w:p>
    <w:p w14:paraId="1F4A2D3B" w14:textId="45FA2127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26" w:name="section(c)(c)(2)(c)(2)(C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(C)</w:t>
      </w:r>
      <w:bookmarkEnd w:id="126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qualified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natural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gas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supply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contract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(as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defined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section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hyperlink r:id="rId9" w:anchor="jcite" w:history="1">
        <w:r w:rsidRPr="00763CE5">
          <w:rPr>
            <w:rFonts w:ascii="Avenir Next P for BBG" w:hAnsi="Avenir Next P for BBG" w:cs="Open Sans"/>
            <w:sz w:val="18"/>
            <w:szCs w:val="18"/>
          </w:rPr>
          <w:t>148</w:t>
        </w:r>
      </w:hyperlink>
      <w:r w:rsidRPr="00763CE5">
        <w:rPr>
          <w:rFonts w:ascii="Avenir Next P for BBG" w:hAnsi="Avenir Next P for BBG" w:cs="Open Sans"/>
          <w:sz w:val="18"/>
          <w:szCs w:val="18"/>
        </w:rPr>
        <w:t>(b)(4)).</w:t>
      </w:r>
    </w:p>
    <w:p w14:paraId="7BB5FAE9" w14:textId="5636B2B8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(d)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Certain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issues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used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to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acquire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nongovernmental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output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property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treated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as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private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activity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bonds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—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</w:p>
    <w:p w14:paraId="0F67AB9E" w14:textId="6105CC7E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(1)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In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general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—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purposes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title,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term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"private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activity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bond"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includes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bond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issued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part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issue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amount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proceeds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issue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which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are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(directly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indirectly)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acquisition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governmental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unit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nongovernmental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output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property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exceeds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lesser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of—</w:t>
      </w:r>
    </w:p>
    <w:p w14:paraId="172F8054" w14:textId="1EF7B7D0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(A)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5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percent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proceeds,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or</w:t>
      </w:r>
    </w:p>
    <w:p w14:paraId="145AC546" w14:textId="385047B4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(B)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$5,000,000.</w:t>
      </w:r>
    </w:p>
    <w:p w14:paraId="794ECF17" w14:textId="2715D6E5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(2)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Nongovernmental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output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property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—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Except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otherwise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provided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subsection,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purposes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paragraph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(1),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term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"nongovernmental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output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property"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means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property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interest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therein)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which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before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acquisition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was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held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person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other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than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governmental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unit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connection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with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output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facility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(within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meaning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subsection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(b)(4))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(other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than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facility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furnishing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water).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purposes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preceding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sentence,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holding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before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October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14,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1987,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shall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not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proofErr w:type="gramStart"/>
      <w:r w:rsidRPr="00763CE5">
        <w:rPr>
          <w:rFonts w:ascii="Avenir Next P for BBG" w:hAnsi="Avenir Next P for BBG" w:cs="Open Sans"/>
          <w:sz w:val="18"/>
          <w:szCs w:val="18"/>
        </w:rPr>
        <w:t>taken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account</w:t>
      </w:r>
      <w:proofErr w:type="gramEnd"/>
      <w:r w:rsidRPr="00763CE5">
        <w:rPr>
          <w:rFonts w:ascii="Avenir Next P for BBG" w:hAnsi="Avenir Next P for BBG" w:cs="Open Sans"/>
          <w:sz w:val="18"/>
          <w:szCs w:val="18"/>
        </w:rPr>
        <w:t>.</w:t>
      </w:r>
    </w:p>
    <w:p w14:paraId="5F6B9C31" w14:textId="50748FE5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27" w:name="section(d)(d)(3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(3)</w:t>
      </w:r>
      <w:bookmarkEnd w:id="127"/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Exception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for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property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acquired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to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provide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output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to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certain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areas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—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purposes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paragraph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(1)—</w:t>
      </w:r>
    </w:p>
    <w:p w14:paraId="3E53E0F0" w14:textId="4C774F80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28" w:name="section(d)(d)(3)(d)(3)(A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(A)</w:t>
      </w:r>
      <w:bookmarkEnd w:id="128"/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In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general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—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term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"nongovernmental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output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property"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shall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not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include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property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which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connection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with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output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facility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95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percent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more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output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which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will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consumed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in—</w:t>
      </w:r>
    </w:p>
    <w:p w14:paraId="32E92890" w14:textId="701E6DA5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29" w:name="section(d)(d)(3)(d)(3)(A)(d)(3)(A)(i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</w:t>
      </w:r>
      <w:proofErr w:type="spellStart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i</w:t>
      </w:r>
      <w:proofErr w:type="spellEnd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)</w:t>
      </w:r>
      <w:bookmarkEnd w:id="129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qualified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service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area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governmental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unit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acquiring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property,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or</w:t>
      </w:r>
    </w:p>
    <w:p w14:paraId="35C5D9D4" w14:textId="030F2533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30" w:name="section(d)(d)(3)(d)(3)(A)(d)(3)(A)(ii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(ii)</w:t>
      </w:r>
      <w:bookmarkEnd w:id="130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qualified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annexed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area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unit.</w:t>
      </w:r>
    </w:p>
    <w:p w14:paraId="024278BB" w14:textId="57EE9B3C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31" w:name="section(d)(d)(3)(d)(3)(B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(B)</w:t>
      </w:r>
      <w:bookmarkEnd w:id="131"/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Definitions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—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purposes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subparagraph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(A)—</w:t>
      </w:r>
    </w:p>
    <w:p w14:paraId="4B1E41D3" w14:textId="611A9DFC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32" w:name="section(d)(d)(3)(d)(3)(B)(d)(3)(B)(i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</w:t>
      </w:r>
      <w:proofErr w:type="spellStart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i</w:t>
      </w:r>
      <w:proofErr w:type="spellEnd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)</w:t>
      </w:r>
      <w:bookmarkEnd w:id="132"/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Qualified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service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area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—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term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"qualified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service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area"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means,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with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respect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governmental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unit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acquiring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property,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area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throughout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which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unit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proofErr w:type="gramStart"/>
      <w:r w:rsidRPr="00763CE5">
        <w:rPr>
          <w:rFonts w:ascii="Avenir Next P for BBG" w:hAnsi="Avenir Next P for BBG" w:cs="Open Sans"/>
          <w:sz w:val="18"/>
          <w:szCs w:val="18"/>
        </w:rPr>
        <w:t>provided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(at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all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times</w:t>
      </w:r>
      <w:proofErr w:type="gramEnd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during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10-year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period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ending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date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property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acquired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unit)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output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same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type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output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provided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property.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purposes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preceding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sentence,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period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before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October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14,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1987,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shall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not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proofErr w:type="gramStart"/>
      <w:r w:rsidRPr="00763CE5">
        <w:rPr>
          <w:rFonts w:ascii="Avenir Next P for BBG" w:hAnsi="Avenir Next P for BBG" w:cs="Open Sans"/>
          <w:sz w:val="18"/>
          <w:szCs w:val="18"/>
        </w:rPr>
        <w:t>taken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account</w:t>
      </w:r>
      <w:proofErr w:type="gramEnd"/>
      <w:r w:rsidRPr="00763CE5">
        <w:rPr>
          <w:rFonts w:ascii="Avenir Next P for BBG" w:hAnsi="Avenir Next P for BBG" w:cs="Open Sans"/>
          <w:sz w:val="18"/>
          <w:szCs w:val="18"/>
        </w:rPr>
        <w:t>.</w:t>
      </w:r>
    </w:p>
    <w:p w14:paraId="62D015B7" w14:textId="4DE1C553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33" w:name="section(d)(d)(3)(d)(3)(B)(d)(3)(B)(ii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(ii)</w:t>
      </w:r>
      <w:bookmarkEnd w:id="133"/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Qualified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annexed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area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—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term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"qualified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annexed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area"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means,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with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respect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governmental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unit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acquiring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property,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area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if—</w:t>
      </w:r>
    </w:p>
    <w:p w14:paraId="63DE0B0F" w14:textId="4B587794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34" w:name="(d)(3)(B)(ii)(I)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(I)</w:t>
      </w:r>
      <w:bookmarkEnd w:id="134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area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contiguous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annexed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general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governmental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purposes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into,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qualified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service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area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unit,</w:t>
      </w:r>
    </w:p>
    <w:p w14:paraId="585B28C5" w14:textId="37C1FC00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35" w:name="(d)(3)(B)(ii)(II)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lastRenderedPageBreak/>
        <w:t>(II)</w:t>
      </w:r>
      <w:bookmarkEnd w:id="135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output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from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property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made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available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all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members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proofErr w:type="gramStart"/>
      <w:r w:rsidRPr="00763CE5">
        <w:rPr>
          <w:rFonts w:ascii="Avenir Next P for BBG" w:hAnsi="Avenir Next P for BBG" w:cs="Open Sans"/>
          <w:sz w:val="18"/>
          <w:szCs w:val="18"/>
        </w:rPr>
        <w:t>general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public</w:t>
      </w:r>
      <w:proofErr w:type="gramEnd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annexed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area,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and</w:t>
      </w:r>
    </w:p>
    <w:p w14:paraId="3C38041B" w14:textId="675D638F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36" w:name="(d)(3)(B)(ii)(III)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(III)</w:t>
      </w:r>
      <w:bookmarkEnd w:id="136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annexed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area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not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greater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than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10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percent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qualified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service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area.</w:t>
      </w:r>
    </w:p>
    <w:p w14:paraId="4C0240EC" w14:textId="5A7AD6CA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37" w:name="section(d)(d)(3)(d)(3)(C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(C)</w:t>
      </w:r>
      <w:bookmarkEnd w:id="137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Limitation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on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size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of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annexed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area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not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to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apply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where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output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capacity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does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not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increase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by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more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than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10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percent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—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Subclause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(III)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subparagraph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(B)(ii)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shall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not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apply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annexation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area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governmental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unit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output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capacity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property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acquired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connection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with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annexation,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when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added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output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capacity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all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other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property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which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not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treated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nongovernmental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output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property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reason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subparagraph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(A)(ii)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with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respect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annexed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area,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does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not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exceed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10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percent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output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capacity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property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providing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output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same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type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qualified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service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area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which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annexed.</w:t>
      </w:r>
    </w:p>
    <w:p w14:paraId="0D8171A8" w14:textId="44298283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38" w:name="section(d)(d)(3)(d)(3)(D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(D)</w:t>
      </w:r>
      <w:bookmarkEnd w:id="138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Rules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for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determining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relative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size,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etc.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—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purposes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subparagraphs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(B)(ii)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(C)—</w:t>
      </w:r>
    </w:p>
    <w:p w14:paraId="39F1FE4B" w14:textId="412623B7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39" w:name="section(d)(d)(3)(d)(3)(D)(d)(3)(D)(i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</w:t>
      </w:r>
      <w:proofErr w:type="spellStart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i</w:t>
      </w:r>
      <w:proofErr w:type="spellEnd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)</w:t>
      </w:r>
      <w:bookmarkEnd w:id="139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size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qualified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service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area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output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capacity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property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serving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area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shall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determined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close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calendar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year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preceding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calendar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year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which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acquisition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nongovernmental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output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property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annexation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occurs.</w:t>
      </w:r>
    </w:p>
    <w:p w14:paraId="13B548EF" w14:textId="2FCB0855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40" w:name="section(d)(d)(3)(d)(3)(D)(d)(3)(D)(ii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(ii)</w:t>
      </w:r>
      <w:bookmarkEnd w:id="140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qualified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annexed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area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shall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treated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part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qualified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service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area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which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annexed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purposes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determining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whether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other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area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annexed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later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year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qualified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annexed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area.</w:t>
      </w:r>
    </w:p>
    <w:p w14:paraId="2CBBA974" w14:textId="239BCA87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41" w:name="section(d)(d)(4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(4)</w:t>
      </w:r>
      <w:bookmarkEnd w:id="141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Exception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for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property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converted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to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nonoutput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use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—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purposes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paragraph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(1)—</w:t>
      </w:r>
    </w:p>
    <w:p w14:paraId="36609C8F" w14:textId="47ACD6D1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42" w:name="section(d)(d)(4)(d)(4)(A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(A)</w:t>
      </w:r>
      <w:bookmarkEnd w:id="142"/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In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general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—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term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"nongovernmental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output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property"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shall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not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include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property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which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converted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use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not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connection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with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output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facility.</w:t>
      </w:r>
    </w:p>
    <w:p w14:paraId="3362F67D" w14:textId="6D7151DF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43" w:name="section(d)(d)(4)(d)(4)(B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(B)</w:t>
      </w:r>
      <w:bookmarkEnd w:id="143"/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Exception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—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Subparagraph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(A)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shall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not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apply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property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which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part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output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function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nuclear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power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facility.</w:t>
      </w:r>
    </w:p>
    <w:p w14:paraId="7696D965" w14:textId="4B67C46D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44" w:name="section(d)(d)(5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(5)</w:t>
      </w:r>
      <w:bookmarkEnd w:id="144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Special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rules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—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case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bond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which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private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activity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bond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solely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reason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subsection—</w:t>
      </w:r>
    </w:p>
    <w:p w14:paraId="141EFC8B" w14:textId="274CDA1F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45" w:name="section(d)(d)(5)(d)(5)(A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(A</w:t>
      </w:r>
      <w:bookmarkEnd w:id="145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)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subsections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(c)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(d)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section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hyperlink r:id="rId10" w:anchor="jcite" w:history="1">
        <w:r w:rsidRPr="00763CE5">
          <w:rPr>
            <w:rFonts w:ascii="Avenir Next P for BBG" w:hAnsi="Avenir Next P for BBG" w:cs="Open Sans"/>
            <w:sz w:val="18"/>
            <w:szCs w:val="18"/>
          </w:rPr>
          <w:t>147</w:t>
        </w:r>
      </w:hyperlink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(relating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limitations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acquisition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land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existing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property)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shall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not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apply,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and</w:t>
      </w:r>
    </w:p>
    <w:p w14:paraId="03CB15ED" w14:textId="70C361BF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46" w:name="section(d)(d)(5)(d)(5)(B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(B)</w:t>
      </w:r>
      <w:bookmarkEnd w:id="146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paragraph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(8)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section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hyperlink r:id="rId11" w:anchor="jcite" w:history="1">
        <w:r w:rsidRPr="00763CE5">
          <w:rPr>
            <w:rFonts w:ascii="Avenir Next P for BBG" w:hAnsi="Avenir Next P for BBG" w:cs="Open Sans"/>
            <w:sz w:val="18"/>
            <w:szCs w:val="18"/>
          </w:rPr>
          <w:t>142</w:t>
        </w:r>
      </w:hyperlink>
      <w:r w:rsidRPr="00763CE5">
        <w:rPr>
          <w:rFonts w:ascii="Avenir Next P for BBG" w:hAnsi="Avenir Next P for BBG" w:cs="Open Sans"/>
          <w:sz w:val="18"/>
          <w:szCs w:val="18"/>
        </w:rPr>
        <w:t>(a)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shall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applied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did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not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contain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"local".</w:t>
      </w:r>
    </w:p>
    <w:p w14:paraId="2114C5C5" w14:textId="235A0C7D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47" w:name="section(d)(d)(6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(6)</w:t>
      </w:r>
      <w:bookmarkEnd w:id="147"/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Treatment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of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joint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action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agencies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—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With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respect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to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nongovernmental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output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property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acquired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joint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action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agency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members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which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are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governmental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units,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subsection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shall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applied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member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level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treating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each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member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acquiring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its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proportionate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share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property.</w:t>
      </w:r>
    </w:p>
    <w:p w14:paraId="34F3D189" w14:textId="03EEDD3A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48" w:name="section(d)(d)(7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(7)</w:t>
      </w:r>
      <w:bookmarkEnd w:id="148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Exception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for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qualified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electric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and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natural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gas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supply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contracts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—</w:t>
      </w:r>
      <w:r>
        <w:rPr>
          <w:rFonts w:ascii="Avenir Next P for BBG" w:hAnsi="Avenir Next P for BBG" w:cs="Open Sans"/>
          <w:sz w:val="18"/>
          <w:szCs w:val="18"/>
        </w:rPr>
        <w:t xml:space="preserve"> 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term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"nongovernmental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output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property"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shall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not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include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contract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prepayment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electricity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natural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gas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which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not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investment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property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under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section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hyperlink r:id="rId12" w:anchor="jcite" w:history="1">
        <w:r w:rsidRPr="00763CE5">
          <w:rPr>
            <w:rFonts w:ascii="Avenir Next P for BBG" w:hAnsi="Avenir Next P for BBG" w:cs="Open Sans"/>
            <w:sz w:val="18"/>
            <w:szCs w:val="18"/>
          </w:rPr>
          <w:t>148</w:t>
        </w:r>
      </w:hyperlink>
      <w:r w:rsidRPr="00763CE5">
        <w:rPr>
          <w:rFonts w:ascii="Avenir Next P for BBG" w:hAnsi="Avenir Next P for BBG" w:cs="Open Sans"/>
          <w:sz w:val="18"/>
          <w:szCs w:val="18"/>
        </w:rPr>
        <w:t>(b)(2).</w:t>
      </w:r>
    </w:p>
    <w:p w14:paraId="08BA4CBD" w14:textId="4DF8250F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49" w:name="section(e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(e)</w:t>
      </w:r>
      <w:bookmarkEnd w:id="149"/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Qualified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bond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—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For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purposes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part,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term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"qualified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bond"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means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private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activity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bond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if—</w:t>
      </w:r>
    </w:p>
    <w:p w14:paraId="6E1EAB93" w14:textId="14DAEBCD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50" w:name="section(e)(e)(1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(1)</w:t>
      </w:r>
      <w:bookmarkEnd w:id="150"/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In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general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—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bond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is—</w:t>
      </w:r>
    </w:p>
    <w:p w14:paraId="29A91A18" w14:textId="2D5FF8F5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51" w:name="section(e)(e)(1)(e)(1)(A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(A)</w:t>
      </w:r>
      <w:bookmarkEnd w:id="151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exempt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facility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bond,</w:t>
      </w:r>
    </w:p>
    <w:p w14:paraId="575ACF94" w14:textId="2F3952E3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52" w:name="section(e)(e)(1)(e)(1)(B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(B)</w:t>
      </w:r>
      <w:bookmarkEnd w:id="152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qualified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mortgage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bond,</w:t>
      </w:r>
    </w:p>
    <w:p w14:paraId="51DA37D5" w14:textId="261205B7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53" w:name="section(e)(e)(1)(e)(1)(C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(C)</w:t>
      </w:r>
      <w:bookmarkEnd w:id="153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qualified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veterans'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mortgage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bond,</w:t>
      </w:r>
    </w:p>
    <w:p w14:paraId="3B9CC2C4" w14:textId="28B7E643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54" w:name="section(e)(e)(1)(e)(1)(D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(D)</w:t>
      </w:r>
      <w:bookmarkEnd w:id="154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qualified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small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issue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bond,</w:t>
      </w:r>
    </w:p>
    <w:p w14:paraId="07E8B19F" w14:textId="71E8ED0D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55" w:name="section(e)(e)(1)(e)(1)(E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(E)</w:t>
      </w:r>
      <w:bookmarkEnd w:id="155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qualified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student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loan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bond,</w:t>
      </w:r>
    </w:p>
    <w:p w14:paraId="04F2E121" w14:textId="2AA7F61E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56" w:name="section(e)(e)(1)(e)(1)(F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(F)</w:t>
      </w:r>
      <w:bookmarkEnd w:id="156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qualified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redevelopment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bond,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or</w:t>
      </w:r>
    </w:p>
    <w:p w14:paraId="74B36396" w14:textId="6333F976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57" w:name="section(e)(e)(1)(e)(1)(G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lastRenderedPageBreak/>
        <w:t>(G)</w:t>
      </w:r>
      <w:bookmarkEnd w:id="157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qualified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501(c)(3)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bond.</w:t>
      </w:r>
    </w:p>
    <w:p w14:paraId="21005EF7" w14:textId="771FF2E4" w:rsidR="00311404" w:rsidRPr="00763CE5" w:rsidRDefault="00311404" w:rsidP="00763CE5">
      <w:pPr>
        <w:shd w:val="clear" w:color="auto" w:fill="FFFFFF"/>
        <w:spacing w:beforeLines="40" w:before="96"/>
        <w:rPr>
          <w:rFonts w:ascii="Avenir Next P for BBG" w:hAnsi="Avenir Next P for BBG" w:cs="Open Sans"/>
          <w:sz w:val="18"/>
          <w:szCs w:val="18"/>
        </w:rPr>
      </w:pPr>
      <w:bookmarkStart w:id="158" w:name="section(e)(e)(2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(2)</w:t>
      </w:r>
      <w:bookmarkEnd w:id="158"/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Volume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cap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—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bond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issued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part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issue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which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meets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applicable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requirements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section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hyperlink r:id="rId13" w:anchor="jcite" w:history="1">
        <w:r w:rsidRPr="00763CE5">
          <w:rPr>
            <w:rFonts w:ascii="Avenir Next P for BBG" w:hAnsi="Avenir Next P for BBG" w:cs="Open Sans"/>
            <w:sz w:val="18"/>
            <w:szCs w:val="18"/>
          </w:rPr>
          <w:t>146</w:t>
        </w:r>
      </w:hyperlink>
      <w:r w:rsidRPr="00763CE5">
        <w:rPr>
          <w:rFonts w:ascii="Avenir Next P for BBG" w:hAnsi="Avenir Next P for BBG" w:cs="Open Sans"/>
          <w:sz w:val="18"/>
          <w:szCs w:val="18"/>
        </w:rPr>
        <w:t>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and</w:t>
      </w:r>
    </w:p>
    <w:p w14:paraId="2647EBBF" w14:textId="255CCB8F" w:rsidR="00311404" w:rsidRPr="001C359C" w:rsidRDefault="00311404" w:rsidP="00D250E4">
      <w:pPr>
        <w:shd w:val="clear" w:color="auto" w:fill="FFFFFF"/>
        <w:spacing w:beforeLines="40" w:before="96"/>
        <w:rPr>
          <w:rFonts w:ascii="Avenir Next P for BBG" w:hAnsi="Avenir Next P for BBG" w:cstheme="minorHAnsi"/>
          <w:color w:val="333333"/>
        </w:rPr>
      </w:pPr>
      <w:bookmarkStart w:id="159" w:name="section(e)(e)(3)_0"/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(3)</w:t>
      </w:r>
      <w:bookmarkEnd w:id="159"/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Other</w:t>
      </w:r>
      <w:r>
        <w:rPr>
          <w:rFonts w:ascii="Avenir Next P for BBG" w:hAnsi="Avenir Next P for BBG" w:cs="Open Sans"/>
          <w:b/>
          <w:bCs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b/>
          <w:bCs/>
          <w:sz w:val="18"/>
          <w:szCs w:val="18"/>
        </w:rPr>
        <w:t>requirements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—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bond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meets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the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applicable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requirements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each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subsection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of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763CE5">
        <w:rPr>
          <w:rFonts w:ascii="Avenir Next P for BBG" w:hAnsi="Avenir Next P for BBG" w:cs="Open Sans"/>
          <w:sz w:val="18"/>
          <w:szCs w:val="18"/>
        </w:rPr>
        <w:t>section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hyperlink r:id="rId14" w:anchor="jcite" w:history="1">
        <w:r w:rsidRPr="00763CE5">
          <w:rPr>
            <w:rFonts w:ascii="Avenir Next P for BBG" w:hAnsi="Avenir Next P for BBG" w:cs="Open Sans"/>
            <w:sz w:val="18"/>
            <w:szCs w:val="18"/>
          </w:rPr>
          <w:t>147</w:t>
        </w:r>
      </w:hyperlink>
      <w:r w:rsidRPr="00763CE5">
        <w:rPr>
          <w:rFonts w:ascii="Avenir Next P for BBG" w:hAnsi="Avenir Next P for BBG" w:cs="Open Sans"/>
          <w:sz w:val="18"/>
          <w:szCs w:val="18"/>
        </w:rPr>
        <w:t>.</w:t>
      </w:r>
    </w:p>
    <w:p w14:paraId="25EA4EF6" w14:textId="77777777" w:rsidR="00311404" w:rsidRDefault="00311404" w:rsidP="00E1589E"/>
    <w:p w14:paraId="1FA69031" w14:textId="302BB2D6" w:rsidR="00311404" w:rsidRDefault="00311404">
      <w:r>
        <w:br w:type="page"/>
      </w:r>
    </w:p>
    <w:p w14:paraId="6AD1E7AE" w14:textId="6E00D952" w:rsidR="00311404" w:rsidRPr="001C359C" w:rsidRDefault="00311404" w:rsidP="005B7689">
      <w:pPr>
        <w:pStyle w:val="level1"/>
        <w:spacing w:before="0" w:beforeAutospacing="0" w:after="0" w:afterAutospacing="0"/>
        <w:rPr>
          <w:rFonts w:ascii="Avenir Next P for BBG" w:hAnsi="Avenir Next P for BBG" w:cstheme="minorBidi"/>
          <w:color w:val="333333"/>
          <w:sz w:val="22"/>
          <w:szCs w:val="22"/>
        </w:rPr>
      </w:pPr>
      <w:r w:rsidRPr="089BDE62">
        <w:rPr>
          <w:rFonts w:ascii="Avenir Next P for BBG" w:eastAsiaTheme="majorEastAsia" w:hAnsi="Avenir Next P for BBG" w:cstheme="minorBidi"/>
          <w:b/>
          <w:sz w:val="22"/>
          <w:szCs w:val="22"/>
        </w:rPr>
        <w:lastRenderedPageBreak/>
        <w:t>SEC.</w:t>
      </w:r>
      <w:r>
        <w:rPr>
          <w:rFonts w:ascii="Avenir Next P for BBG" w:eastAsiaTheme="majorEastAsia" w:hAnsi="Avenir Next P for BBG" w:cstheme="minorBidi"/>
          <w:b/>
          <w:sz w:val="22"/>
          <w:szCs w:val="22"/>
        </w:rPr>
        <w:t xml:space="preserve"> </w:t>
      </w:r>
      <w:r w:rsidRPr="00AC6A07">
        <w:rPr>
          <w:rFonts w:ascii="Avenir Next P for BBG" w:eastAsiaTheme="majorEastAsia" w:hAnsi="Avenir Next P for BBG" w:cstheme="minorBidi"/>
          <w:b/>
          <w:sz w:val="22"/>
          <w:szCs w:val="22"/>
        </w:rPr>
        <w:t>142.</w:t>
      </w:r>
      <w:r>
        <w:rPr>
          <w:rFonts w:ascii="Avenir Next P for BBG" w:eastAsiaTheme="majorEastAsia" w:hAnsi="Avenir Next P for BBG" w:cstheme="minorBidi"/>
          <w:b/>
          <w:sz w:val="22"/>
          <w:szCs w:val="22"/>
        </w:rPr>
        <w:t xml:space="preserve"> </w:t>
      </w:r>
      <w:r w:rsidRPr="00AC6A07">
        <w:rPr>
          <w:rFonts w:ascii="Avenir Next P for BBG" w:eastAsiaTheme="majorEastAsia" w:hAnsi="Avenir Next P for BBG" w:cstheme="minorBidi"/>
          <w:b/>
          <w:sz w:val="22"/>
          <w:szCs w:val="22"/>
        </w:rPr>
        <w:t>EXEMPT</w:t>
      </w:r>
      <w:r>
        <w:rPr>
          <w:rFonts w:ascii="Avenir Next P for BBG" w:eastAsiaTheme="majorEastAsia" w:hAnsi="Avenir Next P for BBG" w:cstheme="minorBidi"/>
          <w:b/>
          <w:sz w:val="22"/>
          <w:szCs w:val="22"/>
        </w:rPr>
        <w:t xml:space="preserve"> </w:t>
      </w:r>
      <w:r w:rsidRPr="00AC6A07">
        <w:rPr>
          <w:rFonts w:ascii="Avenir Next P for BBG" w:eastAsiaTheme="majorEastAsia" w:hAnsi="Avenir Next P for BBG" w:cstheme="minorBidi"/>
          <w:b/>
          <w:sz w:val="22"/>
          <w:szCs w:val="22"/>
        </w:rPr>
        <w:t>FACILITY</w:t>
      </w:r>
      <w:r>
        <w:rPr>
          <w:rFonts w:ascii="Avenir Next P for BBG" w:eastAsiaTheme="majorEastAsia" w:hAnsi="Avenir Next P for BBG" w:cstheme="minorBidi"/>
          <w:b/>
          <w:sz w:val="22"/>
          <w:szCs w:val="22"/>
        </w:rPr>
        <w:t xml:space="preserve"> </w:t>
      </w:r>
      <w:r w:rsidRPr="00AC6A07">
        <w:rPr>
          <w:rFonts w:ascii="Avenir Next P for BBG" w:eastAsiaTheme="majorEastAsia" w:hAnsi="Avenir Next P for BBG" w:cstheme="minorBidi"/>
          <w:b/>
          <w:sz w:val="22"/>
          <w:szCs w:val="22"/>
        </w:rPr>
        <w:t>BOND</w:t>
      </w:r>
      <w:r w:rsidRPr="089BDE62">
        <w:rPr>
          <w:rFonts w:ascii="Avenir Next P for BBG" w:eastAsiaTheme="majorEastAsia" w:hAnsi="Avenir Next P for BBG" w:cstheme="minorBidi"/>
          <w:b/>
          <w:sz w:val="22"/>
          <w:szCs w:val="22"/>
        </w:rPr>
        <w:t>.</w:t>
      </w:r>
      <w:r>
        <w:rPr>
          <w:rFonts w:ascii="Avenir Next P for BBG" w:eastAsiaTheme="majorEastAsia" w:hAnsi="Avenir Next P for BBG" w:cstheme="minorBidi"/>
          <w:b/>
          <w:sz w:val="22"/>
          <w:szCs w:val="22"/>
        </w:rPr>
        <w:t xml:space="preserve"> </w:t>
      </w:r>
      <w:r>
        <w:rPr>
          <w:rFonts w:eastAsiaTheme="majorEastAsia"/>
        </w:rPr>
        <w:br/>
      </w:r>
      <w:r w:rsidRPr="089BDE62">
        <w:rPr>
          <w:rFonts w:ascii="Avenir Next P for BBG" w:eastAsiaTheme="majorEastAsia" w:hAnsi="Avenir Next P for BBG" w:cstheme="minorBidi"/>
          <w:b/>
          <w:color w:val="333333"/>
          <w:sz w:val="22"/>
          <w:szCs w:val="22"/>
        </w:rPr>
        <w:t>(P.L.</w:t>
      </w:r>
      <w:r>
        <w:rPr>
          <w:rFonts w:ascii="Avenir Next P for BBG" w:eastAsiaTheme="majorEastAsia" w:hAnsi="Avenir Next P for BBG" w:cstheme="minorBidi"/>
          <w:b/>
          <w:color w:val="333333"/>
          <w:sz w:val="22"/>
          <w:szCs w:val="22"/>
        </w:rPr>
        <w:t xml:space="preserve"> </w:t>
      </w:r>
      <w:r w:rsidRPr="089BDE62">
        <w:rPr>
          <w:rFonts w:ascii="Avenir Next P for BBG" w:eastAsiaTheme="majorEastAsia" w:hAnsi="Avenir Next P for BBG" w:cstheme="minorBidi"/>
          <w:b/>
          <w:color w:val="333333"/>
          <w:sz w:val="22"/>
          <w:szCs w:val="22"/>
        </w:rPr>
        <w:t>117-58)</w:t>
      </w:r>
    </w:p>
    <w:p w14:paraId="11B1E0D2" w14:textId="1ACA0001" w:rsidR="00311404" w:rsidRPr="001C359C" w:rsidRDefault="00311404" w:rsidP="00B57EC9">
      <w:pPr>
        <w:pStyle w:val="level1"/>
        <w:tabs>
          <w:tab w:val="left" w:pos="1740"/>
        </w:tabs>
        <w:spacing w:before="0" w:beforeAutospacing="0" w:after="0" w:afterAutospacing="0"/>
        <w:rPr>
          <w:rFonts w:ascii="Avenir Next P for BBG" w:hAnsi="Avenir Next P for BBG" w:cstheme="minorHAnsi"/>
          <w:color w:val="FFFFFF" w:themeColor="background1"/>
          <w:sz w:val="22"/>
          <w:szCs w:val="22"/>
        </w:rPr>
      </w:pPr>
      <w:r w:rsidRPr="001C359C">
        <w:rPr>
          <w:rFonts w:ascii="Avenir Next P for BBG" w:eastAsiaTheme="majorEastAsia" w:hAnsi="Avenir Next P for BBG" w:cstheme="minorHAnsi"/>
          <w:b/>
          <w:bCs/>
          <w:color w:val="FFFFFF" w:themeColor="background1"/>
          <w:sz w:val="22"/>
          <w:szCs w:val="22"/>
        </w:rPr>
        <w:t>PRIOR</w:t>
      </w:r>
      <w:r>
        <w:rPr>
          <w:rFonts w:ascii="Avenir Next P for BBG" w:eastAsiaTheme="majorEastAsia" w:hAnsi="Avenir Next P for BBG" w:cstheme="minorHAnsi"/>
          <w:b/>
          <w:bCs/>
          <w:color w:val="FFFFFF" w:themeColor="background1"/>
          <w:sz w:val="22"/>
          <w:szCs w:val="22"/>
        </w:rPr>
        <w:t xml:space="preserve"> </w:t>
      </w:r>
      <w:r w:rsidRPr="001C359C">
        <w:rPr>
          <w:rFonts w:ascii="Avenir Next P for BBG" w:eastAsiaTheme="majorEastAsia" w:hAnsi="Avenir Next P for BBG" w:cstheme="minorHAnsi"/>
          <w:b/>
          <w:bCs/>
          <w:color w:val="FFFFFF" w:themeColor="background1"/>
          <w:sz w:val="22"/>
          <w:szCs w:val="22"/>
        </w:rPr>
        <w:t>LAW</w:t>
      </w:r>
    </w:p>
    <w:p w14:paraId="700A8D43" w14:textId="6B2AD2BC" w:rsidR="00311404" w:rsidRPr="00AC6A07" w:rsidRDefault="00311404" w:rsidP="00A22F81">
      <w:pPr>
        <w:spacing w:before="40"/>
        <w:rPr>
          <w:rFonts w:ascii="Avenir Next P for BBG" w:hAnsi="Avenir Next P for BBG" w:cstheme="minorHAnsi"/>
          <w:noProof/>
          <w:color w:val="000000"/>
          <w:sz w:val="20"/>
          <w:szCs w:val="20"/>
        </w:rPr>
      </w:pPr>
      <w:r w:rsidRPr="00AC6A07">
        <w:rPr>
          <w:rFonts w:ascii="Avenir Next P for BBG" w:eastAsiaTheme="majorEastAsia" w:hAnsi="Avenir Next P for BBG"/>
          <w:b/>
          <w:sz w:val="20"/>
          <w:szCs w:val="20"/>
        </w:rPr>
        <w:t>SEC.</w:t>
      </w:r>
      <w:r>
        <w:rPr>
          <w:rFonts w:ascii="Avenir Next P for BBG" w:eastAsiaTheme="majorEastAsia" w:hAnsi="Avenir Next P for BBG"/>
          <w:b/>
          <w:sz w:val="20"/>
          <w:szCs w:val="20"/>
        </w:rPr>
        <w:t xml:space="preserve"> </w:t>
      </w:r>
      <w:r w:rsidRPr="00AC6A07">
        <w:rPr>
          <w:rFonts w:ascii="Avenir Next P for BBG" w:eastAsiaTheme="majorEastAsia" w:hAnsi="Avenir Next P for BBG"/>
          <w:b/>
          <w:sz w:val="20"/>
          <w:szCs w:val="20"/>
        </w:rPr>
        <w:t>142.</w:t>
      </w:r>
      <w:r>
        <w:rPr>
          <w:rFonts w:ascii="Avenir Next P for BBG" w:eastAsiaTheme="majorEastAsia" w:hAnsi="Avenir Next P for BBG"/>
          <w:b/>
          <w:sz w:val="20"/>
          <w:szCs w:val="20"/>
        </w:rPr>
        <w:t xml:space="preserve"> </w:t>
      </w:r>
      <w:r w:rsidRPr="00AC6A07">
        <w:rPr>
          <w:rFonts w:ascii="Avenir Next P for BBG" w:eastAsiaTheme="majorEastAsia" w:hAnsi="Avenir Next P for BBG"/>
          <w:b/>
          <w:sz w:val="20"/>
          <w:szCs w:val="20"/>
        </w:rPr>
        <w:t>EXEMPT</w:t>
      </w:r>
      <w:r>
        <w:rPr>
          <w:rFonts w:ascii="Avenir Next P for BBG" w:eastAsiaTheme="majorEastAsia" w:hAnsi="Avenir Next P for BBG"/>
          <w:b/>
          <w:sz w:val="20"/>
          <w:szCs w:val="20"/>
        </w:rPr>
        <w:t xml:space="preserve"> </w:t>
      </w:r>
      <w:r w:rsidRPr="00AC6A07">
        <w:rPr>
          <w:rFonts w:ascii="Avenir Next P for BBG" w:eastAsiaTheme="majorEastAsia" w:hAnsi="Avenir Next P for BBG"/>
          <w:b/>
          <w:sz w:val="20"/>
          <w:szCs w:val="20"/>
        </w:rPr>
        <w:t>FACILITY</w:t>
      </w:r>
      <w:r>
        <w:rPr>
          <w:rFonts w:ascii="Avenir Next P for BBG" w:eastAsiaTheme="majorEastAsia" w:hAnsi="Avenir Next P for BBG"/>
          <w:b/>
          <w:sz w:val="20"/>
          <w:szCs w:val="20"/>
        </w:rPr>
        <w:t xml:space="preserve"> </w:t>
      </w:r>
      <w:r w:rsidRPr="00AC6A07">
        <w:rPr>
          <w:rFonts w:ascii="Avenir Next P for BBG" w:eastAsiaTheme="majorEastAsia" w:hAnsi="Avenir Next P for BBG"/>
          <w:b/>
          <w:sz w:val="20"/>
          <w:szCs w:val="20"/>
        </w:rPr>
        <w:t>BOND.</w:t>
      </w:r>
      <w:r>
        <w:rPr>
          <w:rFonts w:ascii="Avenir Next P for BBG" w:eastAsiaTheme="majorEastAsia" w:hAnsi="Avenir Next P for BBG"/>
          <w:b/>
          <w:sz w:val="20"/>
          <w:szCs w:val="20"/>
        </w:rPr>
        <w:t xml:space="preserve"> </w:t>
      </w:r>
    </w:p>
    <w:p w14:paraId="500843BA" w14:textId="69D37564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(a)</w:t>
      </w:r>
      <w:hyperlink r:id="rId15" w:tooltip="26 U.S.C. § 142(a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General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rule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part,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“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exempt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”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means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95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percent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more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net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proceeds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used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provide—</w:t>
      </w:r>
    </w:p>
    <w:p w14:paraId="681B1A39" w14:textId="79560712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(1)</w:t>
      </w:r>
      <w:hyperlink r:id="rId16" w:tooltip="26 U.S.C. § 142(a)(1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airports,</w:t>
      </w:r>
    </w:p>
    <w:p w14:paraId="72C9ECDF" w14:textId="77E31FC9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(2)</w:t>
      </w:r>
      <w:hyperlink r:id="rId17" w:tooltip="26 U.S.C. § 142(a)(2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docks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wharves,</w:t>
      </w:r>
    </w:p>
    <w:p w14:paraId="479123FE" w14:textId="4A9F0BDE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(3)</w:t>
      </w:r>
      <w:hyperlink r:id="rId18" w:tooltip="26 U.S.C. § 142(a)(3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commuting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facilities,</w:t>
      </w:r>
    </w:p>
    <w:p w14:paraId="261EA037" w14:textId="6BDDC5A9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(4)</w:t>
      </w:r>
      <w:hyperlink r:id="rId19" w:tooltip="26 U.S.C. § 142(a)(4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facilities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furnishing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water,</w:t>
      </w:r>
    </w:p>
    <w:p w14:paraId="7FF528C1" w14:textId="0D18B2F8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(5)</w:t>
      </w:r>
      <w:hyperlink r:id="rId20" w:tooltip="26 U.S.C. § 142(a)(5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sewage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facilities,</w:t>
      </w:r>
    </w:p>
    <w:p w14:paraId="7B297EF4" w14:textId="6634CFED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(6)</w:t>
      </w:r>
      <w:hyperlink r:id="rId21" w:tooltip="26 U.S.C. § 142(a)(6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solid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waste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disposal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facilities,</w:t>
      </w:r>
    </w:p>
    <w:p w14:paraId="01F846D0" w14:textId="444FB821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(7)</w:t>
      </w:r>
      <w:hyperlink r:id="rId22" w:tooltip="26 U.S.C. § 142(a)(7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residential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rental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projects,</w:t>
      </w:r>
    </w:p>
    <w:p w14:paraId="2CC149E5" w14:textId="72E4E74A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(8)</w:t>
      </w:r>
      <w:hyperlink r:id="rId23" w:tooltip="26 U.S.C. § 142(a)(8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facilities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local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furnishing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electric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energy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gas,</w:t>
      </w:r>
    </w:p>
    <w:p w14:paraId="0E3C8FBE" w14:textId="461C8CF3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(9)</w:t>
      </w:r>
      <w:hyperlink r:id="rId24" w:tooltip="26 U.S.C. § 142(a)(9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local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district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heating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cooling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facilities,</w:t>
      </w:r>
    </w:p>
    <w:p w14:paraId="44632352" w14:textId="65240A7C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(10)</w:t>
      </w:r>
      <w:hyperlink r:id="rId25" w:tooltip="26 U.S.C. § 142(a)(10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hazardous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waste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facilities,</w:t>
      </w:r>
    </w:p>
    <w:p w14:paraId="2A4EDC94" w14:textId="12CF381D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(11)</w:t>
      </w:r>
      <w:hyperlink r:id="rId26" w:tooltip="26 U.S.C. § 142(a)(11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high-speed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intercity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rail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facilities,</w:t>
      </w:r>
    </w:p>
    <w:p w14:paraId="2E70E0CD" w14:textId="5927530A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(12)</w:t>
      </w:r>
      <w:hyperlink r:id="rId27" w:tooltip="26 U.S.C. § 142(a)(12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environmental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enhancements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hydroelectric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generating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facilities,</w:t>
      </w:r>
    </w:p>
    <w:p w14:paraId="3B6CD371" w14:textId="68E34AA4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(13)</w:t>
      </w:r>
      <w:hyperlink r:id="rId28" w:tooltip="26 U.S.C. § 142(a)(13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public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educational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facilities,</w:t>
      </w:r>
    </w:p>
    <w:p w14:paraId="58F86E04" w14:textId="4A0479BC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(14)</w:t>
      </w:r>
      <w:hyperlink r:id="rId29" w:tooltip="26 U.S.C. § 142(a)(14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green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building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sustainable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design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projects,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</w:p>
    <w:p w14:paraId="4DA172BC" w14:textId="0CAA8573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(15)</w:t>
      </w:r>
      <w:hyperlink r:id="rId30" w:tooltip="26 U.S.C. § 142(a)(15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highway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surface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freight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transfer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facilities.</w:t>
      </w:r>
    </w:p>
    <w:p w14:paraId="45BB639F" w14:textId="24120562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(b)</w:t>
      </w:r>
      <w:hyperlink r:id="rId31" w:tooltip="26 U.S.C. § 142(b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Special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exempt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facility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bond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rules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(a)—</w:t>
      </w:r>
    </w:p>
    <w:p w14:paraId="40E9B5FC" w14:textId="2E83BD6E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(1)</w:t>
      </w:r>
      <w:hyperlink r:id="rId32" w:tooltip="26 U.S.C. § 142(b)(1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Certain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facilities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must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be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governmentally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owned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</w:p>
    <w:p w14:paraId="60F75B9D" w14:textId="4639319F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(A)</w:t>
      </w:r>
      <w:hyperlink r:id="rId33" w:tooltip="26 U.S.C. § 142(b)(1)(A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In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general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treated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(1),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(2),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(3),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(12)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only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property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financed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net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proceeds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owned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governmental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unit.</w:t>
      </w:r>
    </w:p>
    <w:p w14:paraId="0C82726D" w14:textId="1C7FBFB2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(B)</w:t>
      </w:r>
      <w:hyperlink r:id="rId34" w:tooltip="26 U.S.C. § 142(b)(1)(B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Safe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harbor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for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leases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and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management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contracts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property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leased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governmental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treated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owned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governmental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if—</w:t>
      </w:r>
    </w:p>
    <w:p w14:paraId="036C71A7" w14:textId="6B245CFB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</w:t>
      </w:r>
      <w:proofErr w:type="spellStart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i</w:t>
      </w:r>
      <w:proofErr w:type="spellEnd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hyperlink r:id="rId35" w:tooltip="26 U.S.C. § 142(b)(1)(B)(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lessee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makes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irrevocable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election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(binding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lessee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successors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interest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lease)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claim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depreciation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investment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credit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respect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property,</w:t>
      </w:r>
    </w:p>
    <w:p w14:paraId="7250D407" w14:textId="53A66654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hyperlink r:id="rId36" w:tooltip="26 U.S.C. § 142(b)(1)(B)(ii)" w:history="1"/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lease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defined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168(</w:t>
      </w:r>
      <w:proofErr w:type="spellStart"/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</w:t>
      </w:r>
      <w:proofErr w:type="spellEnd"/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)(3))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more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80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percent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reasonably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expected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economic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life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property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determined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147(b)),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21E311DF" w14:textId="07FE8017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(iii)</w:t>
      </w:r>
      <w:hyperlink r:id="rId37" w:tooltip="26 U.S.C. § 142(b)(1)(B)(ii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lessee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option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purchase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property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other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fair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market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value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time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option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exercised).</w:t>
      </w:r>
    </w:p>
    <w:p w14:paraId="1F315F45" w14:textId="449B8F59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Rules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proofErr w:type="gramStart"/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similar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proofErr w:type="gramEnd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rules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preceding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sentence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management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contracts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similar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types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operating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agreements.</w:t>
      </w:r>
    </w:p>
    <w:p w14:paraId="4420A9F1" w14:textId="7F68C325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lastRenderedPageBreak/>
        <w:t>(2)</w:t>
      </w:r>
      <w:hyperlink r:id="rId38" w:tooltip="26 U.S.C. § 142(b)(2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Limitation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on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office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space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office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treated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unless—</w:t>
      </w:r>
    </w:p>
    <w:p w14:paraId="34244E28" w14:textId="2A88AE93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(A)</w:t>
      </w:r>
      <w:hyperlink r:id="rId39" w:tooltip="26 U.S.C. § 142(b)(2)(A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office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located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premises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paragraph,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6FD71292" w14:textId="37A13921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(B)</w:t>
      </w:r>
      <w:hyperlink r:id="rId40" w:tooltip="26 U.S.C. § 142(b)(2)(B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more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minimis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functions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performed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office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directly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day-to-day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operations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facility.</w:t>
      </w:r>
    </w:p>
    <w:p w14:paraId="28F0542A" w14:textId="0777DCD0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(c)</w:t>
      </w:r>
      <w:hyperlink r:id="rId41" w:tooltip="26 U.S.C. § 142(c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Airports,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docks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and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wharves,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mass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commuting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facilities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and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high-speed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intercity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rail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facilities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(a)—</w:t>
      </w:r>
    </w:p>
    <w:p w14:paraId="26D9A31B" w14:textId="35BCD8AB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(1)</w:t>
      </w:r>
      <w:hyperlink r:id="rId42" w:tooltip="26 U.S.C. § 142(c)(1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Storage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and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training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facilities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Storage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training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facilities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directly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(1),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(2),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(3)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(11)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treated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described.</w:t>
      </w:r>
    </w:p>
    <w:p w14:paraId="0653001B" w14:textId="04370323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(2)</w:t>
      </w:r>
      <w:hyperlink r:id="rId43" w:tooltip="26 U.S.C. § 142(c)(2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Exception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for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certain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private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facilities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Property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treated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(1),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(2),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(3)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(11)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property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following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subparagraphs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used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private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business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defined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141(b)(6)).</w:t>
      </w:r>
    </w:p>
    <w:p w14:paraId="3937AF40" w14:textId="1538BC44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(A)</w:t>
      </w:r>
      <w:hyperlink r:id="rId44" w:tooltip="26 U.S.C. § 142(c)(2)(A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lodging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facility.</w:t>
      </w:r>
    </w:p>
    <w:p w14:paraId="284B00DE" w14:textId="622DB1F2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(B)</w:t>
      </w:r>
      <w:hyperlink r:id="rId45" w:tooltip="26 U.S.C. § 142(c)(2)(B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retail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(including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food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beverage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facilities)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excess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size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necessary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serve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passengers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employees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exempt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facility.</w:t>
      </w:r>
    </w:p>
    <w:p w14:paraId="606D1D96" w14:textId="1F9F50C0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(C)</w:t>
      </w:r>
      <w:hyperlink r:id="rId46" w:tooltip="26 U.S.C. § 142(c)(2)(C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retail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(other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parking)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passengers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general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public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located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outside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exempt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terminal.</w:t>
      </w:r>
    </w:p>
    <w:p w14:paraId="5514F4A2" w14:textId="5E619606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(D)</w:t>
      </w:r>
      <w:hyperlink r:id="rId47" w:tooltip="26 U.S.C. § 142(c)(2)(D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office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building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individuals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employees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governmental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operating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authority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exempt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facility.</w:t>
      </w:r>
    </w:p>
    <w:p w14:paraId="1FF9CF55" w14:textId="0781B7FF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(E)</w:t>
      </w:r>
      <w:hyperlink r:id="rId48" w:tooltip="26 U.S.C. § 142(c)(2)(E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industrial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park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manufacturing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facility.</w:t>
      </w:r>
    </w:p>
    <w:p w14:paraId="4D93B99C" w14:textId="5F6F12BF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(d)</w:t>
      </w:r>
      <w:hyperlink r:id="rId49" w:tooltip="26 U.S.C. § 142(d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Qualified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residential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rental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section—</w:t>
      </w:r>
    </w:p>
    <w:p w14:paraId="37446552" w14:textId="7BD507D4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(1)</w:t>
      </w:r>
      <w:hyperlink r:id="rId50" w:tooltip="26 U.S.C. § 142(d)(1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In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general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“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residential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rental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”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means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residential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rental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property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if,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times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during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period,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meets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requirements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(B),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whichever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elected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time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issuance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respect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project:</w:t>
      </w:r>
    </w:p>
    <w:p w14:paraId="55EFD7D9" w14:textId="354FD596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(A)</w:t>
      </w:r>
      <w:hyperlink r:id="rId51" w:tooltip="26 U.S.C. § 142(d)(1)(A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20–50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test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meets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requirements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20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percent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more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residential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occupied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individuals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whose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50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percent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less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median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gross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income.</w:t>
      </w:r>
    </w:p>
    <w:p w14:paraId="6D389099" w14:textId="45F8DDFD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(B)</w:t>
      </w:r>
      <w:hyperlink r:id="rId52" w:tooltip="26 U.S.C. § 142(d)(1)(B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40–60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test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meets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requirements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40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percent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more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residential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occupied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individuals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whose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60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percent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less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median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gross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income.</w:t>
      </w:r>
    </w:p>
    <w:p w14:paraId="2E102595" w14:textId="5E41382E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proofErr w:type="gramStart"/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proofErr w:type="gramEnd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paragraph,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property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treated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failing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residential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rental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property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merely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because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building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property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located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used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other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residential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rental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purposes.</w:t>
      </w:r>
    </w:p>
    <w:p w14:paraId="3C7EA377" w14:textId="3964CBC9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(2)</w:t>
      </w:r>
      <w:hyperlink r:id="rId53" w:tooltip="26 U.S.C. § 142(d)(2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Definitions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and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special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rules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subsection—</w:t>
      </w:r>
    </w:p>
    <w:p w14:paraId="6151DA01" w14:textId="23F65640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(A)</w:t>
      </w:r>
      <w:hyperlink r:id="rId54" w:tooltip="26 U.S.C. § 142(d)(2)(A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Qualified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project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period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“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period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”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means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period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beginning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1st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day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percent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residential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occupied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latest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of—</w:t>
      </w:r>
    </w:p>
    <w:p w14:paraId="1C254709" w14:textId="2D74E062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</w:t>
      </w:r>
      <w:proofErr w:type="spellStart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i</w:t>
      </w:r>
      <w:proofErr w:type="spellEnd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hyperlink r:id="rId55" w:tooltip="26 U.S.C. § 142(d)(2)(A)(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15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years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after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50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percent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residential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occupied,</w:t>
      </w:r>
    </w:p>
    <w:p w14:paraId="5D22E29C" w14:textId="5FFDC528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(ii)</w:t>
      </w:r>
      <w:hyperlink r:id="rId56" w:tooltip="26 U.S.C. § 142(d)(2)(A)(i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1st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day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tax-exempt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private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activity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respect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outstanding,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</w:p>
    <w:p w14:paraId="1E5C594F" w14:textId="5A0A374D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lastRenderedPageBreak/>
        <w:t>(iii)</w:t>
      </w:r>
      <w:hyperlink r:id="rId57" w:tooltip="26 U.S.C. § 142(d)(2)(A)(ii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assistance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provided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respect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8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States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Housing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1937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terminates.</w:t>
      </w:r>
    </w:p>
    <w:p w14:paraId="57DAEEFC" w14:textId="141DC399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(B)</w:t>
      </w:r>
      <w:hyperlink r:id="rId58" w:tooltip="26 U.S.C. § 142(d)(2)(B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Income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of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individuals;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area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median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gross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income</w:t>
      </w:r>
    </w:p>
    <w:p w14:paraId="050F17BC" w14:textId="13798CA1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</w:t>
      </w:r>
      <w:proofErr w:type="spellStart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i</w:t>
      </w:r>
      <w:proofErr w:type="spellEnd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hyperlink r:id="rId59" w:tooltip="26 U.S.C. § 142(d)(2)(B)(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In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general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individuals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median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gross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determined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Secretary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manner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consistent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determinations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lower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families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median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gross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8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States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Housing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1937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(or,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program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terminated,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program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effect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immediately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before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termination).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Determinations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preceding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sentence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include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adjustments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family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size.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(g)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(h)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7872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determining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individuals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subparagraph.</w:t>
      </w:r>
    </w:p>
    <w:p w14:paraId="2F0E4723" w14:textId="77C7448A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(ii)</w:t>
      </w:r>
      <w:hyperlink r:id="rId60" w:tooltip="26 U.S.C. § 142(d)(2)(B)(i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Special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rule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relating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to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basic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housing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allowances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determining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subparagraph,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payments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311404">
        <w:rPr>
          <w:rFonts w:ascii="Avenir Next P for BBG" w:hAnsi="Avenir Next P for BBG" w:cs="Open Sans"/>
          <w:sz w:val="18"/>
          <w:szCs w:val="18"/>
        </w:rPr>
        <w:t>section 403 of title 37</w:t>
      </w:r>
      <w:r w:rsidRPr="004B7121">
        <w:rPr>
          <w:rFonts w:ascii="Avenir Next P for BBG" w:hAnsi="Avenir Next P for BBG" w:cs="Open Sans"/>
          <w:sz w:val="18"/>
          <w:szCs w:val="18"/>
        </w:rPr>
        <w:t>,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4B7121">
        <w:rPr>
          <w:rFonts w:ascii="Avenir Next P for BBG" w:hAnsi="Avenir Next P for BBG" w:cs="Open Sans"/>
          <w:sz w:val="18"/>
          <w:szCs w:val="18"/>
        </w:rPr>
        <w:t>United</w:t>
      </w:r>
      <w:r>
        <w:rPr>
          <w:rFonts w:ascii="Avenir Next P for BBG" w:hAnsi="Avenir Next P for BBG" w:cs="Open Sans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States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Code,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basic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allowance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housing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disregarded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respect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building.</w:t>
      </w:r>
    </w:p>
    <w:p w14:paraId="51CBDA43" w14:textId="6FBD992C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(iii)</w:t>
      </w:r>
      <w:hyperlink r:id="rId61" w:tooltip="26 U.S.C. § 142(d)(2)(B)(ii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Qualified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building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clause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(ii),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“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building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”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means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building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located—</w:t>
      </w:r>
    </w:p>
    <w:p w14:paraId="1481204C" w14:textId="353E1B42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county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located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military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installation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number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members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Armed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Forces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States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assigned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based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out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military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installation,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June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2008,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increased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less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20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percent,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compared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number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December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31,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2005,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</w:p>
    <w:p w14:paraId="38C0C2ED" w14:textId="21255C01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county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adjacent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county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subclause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(I).</w:t>
      </w:r>
    </w:p>
    <w:p w14:paraId="5602C43B" w14:textId="0DC2AE4D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(iv)</w:t>
      </w:r>
      <w:hyperlink r:id="rId62" w:tooltip="26 U.S.C. § 142(d)(2)(B)(iv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Qualified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military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installation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clause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(iii),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“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military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installation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”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means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military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installation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number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members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Armed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Forces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States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assigned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June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2008,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less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1,000.</w:t>
      </w:r>
    </w:p>
    <w:p w14:paraId="432EE5DF" w14:textId="36073821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(C)</w:t>
      </w:r>
      <w:hyperlink r:id="rId63" w:tooltip="26 U.S.C. § 142(d)(2)(C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Students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Rules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similar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rules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42(</w:t>
      </w:r>
      <w:proofErr w:type="spellStart"/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</w:t>
      </w:r>
      <w:proofErr w:type="spellEnd"/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)(3)(D)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subsection.</w:t>
      </w:r>
    </w:p>
    <w:p w14:paraId="79357F10" w14:textId="0F3212F5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(D)</w:t>
      </w:r>
      <w:hyperlink r:id="rId64" w:tooltip="26 U.S.C. § 142(d)(2)(D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Single-room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occupancy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units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fail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treated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residential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merely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because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single-room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occupancy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(within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meaning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42).</w:t>
      </w:r>
    </w:p>
    <w:p w14:paraId="14588DF7" w14:textId="43838B8F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(E)</w:t>
      </w:r>
      <w:hyperlink r:id="rId65" w:tooltip="26 U.S.C. § 142(d)(2)(E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Hold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harmless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for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reductions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in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area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median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gross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</w:p>
    <w:p w14:paraId="244AE7AB" w14:textId="218AE79E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</w:t>
      </w:r>
      <w:proofErr w:type="spellStart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i</w:t>
      </w:r>
      <w:proofErr w:type="spellEnd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hyperlink r:id="rId66" w:tooltip="26 U.S.C. § 142(d)(2)(E)(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In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general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determination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median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gross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(B)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respect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calendar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year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after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2008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less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median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gross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determined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respect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calendar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year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preceding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calendar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year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determination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made.</w:t>
      </w:r>
    </w:p>
    <w:p w14:paraId="68A641AB" w14:textId="0C76BFAF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(ii)</w:t>
      </w:r>
      <w:hyperlink r:id="rId67" w:tooltip="26 U.S.C. § 142(d)(2)(E)(i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Special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rule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for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certain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census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changes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case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HUD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hold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harmless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impacted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median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gross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respect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calendar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year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after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2008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(hereafter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clause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referred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current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calendar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year)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greater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determined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without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regard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clause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of—</w:t>
      </w:r>
    </w:p>
    <w:p w14:paraId="4D321FF3" w14:textId="10BD3F0C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median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gross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determined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HUD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hold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harmless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policy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respect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calendar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year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2008,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plus</w:t>
      </w:r>
    </w:p>
    <w:p w14:paraId="17009D86" w14:textId="1B56AAED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increase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median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gross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determined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(B)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(determined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without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regard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HUD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hold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harmless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policy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subparagraph)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respect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current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calendar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year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over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median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gross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determined)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respect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calendar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year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2008.</w:t>
      </w:r>
    </w:p>
    <w:p w14:paraId="0DA7D4E8" w14:textId="62782E54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(iii)</w:t>
      </w:r>
      <w:hyperlink r:id="rId68" w:tooltip="26 U.S.C. § 142(d)(2)(E)(ii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HUD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hold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harmless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policy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“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HUD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hold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harmless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policy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”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means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regulations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policy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similar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rules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clause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</w:t>
      </w:r>
      <w:proofErr w:type="spellStart"/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</w:t>
      </w:r>
      <w:proofErr w:type="spellEnd"/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applied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prevent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change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method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determining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median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lastRenderedPageBreak/>
        <w:t>gross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from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resulting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reduction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median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gross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determined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respect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certain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calendar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years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2007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2008.</w:t>
      </w:r>
    </w:p>
    <w:p w14:paraId="7A9F76BC" w14:textId="4C7230CF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(iv)</w:t>
      </w:r>
      <w:hyperlink r:id="rId69" w:tooltip="26 U.S.C. § 142(d)(2)(E)(iv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HUD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hold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harmless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impacted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“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HUD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hold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harmless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impacted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”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means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respect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median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gross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determined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(B)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calendar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year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2007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2008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determination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would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have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been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less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but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HUD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hold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harmless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policy.</w:t>
      </w:r>
    </w:p>
    <w:p w14:paraId="529AFBD0" w14:textId="57D2E29F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(3)</w:t>
      </w:r>
      <w:hyperlink r:id="rId70" w:tooltip="26 U.S.C. § 142(d)(3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Current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income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determinations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subsection—</w:t>
      </w:r>
    </w:p>
    <w:p w14:paraId="1EBB3B99" w14:textId="520A8A40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(A)</w:t>
      </w:r>
      <w:hyperlink r:id="rId71" w:tooltip="26 U.S.C. § 142(d)(3)(A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In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general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determination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whether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resident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exceeds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applicable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limit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least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annually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basis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current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resident.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preceding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sentence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respect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year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during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year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residential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occupied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new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resident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whose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exceeds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applicable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limit.</w:t>
      </w:r>
    </w:p>
    <w:p w14:paraId="0FEA18AE" w14:textId="7766E0F4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(B)</w:t>
      </w:r>
      <w:hyperlink r:id="rId72" w:tooltip="26 U.S.C. § 142(d)(3)(B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Continuing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resident's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income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may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increase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above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the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applicable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limit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resident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did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exceed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applicable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limit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upon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commencement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resident's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occupancy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prior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determination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resident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treated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continuing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exceed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applicable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limit.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preceding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sentence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cease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resident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whose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most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recent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determination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exceeds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140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percent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applicable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limit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after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determination,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but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before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next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determination,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residential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comparable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smaller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size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same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occupied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new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resident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whose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exceeds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applicable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limit.</w:t>
      </w:r>
    </w:p>
    <w:p w14:paraId="22C17240" w14:textId="314B3035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(C)</w:t>
      </w:r>
      <w:hyperlink r:id="rId73" w:tooltip="26 U.S.C. § 142(d)(3)(C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Exception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for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projects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with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respect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to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which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affordable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housing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credit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is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allowed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case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respect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credit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allowed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42,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second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sentence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(B)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applied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substituting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“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building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(within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meaning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42)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”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“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>”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.</w:t>
      </w:r>
    </w:p>
    <w:p w14:paraId="7248CD13" w14:textId="7BDA2D8E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(4)</w:t>
      </w:r>
      <w:hyperlink r:id="rId74" w:tooltip="26 U.S.C. § 142(d)(4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Special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rule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in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case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of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deep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rent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skewing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</w:p>
    <w:p w14:paraId="6DF04B35" w14:textId="6EA355A1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(A)</w:t>
      </w:r>
      <w:hyperlink r:id="rId75" w:tooltip="26 U.S.C. § 142(d)(4)(A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In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general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case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(B),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2d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sentence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(B)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(3)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applied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substituting—</w:t>
      </w:r>
    </w:p>
    <w:p w14:paraId="36823374" w14:textId="67432806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</w:t>
      </w:r>
      <w:proofErr w:type="spellStart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i</w:t>
      </w:r>
      <w:proofErr w:type="spellEnd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hyperlink r:id="rId76" w:tooltip="26 U.S.C. § 142(d)(4)(A)(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“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170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percent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”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“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140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percent</w:t>
      </w:r>
      <w:r>
        <w:rPr>
          <w:rFonts w:ascii="Avenir Next P for BBG" w:hAnsi="Avenir Next P for BBG" w:cs="Open Sans"/>
          <w:color w:val="000000"/>
          <w:sz w:val="18"/>
          <w:szCs w:val="18"/>
        </w:rPr>
        <w:t>”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3BFCC514" w14:textId="62363AF8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(ii)</w:t>
      </w:r>
      <w:hyperlink r:id="rId77" w:tooltip="26 U.S.C. § 142(d)(4)(A)(i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“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low-income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same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occupied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new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resident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whose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exceeds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40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percent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median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gross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”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“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residential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comparable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smaller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size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same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occupied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new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resident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whose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exceeds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applicable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limit</w:t>
      </w:r>
      <w:r>
        <w:rPr>
          <w:rFonts w:ascii="Avenir Next P for BBG" w:hAnsi="Avenir Next P for BBG" w:cs="Open Sans"/>
          <w:color w:val="000000"/>
          <w:sz w:val="18"/>
          <w:szCs w:val="18"/>
        </w:rPr>
        <w:t>”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.</w:t>
      </w:r>
    </w:p>
    <w:p w14:paraId="6B21653B" w14:textId="33369D55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(B)</w:t>
      </w:r>
      <w:hyperlink r:id="rId78" w:tooltip="26 U.S.C. § 142(d)(4)(B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Deep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rent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skewed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owner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elects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have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times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during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period,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meets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requirements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clauses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</w:t>
      </w:r>
      <w:proofErr w:type="spellStart"/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</w:t>
      </w:r>
      <w:proofErr w:type="spellEnd"/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(ii),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(iii):</w:t>
      </w:r>
    </w:p>
    <w:p w14:paraId="7B3587E2" w14:textId="4814596D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</w:t>
      </w:r>
      <w:proofErr w:type="spellStart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i</w:t>
      </w:r>
      <w:proofErr w:type="spellEnd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hyperlink r:id="rId79" w:tooltip="26 U.S.C. § 142(d)(4)(B)(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meets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requirements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clause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15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percent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more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low-income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occupied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individuals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whose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40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percent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less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median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gross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income.</w:t>
      </w:r>
    </w:p>
    <w:p w14:paraId="4FAAE841" w14:textId="262338BF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(ii)</w:t>
      </w:r>
      <w:hyperlink r:id="rId80" w:tooltip="26 U.S.C. § 142(d)(4)(B)(i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meets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requirements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clause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gross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respect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each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low-income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does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exceed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30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percent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applicable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limit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applies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individuals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occupying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unit.</w:t>
      </w:r>
    </w:p>
    <w:p w14:paraId="6A9CE8E4" w14:textId="7C7192A9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(iii)</w:t>
      </w:r>
      <w:hyperlink r:id="rId81" w:tooltip="26 U.S.C. § 142(d)(4)(B)(ii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meets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requirements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clause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gross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respect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each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low-income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does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exceed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½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average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gross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respect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comparable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size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occupied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individuals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meet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applicable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limit.</w:t>
      </w:r>
    </w:p>
    <w:p w14:paraId="209F6685" w14:textId="0BC9C824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(C)</w:t>
      </w:r>
      <w:hyperlink r:id="rId82" w:tooltip="26 U.S.C. § 142(d)(4)(C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Definitions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applicable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to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subparagraph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(B)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(B)—</w:t>
      </w:r>
    </w:p>
    <w:p w14:paraId="1E2CC12E" w14:textId="68E0B3FA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lastRenderedPageBreak/>
        <w:t>(</w:t>
      </w:r>
      <w:proofErr w:type="spellStart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i</w:t>
      </w:r>
      <w:proofErr w:type="spellEnd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hyperlink r:id="rId83" w:tooltip="26 U.S.C. § 142(d)(4)(C)(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Low-income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unit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“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low-income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”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means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required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occupied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individuals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meet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applicable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limit.</w:t>
      </w:r>
    </w:p>
    <w:p w14:paraId="35FBB26A" w14:textId="6BE921EC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(ii)</w:t>
      </w:r>
      <w:hyperlink r:id="rId84" w:tooltip="26 U.S.C. § 142(d)(4)(C)(i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Gross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rent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“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gross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”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includes—</w:t>
      </w:r>
    </w:p>
    <w:p w14:paraId="13F868E6" w14:textId="6F565365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payment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8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States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Housing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1937,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3BDCF19B" w14:textId="4986E9A9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utility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allowance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determined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Secretary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after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proofErr w:type="gramStart"/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taking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account</w:t>
      </w:r>
      <w:proofErr w:type="gramEnd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determinations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proofErr w:type="gramStart"/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section</w:t>
      </w:r>
      <w:proofErr w:type="gramEnd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8.</w:t>
      </w:r>
    </w:p>
    <w:p w14:paraId="262DAE0A" w14:textId="22ECCB37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(5)</w:t>
      </w:r>
      <w:hyperlink r:id="rId85" w:tooltip="26 U.S.C. § 142(d)(5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Applicable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income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limit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paragraphs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(3)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(4),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“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applicable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income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limit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”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means—</w:t>
      </w:r>
    </w:p>
    <w:p w14:paraId="417A6A3C" w14:textId="05B5CD78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(A)</w:t>
      </w:r>
      <w:hyperlink r:id="rId86" w:tooltip="26 U.S.C. § 142(d)(5)(A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limitation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(B)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(1)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applies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</w:p>
    <w:p w14:paraId="104A46E8" w14:textId="39B786C6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(B)</w:t>
      </w:r>
      <w:hyperlink r:id="rId87" w:tooltip="26 U.S.C. § 142(d)(5)(B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case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(4)(B)(</w:t>
      </w:r>
      <w:proofErr w:type="spellStart"/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</w:t>
      </w:r>
      <w:proofErr w:type="spellEnd"/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applies,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limitation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applies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unit.</w:t>
      </w:r>
    </w:p>
    <w:p w14:paraId="0C8EF439" w14:textId="609D752A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(6)</w:t>
      </w:r>
      <w:hyperlink r:id="rId88" w:tooltip="26 U.S.C. § 142(d)(6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Special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rule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for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certain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high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cost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housing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area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case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located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having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5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boroughs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population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excess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5,000,000,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(B)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(1)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applied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substituting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“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25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percent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”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“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40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percent</w:t>
      </w:r>
      <w:r>
        <w:rPr>
          <w:rFonts w:ascii="Avenir Next P for BBG" w:hAnsi="Avenir Next P for BBG" w:cs="Open Sans"/>
          <w:color w:val="000000"/>
          <w:sz w:val="18"/>
          <w:szCs w:val="18"/>
        </w:rPr>
        <w:t>”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.</w:t>
      </w:r>
    </w:p>
    <w:p w14:paraId="633BDC30" w14:textId="60329977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(7)</w:t>
      </w:r>
      <w:hyperlink r:id="rId89" w:tooltip="26 U.S.C. § 142(d)(7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Certification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to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Secretary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operator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respect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election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submit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Secretary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time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manner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Secretary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prescribe)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annual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certification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whether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continues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meet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requirements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subsection.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failure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comply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provisions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preceding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sentence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affect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tax-exempt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status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but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operator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penalty,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provided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6652(j).</w:t>
      </w:r>
    </w:p>
    <w:p w14:paraId="0A7B0119" w14:textId="03C69E1B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(e)</w:t>
      </w:r>
      <w:hyperlink r:id="rId90" w:tooltip="26 U.S.C. § 142(e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Facilities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for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the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furnishing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of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water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(a)(4),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“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facilities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furnishing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water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”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means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furnishing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water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if—</w:t>
      </w:r>
    </w:p>
    <w:p w14:paraId="2BE5BF86" w14:textId="18D9536A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(1)</w:t>
      </w:r>
      <w:hyperlink r:id="rId91" w:tooltip="26 U.S.C. § 142(e)(1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water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available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members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general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public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(including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electric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utility,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industrial,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agricultural,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commercial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users),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27F14E4C" w14:textId="00EA01A8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(2)</w:t>
      </w:r>
      <w:hyperlink r:id="rId92" w:tooltip="26 U.S.C. § 142(e)(2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either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operated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governmental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rates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furnishing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sale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water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have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been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established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approved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political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subdivision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thereof,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agency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instrumentality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States,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public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service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public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utility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commission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other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similar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body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political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subdivision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thereof.</w:t>
      </w:r>
    </w:p>
    <w:p w14:paraId="6F55928C" w14:textId="5365F06E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(f)</w:t>
      </w:r>
      <w:hyperlink r:id="rId93" w:tooltip="26 U.S.C. § 142(f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Local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furnishing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of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electric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energy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or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gas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(a)(8)—</w:t>
      </w:r>
    </w:p>
    <w:p w14:paraId="40E3F600" w14:textId="44275B13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(1)</w:t>
      </w:r>
      <w:hyperlink r:id="rId94" w:tooltip="26 U.S.C. § 142(f)(1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In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general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local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furnishing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electric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energy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from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only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include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furnishing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solely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consisting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of—</w:t>
      </w:r>
    </w:p>
    <w:p w14:paraId="046142A2" w14:textId="3F0A8262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(A)</w:t>
      </w:r>
      <w:hyperlink r:id="rId95" w:tooltip="26 U.S.C. § 142(f)(1)(A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contiguous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county,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</w:p>
    <w:p w14:paraId="2245F228" w14:textId="1EA177BB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(B)</w:t>
      </w:r>
      <w:hyperlink r:id="rId96" w:tooltip="26 U.S.C. § 142(f)(1)(B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2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contiguous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counties.</w:t>
      </w:r>
    </w:p>
    <w:p w14:paraId="7067AFEF" w14:textId="3B469CB4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(2)</w:t>
      </w:r>
      <w:hyperlink r:id="rId97" w:tooltip="26 U.S.C. § 142(f)(2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Treatment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of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certain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electric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energy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transmitted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outside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local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area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</w:p>
    <w:p w14:paraId="54D567FF" w14:textId="0373C953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(A)</w:t>
      </w:r>
      <w:hyperlink r:id="rId98" w:tooltip="26 U.S.C. § 142(f)(2)(A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In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general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treated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failing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meet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local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furnishing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requirement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(a)(8)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reason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electricity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transmitted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pursuant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Federal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Energy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Regulatory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Commission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211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213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Federal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Power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effect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enactment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paragraph)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portion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cost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financed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tax-exempt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greater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portion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cost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allocable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local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furnishing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electric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energy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(determined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without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regard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paragraph).</w:t>
      </w:r>
    </w:p>
    <w:p w14:paraId="1A038B5D" w14:textId="004889E3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(B)</w:t>
      </w:r>
      <w:hyperlink r:id="rId99" w:tooltip="26 U.S.C. § 142(f)(2)(B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Special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rule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for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existing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facilities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case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financed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before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referred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would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(but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subparagraph)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cease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tax-exempt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reason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lastRenderedPageBreak/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cease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tax-exempt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150(b)(4)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apply)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if,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extent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necessary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comply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(A)—</w:t>
      </w:r>
    </w:p>
    <w:p w14:paraId="15062D94" w14:textId="3B0263F3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</w:t>
      </w:r>
      <w:proofErr w:type="spellStart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i</w:t>
      </w:r>
      <w:proofErr w:type="spellEnd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hyperlink r:id="rId100" w:tooltip="26 U.S.C. § 142(f)(2)(B)(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escrow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principal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premium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(if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interest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established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reasonable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period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after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becomes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final,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290F427C" w14:textId="15086606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(ii)</w:t>
      </w:r>
      <w:hyperlink r:id="rId101" w:tooltip="26 U.S.C. § 142(f)(2)(B)(i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redeemed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later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earliest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redeemed.</w:t>
      </w:r>
    </w:p>
    <w:p w14:paraId="49765FF8" w14:textId="5CD1428F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(3)</w:t>
      </w:r>
      <w:hyperlink r:id="rId102" w:tooltip="26 U.S.C. § 142(f)(3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Termination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of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future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financing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section,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(a)(8)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respect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local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furnishing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electric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energy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after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enactment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unless—</w:t>
      </w:r>
    </w:p>
    <w:p w14:paraId="5D4C8D86" w14:textId="2E107A4D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(A)</w:t>
      </w:r>
      <w:hyperlink r:id="rId103" w:tooltip="26 U.S.C. § 142(f)(3)(A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will—</w:t>
      </w:r>
    </w:p>
    <w:p w14:paraId="5CDE451D" w14:textId="483FF990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</w:t>
      </w:r>
      <w:proofErr w:type="spellStart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i</w:t>
      </w:r>
      <w:proofErr w:type="spellEnd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hyperlink r:id="rId104" w:tooltip="26 U.S.C. § 142(f)(3)(A)(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used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person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engaged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local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furnishing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energy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source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January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1997,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560E57E7" w14:textId="73F6F595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(ii)</w:t>
      </w:r>
      <w:hyperlink r:id="rId105" w:tooltip="26 U.S.C. § 142(f)(3)(A)(i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used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provide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service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served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person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January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1997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county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portion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area),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</w:p>
    <w:p w14:paraId="7F4F281C" w14:textId="20859996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(B)</w:t>
      </w:r>
      <w:hyperlink r:id="rId106" w:tooltip="26 U.S.C. § 142(f)(3)(B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used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successor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interest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person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same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same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service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(A).</w:t>
      </w:r>
    </w:p>
    <w:p w14:paraId="1AC2A94B" w14:textId="72F1819A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(4)</w:t>
      </w:r>
      <w:hyperlink r:id="rId107" w:tooltip="26 U.S.C. § 142(f)(4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Election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to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terminate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tax-exempt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bond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financing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by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certain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furnishers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</w:p>
    <w:p w14:paraId="38E5641C" w14:textId="67C28F98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(A)</w:t>
      </w:r>
      <w:hyperlink r:id="rId108" w:tooltip="26 U.S.C. § 142(f)(4)(A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In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general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case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financed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before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enactment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would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cease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tax-exempt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reason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failure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meet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local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furnishing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requirement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(a)(8)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result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service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expansion,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cease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tax-exempt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150(b)(4)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apply)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person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engaged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local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furnishing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makes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election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(B).</w:t>
      </w:r>
    </w:p>
    <w:p w14:paraId="533E530C" w14:textId="7FF6E46A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(B)</w:t>
      </w:r>
      <w:hyperlink r:id="rId109" w:tooltip="26 U.S.C. § 142(f)(4)(B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Election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election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election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manner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Secretary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prescribes,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person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predecessor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interest)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agrees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that—</w:t>
      </w:r>
    </w:p>
    <w:p w14:paraId="1904DB23" w14:textId="315B56D5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</w:t>
      </w:r>
      <w:proofErr w:type="spellStart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i</w:t>
      </w:r>
      <w:proofErr w:type="spellEnd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hyperlink r:id="rId110" w:tooltip="26 U.S.C. § 142(f)(4)(B)(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election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respect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facilities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local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furnishing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electric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energy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gas,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both,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person,</w:t>
      </w:r>
    </w:p>
    <w:p w14:paraId="6A579724" w14:textId="502073CC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(ii)</w:t>
      </w:r>
      <w:hyperlink r:id="rId111" w:tooltip="26 U.S.C. § 142(f)(4)(B)(i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exempt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from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tax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103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(a)(8)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after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enactment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respect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facilities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person,</w:t>
      </w:r>
    </w:p>
    <w:p w14:paraId="3D4E4095" w14:textId="1ED35DDD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(iii)</w:t>
      </w:r>
      <w:hyperlink r:id="rId112" w:tooltip="26 U.S.C. § 142(f)(4)(B)(ii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expansion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service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area—</w:t>
      </w:r>
    </w:p>
    <w:p w14:paraId="7E105B4F" w14:textId="1627706E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financed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proceeds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exempt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(a)(8),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548BD4F8" w14:textId="729C640F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treated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nonqualifying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rules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(2),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1375FDE5" w14:textId="5F7DCFFF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(iv)</w:t>
      </w:r>
      <w:hyperlink r:id="rId113" w:tooltip="26 U.S.C. § 142(f)(4)(B)(iv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outstanding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used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finance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facilities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person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redeemed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later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6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months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after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later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of—</w:t>
      </w:r>
    </w:p>
    <w:p w14:paraId="3099FED4" w14:textId="6C9E30E8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earliest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redeemed,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</w:p>
    <w:p w14:paraId="1ED1CD2E" w14:textId="6A7158A3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election.</w:t>
      </w:r>
    </w:p>
    <w:p w14:paraId="71B92018" w14:textId="2B3FD2C5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(C)</w:t>
      </w:r>
      <w:hyperlink r:id="rId114" w:tooltip="26 U.S.C. § 142(f)(4)(C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persons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paragraph,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“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person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”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includes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group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persons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(within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meaning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144(a)(3))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includes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person.</w:t>
      </w:r>
    </w:p>
    <w:p w14:paraId="6611365F" w14:textId="57C39064" w:rsidR="00311404" w:rsidRPr="00B775C9" w:rsidRDefault="00311404" w:rsidP="004B7121">
      <w:pPr>
        <w:keepNext/>
        <w:keepLines/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lastRenderedPageBreak/>
        <w:t>(g)</w:t>
      </w:r>
      <w:hyperlink r:id="rId115" w:tooltip="26 U.S.C. § 142(g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Local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district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heating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or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cooling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</w:p>
    <w:p w14:paraId="3D5FCBE1" w14:textId="4CDC49C2" w:rsidR="00311404" w:rsidRPr="00B775C9" w:rsidRDefault="00311404" w:rsidP="004B7121">
      <w:pPr>
        <w:keepNext/>
        <w:keepLines/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(1)</w:t>
      </w:r>
      <w:hyperlink r:id="rId116" w:tooltip="26 U.S.C. § 142(g)(1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In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general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(a)(9),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“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local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district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heating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cooling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”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means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property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used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integral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local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district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heating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cooling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system.</w:t>
      </w:r>
    </w:p>
    <w:p w14:paraId="1F1D49C3" w14:textId="4D256485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(2)</w:t>
      </w:r>
      <w:hyperlink r:id="rId117" w:tooltip="26 U.S.C. § 142(g)(2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Local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district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heating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or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cooling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system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</w:p>
    <w:p w14:paraId="41A37B35" w14:textId="24EA9803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(A)</w:t>
      </w:r>
      <w:hyperlink r:id="rId118" w:tooltip="26 U.S.C. § 142(g)(2)(A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In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general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(1),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“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local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district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heating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cooling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system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”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means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local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system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consisting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pipeline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network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connected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heating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cooling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source)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providing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water,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chilled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water,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steam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2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more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users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for—</w:t>
      </w:r>
    </w:p>
    <w:p w14:paraId="37BA7107" w14:textId="4B93896C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</w:t>
      </w:r>
      <w:proofErr w:type="spellStart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i</w:t>
      </w:r>
      <w:proofErr w:type="spellEnd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hyperlink r:id="rId119" w:tooltip="26 U.S.C. § 142(g)(2)(A)(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residential,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commercial,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industrial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heating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cooling,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</w:p>
    <w:p w14:paraId="068EEC0B" w14:textId="794C673D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(ii)</w:t>
      </w:r>
      <w:hyperlink r:id="rId120" w:tooltip="26 U.S.C. § 142(g)(2)(A)(i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process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steam.</w:t>
      </w:r>
    </w:p>
    <w:p w14:paraId="340214F3" w14:textId="19B9B09B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(B)</w:t>
      </w:r>
      <w:hyperlink r:id="rId121" w:tooltip="26 U.S.C. § 142(g)(2)(B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Local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system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paragraph,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local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system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includes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facilities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furnishing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heating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cooling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consisting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contiguous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county.</w:t>
      </w:r>
    </w:p>
    <w:p w14:paraId="4EEA7589" w14:textId="1991B980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(h)</w:t>
      </w:r>
      <w:hyperlink r:id="rId122" w:tooltip="26 U.S.C. § 142(h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Qualified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hazardous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waste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facilities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(a)(10),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“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hazardous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waste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”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means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disposal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hazardous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waste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incineration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entombment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but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only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if—</w:t>
      </w:r>
    </w:p>
    <w:p w14:paraId="13ABD8A5" w14:textId="155DB0C5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(1)</w:t>
      </w:r>
      <w:hyperlink r:id="rId123" w:tooltip="26 U.S.C. § 142(h)(1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final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permit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requirements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subtitle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title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II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Solid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Waste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Disposal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effect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enactment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Tax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Reform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1986),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42A2FD8B" w14:textId="4911ECB2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(2)</w:t>
      </w:r>
      <w:hyperlink r:id="rId124" w:tooltip="26 U.S.C. § 142(h)(2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portion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provided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does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exceed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portion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used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persons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other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than—</w:t>
      </w:r>
    </w:p>
    <w:p w14:paraId="01E5A1E7" w14:textId="1F4D4226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(A)</w:t>
      </w:r>
      <w:hyperlink r:id="rId125" w:tooltip="26 U.S.C. § 142(h)(2)(A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owner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operator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6180DDAD" w14:textId="2D43B8CA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(B)</w:t>
      </w:r>
      <w:hyperlink r:id="rId126" w:tooltip="26 U.S.C. § 142(h)(2)(B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person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(within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meaning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144(a)(3))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owner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operator.</w:t>
      </w:r>
    </w:p>
    <w:p w14:paraId="27C52FFC" w14:textId="5ABA64E0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</w:t>
      </w:r>
      <w:proofErr w:type="spellStart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i</w:t>
      </w:r>
      <w:proofErr w:type="spellEnd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hyperlink r:id="rId127" w:tooltip="26 U.S.C. § 142(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High-speed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intercity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rail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facilities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</w:p>
    <w:p w14:paraId="52CEA3DF" w14:textId="574F2F21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(1)</w:t>
      </w:r>
      <w:hyperlink r:id="rId128" w:tooltip="26 U.S.C. § 142(i)(1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In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general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(a)(11),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“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high-speed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intercity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rail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facilities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”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means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including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rolling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stock)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fixed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guideway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rail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transportation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passengers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their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baggage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between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metropolitan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statistical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(within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meaning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143(k)(2)(B))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using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vehicles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reasonably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expected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capable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attaining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maximum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speed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excess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150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miles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hour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between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scheduled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stops,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but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only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available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members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general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public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passengers.</w:t>
      </w:r>
    </w:p>
    <w:p w14:paraId="5C718D3C" w14:textId="1FA44CD9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(2)</w:t>
      </w:r>
      <w:hyperlink r:id="rId129" w:tooltip="26 U.S.C. § 142(i)(2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Election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by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nongovernmental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owners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treated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(a)(11)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only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owner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governmental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irrevocably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elects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claim—</w:t>
      </w:r>
    </w:p>
    <w:p w14:paraId="0B440DDE" w14:textId="17BFD5B3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(A)</w:t>
      </w:r>
      <w:hyperlink r:id="rId130" w:tooltip="26 U.S.C. § 142(i)(2)(A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deduction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167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168,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4CD4B3AC" w14:textId="6CF2D6E2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(B)</w:t>
      </w:r>
      <w:hyperlink r:id="rId131" w:tooltip="26 U.S.C. § 142(i)(2)(B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credit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subtitle,</w:t>
      </w:r>
    </w:p>
    <w:p w14:paraId="16FDA5E7" w14:textId="7E5A5002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respect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property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financed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net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proceeds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issue.</w:t>
      </w:r>
    </w:p>
    <w:p w14:paraId="1BD24F49" w14:textId="695525E9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(3)</w:t>
      </w:r>
      <w:hyperlink r:id="rId132" w:tooltip="26 U.S.C. § 142(i)(3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Use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of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proceeds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(a)(11)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considered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exempt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unless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proceeds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used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3-year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period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issuance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used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later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6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months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after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close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period)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redeem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issue.</w:t>
      </w:r>
    </w:p>
    <w:p w14:paraId="6E38581E" w14:textId="71744A59" w:rsidR="00311404" w:rsidRPr="00B775C9" w:rsidRDefault="00311404" w:rsidP="004B7121">
      <w:pPr>
        <w:keepNext/>
        <w:keepLines/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lastRenderedPageBreak/>
        <w:t>(j)</w:t>
      </w:r>
      <w:hyperlink r:id="rId133" w:tooltip="26 U.S.C. § 142(j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Environmental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enhancements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of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hydroelectric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generating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facilities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</w:p>
    <w:p w14:paraId="0299645F" w14:textId="527953F9" w:rsidR="00311404" w:rsidRPr="00B775C9" w:rsidRDefault="00311404" w:rsidP="004B7121">
      <w:pPr>
        <w:keepNext/>
        <w:keepLines/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(1)</w:t>
      </w:r>
      <w:hyperlink r:id="rId134" w:tooltip="26 U.S.C. § 142(j)(1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In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general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(a)(12),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“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environmental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enhancements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hydroelectric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generating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facilities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”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means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property—</w:t>
      </w:r>
    </w:p>
    <w:p w14:paraId="51AC5286" w14:textId="7A70ACA2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(A)</w:t>
      </w:r>
      <w:hyperlink r:id="rId135" w:tooltip="26 U.S.C. § 142(j)(1)(A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federally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licensed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hydroelectric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generating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owned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operated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governmental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5AE6B97E" w14:textId="21F92B7A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(B)</w:t>
      </w:r>
      <w:hyperlink r:id="rId136" w:tooltip="26 U.S.C. § 142(j)(1)(B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which—</w:t>
      </w:r>
    </w:p>
    <w:p w14:paraId="60670D4F" w14:textId="777872D7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</w:t>
      </w:r>
      <w:proofErr w:type="spellStart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i</w:t>
      </w:r>
      <w:proofErr w:type="spellEnd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hyperlink r:id="rId137" w:tooltip="26 U.S.C. § 142(j)(1)(B)(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protects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promotes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fisheries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other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wildlife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resources,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including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fish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by-pass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fish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hatchery,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fisheries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enhancement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</w:p>
    <w:p w14:paraId="6C76772C" w14:textId="4F7E878D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(ii)</w:t>
      </w:r>
      <w:hyperlink r:id="rId138" w:tooltip="26 U.S.C. § 142(j)(1)(B)(i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recreational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other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improvement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required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terms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conditions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Federal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licensing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permit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operation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generating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facility.</w:t>
      </w:r>
    </w:p>
    <w:p w14:paraId="17C6CD45" w14:textId="51225E2F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(2)</w:t>
      </w:r>
      <w:hyperlink r:id="rId139" w:tooltip="26 U.S.C. § 142(j)(2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Use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of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proceeds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(a)(12)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considered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exempt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unless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least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80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percent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net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proceeds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used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finance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property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(1)(B)(</w:t>
      </w:r>
      <w:proofErr w:type="spellStart"/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</w:t>
      </w:r>
      <w:proofErr w:type="spellEnd"/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).</w:t>
      </w:r>
    </w:p>
    <w:p w14:paraId="40BD9454" w14:textId="36C7EAE4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(k)</w:t>
      </w:r>
      <w:hyperlink r:id="rId140" w:tooltip="26 U.S.C. § 142(k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Qualified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public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educational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facilities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</w:p>
    <w:p w14:paraId="43F02033" w14:textId="07E1C39B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(1)</w:t>
      </w:r>
      <w:hyperlink r:id="rId141" w:tooltip="26 U.S.C. § 142(k)(1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In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general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(a)(13),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“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public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educational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”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means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school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is—</w:t>
      </w:r>
    </w:p>
    <w:p w14:paraId="6E101B84" w14:textId="6CA12CCA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(A)</w:t>
      </w:r>
      <w:hyperlink r:id="rId142" w:tooltip="26 U.S.C. § 142(k)(1)(A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public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elementary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school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public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secondary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school,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7AFC92BB" w14:textId="4021D1E6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(B)</w:t>
      </w:r>
      <w:hyperlink r:id="rId143" w:tooltip="26 U.S.C. § 142(k)(1)(B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owned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private,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for-profit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corporation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pursuant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public-private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partnership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agreement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local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educational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agency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(2).</w:t>
      </w:r>
    </w:p>
    <w:p w14:paraId="469612D5" w14:textId="1CCFC1E3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(2)</w:t>
      </w:r>
      <w:hyperlink r:id="rId144" w:tooltip="26 U.S.C. § 142(k)(2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Public-private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partnership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agreement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public-private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partnership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agreement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agreement—</w:t>
      </w:r>
    </w:p>
    <w:p w14:paraId="065D5BCF" w14:textId="35B8F252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(A)</w:t>
      </w:r>
      <w:hyperlink r:id="rId145" w:tooltip="26 U.S.C. § 142(k)(2)(A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corporation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agrees—</w:t>
      </w:r>
    </w:p>
    <w:p w14:paraId="4697D34A" w14:textId="5CEF1051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</w:t>
      </w:r>
      <w:proofErr w:type="spellStart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i</w:t>
      </w:r>
      <w:proofErr w:type="spellEnd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hyperlink r:id="rId146" w:tooltip="26 U.S.C. § 142(k)(2)(A)(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more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following: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construct,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rehabilitate,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refurbish,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equip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school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49919579" w14:textId="6D87802C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(ii)</w:t>
      </w:r>
      <w:hyperlink r:id="rId147" w:tooltip="26 U.S.C. § 142(k)(2)(A)(i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agreement,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transfer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school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agency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additional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consideration,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712029C2" w14:textId="13B8D2BA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(B)</w:t>
      </w:r>
      <w:hyperlink r:id="rId148" w:tooltip="26 U.S.C. § 142(k)(2)(B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does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exceed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used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provide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school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facility.</w:t>
      </w:r>
    </w:p>
    <w:p w14:paraId="79EED968" w14:textId="2A4D56D6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(3)</w:t>
      </w:r>
      <w:hyperlink r:id="rId149" w:tooltip="26 U.S.C. § 142(k)(3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School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“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school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”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means—</w:t>
      </w:r>
    </w:p>
    <w:p w14:paraId="5B175434" w14:textId="74DE17B8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(A)</w:t>
      </w:r>
      <w:hyperlink r:id="rId150" w:tooltip="26 U.S.C. § 142(k)(3)(A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school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building,</w:t>
      </w:r>
    </w:p>
    <w:p w14:paraId="29063E9C" w14:textId="648F47D3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(B)</w:t>
      </w:r>
      <w:hyperlink r:id="rId151" w:tooltip="26 U.S.C. § 142(k)(3)(B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functionally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subordinate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respect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building,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including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stadium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other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primarily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used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school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events,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6F9CB9D7" w14:textId="55FF734A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(C)</w:t>
      </w:r>
      <w:hyperlink r:id="rId152" w:tooltip="26 U.S.C. § 142(k)(3)(C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property,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168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applies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would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but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179),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(B).</w:t>
      </w:r>
    </w:p>
    <w:p w14:paraId="6A925EC5" w14:textId="022EC327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(4)</w:t>
      </w:r>
      <w:hyperlink r:id="rId153" w:tooltip="26 U.S.C. § 142(k)(4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Public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schools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terms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“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elementary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school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”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“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secondary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school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”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have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311404">
        <w:rPr>
          <w:rFonts w:ascii="Avenir Next P for BBG" w:hAnsi="Avenir Next P for BBG" w:cs="Open Sans"/>
          <w:color w:val="000000"/>
          <w:sz w:val="18"/>
          <w:szCs w:val="18"/>
        </w:rPr>
        <w:t>the meanings given such terms by section 14101 of the Elementary and Secondary Education Act of 1965 (</w:t>
      </w:r>
      <w:r w:rsidRPr="00311404">
        <w:rPr>
          <w:rFonts w:ascii="Avenir Next P for BBG" w:hAnsi="Avenir Next P for BBG" w:cs="Open Sans"/>
          <w:sz w:val="18"/>
          <w:szCs w:val="18"/>
        </w:rPr>
        <w:t>20 U.S.C. 8801</w:t>
      </w:r>
      <w:r w:rsidRPr="00311404">
        <w:rPr>
          <w:rFonts w:ascii="Avenir Next P for BBG" w:hAnsi="Avenir Next P for BBG" w:cs="Open Sans"/>
          <w:color w:val="000000"/>
          <w:sz w:val="18"/>
          <w:szCs w:val="18"/>
        </w:rPr>
        <w:t>), as 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effect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enactment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subsection.</w:t>
      </w:r>
    </w:p>
    <w:p w14:paraId="0C4A9A8A" w14:textId="45FFD906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(5)</w:t>
      </w:r>
      <w:hyperlink r:id="rId154" w:tooltip="26 U.S.C. § 142(k)(5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Annual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aggregate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face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amount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of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tax-exempt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financing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</w:p>
    <w:p w14:paraId="251753FC" w14:textId="3C95F441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lastRenderedPageBreak/>
        <w:t>(A)</w:t>
      </w:r>
      <w:hyperlink r:id="rId155" w:tooltip="26 U.S.C. § 142(k)(5)(A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In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general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treated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(a)(13)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aggregate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pursuant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thereto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(when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added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aggregate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previously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during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calendar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year)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exceeds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equal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greater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of—</w:t>
      </w:r>
    </w:p>
    <w:p w14:paraId="0AFDB8B3" w14:textId="69D62AFC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</w:t>
      </w:r>
      <w:proofErr w:type="spellStart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i</w:t>
      </w:r>
      <w:proofErr w:type="spellEnd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hyperlink r:id="rId156" w:tooltip="26 U.S.C. § 142(k)(5)(A)(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$10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multiplied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population,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</w:p>
    <w:p w14:paraId="42A36FD0" w14:textId="0C6E6535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(ii)</w:t>
      </w:r>
      <w:hyperlink r:id="rId157" w:tooltip="26 U.S.C. § 142(k)(5)(A)(i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$5,000,000.</w:t>
      </w:r>
    </w:p>
    <w:p w14:paraId="13054EAA" w14:textId="2C4C68BB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(B)</w:t>
      </w:r>
      <w:hyperlink r:id="rId158" w:tooltip="26 U.S.C. § 142(k)(5)(B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Allocation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rules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</w:p>
    <w:p w14:paraId="4DA789E7" w14:textId="1A4595F8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</w:t>
      </w:r>
      <w:proofErr w:type="spellStart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i</w:t>
      </w:r>
      <w:proofErr w:type="spellEnd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hyperlink r:id="rId159" w:tooltip="26 U.S.C. § 142(k)(5)(B)(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In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general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Except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otherwise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provided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subparagraph,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allocate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calendar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year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manner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determines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appropriate.</w:t>
      </w:r>
    </w:p>
    <w:p w14:paraId="2F623AF6" w14:textId="70A898CE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(ii)</w:t>
      </w:r>
      <w:hyperlink r:id="rId160" w:tooltip="26 U.S.C. § 142(k)(5)(B)(i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Rules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for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carryforward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of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unused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limitation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elect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carry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forward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unused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limitation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calendar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year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3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calendar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years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following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calendar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year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unused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limitation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arose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rules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similar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rules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146(f),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except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only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purpose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carryforward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elected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issuance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exempt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(a)(13).</w:t>
      </w:r>
    </w:p>
    <w:p w14:paraId="667CB340" w14:textId="632EE640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(l)</w:t>
      </w:r>
      <w:hyperlink r:id="rId161" w:tooltip="26 U.S.C. § 142(l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Qualified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green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building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and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sustainable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design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projects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</w:p>
    <w:p w14:paraId="58F58DD1" w14:textId="47F14A8C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(1)</w:t>
      </w:r>
      <w:hyperlink r:id="rId162" w:tooltip="26 U.S.C. § 142(l)(1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In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general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(a)(14),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“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green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building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sustainable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design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”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means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designated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Secretary,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after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consultation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Administrator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Environmental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Protection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Agency,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green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building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sustainable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design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meets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requirements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clauses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</w:t>
      </w:r>
      <w:proofErr w:type="spellStart"/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</w:t>
      </w:r>
      <w:proofErr w:type="spellEnd"/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(ii),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(iii),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(iv)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(4)(A).</w:t>
      </w:r>
    </w:p>
    <w:p w14:paraId="5F4E7685" w14:textId="0D775424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(2)</w:t>
      </w:r>
      <w:hyperlink r:id="rId163" w:tooltip="26 U.S.C. § 142(l)(2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Designations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</w:p>
    <w:p w14:paraId="6025C639" w14:textId="0FC1DFF0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(A)</w:t>
      </w:r>
      <w:hyperlink r:id="rId164" w:tooltip="26 U.S.C. § 142(l)(2)(A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In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general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60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days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after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application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period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(3)(A),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Secretary,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after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consultation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Administrator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Environmental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Protection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Agency,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designate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green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building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sustainable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design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projects.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least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one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designated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proofErr w:type="gramStart"/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located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proofErr w:type="gramEnd"/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10-mile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radius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empowerment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zone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designated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pursuant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1391,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least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one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designated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located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rural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State.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more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one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designated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State.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designated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includes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stadium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arena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professional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sports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exhibitions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games.</w:t>
      </w:r>
    </w:p>
    <w:p w14:paraId="243266DB" w14:textId="582BB5BA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(B)</w:t>
      </w:r>
      <w:hyperlink r:id="rId165" w:tooltip="26 U.S.C. § 142(l)(2)(B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Minimum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conservation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and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technology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innovation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objectives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Secretary,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after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consultation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Administrator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Environmental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Protection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Agency,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ensure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that,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aggregate,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designated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shall—</w:t>
      </w:r>
    </w:p>
    <w:p w14:paraId="3CA0937C" w14:textId="2403956E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</w:t>
      </w:r>
      <w:proofErr w:type="spellStart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i</w:t>
      </w:r>
      <w:proofErr w:type="spellEnd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hyperlink r:id="rId166" w:tooltip="26 U.S.C. § 142(l)(2)(B)(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reduce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electric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consumption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more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150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megawatts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annually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compared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conventional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generation,</w:t>
      </w:r>
    </w:p>
    <w:p w14:paraId="7746D12A" w14:textId="550F9D12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(ii)</w:t>
      </w:r>
      <w:hyperlink r:id="rId167" w:tooltip="26 U.S.C. § 142(l)(2)(B)(i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reduce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daily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sulfur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dioxide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emissions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least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compared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generation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power,</w:t>
      </w:r>
    </w:p>
    <w:p w14:paraId="72D31F48" w14:textId="6B91E348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(iii)</w:t>
      </w:r>
      <w:hyperlink r:id="rId168" w:tooltip="26 U.S.C. § 142(l)(2)(B)(ii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expand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75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percent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domestic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solar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photovoltaic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market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States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(measured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megawatts)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compared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expansion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market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from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2001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2002,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28640412" w14:textId="164C96BC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(iv)</w:t>
      </w:r>
      <w:hyperlink r:id="rId169" w:tooltip="26 U.S.C. § 142(l)(2)(B)(iv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least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25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megawatts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fuel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cell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energy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generation.</w:t>
      </w:r>
    </w:p>
    <w:p w14:paraId="1FFCE435" w14:textId="136A27D2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(3)</w:t>
      </w:r>
      <w:hyperlink r:id="rId170" w:tooltip="26 U.S.C. § 142(l)(3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Limited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designations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designated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unless—</w:t>
      </w:r>
    </w:p>
    <w:p w14:paraId="43CB8B89" w14:textId="6B329E7D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(A)</w:t>
      </w:r>
      <w:r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 xml:space="preserve"> </w:t>
      </w:r>
      <w:hyperlink r:id="rId171" w:tooltip="26 U.S.C. § 142(l)(3)(A)" w:history="1"/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nominated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local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government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180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days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enactment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72B4EF24" w14:textId="3D103FA9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(B)</w:t>
      </w:r>
      <w:hyperlink r:id="rId172" w:tooltip="26 U.S.C. § 142(l)(3)(B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local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government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provides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written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assurances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satisfy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eligibility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criteria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(4).</w:t>
      </w:r>
    </w:p>
    <w:p w14:paraId="22473942" w14:textId="36F30F98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(4)</w:t>
      </w:r>
      <w:hyperlink r:id="rId173" w:tooltip="26 U.S.C. § 142(l)(4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Application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</w:p>
    <w:p w14:paraId="216C5226" w14:textId="7CD5040B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lastRenderedPageBreak/>
        <w:t>(A)</w:t>
      </w:r>
      <w:hyperlink r:id="rId174" w:tooltip="26 U.S.C. § 142(l)(4)(A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In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general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designated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unless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application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designation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includes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proposal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energy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efficiency,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renewable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energy,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sustainable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design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features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demonstrates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satisfies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following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eligibility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criteria:</w:t>
      </w:r>
    </w:p>
    <w:p w14:paraId="539845FC" w14:textId="751C6F10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</w:t>
      </w:r>
      <w:proofErr w:type="spellStart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i</w:t>
      </w:r>
      <w:proofErr w:type="spellEnd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hyperlink r:id="rId175" w:tooltip="26 U.S.C. § 142(l)(4)(A)(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Green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building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and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sustainable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design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least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75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percent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square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footage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commercial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buildings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registered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States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Green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Building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Council's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LEED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certification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reasonably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expected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time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designation)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receive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certification.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determining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LEED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certification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required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clause,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points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credited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using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following:</w:t>
      </w:r>
    </w:p>
    <w:p w14:paraId="13C1A7A5" w14:textId="0A861BE3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wood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products,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certification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Sustainable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Forestry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Initiative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Program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American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Tree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Farm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System.</w:t>
      </w:r>
    </w:p>
    <w:p w14:paraId="07492948" w14:textId="09E66E98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renewable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wood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products,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credited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recycled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content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otherwise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provided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LEED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certification.</w:t>
      </w:r>
    </w:p>
    <w:p w14:paraId="1CC15572" w14:textId="4C57930E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(III)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composite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wood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products,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certification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standards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established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American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National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Standards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Institute,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other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voluntary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standards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published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Federal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Register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Administrator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Environmental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Protection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Agency.</w:t>
      </w:r>
    </w:p>
    <w:p w14:paraId="3FF7C949" w14:textId="1463C888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(ii)</w:t>
      </w:r>
      <w:hyperlink r:id="rId176" w:tooltip="26 U.S.C. § 142(l)(4)(A)(i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Brownfield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redevelopment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includes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brownfield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site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defined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101(39)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Comprehensive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Environmental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Response,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Compensation,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Liability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1980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</w:t>
      </w:r>
      <w:hyperlink r:id="rId177" w:anchor="jcite" w:history="1">
        <w:r w:rsidRPr="00B775C9">
          <w:rPr>
            <w:rStyle w:val="Hyperlink"/>
            <w:rFonts w:ascii="Avenir Next P for BBG" w:hAnsi="Avenir Next P for BBG" w:cs="Open Sans"/>
            <w:b/>
            <w:bCs/>
            <w:color w:val="225379"/>
            <w:sz w:val="18"/>
            <w:szCs w:val="18"/>
          </w:rPr>
          <w:t>42</w:t>
        </w:r>
        <w:r>
          <w:rPr>
            <w:rStyle w:val="Hyperlink"/>
            <w:rFonts w:ascii="Avenir Next P for BBG" w:hAnsi="Avenir Next P for BBG" w:cs="Open Sans"/>
            <w:b/>
            <w:bCs/>
            <w:color w:val="225379"/>
            <w:sz w:val="18"/>
            <w:szCs w:val="18"/>
          </w:rPr>
          <w:t xml:space="preserve"> </w:t>
        </w:r>
        <w:r w:rsidRPr="00B775C9">
          <w:rPr>
            <w:rStyle w:val="Hyperlink"/>
            <w:rFonts w:ascii="Avenir Next P for BBG" w:hAnsi="Avenir Next P for BBG" w:cs="Open Sans"/>
            <w:b/>
            <w:bCs/>
            <w:color w:val="225379"/>
            <w:sz w:val="18"/>
            <w:szCs w:val="18"/>
          </w:rPr>
          <w:t>U.S.C.</w:t>
        </w:r>
        <w:r>
          <w:rPr>
            <w:rStyle w:val="Hyperlink"/>
            <w:rFonts w:ascii="Avenir Next P for BBG" w:hAnsi="Avenir Next P for BBG" w:cs="Open Sans"/>
            <w:b/>
            <w:bCs/>
            <w:color w:val="225379"/>
            <w:sz w:val="18"/>
            <w:szCs w:val="18"/>
          </w:rPr>
          <w:t xml:space="preserve"> </w:t>
        </w:r>
        <w:r w:rsidRPr="00B775C9">
          <w:rPr>
            <w:rStyle w:val="Hyperlink"/>
            <w:rFonts w:ascii="Avenir Next P for BBG" w:hAnsi="Avenir Next P for BBG" w:cs="Open Sans"/>
            <w:b/>
            <w:bCs/>
            <w:color w:val="225379"/>
            <w:sz w:val="18"/>
            <w:szCs w:val="18"/>
          </w:rPr>
          <w:t>9601</w:t>
        </w:r>
      </w:hyperlink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including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site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(D)(ii)(II)(aa)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thereof.</w:t>
      </w:r>
    </w:p>
    <w:p w14:paraId="1FF1CB51" w14:textId="71A643A9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(iii)</w:t>
      </w:r>
      <w:hyperlink r:id="rId178" w:tooltip="26 U.S.C. § 142(l)(4)(A)(ii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State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and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local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support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receives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specific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local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government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resources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support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equal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least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$5,000,000.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preceding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sentence,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“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resources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”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includes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tax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abatement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benefits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contributions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kind.</w:t>
      </w:r>
    </w:p>
    <w:p w14:paraId="1A119514" w14:textId="76256633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(iv)</w:t>
      </w:r>
      <w:hyperlink r:id="rId179" w:tooltip="26 U.S.C. § 142(l)(4)(A)(iv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Size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includes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least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one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following:</w:t>
      </w:r>
    </w:p>
    <w:p w14:paraId="2F90F204" w14:textId="1C6BB787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least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1,000,000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square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feet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building.</w:t>
      </w:r>
    </w:p>
    <w:p w14:paraId="66A13D72" w14:textId="0DE26685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least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20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acres.</w:t>
      </w:r>
    </w:p>
    <w:p w14:paraId="52BF2EE1" w14:textId="00588EA0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(v)</w:t>
      </w:r>
      <w:hyperlink r:id="rId180" w:tooltip="26 U.S.C. § 142(l)(4)(A)(v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Use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of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tax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benefit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proposal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includes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description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net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benefit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tax-exempt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financing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provided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allocated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financing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one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more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following:</w:t>
      </w:r>
    </w:p>
    <w:p w14:paraId="0B76603B" w14:textId="7ECB8EF5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purchase,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construction,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integration,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other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energy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efficiency,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renewable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energy,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sustainable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design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features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project.</w:t>
      </w:r>
    </w:p>
    <w:p w14:paraId="57567FE3" w14:textId="7271239C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Compliance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certification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standards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cited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clause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</w:t>
      </w:r>
      <w:proofErr w:type="spellStart"/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</w:t>
      </w:r>
      <w:proofErr w:type="spellEnd"/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).</w:t>
      </w:r>
    </w:p>
    <w:p w14:paraId="2C751A1B" w14:textId="443B4061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(III)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purchase,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remediation,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foundation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construction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preparation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brownfields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site.</w:t>
      </w:r>
    </w:p>
    <w:p w14:paraId="23775434" w14:textId="21CD3B96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(vi)</w:t>
      </w:r>
      <w:hyperlink r:id="rId181" w:tooltip="26 U.S.C. § 142(l)(4)(A)(v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Prohibited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facilities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treated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(a)(14)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proceeds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used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provide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principal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business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sale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food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alcoholic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beverages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consumption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premises.</w:t>
      </w:r>
    </w:p>
    <w:p w14:paraId="33E612ED" w14:textId="306AE3B2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(vii)</w:t>
      </w:r>
      <w:hyperlink r:id="rId182" w:tooltip="26 U.S.C. § 142(l)(4)(A)(vi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Employment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provide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permanent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employment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least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1,500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full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time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equivalents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(150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full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time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equivalents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rural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States)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when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completed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construction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employment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least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1,000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full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time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equivalents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(100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full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time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equivalents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rural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States).</w:t>
      </w:r>
    </w:p>
    <w:p w14:paraId="1C70E53E" w14:textId="28CC8A33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application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include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independent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analysis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project's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economic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impact,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including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employment.</w:t>
      </w:r>
    </w:p>
    <w:p w14:paraId="32173884" w14:textId="070CCA89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(B)</w:t>
      </w:r>
      <w:hyperlink r:id="rId183" w:tooltip="26 U.S.C. § 142(l)(4)(B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Project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description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Each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application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contain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each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description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of—</w:t>
      </w:r>
    </w:p>
    <w:p w14:paraId="3FDFF43F" w14:textId="2BA78A42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</w:t>
      </w:r>
      <w:proofErr w:type="spellStart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i</w:t>
      </w:r>
      <w:proofErr w:type="spellEnd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hyperlink r:id="rId184" w:tooltip="26 U.S.C. § 142(l)(4)(B)(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electric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consumption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reduced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compared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conventional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construction,</w:t>
      </w:r>
    </w:p>
    <w:p w14:paraId="0DA9FBFE" w14:textId="3423C223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lastRenderedPageBreak/>
        <w:t>(ii)</w:t>
      </w:r>
      <w:hyperlink r:id="rId185" w:tooltip="26 U.S.C. § 142(l)(4)(B)(i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sulfur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dioxide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daily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emissions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reduced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compared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generation,</w:t>
      </w:r>
    </w:p>
    <w:p w14:paraId="4D34F05A" w14:textId="1FD947E9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(iii)</w:t>
      </w:r>
      <w:hyperlink r:id="rId186" w:tooltip="26 U.S.C. § 142(l)(4)(B)(ii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gross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installed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capacity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project's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solar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photovoltaic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capacity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measured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megawatts,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02F58590" w14:textId="3BC1D2CB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(iv)</w:t>
      </w:r>
      <w:hyperlink r:id="rId187" w:tooltip="26 U.S.C. § 142(l)(4)(B)(iv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amount,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megawatts,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project's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fuel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cell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energy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generation.</w:t>
      </w:r>
    </w:p>
    <w:p w14:paraId="2011A920" w14:textId="12134B2D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(5)</w:t>
      </w:r>
      <w:hyperlink r:id="rId188" w:tooltip="26 U.S.C. § 142(l)(5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Certification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of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use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of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tax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benefit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later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30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days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after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completion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each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must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certify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Secretary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net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benefit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tax-exempt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financing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used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(4).</w:t>
      </w:r>
    </w:p>
    <w:p w14:paraId="6091F2DD" w14:textId="7896D044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(6)</w:t>
      </w:r>
      <w:hyperlink r:id="rId189" w:tooltip="26 U.S.C. § 142(l)(6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Definitions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subsection—</w:t>
      </w:r>
    </w:p>
    <w:p w14:paraId="5A1EE8A4" w14:textId="62AC58AC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(A)</w:t>
      </w:r>
      <w:hyperlink r:id="rId190" w:tooltip="26 U.S.C. § 142(l)(6)(A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Rural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State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“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rural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”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means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has—</w:t>
      </w:r>
    </w:p>
    <w:p w14:paraId="6ECFCC0B" w14:textId="48E93C2D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</w:t>
      </w:r>
      <w:proofErr w:type="spellStart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i</w:t>
      </w:r>
      <w:proofErr w:type="spellEnd"/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)</w:t>
      </w:r>
      <w:hyperlink r:id="rId191" w:tooltip="26 U.S.C. § 142(l)(6)(A)(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population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less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4,500,000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according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2000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census,</w:t>
      </w:r>
    </w:p>
    <w:p w14:paraId="34D3B47D" w14:textId="422C885E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(ii)</w:t>
      </w:r>
      <w:hyperlink r:id="rId192" w:tooltip="26 U.S.C. § 142(l)(6)(A)(i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population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density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less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150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people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square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mile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according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2000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census,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38BFE7DE" w14:textId="71D35F94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(iii)</w:t>
      </w:r>
      <w:hyperlink r:id="rId193" w:tooltip="26 U.S.C. § 142(l)(6)(A)(iii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increased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population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less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half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national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increase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between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1990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2000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censuses.</w:t>
      </w:r>
    </w:p>
    <w:p w14:paraId="352EFBED" w14:textId="0A17A7AB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(B)</w:t>
      </w:r>
      <w:hyperlink r:id="rId194" w:tooltip="26 U.S.C. § 142(l)(6)(B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Local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government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“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local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government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”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meaning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given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1393(a)(5).</w:t>
      </w:r>
    </w:p>
    <w:p w14:paraId="6683897D" w14:textId="35646E54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(C)</w:t>
      </w:r>
      <w:hyperlink r:id="rId195" w:tooltip="26 U.S.C. § 142(l)(6)(C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Net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benefit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of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tax-exempt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financing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“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net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benefit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tax-exempt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financing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”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means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present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value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interest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savings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(determined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calculation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established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Secretary)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result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from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tax-exempt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status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bonds.</w:t>
      </w:r>
    </w:p>
    <w:p w14:paraId="5F3E6ACF" w14:textId="58EC1F1E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(7)</w:t>
      </w:r>
      <w:hyperlink r:id="rId196" w:tooltip="26 U.S.C. § 142(l)(7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Aggregate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face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amount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of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tax-exempt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financing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</w:p>
    <w:p w14:paraId="78945E56" w14:textId="702CDA9E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(A)</w:t>
      </w:r>
      <w:hyperlink r:id="rId197" w:tooltip="26 U.S.C. § 142(l)(7)(A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In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general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treated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(a)(14)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aggregate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local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government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pursuant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thereto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(when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added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aggregate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previously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exceeds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designated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Secretary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designation.</w:t>
      </w:r>
    </w:p>
    <w:p w14:paraId="6EF412F5" w14:textId="5985D967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(B)</w:t>
      </w:r>
      <w:hyperlink r:id="rId198" w:tooltip="26 U.S.C. § 142(l)(7)(B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Limitation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on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amount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of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bonds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Secretary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allocate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authority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green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building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sustainable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design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aggregate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exceeding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$2,000,000,000.</w:t>
      </w:r>
    </w:p>
    <w:p w14:paraId="24883BD0" w14:textId="690ACCE3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(8)</w:t>
      </w:r>
      <w:hyperlink r:id="rId199" w:tooltip="26 U.S.C. § 142(l)(8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Termination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(a)(14)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respect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after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September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30,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2012.</w:t>
      </w:r>
    </w:p>
    <w:p w14:paraId="196B6951" w14:textId="7DBC2097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(9)</w:t>
      </w:r>
      <w:hyperlink r:id="rId200" w:tooltip="26 U.S.C. § 142(l)(9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Treatment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of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current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refunding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bonds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Paragraphs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(7)(B)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(8)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series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bonds)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refund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(a)(14)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before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October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2012,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if—</w:t>
      </w:r>
    </w:p>
    <w:p w14:paraId="48B3F83B" w14:textId="2F0B96DE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(A)</w:t>
      </w:r>
      <w:hyperlink r:id="rId201" w:tooltip="26 U.S.C. § 142(l)(9)(A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average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maturity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refunding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later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average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maturity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refunded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issue,</w:t>
      </w:r>
    </w:p>
    <w:p w14:paraId="3B46C4ED" w14:textId="24B90C40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(B)</w:t>
      </w:r>
      <w:hyperlink r:id="rId202" w:tooltip="26 U.S.C. § 142(l)(9)(B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refunding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does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exceed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outstanding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refunded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24FD9B9B" w14:textId="7428EC0F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(C)</w:t>
      </w:r>
      <w:hyperlink r:id="rId203" w:tooltip="26 U.S.C. § 142(l)(9)(C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net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proceeds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refunding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used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redeem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refunded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later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90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days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after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issuance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refunding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bond.</w:t>
      </w:r>
    </w:p>
    <w:p w14:paraId="3047452D" w14:textId="4CA3E8A3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average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maturity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determined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accordance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147(b)(2)(A).</w:t>
      </w:r>
    </w:p>
    <w:p w14:paraId="3935AE35" w14:textId="7A6544A4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(m)</w:t>
      </w:r>
      <w:hyperlink r:id="rId204" w:tooltip="26 U.S.C. § 142(m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Qualified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highway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or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surface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freight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transfer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facilities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</w:p>
    <w:p w14:paraId="5B68FF71" w14:textId="439776EA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(1)</w:t>
      </w:r>
      <w:hyperlink r:id="rId205" w:tooltip="26 U.S.C. § 142(m)(1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In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general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(a)(15),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term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“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highway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surface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freight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transfer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facilities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”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means—</w:t>
      </w:r>
    </w:p>
    <w:p w14:paraId="661C8A3C" w14:textId="010DE77E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lastRenderedPageBreak/>
        <w:t>(A)</w:t>
      </w:r>
      <w:hyperlink r:id="rId206" w:tooltip="26 U.S.C. § 142(m)(1)(A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surface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transportation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receives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Federal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assistance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title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23,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States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effect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enactment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subsection),</w:t>
      </w:r>
    </w:p>
    <w:p w14:paraId="6FF0071F" w14:textId="50B22B44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(B)</w:t>
      </w:r>
      <w:hyperlink r:id="rId207" w:tooltip="26 U.S.C. § 142(m)(1)(B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project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international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bridge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tunnel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international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entity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authorized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Federal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law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responsible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receives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Federal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assistance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title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23,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States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effect),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</w:p>
    <w:p w14:paraId="664E1C9B" w14:textId="2CC67855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(C)</w:t>
      </w:r>
      <w:hyperlink r:id="rId208" w:tooltip="26 U.S.C. § 142(m)(1)(C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transfer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freight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from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truck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rail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rail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truck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(including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temporary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storage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facilities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directly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transfers)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receives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Federal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assistance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either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title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23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title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49,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United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States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Code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effect).</w:t>
      </w:r>
    </w:p>
    <w:p w14:paraId="5DAC5952" w14:textId="0F5509EB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(2)</w:t>
      </w:r>
      <w:hyperlink r:id="rId209" w:tooltip="26 U.S.C. § 142(m)(2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National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limitation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on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amount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of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tax-exempt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financing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for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facilities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</w:p>
    <w:p w14:paraId="37EB9806" w14:textId="5B84F22B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(A)</w:t>
      </w:r>
      <w:hyperlink r:id="rId210" w:tooltip="26 U.S.C. § 142(m)(2)(A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National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limitation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aggregate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allocated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Secretary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Transportation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(C)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exceed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$15,000,000,000.</w:t>
      </w:r>
    </w:p>
    <w:p w14:paraId="6433F3F8" w14:textId="75856738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(B)</w:t>
      </w:r>
      <w:hyperlink r:id="rId211" w:tooltip="26 U.S.C. § 142(m)(2)(B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Enforcement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of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national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limitation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treated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(a)(15)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aggregate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pursuant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highway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surface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freight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transfer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(when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added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aggregate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previously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exceeds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allocated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(C).</w:t>
      </w:r>
    </w:p>
    <w:p w14:paraId="38237079" w14:textId="0AD14F4C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(C)</w:t>
      </w:r>
      <w:hyperlink r:id="rId212" w:tooltip="26 U.S.C. § 142(m)(2)(C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Allocation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by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Secretary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of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Transportation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Secretary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Transportation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allocate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among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highway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surface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freight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transfer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facilities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manner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Secretary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determines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appropriate.</w:t>
      </w:r>
    </w:p>
    <w:p w14:paraId="429EA3B4" w14:textId="4FE46140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(3)</w:t>
      </w:r>
      <w:hyperlink r:id="rId213" w:tooltip="26 U.S.C. § 142(m)(3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Expenditure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of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proceeds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treated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described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(a)(15)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unless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least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95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percent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net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proceeds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expended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qualified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highway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surface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freight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transfer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facilities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5-year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period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beginning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issuance.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least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95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percent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net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proceeds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expended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5-year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period,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treated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continuing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meet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requirements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unspent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proceeds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redeem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90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days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after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5-year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period.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Secretary,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request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issuer,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extend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proofErr w:type="gramStart"/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5-</w:t>
      </w:r>
      <w:proofErr w:type="gramEnd"/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year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period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establishes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that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failure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meet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period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due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circumstances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beyond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control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issuer.</w:t>
      </w:r>
    </w:p>
    <w:p w14:paraId="5AFB10BF" w14:textId="0711EA66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(4)</w:t>
      </w:r>
      <w:hyperlink r:id="rId214" w:tooltip="26 U.S.C. § 142(m)(4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Exception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for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current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refunding</w:t>
      </w:r>
      <w:r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 xml:space="preserve"> </w:t>
      </w:r>
      <w:r w:rsidRPr="00B775C9">
        <w:rPr>
          <w:rStyle w:val="heading-enum"/>
          <w:rFonts w:ascii="Avenir Next P for BBG" w:hAnsi="Avenir Next P for BBG" w:cs="Open Sans"/>
          <w:b/>
          <w:bCs/>
          <w:color w:val="000000"/>
          <w:sz w:val="18"/>
          <w:szCs w:val="18"/>
        </w:rPr>
        <w:t>bonds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—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P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(2)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apply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series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bonds)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refund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under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(a)(15)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if—</w:t>
      </w:r>
    </w:p>
    <w:p w14:paraId="6CBE5FDA" w14:textId="68C10517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(A)</w:t>
      </w:r>
      <w:hyperlink r:id="rId215" w:tooltip="26 U.S.C. § 142(m)(4)(A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average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maturity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which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refunding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part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later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average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maturity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to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refunded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such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issue,</w:t>
      </w:r>
    </w:p>
    <w:p w14:paraId="5E7020AF" w14:textId="3EF97E6F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(B)</w:t>
      </w:r>
      <w:hyperlink r:id="rId216" w:tooltip="26 U.S.C. § 142(m)(4)(B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refunding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does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exceed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outstanding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amount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refunded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and</w:t>
      </w:r>
    </w:p>
    <w:p w14:paraId="0EA2C866" w14:textId="6C5C6F4A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b/>
          <w:bCs/>
          <w:color w:val="333333"/>
          <w:sz w:val="18"/>
          <w:szCs w:val="18"/>
        </w:rPr>
        <w:t>(C)</w:t>
      </w:r>
      <w:hyperlink r:id="rId217" w:tooltip="26 U.S.C. § 142(m)(4)(C)" w:history="1"/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refunded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redeemed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not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later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than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90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days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after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date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issuance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the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refunding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bond.</w:t>
      </w:r>
    </w:p>
    <w:p w14:paraId="15EE96F9" w14:textId="1D0D48C5" w:rsidR="00311404" w:rsidRPr="00B775C9" w:rsidRDefault="00311404" w:rsidP="00AC6A07">
      <w:pPr>
        <w:shd w:val="clear" w:color="auto" w:fill="FFFFFF"/>
        <w:spacing w:beforeLines="40" w:before="96"/>
        <w:rPr>
          <w:rFonts w:ascii="Avenir Next P for BBG" w:hAnsi="Avenir Next P for BBG" w:cs="Open Sans"/>
          <w:color w:val="000000"/>
          <w:sz w:val="18"/>
          <w:szCs w:val="18"/>
        </w:rPr>
      </w:pP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For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purposes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of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subparagraph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(A),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average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maturity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shall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be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determined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in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accordance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with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section</w:t>
      </w:r>
      <w:r>
        <w:rPr>
          <w:rFonts w:ascii="Avenir Next P for BBG" w:hAnsi="Avenir Next P for BBG" w:cs="Open Sans"/>
          <w:color w:val="000000"/>
          <w:sz w:val="18"/>
          <w:szCs w:val="18"/>
        </w:rPr>
        <w:t xml:space="preserve"> </w:t>
      </w:r>
      <w:r w:rsidRPr="00B775C9">
        <w:rPr>
          <w:rFonts w:ascii="Avenir Next P for BBG" w:hAnsi="Avenir Next P for BBG" w:cs="Open Sans"/>
          <w:color w:val="000000"/>
          <w:sz w:val="18"/>
          <w:szCs w:val="18"/>
        </w:rPr>
        <w:t>147(b)(2)(A).</w:t>
      </w:r>
    </w:p>
    <w:sectPr w:rsidR="00311404" w:rsidRPr="00B775C9" w:rsidSect="00311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P for BBG">
    <w:altName w:val="Calibri"/>
    <w:panose1 w:val="020B0503020202020204"/>
    <w:charset w:val="00"/>
    <w:family w:val="swiss"/>
    <w:notTrueType/>
    <w:pitch w:val="variable"/>
    <w:sig w:usb0="A00002AF" w:usb1="4000205B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04"/>
    <w:rsid w:val="001E0563"/>
    <w:rsid w:val="00311404"/>
    <w:rsid w:val="004F3D02"/>
    <w:rsid w:val="00790531"/>
    <w:rsid w:val="009E4558"/>
    <w:rsid w:val="00EE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71DC8"/>
  <w15:chartTrackingRefBased/>
  <w15:docId w15:val="{820F89D5-D1C1-4486-871F-976508E6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4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4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4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4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4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4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4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4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4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4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4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4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4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404"/>
    <w:rPr>
      <w:b/>
      <w:bCs/>
      <w:smallCaps/>
      <w:color w:val="2F5496" w:themeColor="accent1" w:themeShade="BF"/>
      <w:spacing w:val="5"/>
    </w:rPr>
  </w:style>
  <w:style w:type="character" w:customStyle="1" w:styleId="heading-enum">
    <w:name w:val="heading-enum"/>
    <w:basedOn w:val="DefaultParagraphFont"/>
    <w:rsid w:val="00311404"/>
  </w:style>
  <w:style w:type="character" w:styleId="Hyperlink">
    <w:name w:val="Hyperlink"/>
    <w:basedOn w:val="DefaultParagraphFont"/>
    <w:uiPriority w:val="99"/>
    <w:unhideWhenUsed/>
    <w:rsid w:val="00311404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311404"/>
  </w:style>
  <w:style w:type="paragraph" w:customStyle="1" w:styleId="msonormal0">
    <w:name w:val="msonormal"/>
    <w:basedOn w:val="Normal"/>
    <w:rsid w:val="00311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toolicon">
    <w:name w:val="toolicon"/>
    <w:basedOn w:val="DefaultParagraphFont"/>
    <w:rsid w:val="00311404"/>
  </w:style>
  <w:style w:type="character" w:styleId="FollowedHyperlink">
    <w:name w:val="FollowedHyperlink"/>
    <w:basedOn w:val="DefaultParagraphFont"/>
    <w:uiPriority w:val="99"/>
    <w:semiHidden/>
    <w:unhideWhenUsed/>
    <w:rsid w:val="00311404"/>
    <w:rPr>
      <w:color w:val="800080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311404"/>
    <w:rPr>
      <w:i/>
      <w:iCs/>
    </w:rPr>
  </w:style>
  <w:style w:type="paragraph" w:customStyle="1" w:styleId="level1">
    <w:name w:val="level1"/>
    <w:basedOn w:val="Normal"/>
    <w:rsid w:val="00311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LegHisExcerptH-S-Aheading">
    <w:name w:val="LegHis_Excerpt_H-S-A_heading"/>
    <w:basedOn w:val="level1"/>
    <w:qFormat/>
    <w:rsid w:val="00311404"/>
    <w:pPr>
      <w:shd w:val="clear" w:color="auto" w:fill="D0CECE" w:themeFill="background2" w:themeFillShade="E6"/>
      <w:spacing w:before="144" w:beforeAutospacing="0" w:after="120" w:afterAutospacing="0"/>
    </w:pPr>
    <w:rPr>
      <w:rFonts w:ascii="Avenir Next P for BBG" w:eastAsiaTheme="majorEastAsia" w:hAnsi="Avenir Next P for BBG" w:cstheme="minorHAnsi"/>
      <w:b/>
      <w:bCs/>
      <w:sz w:val="22"/>
      <w:szCs w:val="22"/>
    </w:rPr>
  </w:style>
  <w:style w:type="table" w:styleId="TableGrid">
    <w:name w:val="Table Grid"/>
    <w:basedOn w:val="TableNormal"/>
    <w:uiPriority w:val="39"/>
    <w:rsid w:val="00311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HisExcerptbill-cong-date">
    <w:name w:val="LegHis_Excerpt_bill-cong-date"/>
    <w:basedOn w:val="level1"/>
    <w:qFormat/>
    <w:rsid w:val="00311404"/>
    <w:pPr>
      <w:shd w:val="clear" w:color="auto" w:fill="FFFFFF"/>
      <w:spacing w:before="144" w:beforeAutospacing="0" w:after="120" w:afterAutospacing="0"/>
    </w:pPr>
    <w:rPr>
      <w:rFonts w:ascii="Avenir Next P for BBG" w:hAnsi="Avenir Next P for BBG" w:cstheme="minorHAnsi"/>
      <w:sz w:val="22"/>
      <w:szCs w:val="22"/>
    </w:rPr>
  </w:style>
  <w:style w:type="paragraph" w:customStyle="1" w:styleId="LegHIssidebar">
    <w:name w:val="LegHIs_sidebar"/>
    <w:basedOn w:val="Normal"/>
    <w:qFormat/>
    <w:rsid w:val="00311404"/>
    <w:pPr>
      <w:pBdr>
        <w:bottom w:val="single" w:sz="6" w:space="1" w:color="auto"/>
      </w:pBdr>
      <w:spacing w:beforeLines="60" w:before="144" w:after="0" w:line="257" w:lineRule="auto"/>
    </w:pPr>
    <w:rPr>
      <w:rFonts w:ascii="Avenir Next P for BBG" w:eastAsiaTheme="majorEastAsia" w:hAnsi="Avenir Next P for BBG"/>
      <w:sz w:val="18"/>
      <w:szCs w:val="18"/>
    </w:rPr>
  </w:style>
  <w:style w:type="paragraph" w:customStyle="1" w:styleId="LegHissidebarH-S-A-BM-heads">
    <w:name w:val="LegHis_sidebar_H-S-A-BM-heads"/>
    <w:basedOn w:val="level1"/>
    <w:qFormat/>
    <w:rsid w:val="00311404"/>
    <w:pPr>
      <w:pBdr>
        <w:top w:val="double" w:sz="4" w:space="1" w:color="auto"/>
      </w:pBdr>
      <w:shd w:val="clear" w:color="auto" w:fill="D0CECE" w:themeFill="background2" w:themeFillShade="E6"/>
      <w:spacing w:before="144" w:beforeAutospacing="0" w:after="120" w:afterAutospacing="0"/>
    </w:pPr>
    <w:rPr>
      <w:rFonts w:ascii="Avenir Next P for BBG" w:eastAsiaTheme="majorEastAsia" w:hAnsi="Avenir Next P for BBG" w:cstheme="minorHAnsi"/>
      <w:b/>
      <w:bCs/>
      <w:sz w:val="18"/>
      <w:szCs w:val="18"/>
    </w:rPr>
  </w:style>
  <w:style w:type="paragraph" w:customStyle="1" w:styleId="LegHissidebar-MainHeadtop">
    <w:name w:val="LegHis_sidebar-MainHead_top"/>
    <w:basedOn w:val="level1"/>
    <w:qFormat/>
    <w:rsid w:val="00311404"/>
    <w:pPr>
      <w:shd w:val="clear" w:color="auto" w:fill="FFFFFF" w:themeFill="background1"/>
      <w:spacing w:before="0" w:beforeAutospacing="0" w:after="0" w:afterAutospacing="0"/>
    </w:pPr>
    <w:rPr>
      <w:rFonts w:ascii="Avenir Next P for BBG" w:eastAsiaTheme="majorEastAsia" w:hAnsi="Avenir Next P for BBG" w:cstheme="minorBidi"/>
      <w:b/>
      <w:bCs/>
      <w:sz w:val="22"/>
      <w:szCs w:val="22"/>
    </w:rPr>
  </w:style>
  <w:style w:type="paragraph" w:customStyle="1" w:styleId="LegHisEdNote">
    <w:name w:val="LegHis_EdNote"/>
    <w:basedOn w:val="Normal"/>
    <w:qFormat/>
    <w:rsid w:val="00311404"/>
    <w:pPr>
      <w:spacing w:after="0" w:line="240" w:lineRule="auto"/>
    </w:pPr>
  </w:style>
  <w:style w:type="paragraph" w:customStyle="1" w:styleId="LegHissidebarsubhead">
    <w:name w:val="LegHis_sidebar_subhead"/>
    <w:basedOn w:val="level1"/>
    <w:qFormat/>
    <w:rsid w:val="00311404"/>
    <w:pPr>
      <w:shd w:val="clear" w:color="auto" w:fill="FFFFFF" w:themeFill="background1"/>
      <w:spacing w:before="144" w:beforeAutospacing="0" w:after="120" w:afterAutospacing="0"/>
    </w:pPr>
    <w:rPr>
      <w:rFonts w:ascii="Avenir Next P for BBG" w:eastAsiaTheme="majorEastAsia" w:hAnsi="Avenir Next P for BBG" w:cstheme="minorBidi"/>
      <w:b/>
      <w:bCs/>
      <w:sz w:val="18"/>
      <w:szCs w:val="18"/>
    </w:rPr>
  </w:style>
  <w:style w:type="paragraph" w:customStyle="1" w:styleId="LegHisExcerpt-CenteredHeads">
    <w:name w:val="LegHis_Excerpt-CenteredHeads"/>
    <w:basedOn w:val="Normal"/>
    <w:qFormat/>
    <w:rsid w:val="00311404"/>
    <w:pPr>
      <w:spacing w:after="0" w:line="480" w:lineRule="auto"/>
      <w:jc w:val="center"/>
    </w:pPr>
    <w:rPr>
      <w:rFonts w:ascii="Avenir Next P for BBG" w:hAnsi="Avenir Next P for BBG" w:cstheme="minorHAnsi"/>
      <w:b/>
      <w:bCs/>
      <w:caps/>
      <w:color w:val="333333"/>
      <w:sz w:val="24"/>
      <w:szCs w:val="24"/>
      <w:shd w:val="clear" w:color="auto" w:fill="FFFFFF"/>
    </w:rPr>
  </w:style>
  <w:style w:type="paragraph" w:customStyle="1" w:styleId="paragraph">
    <w:name w:val="paragraph"/>
    <w:basedOn w:val="Normal"/>
    <w:rsid w:val="00311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1140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11404"/>
  </w:style>
  <w:style w:type="character" w:customStyle="1" w:styleId="contentdocumentalink">
    <w:name w:val="content_document_a_link"/>
    <w:basedOn w:val="DefaultParagraphFont"/>
    <w:rsid w:val="00311404"/>
    <w:rPr>
      <w:color w:val="225379"/>
    </w:rPr>
  </w:style>
  <w:style w:type="paragraph" w:customStyle="1" w:styleId="contentdocumentdiv">
    <w:name w:val="content_document_div"/>
    <w:basedOn w:val="Normal"/>
    <w:rsid w:val="00311404"/>
  </w:style>
  <w:style w:type="paragraph" w:customStyle="1" w:styleId="contentdocumentdivsegment-level">
    <w:name w:val="content_document_div_segment-level"/>
    <w:basedOn w:val="Normal"/>
    <w:rsid w:val="00311404"/>
  </w:style>
  <w:style w:type="character" w:customStyle="1" w:styleId="contentdocumentaenum">
    <w:name w:val="content_document_a_enum"/>
    <w:basedOn w:val="DefaultParagraphFont"/>
    <w:rsid w:val="00311404"/>
    <w:rPr>
      <w:b/>
      <w:bCs/>
    </w:rPr>
  </w:style>
  <w:style w:type="character" w:customStyle="1" w:styleId="contentdocumentspanheading-enum">
    <w:name w:val="content_document_span_heading-enum"/>
    <w:basedOn w:val="DefaultParagraphFont"/>
    <w:rsid w:val="00311404"/>
    <w:rPr>
      <w:b/>
      <w:bCs/>
    </w:rPr>
  </w:style>
  <w:style w:type="character" w:customStyle="1" w:styleId="contentdocumentdivinline">
    <w:name w:val="content_document_div_inline"/>
    <w:basedOn w:val="DefaultParagraphFont"/>
    <w:rsid w:val="00311404"/>
  </w:style>
  <w:style w:type="character" w:customStyle="1" w:styleId="lbexallcap">
    <w:name w:val="lbexallcap"/>
    <w:basedOn w:val="DefaultParagraphFont"/>
    <w:rsid w:val="00311404"/>
  </w:style>
  <w:style w:type="character" w:customStyle="1" w:styleId="lbextitlelevelolc">
    <w:name w:val="lbextitlelevelolc"/>
    <w:basedOn w:val="DefaultParagraphFont"/>
    <w:rsid w:val="00311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bloomberglaw.com/product/tax/view_menu/related_content_internal_revenue_code/cite_refs?citation=26%20U%2ES%2EC%2E%20%20142(g)(2)&amp;term=26%20U%2ES%2EC%2E%20%20142(g)(2)" TargetMode="External"/><Relationship Id="rId21" Type="http://schemas.openxmlformats.org/officeDocument/2006/relationships/hyperlink" Target="https://www.bloomberglaw.com/product/tax/view_menu/related_content_internal_revenue_code/cite_refs?citation=26%20U%2ES%2EC%2E%20%20142(a)(6)&amp;term=26%20U%2ES%2EC%2E%20%20142(a)(6)" TargetMode="External"/><Relationship Id="rId42" Type="http://schemas.openxmlformats.org/officeDocument/2006/relationships/hyperlink" Target="https://www.bloomberglaw.com/product/tax/view_menu/related_content_internal_revenue_code/cite_refs?citation=26%20U%2ES%2EC%2E%20%20142(c)(1)&amp;term=26%20U%2ES%2EC%2E%20%20142(c)(1)" TargetMode="External"/><Relationship Id="rId63" Type="http://schemas.openxmlformats.org/officeDocument/2006/relationships/hyperlink" Target="https://www.bloomberglaw.com/product/tax/view_menu/related_content_internal_revenue_code/cite_refs?citation=26%20U%2ES%2EC%2E%20%20142(d)(2)(C)&amp;term=26%20U%2ES%2EC%2E%20%20142(d)(2)(C)" TargetMode="External"/><Relationship Id="rId84" Type="http://schemas.openxmlformats.org/officeDocument/2006/relationships/hyperlink" Target="https://www.bloomberglaw.com/product/tax/view_menu/related_content_internal_revenue_code/cite_refs?citation=26%20U%2ES%2EC%2E%20%20142(d)(4)(C)(ii)&amp;term=26%20U%2ES%2EC%2E%20%20142(d)(4)(C)(ii)" TargetMode="External"/><Relationship Id="rId138" Type="http://schemas.openxmlformats.org/officeDocument/2006/relationships/hyperlink" Target="https://www.bloomberglaw.com/product/tax/view_menu/related_content_internal_revenue_code/cite_refs?citation=26%20U%2ES%2EC%2E%20%20142(j)(1)(B)(ii)&amp;term=26%20U%2ES%2EC%2E%20%20142(j)(1)(B)(ii)" TargetMode="External"/><Relationship Id="rId159" Type="http://schemas.openxmlformats.org/officeDocument/2006/relationships/hyperlink" Target="https://www.bloomberglaw.com/product/tax/view_menu/related_content_internal_revenue_code/cite_refs?citation=26%20U%2ES%2EC%2E%20%20142(k)(5)(B)(i)&amp;term=26%20U%2ES%2EC%2E%20%20142(k)(5)(B)(i)" TargetMode="External"/><Relationship Id="rId170" Type="http://schemas.openxmlformats.org/officeDocument/2006/relationships/hyperlink" Target="https://www.bloomberglaw.com/product/tax/view_menu/related_content_internal_revenue_code/cite_refs?citation=26%20U%2ES%2EC%2E%20%20142(l)(3)&amp;term=26%20U%2ES%2EC%2E%20%20142(l)(3)" TargetMode="External"/><Relationship Id="rId191" Type="http://schemas.openxmlformats.org/officeDocument/2006/relationships/hyperlink" Target="https://www.bloomberglaw.com/product/tax/view_menu/related_content_internal_revenue_code/cite_refs?citation=26%20U%2ES%2EC%2E%20%20142(l)(6)(A)(i)&amp;term=26%20U%2ES%2EC%2E%20%20142(l)(6)(A)(i)" TargetMode="External"/><Relationship Id="rId205" Type="http://schemas.openxmlformats.org/officeDocument/2006/relationships/hyperlink" Target="https://www.bloomberglaw.com/product/tax/view_menu/related_content_internal_revenue_code/cite_refs?citation=26%20U%2ES%2EC%2E%20%20142(m)(1)&amp;term=26%20U%2ES%2EC%2E%20%20142(m)(1)" TargetMode="External"/><Relationship Id="rId107" Type="http://schemas.openxmlformats.org/officeDocument/2006/relationships/hyperlink" Target="https://www.bloomberglaw.com/product/tax/view_menu/related_content_internal_revenue_code/cite_refs?citation=26%20U%2ES%2EC%2E%20%20142(f)(4)&amp;term=26%20U%2ES%2EC%2E%20%20142(f)(4)" TargetMode="External"/><Relationship Id="rId11" Type="http://schemas.openxmlformats.org/officeDocument/2006/relationships/hyperlink" Target="https://www.bloomberglaw.com/product/tax/document/1?citation=26%20USC%20142&amp;amp;summary=yes" TargetMode="External"/><Relationship Id="rId32" Type="http://schemas.openxmlformats.org/officeDocument/2006/relationships/hyperlink" Target="https://www.bloomberglaw.com/product/tax/view_menu/related_content_internal_revenue_code/cite_refs?citation=26%20U%2ES%2EC%2E%20%20142(b)(1)&amp;term=26%20U%2ES%2EC%2E%20%20142(b)(1)" TargetMode="External"/><Relationship Id="rId53" Type="http://schemas.openxmlformats.org/officeDocument/2006/relationships/hyperlink" Target="https://www.bloomberglaw.com/product/tax/view_menu/related_content_internal_revenue_code/cite_refs?citation=26%20U%2ES%2EC%2E%20%20142(d)(2)&amp;term=26%20U%2ES%2EC%2E%20%20142(d)(2)" TargetMode="External"/><Relationship Id="rId74" Type="http://schemas.openxmlformats.org/officeDocument/2006/relationships/hyperlink" Target="https://www.bloomberglaw.com/product/tax/view_menu/related_content_internal_revenue_code/cite_refs?citation=26%20U%2ES%2EC%2E%20%20142(d)(4)&amp;term=26%20U%2ES%2EC%2E%20%20142(d)(4)" TargetMode="External"/><Relationship Id="rId128" Type="http://schemas.openxmlformats.org/officeDocument/2006/relationships/hyperlink" Target="https://www.bloomberglaw.com/product/tax/view_menu/related_content_internal_revenue_code/cite_refs?citation=26%20U%2ES%2EC%2E%20%20142(i)(1)&amp;term=26%20U%2ES%2EC%2E%20%20142(i)(1)" TargetMode="External"/><Relationship Id="rId149" Type="http://schemas.openxmlformats.org/officeDocument/2006/relationships/hyperlink" Target="https://www.bloomberglaw.com/product/tax/view_menu/related_content_internal_revenue_code/cite_refs?citation=26%20U%2ES%2EC%2E%20%20142(k)(3)&amp;term=26%20U%2ES%2EC%2E%20%20142(k)(3)" TargetMode="External"/><Relationship Id="rId5" Type="http://schemas.openxmlformats.org/officeDocument/2006/relationships/hyperlink" Target="https://www.bloomberglaw.com/product/tax/document/1?citation=26%20USC%20146&amp;amp;summary=yes" TargetMode="External"/><Relationship Id="rId95" Type="http://schemas.openxmlformats.org/officeDocument/2006/relationships/hyperlink" Target="https://www.bloomberglaw.com/product/tax/view_menu/related_content_internal_revenue_code/cite_refs?citation=26%20U%2ES%2EC%2E%20%20142(f)(1)(A)&amp;term=26%20U%2ES%2EC%2E%20%20142(f)(1)(A)" TargetMode="External"/><Relationship Id="rId160" Type="http://schemas.openxmlformats.org/officeDocument/2006/relationships/hyperlink" Target="https://www.bloomberglaw.com/product/tax/view_menu/related_content_internal_revenue_code/cite_refs?citation=26%20U%2ES%2EC%2E%20%20142(k)(5)(B)(ii)&amp;term=26%20U%2ES%2EC%2E%20%20142(k)(5)(B)(ii)" TargetMode="External"/><Relationship Id="rId181" Type="http://schemas.openxmlformats.org/officeDocument/2006/relationships/hyperlink" Target="https://www.bloomberglaw.com/product/tax/view_menu/related_content_internal_revenue_code/cite_refs?citation=26%20U%2ES%2EC%2E%20%20142(l)(4)(A)(vi)&amp;term=26%20U%2ES%2EC%2E%20%20142(l)(4)(A)(vi)" TargetMode="External"/><Relationship Id="rId216" Type="http://schemas.openxmlformats.org/officeDocument/2006/relationships/hyperlink" Target="https://www.bloomberglaw.com/product/tax/view_menu/related_content_internal_revenue_code/cite_refs?citation=26%20U%2ES%2EC%2E%20%20142(m)(4)(B)&amp;term=26%20U%2ES%2EC%2E%20%20142(m)(4)(B)" TargetMode="External"/><Relationship Id="rId22" Type="http://schemas.openxmlformats.org/officeDocument/2006/relationships/hyperlink" Target="https://www.bloomberglaw.com/product/tax/view_menu/related_content_internal_revenue_code/cite_refs?citation=26%20U%2ES%2EC%2E%20%20142(a)(7)&amp;term=26%20U%2ES%2EC%2E%20%20142(a)(7)" TargetMode="External"/><Relationship Id="rId43" Type="http://schemas.openxmlformats.org/officeDocument/2006/relationships/hyperlink" Target="https://www.bloomberglaw.com/product/tax/view_menu/related_content_internal_revenue_code/cite_refs?citation=26%20U%2ES%2EC%2E%20%20142(c)(2)&amp;term=26%20U%2ES%2EC%2E%20%20142(c)(2)" TargetMode="External"/><Relationship Id="rId64" Type="http://schemas.openxmlformats.org/officeDocument/2006/relationships/hyperlink" Target="https://www.bloomberglaw.com/product/tax/view_menu/related_content_internal_revenue_code/cite_refs?citation=26%20U%2ES%2EC%2E%20%20142(d)(2)(D)&amp;term=26%20U%2ES%2EC%2E%20%20142(d)(2)(D)" TargetMode="External"/><Relationship Id="rId118" Type="http://schemas.openxmlformats.org/officeDocument/2006/relationships/hyperlink" Target="https://www.bloomberglaw.com/product/tax/view_menu/related_content_internal_revenue_code/cite_refs?citation=26%20U%2ES%2EC%2E%20%20142(g)(2)(A)&amp;term=26%20U%2ES%2EC%2E%20%20142(g)(2)(A)" TargetMode="External"/><Relationship Id="rId139" Type="http://schemas.openxmlformats.org/officeDocument/2006/relationships/hyperlink" Target="https://www.bloomberglaw.com/product/tax/view_menu/related_content_internal_revenue_code/cite_refs?citation=26%20U%2ES%2EC%2E%20%20142(j)(2)&amp;term=26%20U%2ES%2EC%2E%20%20142(j)(2)" TargetMode="External"/><Relationship Id="rId85" Type="http://schemas.openxmlformats.org/officeDocument/2006/relationships/hyperlink" Target="https://www.bloomberglaw.com/product/tax/view_menu/related_content_internal_revenue_code/cite_refs?citation=26%20U%2ES%2EC%2E%20%20142(d)(5)&amp;term=26%20U%2ES%2EC%2E%20%20142(d)(5)" TargetMode="External"/><Relationship Id="rId150" Type="http://schemas.openxmlformats.org/officeDocument/2006/relationships/hyperlink" Target="https://www.bloomberglaw.com/product/tax/view_menu/related_content_internal_revenue_code/cite_refs?citation=26%20U%2ES%2EC%2E%20%20142(k)(3)(A)&amp;term=26%20U%2ES%2EC%2E%20%20142(k)(3)(A)" TargetMode="External"/><Relationship Id="rId171" Type="http://schemas.openxmlformats.org/officeDocument/2006/relationships/hyperlink" Target="https://www.bloomberglaw.com/product/tax/view_menu/related_content_internal_revenue_code/cite_refs?citation=26%20U%2ES%2EC%2E%20%20142(l)(3)(A)&amp;term=26%20U%2ES%2EC%2E%20%20142(l)(3)(A)" TargetMode="External"/><Relationship Id="rId192" Type="http://schemas.openxmlformats.org/officeDocument/2006/relationships/hyperlink" Target="https://www.bloomberglaw.com/product/tax/view_menu/related_content_internal_revenue_code/cite_refs?citation=26%20U%2ES%2EC%2E%20%20142(l)(6)(A)(ii)&amp;term=26%20U%2ES%2EC%2E%20%20142(l)(6)(A)(ii)" TargetMode="External"/><Relationship Id="rId206" Type="http://schemas.openxmlformats.org/officeDocument/2006/relationships/hyperlink" Target="https://www.bloomberglaw.com/product/tax/view_menu/related_content_internal_revenue_code/cite_refs?citation=26%20U%2ES%2EC%2E%20%20142(m)(1)(A)&amp;term=26%20U%2ES%2EC%2E%20%20142(m)(1)(A)" TargetMode="External"/><Relationship Id="rId12" Type="http://schemas.openxmlformats.org/officeDocument/2006/relationships/hyperlink" Target="https://www.bloomberglaw.com/product/tax/document/1?citation=26%20USC%20148&amp;amp;summary=yes" TargetMode="External"/><Relationship Id="rId33" Type="http://schemas.openxmlformats.org/officeDocument/2006/relationships/hyperlink" Target="https://www.bloomberglaw.com/product/tax/view_menu/related_content_internal_revenue_code/cite_refs?citation=26%20U%2ES%2EC%2E%20%20142(b)(1)(A)&amp;term=26%20U%2ES%2EC%2E%20%20142(b)(1)(A)" TargetMode="External"/><Relationship Id="rId108" Type="http://schemas.openxmlformats.org/officeDocument/2006/relationships/hyperlink" Target="https://www.bloomberglaw.com/product/tax/view_menu/related_content_internal_revenue_code/cite_refs?citation=26%20U%2ES%2EC%2E%20%20142(f)(4)(A)&amp;term=26%20U%2ES%2EC%2E%20%20142(f)(4)(A)" TargetMode="External"/><Relationship Id="rId129" Type="http://schemas.openxmlformats.org/officeDocument/2006/relationships/hyperlink" Target="https://www.bloomberglaw.com/product/tax/view_menu/related_content_internal_revenue_code/cite_refs?citation=26%20U%2ES%2EC%2E%20%20142(i)(2)&amp;term=26%20U%2ES%2EC%2E%20%20142(i)(2)" TargetMode="External"/><Relationship Id="rId54" Type="http://schemas.openxmlformats.org/officeDocument/2006/relationships/hyperlink" Target="https://www.bloomberglaw.com/product/tax/view_menu/related_content_internal_revenue_code/cite_refs?citation=26%20U%2ES%2EC%2E%20%20142(d)(2)(A)&amp;term=26%20U%2ES%2EC%2E%20%20142(d)(2)(A)" TargetMode="External"/><Relationship Id="rId75" Type="http://schemas.openxmlformats.org/officeDocument/2006/relationships/hyperlink" Target="https://www.bloomberglaw.com/product/tax/view_menu/related_content_internal_revenue_code/cite_refs?citation=26%20U%2ES%2EC%2E%20%20142(d)(4)(A)&amp;term=26%20U%2ES%2EC%2E%20%20142(d)(4)(A)" TargetMode="External"/><Relationship Id="rId96" Type="http://schemas.openxmlformats.org/officeDocument/2006/relationships/hyperlink" Target="https://www.bloomberglaw.com/product/tax/view_menu/related_content_internal_revenue_code/cite_refs?citation=26%20U%2ES%2EC%2E%20%20142(f)(1)(B)&amp;term=26%20U%2ES%2EC%2E%20%20142(f)(1)(B)" TargetMode="External"/><Relationship Id="rId140" Type="http://schemas.openxmlformats.org/officeDocument/2006/relationships/hyperlink" Target="https://www.bloomberglaw.com/product/tax/view_menu/related_content_internal_revenue_code/cite_refs?citation=26%20U%2ES%2EC%2E%20%20142(k)&amp;term=26%20U%2ES%2EC%2E%20%20142(k)" TargetMode="External"/><Relationship Id="rId161" Type="http://schemas.openxmlformats.org/officeDocument/2006/relationships/hyperlink" Target="https://www.bloomberglaw.com/product/tax/view_menu/related_content_internal_revenue_code/cite_refs?citation=26%20U%2ES%2EC%2E%20%20142(l)&amp;term=26%20U%2ES%2EC%2E%20%20142(l)" TargetMode="External"/><Relationship Id="rId182" Type="http://schemas.openxmlformats.org/officeDocument/2006/relationships/hyperlink" Target="https://www.bloomberglaw.com/product/tax/view_menu/related_content_internal_revenue_code/cite_refs?citation=26%20U%2ES%2EC%2E%20%20142(l)(4)(A)(vii)&amp;term=26%20U%2ES%2EC%2E%20%20142(l)(4)(A)(vii)" TargetMode="External"/><Relationship Id="rId217" Type="http://schemas.openxmlformats.org/officeDocument/2006/relationships/hyperlink" Target="https://www.bloomberglaw.com/product/tax/view_menu/related_content_internal_revenue_code/cite_refs?citation=26%20U%2ES%2EC%2E%20%20142(m)(4)(C)&amp;term=26%20U%2ES%2EC%2E%20%20142(m)(4)(C)" TargetMode="External"/><Relationship Id="rId6" Type="http://schemas.openxmlformats.org/officeDocument/2006/relationships/hyperlink" Target="https://www.bloomberglaw.com/product/tax/document/1?citation=26%20USC%20501&amp;amp;summary=yes" TargetMode="External"/><Relationship Id="rId23" Type="http://schemas.openxmlformats.org/officeDocument/2006/relationships/hyperlink" Target="https://www.bloomberglaw.com/product/tax/view_menu/related_content_internal_revenue_code/cite_refs?citation=26%20U%2ES%2EC%2E%20%20142(a)(8)&amp;term=26%20U%2ES%2EC%2E%20%20142(a)(8)" TargetMode="External"/><Relationship Id="rId119" Type="http://schemas.openxmlformats.org/officeDocument/2006/relationships/hyperlink" Target="https://www.bloomberglaw.com/product/tax/view_menu/related_content_internal_revenue_code/cite_refs?citation=26%20U%2ES%2EC%2E%20%20142(g)(2)(A)(i)&amp;term=26%20U%2ES%2EC%2E%20%20142(g)(2)(A)(i)" TargetMode="External"/><Relationship Id="rId44" Type="http://schemas.openxmlformats.org/officeDocument/2006/relationships/hyperlink" Target="https://www.bloomberglaw.com/product/tax/view_menu/related_content_internal_revenue_code/cite_refs?citation=26%20U%2ES%2EC%2E%20%20142(c)(2)(A)&amp;term=26%20U%2ES%2EC%2E%20%20142(c)(2)(A)" TargetMode="External"/><Relationship Id="rId65" Type="http://schemas.openxmlformats.org/officeDocument/2006/relationships/hyperlink" Target="https://www.bloomberglaw.com/product/tax/view_menu/related_content_internal_revenue_code/cite_refs?citation=26%20U%2ES%2EC%2E%20%20142(d)(2)(E)&amp;term=26%20U%2ES%2EC%2E%20%20142(d)(2)(E)" TargetMode="External"/><Relationship Id="rId86" Type="http://schemas.openxmlformats.org/officeDocument/2006/relationships/hyperlink" Target="https://www.bloomberglaw.com/product/tax/view_menu/related_content_internal_revenue_code/cite_refs?citation=26%20U%2ES%2EC%2E%20%20142(d)(5)(A)&amp;term=26%20U%2ES%2EC%2E%20%20142(d)(5)(A)" TargetMode="External"/><Relationship Id="rId130" Type="http://schemas.openxmlformats.org/officeDocument/2006/relationships/hyperlink" Target="https://www.bloomberglaw.com/product/tax/view_menu/related_content_internal_revenue_code/cite_refs?citation=26%20U%2ES%2EC%2E%20%20142(i)(2)(A)&amp;term=26%20U%2ES%2EC%2E%20%20142(i)(2)(A)" TargetMode="External"/><Relationship Id="rId151" Type="http://schemas.openxmlformats.org/officeDocument/2006/relationships/hyperlink" Target="https://www.bloomberglaw.com/product/tax/view_menu/related_content_internal_revenue_code/cite_refs?citation=26%20U%2ES%2EC%2E%20%20142(k)(3)(B)&amp;term=26%20U%2ES%2EC%2E%20%20142(k)(3)(B)" TargetMode="External"/><Relationship Id="rId172" Type="http://schemas.openxmlformats.org/officeDocument/2006/relationships/hyperlink" Target="https://www.bloomberglaw.com/product/tax/view_menu/related_content_internal_revenue_code/cite_refs?citation=26%20U%2ES%2EC%2E%20%20142(l)(3)(B)&amp;term=26%20U%2ES%2EC%2E%20%20142(l)(3)(B)" TargetMode="External"/><Relationship Id="rId193" Type="http://schemas.openxmlformats.org/officeDocument/2006/relationships/hyperlink" Target="https://www.bloomberglaw.com/product/tax/view_menu/related_content_internal_revenue_code/cite_refs?citation=26%20U%2ES%2EC%2E%20%20142(l)(6)(A)(iii)&amp;term=26%20U%2ES%2EC%2E%20%20142(l)(6)(A)(iii)" TargetMode="External"/><Relationship Id="rId207" Type="http://schemas.openxmlformats.org/officeDocument/2006/relationships/hyperlink" Target="https://www.bloomberglaw.com/product/tax/view_menu/related_content_internal_revenue_code/cite_refs?citation=26%20U%2ES%2EC%2E%20%20142(m)(1)(B)&amp;term=26%20U%2ES%2EC%2E%20%20142(m)(1)(B)" TargetMode="External"/><Relationship Id="rId13" Type="http://schemas.openxmlformats.org/officeDocument/2006/relationships/hyperlink" Target="https://www.bloomberglaw.com/product/tax/document/1?citation=26%20USC%20146&amp;amp;summary=yes" TargetMode="External"/><Relationship Id="rId109" Type="http://schemas.openxmlformats.org/officeDocument/2006/relationships/hyperlink" Target="https://www.bloomberglaw.com/product/tax/view_menu/related_content_internal_revenue_code/cite_refs?citation=26%20U%2ES%2EC%2E%20%20142(f)(4)(B)&amp;term=26%20U%2ES%2EC%2E%20%20142(f)(4)(B)" TargetMode="External"/><Relationship Id="rId34" Type="http://schemas.openxmlformats.org/officeDocument/2006/relationships/hyperlink" Target="https://www.bloomberglaw.com/product/tax/view_menu/related_content_internal_revenue_code/cite_refs?citation=26%20U%2ES%2EC%2E%20%20142(b)(1)(B)&amp;term=26%20U%2ES%2EC%2E%20%20142(b)(1)(B)" TargetMode="External"/><Relationship Id="rId55" Type="http://schemas.openxmlformats.org/officeDocument/2006/relationships/hyperlink" Target="https://www.bloomberglaw.com/product/tax/view_menu/related_content_internal_revenue_code/cite_refs?citation=26%20U%2ES%2EC%2E%20%20142(d)(2)(A)(i)&amp;term=26%20U%2ES%2EC%2E%20%20142(d)(2)(A)(i)" TargetMode="External"/><Relationship Id="rId76" Type="http://schemas.openxmlformats.org/officeDocument/2006/relationships/hyperlink" Target="https://www.bloomberglaw.com/product/tax/view_menu/related_content_internal_revenue_code/cite_refs?citation=26%20U%2ES%2EC%2E%20%20142(d)(4)(A)(i)&amp;term=26%20U%2ES%2EC%2E%20%20142(d)(4)(A)(i)" TargetMode="External"/><Relationship Id="rId97" Type="http://schemas.openxmlformats.org/officeDocument/2006/relationships/hyperlink" Target="https://www.bloomberglaw.com/product/tax/view_menu/related_content_internal_revenue_code/cite_refs?citation=26%20U%2ES%2EC%2E%20%20142(f)(2)&amp;term=26%20U%2ES%2EC%2E%20%20142(f)(2)" TargetMode="External"/><Relationship Id="rId120" Type="http://schemas.openxmlformats.org/officeDocument/2006/relationships/hyperlink" Target="https://www.bloomberglaw.com/product/tax/view_menu/related_content_internal_revenue_code/cite_refs?citation=26%20U%2ES%2EC%2E%20%20142(g)(2)(A)(ii)&amp;term=26%20U%2ES%2EC%2E%20%20142(g)(2)(A)(ii)" TargetMode="External"/><Relationship Id="rId141" Type="http://schemas.openxmlformats.org/officeDocument/2006/relationships/hyperlink" Target="https://www.bloomberglaw.com/product/tax/view_menu/related_content_internal_revenue_code/cite_refs?citation=26%20U%2ES%2EC%2E%20%20142(k)(1)&amp;term=26%20U%2ES%2EC%2E%20%20142(k)(1)" TargetMode="External"/><Relationship Id="rId7" Type="http://schemas.openxmlformats.org/officeDocument/2006/relationships/hyperlink" Target="https://www.bloomberglaw.com/product/tax/document/1?citation=26%20USC%20501&amp;amp;summary=yes" TargetMode="External"/><Relationship Id="rId162" Type="http://schemas.openxmlformats.org/officeDocument/2006/relationships/hyperlink" Target="https://www.bloomberglaw.com/product/tax/view_menu/related_content_internal_revenue_code/cite_refs?citation=26%20U%2ES%2EC%2E%20%20142(l)(1)&amp;term=26%20U%2ES%2EC%2E%20%20142(l)(1)" TargetMode="External"/><Relationship Id="rId183" Type="http://schemas.openxmlformats.org/officeDocument/2006/relationships/hyperlink" Target="https://www.bloomberglaw.com/product/tax/view_menu/related_content_internal_revenue_code/cite_refs?citation=26%20U%2ES%2EC%2E%20%20142(l)(4)(B)&amp;term=26%20U%2ES%2EC%2E%20%20142(l)(4)(B)" TargetMode="External"/><Relationship Id="rId218" Type="http://schemas.openxmlformats.org/officeDocument/2006/relationships/fontTable" Target="fontTable.xml"/><Relationship Id="rId24" Type="http://schemas.openxmlformats.org/officeDocument/2006/relationships/hyperlink" Target="https://www.bloomberglaw.com/product/tax/view_menu/related_content_internal_revenue_code/cite_refs?citation=26%20U%2ES%2EC%2E%20%20142(a)(9)&amp;term=26%20U%2ES%2EC%2E%20%20142(a)(9)" TargetMode="External"/><Relationship Id="rId45" Type="http://schemas.openxmlformats.org/officeDocument/2006/relationships/hyperlink" Target="https://www.bloomberglaw.com/product/tax/view_menu/related_content_internal_revenue_code/cite_refs?citation=26%20U%2ES%2EC%2E%20%20142(c)(2)(B)&amp;term=26%20U%2ES%2EC%2E%20%20142(c)(2)(B)" TargetMode="External"/><Relationship Id="rId66" Type="http://schemas.openxmlformats.org/officeDocument/2006/relationships/hyperlink" Target="https://www.bloomberglaw.com/product/tax/view_menu/related_content_internal_revenue_code/cite_refs?citation=26%20U%2ES%2EC%2E%20%20142(d)(2)(E)(i)&amp;term=26%20U%2ES%2EC%2E%20%20142(d)(2)(E)(i)" TargetMode="External"/><Relationship Id="rId87" Type="http://schemas.openxmlformats.org/officeDocument/2006/relationships/hyperlink" Target="https://www.bloomberglaw.com/product/tax/view_menu/related_content_internal_revenue_code/cite_refs?citation=26%20U%2ES%2EC%2E%20%20142(d)(5)(B)&amp;term=26%20U%2ES%2EC%2E%20%20142(d)(5)(B)" TargetMode="External"/><Relationship Id="rId110" Type="http://schemas.openxmlformats.org/officeDocument/2006/relationships/hyperlink" Target="https://www.bloomberglaw.com/product/tax/view_menu/related_content_internal_revenue_code/cite_refs?citation=26%20U%2ES%2EC%2E%20%20142(f)(4)(B)(i)&amp;term=26%20U%2ES%2EC%2E%20%20142(f)(4)(B)(i)" TargetMode="External"/><Relationship Id="rId131" Type="http://schemas.openxmlformats.org/officeDocument/2006/relationships/hyperlink" Target="https://www.bloomberglaw.com/product/tax/view_menu/related_content_internal_revenue_code/cite_refs?citation=26%20U%2ES%2EC%2E%20%20142(i)(2)(B)&amp;term=26%20U%2ES%2EC%2E%20%20142(i)(2)(B)" TargetMode="External"/><Relationship Id="rId152" Type="http://schemas.openxmlformats.org/officeDocument/2006/relationships/hyperlink" Target="https://www.bloomberglaw.com/product/tax/view_menu/related_content_internal_revenue_code/cite_refs?citation=26%20U%2ES%2EC%2E%20%20142(k)(3)(C)&amp;term=26%20U%2ES%2EC%2E%20%20142(k)(3)(C)" TargetMode="External"/><Relationship Id="rId173" Type="http://schemas.openxmlformats.org/officeDocument/2006/relationships/hyperlink" Target="https://www.bloomberglaw.com/product/tax/view_menu/related_content_internal_revenue_code/cite_refs?citation=26%20U%2ES%2EC%2E%20%20142(l)(4)&amp;term=26%20U%2ES%2EC%2E%20%20142(l)(4)" TargetMode="External"/><Relationship Id="rId194" Type="http://schemas.openxmlformats.org/officeDocument/2006/relationships/hyperlink" Target="https://www.bloomberglaw.com/product/tax/view_menu/related_content_internal_revenue_code/cite_refs?citation=26%20U%2ES%2EC%2E%20%20142(l)(6)(B)&amp;term=26%20U%2ES%2EC%2E%20%20142(l)(6)(B)" TargetMode="External"/><Relationship Id="rId208" Type="http://schemas.openxmlformats.org/officeDocument/2006/relationships/hyperlink" Target="https://www.bloomberglaw.com/product/tax/view_menu/related_content_internal_revenue_code/cite_refs?citation=26%20U%2ES%2EC%2E%20%20142(m)(1)(C)&amp;term=26%20U%2ES%2EC%2E%20%20142(m)(1)(C)" TargetMode="External"/><Relationship Id="rId14" Type="http://schemas.openxmlformats.org/officeDocument/2006/relationships/hyperlink" Target="https://www.bloomberglaw.com/product/tax/document/1?citation=26%20USC%20147&amp;amp;summary=yes" TargetMode="External"/><Relationship Id="rId35" Type="http://schemas.openxmlformats.org/officeDocument/2006/relationships/hyperlink" Target="https://www.bloomberglaw.com/product/tax/view_menu/related_content_internal_revenue_code/cite_refs?citation=26%20U%2ES%2EC%2E%20%20142(b)(1)(B)(i)&amp;term=26%20U%2ES%2EC%2E%20%20142(b)(1)(B)(i)" TargetMode="External"/><Relationship Id="rId56" Type="http://schemas.openxmlformats.org/officeDocument/2006/relationships/hyperlink" Target="https://www.bloomberglaw.com/product/tax/view_menu/related_content_internal_revenue_code/cite_refs?citation=26%20U%2ES%2EC%2E%20%20142(d)(2)(A)(ii)&amp;term=26%20U%2ES%2EC%2E%20%20142(d)(2)(A)(ii)" TargetMode="External"/><Relationship Id="rId77" Type="http://schemas.openxmlformats.org/officeDocument/2006/relationships/hyperlink" Target="https://www.bloomberglaw.com/product/tax/view_menu/related_content_internal_revenue_code/cite_refs?citation=26%20U%2ES%2EC%2E%20%20142(d)(4)(A)(ii)&amp;term=26%20U%2ES%2EC%2E%20%20142(d)(4)(A)(ii)" TargetMode="External"/><Relationship Id="rId100" Type="http://schemas.openxmlformats.org/officeDocument/2006/relationships/hyperlink" Target="https://www.bloomberglaw.com/product/tax/view_menu/related_content_internal_revenue_code/cite_refs?citation=26%20U%2ES%2EC%2E%20%20142(f)(2)(B)(i)&amp;term=26%20U%2ES%2EC%2E%20%20142(f)(2)(B)(i)" TargetMode="External"/><Relationship Id="rId8" Type="http://schemas.openxmlformats.org/officeDocument/2006/relationships/hyperlink" Target="https://www.bloomberglaw.com/product/tax/document/1?citation=26%20USC%20148&amp;amp;summary=yes" TargetMode="External"/><Relationship Id="rId51" Type="http://schemas.openxmlformats.org/officeDocument/2006/relationships/hyperlink" Target="https://www.bloomberglaw.com/product/tax/view_menu/related_content_internal_revenue_code/cite_refs?citation=26%20U%2ES%2EC%2E%20%20142(d)(1)(A)&amp;term=26%20U%2ES%2EC%2E%20%20142(d)(1)(A)" TargetMode="External"/><Relationship Id="rId72" Type="http://schemas.openxmlformats.org/officeDocument/2006/relationships/hyperlink" Target="https://www.bloomberglaw.com/product/tax/view_menu/related_content_internal_revenue_code/cite_refs?citation=26%20U%2ES%2EC%2E%20%20142(d)(3)(B)&amp;term=26%20U%2ES%2EC%2E%20%20142(d)(3)(B)" TargetMode="External"/><Relationship Id="rId93" Type="http://schemas.openxmlformats.org/officeDocument/2006/relationships/hyperlink" Target="https://www.bloomberglaw.com/product/tax/view_menu/related_content_internal_revenue_code/cite_refs?citation=26%20U%2ES%2EC%2E%20%20142(f)&amp;term=26%20U%2ES%2EC%2E%20%20142(f)" TargetMode="External"/><Relationship Id="rId98" Type="http://schemas.openxmlformats.org/officeDocument/2006/relationships/hyperlink" Target="https://www.bloomberglaw.com/product/tax/view_menu/related_content_internal_revenue_code/cite_refs?citation=26%20U%2ES%2EC%2E%20%20142(f)(2)(A)&amp;term=26%20U%2ES%2EC%2E%20%20142(f)(2)(A)" TargetMode="External"/><Relationship Id="rId121" Type="http://schemas.openxmlformats.org/officeDocument/2006/relationships/hyperlink" Target="https://www.bloomberglaw.com/product/tax/view_menu/related_content_internal_revenue_code/cite_refs?citation=26%20U%2ES%2EC%2E%20%20142(g)(2)(B)&amp;term=26%20U%2ES%2EC%2E%20%20142(g)(2)(B)" TargetMode="External"/><Relationship Id="rId142" Type="http://schemas.openxmlformats.org/officeDocument/2006/relationships/hyperlink" Target="https://www.bloomberglaw.com/product/tax/view_menu/related_content_internal_revenue_code/cite_refs?citation=26%20U%2ES%2EC%2E%20%20142(k)(1)(A)&amp;term=26%20U%2ES%2EC%2E%20%20142(k)(1)(A)" TargetMode="External"/><Relationship Id="rId163" Type="http://schemas.openxmlformats.org/officeDocument/2006/relationships/hyperlink" Target="https://www.bloomberglaw.com/product/tax/view_menu/related_content_internal_revenue_code/cite_refs?citation=26%20U%2ES%2EC%2E%20%20142(l)(2)&amp;term=26%20U%2ES%2EC%2E%20%20142(l)(2)" TargetMode="External"/><Relationship Id="rId184" Type="http://schemas.openxmlformats.org/officeDocument/2006/relationships/hyperlink" Target="https://www.bloomberglaw.com/product/tax/view_menu/related_content_internal_revenue_code/cite_refs?citation=26%20U%2ES%2EC%2E%20%20142(l)(4)(B)(i)&amp;term=26%20U%2ES%2EC%2E%20%20142(l)(4)(B)(i)" TargetMode="External"/><Relationship Id="rId189" Type="http://schemas.openxmlformats.org/officeDocument/2006/relationships/hyperlink" Target="https://www.bloomberglaw.com/product/tax/view_menu/related_content_internal_revenue_code/cite_refs?citation=26%20U%2ES%2EC%2E%20%20142(l)(6)&amp;term=26%20U%2ES%2EC%2E%20%20142(l)(6)" TargetMode="External"/><Relationship Id="rId219" Type="http://schemas.openxmlformats.org/officeDocument/2006/relationships/theme" Target="theme/theme1.xml"/><Relationship Id="rId3" Type="http://schemas.openxmlformats.org/officeDocument/2006/relationships/webSettings" Target="webSettings.xml"/><Relationship Id="rId214" Type="http://schemas.openxmlformats.org/officeDocument/2006/relationships/hyperlink" Target="https://www.bloomberglaw.com/product/tax/view_menu/related_content_internal_revenue_code/cite_refs?citation=26%20U%2ES%2EC%2E%20%20142(m)(4)&amp;term=26%20U%2ES%2EC%2E%20%20142(m)(4)" TargetMode="External"/><Relationship Id="rId25" Type="http://schemas.openxmlformats.org/officeDocument/2006/relationships/hyperlink" Target="https://www.bloomberglaw.com/product/tax/view_menu/related_content_internal_revenue_code/cite_refs?citation=26%20U%2ES%2EC%2E%20%20142(a)(10)&amp;term=26%20U%2ES%2EC%2E%20%20142(a)(10)" TargetMode="External"/><Relationship Id="rId46" Type="http://schemas.openxmlformats.org/officeDocument/2006/relationships/hyperlink" Target="https://www.bloomberglaw.com/product/tax/view_menu/related_content_internal_revenue_code/cite_refs?citation=26%20U%2ES%2EC%2E%20%20142(c)(2)(C)&amp;term=26%20U%2ES%2EC%2E%20%20142(c)(2)(C)" TargetMode="External"/><Relationship Id="rId67" Type="http://schemas.openxmlformats.org/officeDocument/2006/relationships/hyperlink" Target="https://www.bloomberglaw.com/product/tax/view_menu/related_content_internal_revenue_code/cite_refs?citation=26%20U%2ES%2EC%2E%20%20142(d)(2)(E)(ii)&amp;term=26%20U%2ES%2EC%2E%20%20142(d)(2)(E)(ii)" TargetMode="External"/><Relationship Id="rId116" Type="http://schemas.openxmlformats.org/officeDocument/2006/relationships/hyperlink" Target="https://www.bloomberglaw.com/product/tax/view_menu/related_content_internal_revenue_code/cite_refs?citation=26%20U%2ES%2EC%2E%20%20142(g)(1)&amp;term=26%20U%2ES%2EC%2E%20%20142(g)(1)" TargetMode="External"/><Relationship Id="rId137" Type="http://schemas.openxmlformats.org/officeDocument/2006/relationships/hyperlink" Target="https://www.bloomberglaw.com/product/tax/view_menu/related_content_internal_revenue_code/cite_refs?citation=26%20U%2ES%2EC%2E%20%20142(j)(1)(B)(i)&amp;term=26%20U%2ES%2EC%2E%20%20142(j)(1)(B)(i)" TargetMode="External"/><Relationship Id="rId158" Type="http://schemas.openxmlformats.org/officeDocument/2006/relationships/hyperlink" Target="https://www.bloomberglaw.com/product/tax/view_menu/related_content_internal_revenue_code/cite_refs?citation=26%20U%2ES%2EC%2E%20%20142(k)(5)(B)&amp;term=26%20U%2ES%2EC%2E%20%20142(k)(5)(B)" TargetMode="External"/><Relationship Id="rId20" Type="http://schemas.openxmlformats.org/officeDocument/2006/relationships/hyperlink" Target="https://www.bloomberglaw.com/product/tax/view_menu/related_content_internal_revenue_code/cite_refs?citation=26%20U%2ES%2EC%2E%20%20142(a)(5)&amp;term=26%20U%2ES%2EC%2E%20%20142(a)(5)" TargetMode="External"/><Relationship Id="rId41" Type="http://schemas.openxmlformats.org/officeDocument/2006/relationships/hyperlink" Target="https://www.bloomberglaw.com/product/tax/view_menu/related_content_internal_revenue_code/cite_refs?citation=26%20U%2ES%2EC%2E%20%20142(c)&amp;term=26%20U%2ES%2EC%2E%20%20142(c)" TargetMode="External"/><Relationship Id="rId62" Type="http://schemas.openxmlformats.org/officeDocument/2006/relationships/hyperlink" Target="https://www.bloomberglaw.com/product/tax/view_menu/related_content_internal_revenue_code/cite_refs?citation=26%20U%2ES%2EC%2E%20%20142(d)(2)(B)(iv)&amp;term=26%20U%2ES%2EC%2E%20%20142(d)(2)(B)(iv)" TargetMode="External"/><Relationship Id="rId83" Type="http://schemas.openxmlformats.org/officeDocument/2006/relationships/hyperlink" Target="https://www.bloomberglaw.com/product/tax/view_menu/related_content_internal_revenue_code/cite_refs?citation=26%20U%2ES%2EC%2E%20%20142(d)(4)(C)(i)&amp;term=26%20U%2ES%2EC%2E%20%20142(d)(4)(C)(i)" TargetMode="External"/><Relationship Id="rId88" Type="http://schemas.openxmlformats.org/officeDocument/2006/relationships/hyperlink" Target="https://www.bloomberglaw.com/product/tax/view_menu/related_content_internal_revenue_code/cite_refs?citation=26%20U%2ES%2EC%2E%20%20142(d)(6)&amp;term=26%20U%2ES%2EC%2E%20%20142(d)(6)" TargetMode="External"/><Relationship Id="rId111" Type="http://schemas.openxmlformats.org/officeDocument/2006/relationships/hyperlink" Target="https://www.bloomberglaw.com/product/tax/view_menu/related_content_internal_revenue_code/cite_refs?citation=26%20U%2ES%2EC%2E%20%20142(f)(4)(B)(ii)&amp;term=26%20U%2ES%2EC%2E%20%20142(f)(4)(B)(ii)" TargetMode="External"/><Relationship Id="rId132" Type="http://schemas.openxmlformats.org/officeDocument/2006/relationships/hyperlink" Target="https://www.bloomberglaw.com/product/tax/view_menu/related_content_internal_revenue_code/cite_refs?citation=26%20U%2ES%2EC%2E%20%20142(i)(3)&amp;term=26%20U%2ES%2EC%2E%20%20142(i)(3)" TargetMode="External"/><Relationship Id="rId153" Type="http://schemas.openxmlformats.org/officeDocument/2006/relationships/hyperlink" Target="https://www.bloomberglaw.com/product/tax/view_menu/related_content_internal_revenue_code/cite_refs?citation=26%20U%2ES%2EC%2E%20%20142(k)(4)&amp;term=26%20U%2ES%2EC%2E%20%20142(k)(4)" TargetMode="External"/><Relationship Id="rId174" Type="http://schemas.openxmlformats.org/officeDocument/2006/relationships/hyperlink" Target="https://www.bloomberglaw.com/product/tax/view_menu/related_content_internal_revenue_code/cite_refs?citation=26%20U%2ES%2EC%2E%20%20142(l)(4)(A)&amp;term=26%20U%2ES%2EC%2E%20%20142(l)(4)(A)" TargetMode="External"/><Relationship Id="rId179" Type="http://schemas.openxmlformats.org/officeDocument/2006/relationships/hyperlink" Target="https://www.bloomberglaw.com/product/tax/view_menu/related_content_internal_revenue_code/cite_refs?citation=26%20U%2ES%2EC%2E%20%20142(l)(4)(A)(iv)&amp;term=26%20U%2ES%2EC%2E%20%20142(l)(4)(A)(iv)" TargetMode="External"/><Relationship Id="rId195" Type="http://schemas.openxmlformats.org/officeDocument/2006/relationships/hyperlink" Target="https://www.bloomberglaw.com/product/tax/view_menu/related_content_internal_revenue_code/cite_refs?citation=26%20U%2ES%2EC%2E%20%20142(l)(6)(C)&amp;term=26%20U%2ES%2EC%2E%20%20142(l)(6)(C)" TargetMode="External"/><Relationship Id="rId209" Type="http://schemas.openxmlformats.org/officeDocument/2006/relationships/hyperlink" Target="https://www.bloomberglaw.com/product/tax/view_menu/related_content_internal_revenue_code/cite_refs?citation=26%20U%2ES%2EC%2E%20%20142(m)(2)&amp;term=26%20U%2ES%2EC%2E%20%20142(m)(2)" TargetMode="External"/><Relationship Id="rId190" Type="http://schemas.openxmlformats.org/officeDocument/2006/relationships/hyperlink" Target="https://www.bloomberglaw.com/product/tax/view_menu/related_content_internal_revenue_code/cite_refs?citation=26%20U%2ES%2EC%2E%20%20142(l)(6)(A)&amp;term=26%20U%2ES%2EC%2E%20%20142(l)(6)(A)" TargetMode="External"/><Relationship Id="rId204" Type="http://schemas.openxmlformats.org/officeDocument/2006/relationships/hyperlink" Target="https://www.bloomberglaw.com/product/tax/view_menu/related_content_internal_revenue_code/cite_refs?citation=26%20U%2ES%2EC%2E%20%20142(m)&amp;term=26%20U%2ES%2EC%2E%20%20142(m)" TargetMode="External"/><Relationship Id="rId220" Type="http://schemas.openxmlformats.org/officeDocument/2006/relationships/customXml" Target="../customXml/item1.xml"/><Relationship Id="rId15" Type="http://schemas.openxmlformats.org/officeDocument/2006/relationships/hyperlink" Target="https://www.bloomberglaw.com/product/tax/view_menu/related_content_internal_revenue_code/cite_refs?citation=26%20U%2ES%2EC%2E%20%20142(a)&amp;term=26%20U%2ES%2EC%2E%20%20142(a)" TargetMode="External"/><Relationship Id="rId36" Type="http://schemas.openxmlformats.org/officeDocument/2006/relationships/hyperlink" Target="https://www.bloomberglaw.com/product/tax/view_menu/related_content_internal_revenue_code/cite_refs?citation=26%20U%2ES%2EC%2E%20%20142(b)(1)(B)(ii)&amp;term=26%20U%2ES%2EC%2E%20%20142(b)(1)(B)(ii)" TargetMode="External"/><Relationship Id="rId57" Type="http://schemas.openxmlformats.org/officeDocument/2006/relationships/hyperlink" Target="https://www.bloomberglaw.com/product/tax/view_menu/related_content_internal_revenue_code/cite_refs?citation=26%20U%2ES%2EC%2E%20%20142(d)(2)(A)(iii)&amp;term=26%20U%2ES%2EC%2E%20%20142(d)(2)(A)(iii)" TargetMode="External"/><Relationship Id="rId106" Type="http://schemas.openxmlformats.org/officeDocument/2006/relationships/hyperlink" Target="https://www.bloomberglaw.com/product/tax/view_menu/related_content_internal_revenue_code/cite_refs?citation=26%20U%2ES%2EC%2E%20%20142(f)(3)(B)&amp;term=26%20U%2ES%2EC%2E%20%20142(f)(3)(B)" TargetMode="External"/><Relationship Id="rId127" Type="http://schemas.openxmlformats.org/officeDocument/2006/relationships/hyperlink" Target="https://www.bloomberglaw.com/product/tax/view_menu/related_content_internal_revenue_code/cite_refs?citation=26%20U%2ES%2EC%2E%20%20142(i)&amp;term=26%20U%2ES%2EC%2E%20%20142(i)" TargetMode="External"/><Relationship Id="rId10" Type="http://schemas.openxmlformats.org/officeDocument/2006/relationships/hyperlink" Target="https://www.bloomberglaw.com/product/tax/document/1?citation=26%20USC%20147&amp;amp;summary=yes" TargetMode="External"/><Relationship Id="rId31" Type="http://schemas.openxmlformats.org/officeDocument/2006/relationships/hyperlink" Target="https://www.bloomberglaw.com/product/tax/view_menu/related_content_internal_revenue_code/cite_refs?citation=26%20U%2ES%2EC%2E%20%20142(b)&amp;term=26%20U%2ES%2EC%2E%20%20142(b)" TargetMode="External"/><Relationship Id="rId52" Type="http://schemas.openxmlformats.org/officeDocument/2006/relationships/hyperlink" Target="https://www.bloomberglaw.com/product/tax/view_menu/related_content_internal_revenue_code/cite_refs?citation=26%20U%2ES%2EC%2E%20%20142(d)(1)(B)&amp;term=26%20U%2ES%2EC%2E%20%20142(d)(1)(B)" TargetMode="External"/><Relationship Id="rId73" Type="http://schemas.openxmlformats.org/officeDocument/2006/relationships/hyperlink" Target="https://www.bloomberglaw.com/product/tax/view_menu/related_content_internal_revenue_code/cite_refs?citation=26%20U%2ES%2EC%2E%20%20142(d)(3)(C)&amp;term=26%20U%2ES%2EC%2E%20%20142(d)(3)(C)" TargetMode="External"/><Relationship Id="rId78" Type="http://schemas.openxmlformats.org/officeDocument/2006/relationships/hyperlink" Target="https://www.bloomberglaw.com/product/tax/view_menu/related_content_internal_revenue_code/cite_refs?citation=26%20U%2ES%2EC%2E%20%20142(d)(4)(B)&amp;term=26%20U%2ES%2EC%2E%20%20142(d)(4)(B)" TargetMode="External"/><Relationship Id="rId94" Type="http://schemas.openxmlformats.org/officeDocument/2006/relationships/hyperlink" Target="https://www.bloomberglaw.com/product/tax/view_menu/related_content_internal_revenue_code/cite_refs?citation=26%20U%2ES%2EC%2E%20%20142(f)(1)&amp;term=26%20U%2ES%2EC%2E%20%20142(f)(1)" TargetMode="External"/><Relationship Id="rId99" Type="http://schemas.openxmlformats.org/officeDocument/2006/relationships/hyperlink" Target="https://www.bloomberglaw.com/product/tax/view_menu/related_content_internal_revenue_code/cite_refs?citation=26%20U%2ES%2EC%2E%20%20142(f)(2)(B)&amp;term=26%20U%2ES%2EC%2E%20%20142(f)(2)(B)" TargetMode="External"/><Relationship Id="rId101" Type="http://schemas.openxmlformats.org/officeDocument/2006/relationships/hyperlink" Target="https://www.bloomberglaw.com/product/tax/view_menu/related_content_internal_revenue_code/cite_refs?citation=26%20U%2ES%2EC%2E%20%20142(f)(2)(B)(ii)&amp;term=26%20U%2ES%2EC%2E%20%20142(f)(2)(B)(ii)" TargetMode="External"/><Relationship Id="rId122" Type="http://schemas.openxmlformats.org/officeDocument/2006/relationships/hyperlink" Target="https://www.bloomberglaw.com/product/tax/view_menu/related_content_internal_revenue_code/cite_refs?citation=26%20U%2ES%2EC%2E%20%20142(h)&amp;term=26%20U%2ES%2EC%2E%20%20142(h)" TargetMode="External"/><Relationship Id="rId143" Type="http://schemas.openxmlformats.org/officeDocument/2006/relationships/hyperlink" Target="https://www.bloomberglaw.com/product/tax/view_menu/related_content_internal_revenue_code/cite_refs?citation=26%20U%2ES%2EC%2E%20%20142(k)(1)(B)&amp;term=26%20U%2ES%2EC%2E%20%20142(k)(1)(B)" TargetMode="External"/><Relationship Id="rId148" Type="http://schemas.openxmlformats.org/officeDocument/2006/relationships/hyperlink" Target="https://www.bloomberglaw.com/product/tax/view_menu/related_content_internal_revenue_code/cite_refs?citation=26%20U%2ES%2EC%2E%20%20142(k)(2)(B)&amp;term=26%20U%2ES%2EC%2E%20%20142(k)(2)(B)" TargetMode="External"/><Relationship Id="rId164" Type="http://schemas.openxmlformats.org/officeDocument/2006/relationships/hyperlink" Target="https://www.bloomberglaw.com/product/tax/view_menu/related_content_internal_revenue_code/cite_refs?citation=26%20U%2ES%2EC%2E%20%20142(l)(2)(A)&amp;term=26%20U%2ES%2EC%2E%20%20142(l)(2)(A)" TargetMode="External"/><Relationship Id="rId169" Type="http://schemas.openxmlformats.org/officeDocument/2006/relationships/hyperlink" Target="https://www.bloomberglaw.com/product/tax/view_menu/related_content_internal_revenue_code/cite_refs?citation=26%20U%2ES%2EC%2E%20%20142(l)(2)(B)(iv)&amp;term=26%20U%2ES%2EC%2E%20%20142(l)(2)(B)(iv)" TargetMode="External"/><Relationship Id="rId185" Type="http://schemas.openxmlformats.org/officeDocument/2006/relationships/hyperlink" Target="https://www.bloomberglaw.com/product/tax/view_menu/related_content_internal_revenue_code/cite_refs?citation=26%20U%2ES%2EC%2E%20%20142(l)(4)(B)(ii)&amp;term=26%20U%2ES%2EC%2E%20%20142(l)(4)(B)(ii)" TargetMode="External"/><Relationship Id="rId4" Type="http://schemas.openxmlformats.org/officeDocument/2006/relationships/hyperlink" Target="https://www.bloomberglaw.com/product/tax/view_menu/related_content_internal_revenue_code/cite_refs?citation=26%20U%2ES%2EC%2E%20%20141(c)&amp;term=26%20U%2ES%2EC%2E%20%20141(c)" TargetMode="External"/><Relationship Id="rId9" Type="http://schemas.openxmlformats.org/officeDocument/2006/relationships/hyperlink" Target="https://www.bloomberglaw.com/product/tax/document/1?citation=26%20USC%20148&amp;amp;summary=yes" TargetMode="External"/><Relationship Id="rId180" Type="http://schemas.openxmlformats.org/officeDocument/2006/relationships/hyperlink" Target="https://www.bloomberglaw.com/product/tax/view_menu/related_content_internal_revenue_code/cite_refs?citation=26%20U%2ES%2EC%2E%20%20142(l)(4)(A)(v)&amp;term=26%20U%2ES%2EC%2E%20%20142(l)(4)(A)(v)" TargetMode="External"/><Relationship Id="rId210" Type="http://schemas.openxmlformats.org/officeDocument/2006/relationships/hyperlink" Target="https://www.bloomberglaw.com/product/tax/view_menu/related_content_internal_revenue_code/cite_refs?citation=26%20U%2ES%2EC%2E%20%20142(m)(2)(A)&amp;term=26%20U%2ES%2EC%2E%20%20142(m)(2)(A)" TargetMode="External"/><Relationship Id="rId215" Type="http://schemas.openxmlformats.org/officeDocument/2006/relationships/hyperlink" Target="https://www.bloomberglaw.com/product/tax/view_menu/related_content_internal_revenue_code/cite_refs?citation=26%20U%2ES%2EC%2E%20%20142(m)(4)(A)&amp;term=26%20U%2ES%2EC%2E%20%20142(m)(4)(A)" TargetMode="External"/><Relationship Id="rId26" Type="http://schemas.openxmlformats.org/officeDocument/2006/relationships/hyperlink" Target="https://www.bloomberglaw.com/product/tax/view_menu/related_content_internal_revenue_code/cite_refs?citation=26%20U%2ES%2EC%2E%20%20142(a)(11)&amp;term=26%20U%2ES%2EC%2E%20%20142(a)(11)" TargetMode="External"/><Relationship Id="rId47" Type="http://schemas.openxmlformats.org/officeDocument/2006/relationships/hyperlink" Target="https://www.bloomberglaw.com/product/tax/view_menu/related_content_internal_revenue_code/cite_refs?citation=26%20U%2ES%2EC%2E%20%20142(c)(2)(D)&amp;term=26%20U%2ES%2EC%2E%20%20142(c)(2)(D)" TargetMode="External"/><Relationship Id="rId68" Type="http://schemas.openxmlformats.org/officeDocument/2006/relationships/hyperlink" Target="https://www.bloomberglaw.com/product/tax/view_menu/related_content_internal_revenue_code/cite_refs?citation=26%20U%2ES%2EC%2E%20%20142(d)(2)(E)(iii)&amp;term=26%20U%2ES%2EC%2E%20%20142(d)(2)(E)(iii)" TargetMode="External"/><Relationship Id="rId89" Type="http://schemas.openxmlformats.org/officeDocument/2006/relationships/hyperlink" Target="https://www.bloomberglaw.com/product/tax/view_menu/related_content_internal_revenue_code/cite_refs?citation=26%20U%2ES%2EC%2E%20%20142(d)(7)&amp;term=26%20U%2ES%2EC%2E%20%20142(d)(7)" TargetMode="External"/><Relationship Id="rId112" Type="http://schemas.openxmlformats.org/officeDocument/2006/relationships/hyperlink" Target="https://www.bloomberglaw.com/product/tax/view_menu/related_content_internal_revenue_code/cite_refs?citation=26%20U%2ES%2EC%2E%20%20142(f)(4)(B)(iii)&amp;term=26%20U%2ES%2EC%2E%20%20142(f)(4)(B)(iii)" TargetMode="External"/><Relationship Id="rId133" Type="http://schemas.openxmlformats.org/officeDocument/2006/relationships/hyperlink" Target="https://www.bloomberglaw.com/product/tax/view_menu/related_content_internal_revenue_code/cite_refs?citation=26%20U%2ES%2EC%2E%20%20142(j)&amp;term=26%20U%2ES%2EC%2E%20%20142(j)" TargetMode="External"/><Relationship Id="rId154" Type="http://schemas.openxmlformats.org/officeDocument/2006/relationships/hyperlink" Target="https://www.bloomberglaw.com/product/tax/view_menu/related_content_internal_revenue_code/cite_refs?citation=26%20U%2ES%2EC%2E%20%20142(k)(5)&amp;term=26%20U%2ES%2EC%2E%20%20142(k)(5)" TargetMode="External"/><Relationship Id="rId175" Type="http://schemas.openxmlformats.org/officeDocument/2006/relationships/hyperlink" Target="https://www.bloomberglaw.com/product/tax/view_menu/related_content_internal_revenue_code/cite_refs?citation=26%20U%2ES%2EC%2E%20%20142(l)(4)(A)(i)&amp;term=26%20U%2ES%2EC%2E%20%20142(l)(4)(A)(i)" TargetMode="External"/><Relationship Id="rId196" Type="http://schemas.openxmlformats.org/officeDocument/2006/relationships/hyperlink" Target="https://www.bloomberglaw.com/product/tax/view_menu/related_content_internal_revenue_code/cite_refs?citation=26%20U%2ES%2EC%2E%20%20142(l)(7)&amp;term=26%20U%2ES%2EC%2E%20%20142(l)(7)" TargetMode="External"/><Relationship Id="rId200" Type="http://schemas.openxmlformats.org/officeDocument/2006/relationships/hyperlink" Target="https://www.bloomberglaw.com/product/tax/view_menu/related_content_internal_revenue_code/cite_refs?citation=26%20U%2ES%2EC%2E%20%20142(l)(9)&amp;term=26%20U%2ES%2EC%2E%20%20142(l)(9)" TargetMode="External"/><Relationship Id="rId16" Type="http://schemas.openxmlformats.org/officeDocument/2006/relationships/hyperlink" Target="https://www.bloomberglaw.com/product/tax/view_menu/related_content_internal_revenue_code/cite_refs?citation=26%20U%2ES%2EC%2E%20%20142(a)(1)&amp;term=26%20U%2ES%2EC%2E%20%20142(a)(1)" TargetMode="External"/><Relationship Id="rId221" Type="http://schemas.openxmlformats.org/officeDocument/2006/relationships/customXml" Target="../customXml/item2.xml"/><Relationship Id="rId37" Type="http://schemas.openxmlformats.org/officeDocument/2006/relationships/hyperlink" Target="https://www.bloomberglaw.com/product/tax/view_menu/related_content_internal_revenue_code/cite_refs?citation=26%20U%2ES%2EC%2E%20%20142(b)(1)(B)(iii)&amp;term=26%20U%2ES%2EC%2E%20%20142(b)(1)(B)(iii)" TargetMode="External"/><Relationship Id="rId58" Type="http://schemas.openxmlformats.org/officeDocument/2006/relationships/hyperlink" Target="https://www.bloomberglaw.com/product/tax/view_menu/related_content_internal_revenue_code/cite_refs?citation=26%20U%2ES%2EC%2E%20%20142(d)(2)(B)&amp;term=26%20U%2ES%2EC%2E%20%20142(d)(2)(B)" TargetMode="External"/><Relationship Id="rId79" Type="http://schemas.openxmlformats.org/officeDocument/2006/relationships/hyperlink" Target="https://www.bloomberglaw.com/product/tax/view_menu/related_content_internal_revenue_code/cite_refs?citation=26%20U%2ES%2EC%2E%20%20142(d)(4)(B)(i)&amp;term=26%20U%2ES%2EC%2E%20%20142(d)(4)(B)(i)" TargetMode="External"/><Relationship Id="rId102" Type="http://schemas.openxmlformats.org/officeDocument/2006/relationships/hyperlink" Target="https://www.bloomberglaw.com/product/tax/view_menu/related_content_internal_revenue_code/cite_refs?citation=26%20U%2ES%2EC%2E%20%20142(f)(3)&amp;term=26%20U%2ES%2EC%2E%20%20142(f)(3)" TargetMode="External"/><Relationship Id="rId123" Type="http://schemas.openxmlformats.org/officeDocument/2006/relationships/hyperlink" Target="https://www.bloomberglaw.com/product/tax/view_menu/related_content_internal_revenue_code/cite_refs?citation=26%20U%2ES%2EC%2E%20%20142(h)(1)&amp;term=26%20U%2ES%2EC%2E%20%20142(h)(1)" TargetMode="External"/><Relationship Id="rId144" Type="http://schemas.openxmlformats.org/officeDocument/2006/relationships/hyperlink" Target="https://www.bloomberglaw.com/product/tax/view_menu/related_content_internal_revenue_code/cite_refs?citation=26%20U%2ES%2EC%2E%20%20142(k)(2)&amp;term=26%20U%2ES%2EC%2E%20%20142(k)(2)" TargetMode="External"/><Relationship Id="rId90" Type="http://schemas.openxmlformats.org/officeDocument/2006/relationships/hyperlink" Target="https://www.bloomberglaw.com/product/tax/view_menu/related_content_internal_revenue_code/cite_refs?citation=26%20U%2ES%2EC%2E%20%20142(e)&amp;term=26%20U%2ES%2EC%2E%20%20142(e)" TargetMode="External"/><Relationship Id="rId165" Type="http://schemas.openxmlformats.org/officeDocument/2006/relationships/hyperlink" Target="https://www.bloomberglaw.com/product/tax/view_menu/related_content_internal_revenue_code/cite_refs?citation=26%20U%2ES%2EC%2E%20%20142(l)(2)(B)&amp;term=26%20U%2ES%2EC%2E%20%20142(l)(2)(B)" TargetMode="External"/><Relationship Id="rId186" Type="http://schemas.openxmlformats.org/officeDocument/2006/relationships/hyperlink" Target="https://www.bloomberglaw.com/product/tax/view_menu/related_content_internal_revenue_code/cite_refs?citation=26%20U%2ES%2EC%2E%20%20142(l)(4)(B)(iii)&amp;term=26%20U%2ES%2EC%2E%20%20142(l)(4)(B)(iii)" TargetMode="External"/><Relationship Id="rId211" Type="http://schemas.openxmlformats.org/officeDocument/2006/relationships/hyperlink" Target="https://www.bloomberglaw.com/product/tax/view_menu/related_content_internal_revenue_code/cite_refs?citation=26%20U%2ES%2EC%2E%20%20142(m)(2)(B)&amp;term=26%20U%2ES%2EC%2E%20%20142(m)(2)(B)" TargetMode="External"/><Relationship Id="rId27" Type="http://schemas.openxmlformats.org/officeDocument/2006/relationships/hyperlink" Target="https://www.bloomberglaw.com/product/tax/view_menu/related_content_internal_revenue_code/cite_refs?citation=26%20U%2ES%2EC%2E%20%20142(a)(12)&amp;term=26%20U%2ES%2EC%2E%20%20142(a)(12)" TargetMode="External"/><Relationship Id="rId48" Type="http://schemas.openxmlformats.org/officeDocument/2006/relationships/hyperlink" Target="https://www.bloomberglaw.com/product/tax/view_menu/related_content_internal_revenue_code/cite_refs?citation=26%20U%2ES%2EC%2E%20%20142(c)(2)(E)&amp;term=26%20U%2ES%2EC%2E%20%20142(c)(2)(E)" TargetMode="External"/><Relationship Id="rId69" Type="http://schemas.openxmlformats.org/officeDocument/2006/relationships/hyperlink" Target="https://www.bloomberglaw.com/product/tax/view_menu/related_content_internal_revenue_code/cite_refs?citation=26%20U%2ES%2EC%2E%20%20142(d)(2)(E)(iv)&amp;term=26%20U%2ES%2EC%2E%20%20142(d)(2)(E)(iv)" TargetMode="External"/><Relationship Id="rId113" Type="http://schemas.openxmlformats.org/officeDocument/2006/relationships/hyperlink" Target="https://www.bloomberglaw.com/product/tax/view_menu/related_content_internal_revenue_code/cite_refs?citation=26%20U%2ES%2EC%2E%20%20142(f)(4)(B)(iv)&amp;term=26%20U%2ES%2EC%2E%20%20142(f)(4)(B)(iv)" TargetMode="External"/><Relationship Id="rId134" Type="http://schemas.openxmlformats.org/officeDocument/2006/relationships/hyperlink" Target="https://www.bloomberglaw.com/product/tax/view_menu/related_content_internal_revenue_code/cite_refs?citation=26%20U%2ES%2EC%2E%20%20142(j)(1)&amp;term=26%20U%2ES%2EC%2E%20%20142(j)(1)" TargetMode="External"/><Relationship Id="rId80" Type="http://schemas.openxmlformats.org/officeDocument/2006/relationships/hyperlink" Target="https://www.bloomberglaw.com/product/tax/view_menu/related_content_internal_revenue_code/cite_refs?citation=26%20U%2ES%2EC%2E%20%20142(d)(4)(B)(ii)&amp;term=26%20U%2ES%2EC%2E%20%20142(d)(4)(B)(ii)" TargetMode="External"/><Relationship Id="rId155" Type="http://schemas.openxmlformats.org/officeDocument/2006/relationships/hyperlink" Target="https://www.bloomberglaw.com/product/tax/view_menu/related_content_internal_revenue_code/cite_refs?citation=26%20U%2ES%2EC%2E%20%20142(k)(5)(A)&amp;term=26%20U%2ES%2EC%2E%20%20142(k)(5)(A)" TargetMode="External"/><Relationship Id="rId176" Type="http://schemas.openxmlformats.org/officeDocument/2006/relationships/hyperlink" Target="https://www.bloomberglaw.com/product/tax/view_menu/related_content_internal_revenue_code/cite_refs?citation=26%20U%2ES%2EC%2E%20%20142(l)(4)(A)(ii)&amp;term=26%20U%2ES%2EC%2E%20%20142(l)(4)(A)(ii)" TargetMode="External"/><Relationship Id="rId197" Type="http://schemas.openxmlformats.org/officeDocument/2006/relationships/hyperlink" Target="https://www.bloomberglaw.com/product/tax/view_menu/related_content_internal_revenue_code/cite_refs?citation=26%20U%2ES%2EC%2E%20%20142(l)(7)(A)&amp;term=26%20U%2ES%2EC%2E%20%20142(l)(7)(A)" TargetMode="External"/><Relationship Id="rId201" Type="http://schemas.openxmlformats.org/officeDocument/2006/relationships/hyperlink" Target="https://www.bloomberglaw.com/product/tax/view_menu/related_content_internal_revenue_code/cite_refs?citation=26%20U%2ES%2EC%2E%20%20142(l)(9)(A)&amp;term=26%20U%2ES%2EC%2E%20%20142(l)(9)(A)" TargetMode="External"/><Relationship Id="rId17" Type="http://schemas.openxmlformats.org/officeDocument/2006/relationships/hyperlink" Target="https://www.bloomberglaw.com/product/tax/view_menu/related_content_internal_revenue_code/cite_refs?citation=26%20U%2ES%2EC%2E%20%20142(a)(2)&amp;term=26%20U%2ES%2EC%2E%20%20142(a)(2)" TargetMode="External"/><Relationship Id="rId38" Type="http://schemas.openxmlformats.org/officeDocument/2006/relationships/hyperlink" Target="https://www.bloomberglaw.com/product/tax/view_menu/related_content_internal_revenue_code/cite_refs?citation=26%20U%2ES%2EC%2E%20%20142(b)(2)&amp;term=26%20U%2ES%2EC%2E%20%20142(b)(2)" TargetMode="External"/><Relationship Id="rId59" Type="http://schemas.openxmlformats.org/officeDocument/2006/relationships/hyperlink" Target="https://www.bloomberglaw.com/product/tax/view_menu/related_content_internal_revenue_code/cite_refs?citation=26%20U%2ES%2EC%2E%20%20142(d)(2)(B)(i)&amp;term=26%20U%2ES%2EC%2E%20%20142(d)(2)(B)(i)" TargetMode="External"/><Relationship Id="rId103" Type="http://schemas.openxmlformats.org/officeDocument/2006/relationships/hyperlink" Target="https://www.bloomberglaw.com/product/tax/view_menu/related_content_internal_revenue_code/cite_refs?citation=26%20U%2ES%2EC%2E%20%20142(f)(3)(A)&amp;term=26%20U%2ES%2EC%2E%20%20142(f)(3)(A)" TargetMode="External"/><Relationship Id="rId124" Type="http://schemas.openxmlformats.org/officeDocument/2006/relationships/hyperlink" Target="https://www.bloomberglaw.com/product/tax/view_menu/related_content_internal_revenue_code/cite_refs?citation=26%20U%2ES%2EC%2E%20%20142(h)(2)&amp;term=26%20U%2ES%2EC%2E%20%20142(h)(2)" TargetMode="External"/><Relationship Id="rId70" Type="http://schemas.openxmlformats.org/officeDocument/2006/relationships/hyperlink" Target="https://www.bloomberglaw.com/product/tax/view_menu/related_content_internal_revenue_code/cite_refs?citation=26%20U%2ES%2EC%2E%20%20142(d)(3)&amp;term=26%20U%2ES%2EC%2E%20%20142(d)(3)" TargetMode="External"/><Relationship Id="rId91" Type="http://schemas.openxmlformats.org/officeDocument/2006/relationships/hyperlink" Target="https://www.bloomberglaw.com/product/tax/view_menu/related_content_internal_revenue_code/cite_refs?citation=26%20U%2ES%2EC%2E%20%20142(e)(1)&amp;term=26%20U%2ES%2EC%2E%20%20142(e)(1)" TargetMode="External"/><Relationship Id="rId145" Type="http://schemas.openxmlformats.org/officeDocument/2006/relationships/hyperlink" Target="https://www.bloomberglaw.com/product/tax/view_menu/related_content_internal_revenue_code/cite_refs?citation=26%20U%2ES%2EC%2E%20%20142(k)(2)(A)&amp;term=26%20U%2ES%2EC%2E%20%20142(k)(2)(A)" TargetMode="External"/><Relationship Id="rId166" Type="http://schemas.openxmlformats.org/officeDocument/2006/relationships/hyperlink" Target="https://www.bloomberglaw.com/product/tax/view_menu/related_content_internal_revenue_code/cite_refs?citation=26%20U%2ES%2EC%2E%20%20142(l)(2)(B)(i)&amp;term=26%20U%2ES%2EC%2E%20%20142(l)(2)(B)(i)" TargetMode="External"/><Relationship Id="rId187" Type="http://schemas.openxmlformats.org/officeDocument/2006/relationships/hyperlink" Target="https://www.bloomberglaw.com/product/tax/view_menu/related_content_internal_revenue_code/cite_refs?citation=26%20U%2ES%2EC%2E%20%20142(l)(4)(B)(iv)&amp;term=26%20U%2ES%2EC%2E%20%20142(l)(4)(B)(iv)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bloomberglaw.com/product/tax/view_menu/related_content_internal_revenue_code/cite_refs?citation=26%20U%2ES%2EC%2E%20%20142(m)(2)(C)&amp;term=26%20U%2ES%2EC%2E%20%20142(m)(2)(C)" TargetMode="External"/><Relationship Id="rId28" Type="http://schemas.openxmlformats.org/officeDocument/2006/relationships/hyperlink" Target="https://www.bloomberglaw.com/product/tax/view_menu/related_content_internal_revenue_code/cite_refs?citation=26%20U%2ES%2EC%2E%20%20142(a)(13)&amp;term=26%20U%2ES%2EC%2E%20%20142(a)(13)" TargetMode="External"/><Relationship Id="rId49" Type="http://schemas.openxmlformats.org/officeDocument/2006/relationships/hyperlink" Target="https://www.bloomberglaw.com/product/tax/view_menu/related_content_internal_revenue_code/cite_refs?citation=26%20U%2ES%2EC%2E%20%20142(d)&amp;term=26%20U%2ES%2EC%2E%20%20142(d)" TargetMode="External"/><Relationship Id="rId114" Type="http://schemas.openxmlformats.org/officeDocument/2006/relationships/hyperlink" Target="https://www.bloomberglaw.com/product/tax/view_menu/related_content_internal_revenue_code/cite_refs?citation=26%20U%2ES%2EC%2E%20%20142(f)(4)(C)&amp;term=26%20U%2ES%2EC%2E%20%20142(f)(4)(C)" TargetMode="External"/><Relationship Id="rId60" Type="http://schemas.openxmlformats.org/officeDocument/2006/relationships/hyperlink" Target="https://www.bloomberglaw.com/product/tax/view_menu/related_content_internal_revenue_code/cite_refs?citation=26%20U%2ES%2EC%2E%20%20142(d)(2)(B)(ii)&amp;term=26%20U%2ES%2EC%2E%20%20142(d)(2)(B)(ii)" TargetMode="External"/><Relationship Id="rId81" Type="http://schemas.openxmlformats.org/officeDocument/2006/relationships/hyperlink" Target="https://www.bloomberglaw.com/product/tax/view_menu/related_content_internal_revenue_code/cite_refs?citation=26%20U%2ES%2EC%2E%20%20142(d)(4)(B)(iii)&amp;term=26%20U%2ES%2EC%2E%20%20142(d)(4)(B)(iii)" TargetMode="External"/><Relationship Id="rId135" Type="http://schemas.openxmlformats.org/officeDocument/2006/relationships/hyperlink" Target="https://www.bloomberglaw.com/product/tax/view_menu/related_content_internal_revenue_code/cite_refs?citation=26%20U%2ES%2EC%2E%20%20142(j)(1)(A)&amp;term=26%20U%2ES%2EC%2E%20%20142(j)(1)(A)" TargetMode="External"/><Relationship Id="rId156" Type="http://schemas.openxmlformats.org/officeDocument/2006/relationships/hyperlink" Target="https://www.bloomberglaw.com/product/tax/view_menu/related_content_internal_revenue_code/cite_refs?citation=26%20U%2ES%2EC%2E%20%20142(k)(5)(A)(i)&amp;term=26%20U%2ES%2EC%2E%20%20142(k)(5)(A)(i)" TargetMode="External"/><Relationship Id="rId177" Type="http://schemas.openxmlformats.org/officeDocument/2006/relationships/hyperlink" Target="https://www.bloomberglaw.com/product/tax/document/1?citation=42%20USC%209601&amp;amp;summary=yes" TargetMode="External"/><Relationship Id="rId198" Type="http://schemas.openxmlformats.org/officeDocument/2006/relationships/hyperlink" Target="https://www.bloomberglaw.com/product/tax/view_menu/related_content_internal_revenue_code/cite_refs?citation=26%20U%2ES%2EC%2E%20%20142(l)(7)(B)&amp;term=26%20U%2ES%2EC%2E%20%20142(l)(7)(B)" TargetMode="External"/><Relationship Id="rId202" Type="http://schemas.openxmlformats.org/officeDocument/2006/relationships/hyperlink" Target="https://www.bloomberglaw.com/product/tax/view_menu/related_content_internal_revenue_code/cite_refs?citation=26%20U%2ES%2EC%2E%20%20142(l)(9)(B)&amp;term=26%20U%2ES%2EC%2E%20%20142(l)(9)(B)" TargetMode="External"/><Relationship Id="rId18" Type="http://schemas.openxmlformats.org/officeDocument/2006/relationships/hyperlink" Target="https://www.bloomberglaw.com/product/tax/view_menu/related_content_internal_revenue_code/cite_refs?citation=26%20U%2ES%2EC%2E%20%20142(a)(3)&amp;term=26%20U%2ES%2EC%2E%20%20142(a)(3)" TargetMode="External"/><Relationship Id="rId39" Type="http://schemas.openxmlformats.org/officeDocument/2006/relationships/hyperlink" Target="https://www.bloomberglaw.com/product/tax/view_menu/related_content_internal_revenue_code/cite_refs?citation=26%20U%2ES%2EC%2E%20%20142(b)(2)(A)&amp;term=26%20U%2ES%2EC%2E%20%20142(b)(2)(A)" TargetMode="External"/><Relationship Id="rId50" Type="http://schemas.openxmlformats.org/officeDocument/2006/relationships/hyperlink" Target="https://www.bloomberglaw.com/product/tax/view_menu/related_content_internal_revenue_code/cite_refs?citation=26%20U%2ES%2EC%2E%20%20142(d)(1)&amp;term=26%20U%2ES%2EC%2E%20%20142(d)(1)" TargetMode="External"/><Relationship Id="rId104" Type="http://schemas.openxmlformats.org/officeDocument/2006/relationships/hyperlink" Target="https://www.bloomberglaw.com/product/tax/view_menu/related_content_internal_revenue_code/cite_refs?citation=26%20U%2ES%2EC%2E%20%20142(f)(3)(A)(i)&amp;term=26%20U%2ES%2EC%2E%20%20142(f)(3)(A)(i)" TargetMode="External"/><Relationship Id="rId125" Type="http://schemas.openxmlformats.org/officeDocument/2006/relationships/hyperlink" Target="https://www.bloomberglaw.com/product/tax/view_menu/related_content_internal_revenue_code/cite_refs?citation=26%20U%2ES%2EC%2E%20%20142(h)(2)(A)&amp;term=26%20U%2ES%2EC%2E%20%20142(h)(2)(A)" TargetMode="External"/><Relationship Id="rId146" Type="http://schemas.openxmlformats.org/officeDocument/2006/relationships/hyperlink" Target="https://www.bloomberglaw.com/product/tax/view_menu/related_content_internal_revenue_code/cite_refs?citation=26%20U%2ES%2EC%2E%20%20142(k)(2)(A)(i)&amp;term=26%20U%2ES%2EC%2E%20%20142(k)(2)(A)(i)" TargetMode="External"/><Relationship Id="rId167" Type="http://schemas.openxmlformats.org/officeDocument/2006/relationships/hyperlink" Target="https://www.bloomberglaw.com/product/tax/view_menu/related_content_internal_revenue_code/cite_refs?citation=26%20U%2ES%2EC%2E%20%20142(l)(2)(B)(ii)&amp;term=26%20U%2ES%2EC%2E%20%20142(l)(2)(B)(ii)" TargetMode="External"/><Relationship Id="rId188" Type="http://schemas.openxmlformats.org/officeDocument/2006/relationships/hyperlink" Target="https://www.bloomberglaw.com/product/tax/view_menu/related_content_internal_revenue_code/cite_refs?citation=26%20U%2ES%2EC%2E%20%20142(l)(5)&amp;term=26%20U%2ES%2EC%2E%20%20142(l)(5)" TargetMode="External"/><Relationship Id="rId71" Type="http://schemas.openxmlformats.org/officeDocument/2006/relationships/hyperlink" Target="https://www.bloomberglaw.com/product/tax/view_menu/related_content_internal_revenue_code/cite_refs?citation=26%20U%2ES%2EC%2E%20%20142(d)(3)(A)&amp;term=26%20U%2ES%2EC%2E%20%20142(d)(3)(A)" TargetMode="External"/><Relationship Id="rId92" Type="http://schemas.openxmlformats.org/officeDocument/2006/relationships/hyperlink" Target="https://www.bloomberglaw.com/product/tax/view_menu/related_content_internal_revenue_code/cite_refs?citation=26%20U%2ES%2EC%2E%20%20142(e)(2)&amp;term=26%20U%2ES%2EC%2E%20%20142(e)(2)" TargetMode="External"/><Relationship Id="rId213" Type="http://schemas.openxmlformats.org/officeDocument/2006/relationships/hyperlink" Target="https://www.bloomberglaw.com/product/tax/view_menu/related_content_internal_revenue_code/cite_refs?citation=26%20U%2ES%2EC%2E%20%20142(m)(3)&amp;term=26%20U%2ES%2EC%2E%20%20142(m)(3)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bloomberglaw.com/product/tax/view_menu/related_content_internal_revenue_code/cite_refs?citation=26%20U%2ES%2EC%2E%20%20142(a)(14)&amp;term=26%20U%2ES%2EC%2E%20%20142(a)(14)" TargetMode="External"/><Relationship Id="rId40" Type="http://schemas.openxmlformats.org/officeDocument/2006/relationships/hyperlink" Target="https://www.bloomberglaw.com/product/tax/view_menu/related_content_internal_revenue_code/cite_refs?citation=26%20U%2ES%2EC%2E%20%20142(b)(2)(B)&amp;term=26%20U%2ES%2EC%2E%20%20142(b)(2)(B)" TargetMode="External"/><Relationship Id="rId115" Type="http://schemas.openxmlformats.org/officeDocument/2006/relationships/hyperlink" Target="https://www.bloomberglaw.com/product/tax/view_menu/related_content_internal_revenue_code/cite_refs?citation=26%20U%2ES%2EC%2E%20%20142(g)&amp;term=26%20U%2ES%2EC%2E%20%20142(g)" TargetMode="External"/><Relationship Id="rId136" Type="http://schemas.openxmlformats.org/officeDocument/2006/relationships/hyperlink" Target="https://www.bloomberglaw.com/product/tax/view_menu/related_content_internal_revenue_code/cite_refs?citation=26%20U%2ES%2EC%2E%20%20142(j)(1)(B)&amp;term=26%20U%2ES%2EC%2E%20%20142(j)(1)(B)" TargetMode="External"/><Relationship Id="rId157" Type="http://schemas.openxmlformats.org/officeDocument/2006/relationships/hyperlink" Target="https://www.bloomberglaw.com/product/tax/view_menu/related_content_internal_revenue_code/cite_refs?citation=26%20U%2ES%2EC%2E%20%20142(k)(5)(A)(ii)&amp;term=26%20U%2ES%2EC%2E%20%20142(k)(5)(A)(ii)" TargetMode="External"/><Relationship Id="rId178" Type="http://schemas.openxmlformats.org/officeDocument/2006/relationships/hyperlink" Target="https://www.bloomberglaw.com/product/tax/view_menu/related_content_internal_revenue_code/cite_refs?citation=26%20U%2ES%2EC%2E%20%20142(l)(4)(A)(iii)&amp;term=26%20U%2ES%2EC%2E%20%20142(l)(4)(A)(iii)" TargetMode="External"/><Relationship Id="rId61" Type="http://schemas.openxmlformats.org/officeDocument/2006/relationships/hyperlink" Target="https://www.bloomberglaw.com/product/tax/view_menu/related_content_internal_revenue_code/cite_refs?citation=26%20U%2ES%2EC%2E%20%20142(d)(2)(B)(iii)&amp;term=26%20U%2ES%2EC%2E%20%20142(d)(2)(B)(iii)" TargetMode="External"/><Relationship Id="rId82" Type="http://schemas.openxmlformats.org/officeDocument/2006/relationships/hyperlink" Target="https://www.bloomberglaw.com/product/tax/view_menu/related_content_internal_revenue_code/cite_refs?citation=26%20U%2ES%2EC%2E%20%20142(d)(4)(C)&amp;term=26%20U%2ES%2EC%2E%20%20142(d)(4)(C)" TargetMode="External"/><Relationship Id="rId199" Type="http://schemas.openxmlformats.org/officeDocument/2006/relationships/hyperlink" Target="https://www.bloomberglaw.com/product/tax/view_menu/related_content_internal_revenue_code/cite_refs?citation=26%20U%2ES%2EC%2E%20%20142(l)(8)&amp;term=26%20U%2ES%2EC%2E%20%20142(l)(8)" TargetMode="External"/><Relationship Id="rId203" Type="http://schemas.openxmlformats.org/officeDocument/2006/relationships/hyperlink" Target="https://www.bloomberglaw.com/product/tax/view_menu/related_content_internal_revenue_code/cite_refs?citation=26%20U%2ES%2EC%2E%20%20142(l)(9)(C)&amp;term=26%20U%2ES%2EC%2E%20%20142(l)(9)(C)" TargetMode="External"/><Relationship Id="rId19" Type="http://schemas.openxmlformats.org/officeDocument/2006/relationships/hyperlink" Target="https://www.bloomberglaw.com/product/tax/view_menu/related_content_internal_revenue_code/cite_refs?citation=26%20U%2ES%2EC%2E%20%20142(a)(4)&amp;term=26%20U%2ES%2EC%2E%20%20142(a)(4)" TargetMode="External"/><Relationship Id="rId30" Type="http://schemas.openxmlformats.org/officeDocument/2006/relationships/hyperlink" Target="https://www.bloomberglaw.com/product/tax/view_menu/related_content_internal_revenue_code/cite_refs?citation=26%20U%2ES%2EC%2E%20%20142(a)(15)&amp;term=26%20U%2ES%2EC%2E%20%20142(a)(15)" TargetMode="External"/><Relationship Id="rId105" Type="http://schemas.openxmlformats.org/officeDocument/2006/relationships/hyperlink" Target="https://www.bloomberglaw.com/product/tax/view_menu/related_content_internal_revenue_code/cite_refs?citation=26%20U%2ES%2EC%2E%20%20142(f)(3)(A)(ii)&amp;term=26%20U%2ES%2EC%2E%20%20142(f)(3)(A)(ii)" TargetMode="External"/><Relationship Id="rId126" Type="http://schemas.openxmlformats.org/officeDocument/2006/relationships/hyperlink" Target="https://www.bloomberglaw.com/product/tax/view_menu/related_content_internal_revenue_code/cite_refs?citation=26%20U%2ES%2EC%2E%20%20142(h)(2)(B)&amp;term=26%20U%2ES%2EC%2E%20%20142(h)(2)(B)" TargetMode="External"/><Relationship Id="rId147" Type="http://schemas.openxmlformats.org/officeDocument/2006/relationships/hyperlink" Target="https://www.bloomberglaw.com/product/tax/view_menu/related_content_internal_revenue_code/cite_refs?citation=26%20U%2ES%2EC%2E%20%20142(k)(2)(A)(ii)&amp;term=26%20U%2ES%2EC%2E%20%20142(k)(2)(A)(ii)" TargetMode="External"/><Relationship Id="rId168" Type="http://schemas.openxmlformats.org/officeDocument/2006/relationships/hyperlink" Target="https://www.bloomberglaw.com/product/tax/view_menu/related_content_internal_revenue_code/cite_refs?citation=26%20U%2ES%2EC%2E%20%20142(l)(2)(B)(iii)&amp;term=26%20U%2ES%2EC%2E%20%20142(l)(2)(B)(iii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045C6645180C49B5F3BF356B510BE9" ma:contentTypeVersion="17" ma:contentTypeDescription="Create a new document." ma:contentTypeScope="" ma:versionID="05ff6cb74b71971166389fff4eb75070">
  <xsd:schema xmlns:xsd="http://www.w3.org/2001/XMLSchema" xmlns:xs="http://www.w3.org/2001/XMLSchema" xmlns:p="http://schemas.microsoft.com/office/2006/metadata/properties" xmlns:ns1="http://schemas.microsoft.com/sharepoint/v3" xmlns:ns2="51449d4f-8e51-4d4e-9219-a2af429b1568" xmlns:ns3="c7bd160f-8f9f-4a57-9297-bc564d29ee4c" targetNamespace="http://schemas.microsoft.com/office/2006/metadata/properties" ma:root="true" ma:fieldsID="e6b6d1ecb7861ac7c05cb9e5f0120903" ns1:_="" ns2:_="" ns3:_="">
    <xsd:import namespace="http://schemas.microsoft.com/sharepoint/v3"/>
    <xsd:import namespace="51449d4f-8e51-4d4e-9219-a2af429b1568"/>
    <xsd:import namespace="c7bd160f-8f9f-4a57-9297-bc564d29ee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49d4f-8e51-4d4e-9219-a2af429b15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1f6d0e-4965-4b60-ae9c-964c369ac52e}" ma:internalName="TaxCatchAll" ma:showField="CatchAllData" ma:web="51449d4f-8e51-4d4e-9219-a2af429b1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d160f-8f9f-4a57-9297-bc564d29e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f3d206-2968-46ac-ad56-95a95c292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EBC328-875E-48C6-BB81-8595A1A17E88}"/>
</file>

<file path=customXml/itemProps2.xml><?xml version="1.0" encoding="utf-8"?>
<ds:datastoreItem xmlns:ds="http://schemas.openxmlformats.org/officeDocument/2006/customXml" ds:itemID="{373E1092-0EBA-4C76-9162-8354E35C02EE}"/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23</Pages>
  <Words>16805</Words>
  <Characters>95789</Characters>
  <Application>Microsoft Office Word</Application>
  <DocSecurity>0</DocSecurity>
  <Lines>798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Baird, Sally</dc:creator>
  <cp:keywords/>
  <dc:description/>
  <cp:lastModifiedBy>Baird, Sally</cp:lastModifiedBy>
  <cp:revision>1</cp:revision>
  <dcterms:created xsi:type="dcterms:W3CDTF">2024-05-20T22:36:00Z</dcterms:created>
  <dcterms:modified xsi:type="dcterms:W3CDTF">2024-05-21T19:23:00Z</dcterms:modified>
</cp:coreProperties>
</file>