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2D1F1" w14:textId="77777777" w:rsidR="00EA1DAB" w:rsidRDefault="00EA1DAB" w:rsidP="00EA1DAB">
      <w:pPr>
        <w:rPr>
          <w:u w:val="single"/>
        </w:rPr>
      </w:pPr>
      <w:r>
        <w:rPr>
          <w:highlight w:val="yellow"/>
          <w:u w:val="single"/>
        </w:rPr>
        <w:t>Overall Process:</w:t>
      </w:r>
    </w:p>
    <w:p w14:paraId="4F7CF493" w14:textId="77777777" w:rsidR="00EA1DAB" w:rsidRDefault="00EA1DAB" w:rsidP="00EA1DAB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Production team amends 26 USC files in BWIP (USC-REF)</w:t>
      </w:r>
    </w:p>
    <w:p w14:paraId="07BF8612" w14:textId="77777777" w:rsidR="00EA1DAB" w:rsidRDefault="00EA1DAB" w:rsidP="00EA1DAB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Use Code Section Affected List spreadsheet to track file progression and alert QA when file is ready.</w:t>
      </w:r>
    </w:p>
    <w:p w14:paraId="59870BC5" w14:textId="77777777" w:rsidR="00EA1DAB" w:rsidRDefault="00EA1DAB" w:rsidP="00EA1DAB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Don’t publish Code files to BTAX until I give the word.</w:t>
      </w:r>
    </w:p>
    <w:p w14:paraId="2CDB7D5A" w14:textId="77777777" w:rsidR="00EA1DAB" w:rsidRDefault="00EA1DAB" w:rsidP="00EA1DAB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When file is ready, James and I will QA.</w:t>
      </w:r>
    </w:p>
    <w:p w14:paraId="7B64B80A" w14:textId="77777777" w:rsidR="00EA1DAB" w:rsidRDefault="00EA1DAB" w:rsidP="00EA1DAB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QA makes small edits to the file if needed. (</w:t>
      </w:r>
      <w:proofErr w:type="gramStart"/>
      <w:r>
        <w:rPr>
          <w:rFonts w:eastAsia="Times New Roman"/>
        </w:rPr>
        <w:t>note</w:t>
      </w:r>
      <w:proofErr w:type="gramEnd"/>
      <w:r>
        <w:rPr>
          <w:rFonts w:eastAsia="Times New Roman"/>
        </w:rPr>
        <w:t xml:space="preserve"> in spreadsheet.)</w:t>
      </w:r>
    </w:p>
    <w:p w14:paraId="61F5495F" w14:textId="77777777" w:rsidR="00EA1DAB" w:rsidRDefault="00EA1DAB" w:rsidP="00EA1DAB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QA will send back to Production if more extensive edits are required. (</w:t>
      </w:r>
      <w:proofErr w:type="gramStart"/>
      <w:r>
        <w:rPr>
          <w:rFonts w:eastAsia="Times New Roman"/>
        </w:rPr>
        <w:t>note</w:t>
      </w:r>
      <w:proofErr w:type="gramEnd"/>
      <w:r>
        <w:rPr>
          <w:rFonts w:eastAsia="Times New Roman"/>
        </w:rPr>
        <w:t xml:space="preserve"> in spreadsheet.)</w:t>
      </w:r>
    </w:p>
    <w:p w14:paraId="1A0CB787" w14:textId="77777777" w:rsidR="00EA1DAB" w:rsidRDefault="00EA1DAB" w:rsidP="00EA1DAB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When approved, QA will note in spreadsheet.</w:t>
      </w:r>
    </w:p>
    <w:p w14:paraId="74E96CBD" w14:textId="77777777" w:rsidR="00EA1DAB" w:rsidRDefault="00EA1DAB" w:rsidP="00EA1DAB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PL numbers added when available.</w:t>
      </w:r>
    </w:p>
    <w:p w14:paraId="39FD7F6E" w14:textId="77777777" w:rsidR="00EA1DAB" w:rsidRDefault="00EA1DAB" w:rsidP="00EA1DAB"/>
    <w:p w14:paraId="4D0E60AC" w14:textId="77777777" w:rsidR="00EA1DAB" w:rsidRDefault="00EA1DAB" w:rsidP="00EA1DAB"/>
    <w:p w14:paraId="3B9F8BCA" w14:textId="77777777" w:rsidR="00EA1DAB" w:rsidRDefault="00EA1DAB" w:rsidP="00EA1DAB">
      <w:pPr>
        <w:rPr>
          <w:b/>
          <w:bCs/>
          <w:u w:val="single"/>
        </w:rPr>
      </w:pPr>
      <w:r>
        <w:rPr>
          <w:b/>
          <w:bCs/>
          <w:highlight w:val="yellow"/>
          <w:u w:val="single"/>
        </w:rPr>
        <w:t>Anatomy of Code section: 4 parts</w:t>
      </w:r>
    </w:p>
    <w:p w14:paraId="72C28E09" w14:textId="77777777" w:rsidR="00EA1DAB" w:rsidRDefault="00EA1DAB" w:rsidP="00EA1DAB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Language: Amend language according to the provision in the Act language PDF. (I’ll send a link to </w:t>
      </w:r>
      <w:proofErr w:type="gramStart"/>
      <w:r>
        <w:rPr>
          <w:rFonts w:eastAsia="Times New Roman"/>
        </w:rPr>
        <w:t>everyone  when</w:t>
      </w:r>
      <w:proofErr w:type="gramEnd"/>
      <w:r>
        <w:rPr>
          <w:rFonts w:eastAsia="Times New Roman"/>
        </w:rPr>
        <w:t xml:space="preserve"> we have language)</w:t>
      </w:r>
    </w:p>
    <w:p w14:paraId="2CCFDE51" w14:textId="77777777" w:rsidR="00EA1DAB" w:rsidRDefault="00EA1DAB" w:rsidP="00EA1DAB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History: Add the History at the end of the language example: (</w:t>
      </w:r>
      <w:proofErr w:type="gramStart"/>
      <w:r>
        <w:rPr>
          <w:rFonts w:eastAsia="Times New Roman"/>
        </w:rPr>
        <w:t>…..</w:t>
      </w:r>
      <w:proofErr w:type="gramEnd"/>
      <w:r>
        <w:rPr>
          <w:rFonts w:eastAsia="Times New Roman"/>
        </w:rPr>
        <w:t xml:space="preserve">; Pub. L. 117-___, Div. X, title X, Sec. XXX, Aug. ___, 2022.) </w:t>
      </w:r>
    </w:p>
    <w:p w14:paraId="3D908465" w14:textId="77777777" w:rsidR="00EA1DAB" w:rsidRDefault="00EA1DAB" w:rsidP="00EA1DAB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BNOTE: Add the amendment portion and don’t forget the 2022 heading:</w:t>
      </w:r>
      <w:r>
        <w:rPr>
          <w:rFonts w:eastAsia="Times New Roman"/>
        </w:rPr>
        <w:br/>
        <w:t xml:space="preserve">example: </w:t>
      </w:r>
      <w:r>
        <w:rPr>
          <w:rStyle w:val="bold"/>
          <w:rFonts w:eastAsia="Times New Roman"/>
          <w:b/>
          <w:bCs/>
          <w:color w:val="000000"/>
          <w:shd w:val="clear" w:color="auto" w:fill="FFFFFF"/>
        </w:rPr>
        <w:t>2022</w:t>
      </w:r>
      <w:r>
        <w:rPr>
          <w:rFonts w:eastAsia="Times New Roman"/>
          <w:color w:val="000000"/>
          <w:shd w:val="clear" w:color="auto" w:fill="FFFFFF"/>
        </w:rPr>
        <w:t xml:space="preserve"> - </w:t>
      </w:r>
      <w:proofErr w:type="spellStart"/>
      <w:r>
        <w:rPr>
          <w:rFonts w:eastAsia="Times New Roman"/>
          <w:color w:val="000000"/>
          <w:shd w:val="clear" w:color="auto" w:fill="FFFFFF"/>
        </w:rPr>
        <w:t>Subsec</w:t>
      </w:r>
      <w:proofErr w:type="spellEnd"/>
      <w:r>
        <w:rPr>
          <w:rFonts w:eastAsia="Times New Roman"/>
          <w:color w:val="000000"/>
          <w:shd w:val="clear" w:color="auto" w:fill="FFFFFF"/>
        </w:rPr>
        <w:t>. (e)(1)(C). </w:t>
      </w:r>
      <w:r>
        <w:rPr>
          <w:rFonts w:eastAsia="Times New Roman"/>
        </w:rPr>
        <w:t xml:space="preserve">Pub. L. 117-___, Div. X, title X, Sec. XXX(x)(x) </w:t>
      </w:r>
      <w:r>
        <w:rPr>
          <w:rFonts w:eastAsia="Times New Roman"/>
          <w:color w:val="000000"/>
          <w:shd w:val="clear" w:color="auto" w:fill="FFFFFF"/>
        </w:rPr>
        <w:t>amended subpar. (C) by substituting “sections 23 and 25D” for “sections 23, 25D, and 1400C”.</w:t>
      </w:r>
    </w:p>
    <w:p w14:paraId="6C33EEA8" w14:textId="77777777" w:rsidR="00EA1DAB" w:rsidRDefault="00EA1DAB" w:rsidP="00EA1DAB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  <w:color w:val="000000"/>
          <w:shd w:val="clear" w:color="auto" w:fill="FFFFFF"/>
        </w:rPr>
        <w:t>BNOTE: Add Effective date and don’t forget the heading, “Effective Date of 2022 Amendment” or “</w:t>
      </w:r>
      <w:proofErr w:type="spellStart"/>
      <w:r>
        <w:rPr>
          <w:rFonts w:eastAsia="Times New Roman"/>
          <w:color w:val="000000"/>
          <w:shd w:val="clear" w:color="auto" w:fill="FFFFFF"/>
        </w:rPr>
        <w:t>Amendents</w:t>
      </w:r>
      <w:proofErr w:type="spellEnd"/>
      <w:r>
        <w:rPr>
          <w:rFonts w:eastAsia="Times New Roman"/>
          <w:color w:val="000000"/>
          <w:shd w:val="clear" w:color="auto" w:fill="FFFFFF"/>
        </w:rPr>
        <w:t>”</w:t>
      </w:r>
    </w:p>
    <w:p w14:paraId="1F578650" w14:textId="77777777" w:rsidR="00EA1DAB" w:rsidRDefault="00EA1DAB" w:rsidP="00EA1DAB">
      <w:pPr>
        <w:shd w:val="clear" w:color="auto" w:fill="FFFFFF"/>
        <w:ind w:firstLine="720"/>
        <w:rPr>
          <w:color w:val="000000"/>
        </w:rPr>
      </w:pPr>
      <w:r>
        <w:rPr>
          <w:color w:val="000000"/>
          <w:shd w:val="clear" w:color="auto" w:fill="FFFFFF"/>
        </w:rPr>
        <w:t xml:space="preserve">example: </w:t>
      </w:r>
      <w:r>
        <w:rPr>
          <w:rStyle w:val="bold"/>
          <w:b/>
          <w:bCs/>
          <w:color w:val="000000"/>
        </w:rPr>
        <w:t>EFFECTIVE DATE OF 2022 AMENDMENT</w:t>
      </w:r>
    </w:p>
    <w:p w14:paraId="7BC87876" w14:textId="77777777" w:rsidR="00EA1DAB" w:rsidRDefault="00EA1DAB" w:rsidP="00EA1DAB">
      <w:pPr>
        <w:shd w:val="clear" w:color="auto" w:fill="FFFFFF"/>
        <w:ind w:left="720"/>
        <w:rPr>
          <w:color w:val="000000"/>
        </w:rPr>
      </w:pPr>
      <w:r>
        <w:rPr>
          <w:color w:val="000000"/>
        </w:rPr>
        <w:t>“Amendment by Sec. 104(c) of Pub. L. 117-___, effective for taxable years beginning after December 31, 2022.”</w:t>
      </w:r>
    </w:p>
    <w:p w14:paraId="54C2390F" w14:textId="77777777" w:rsidR="00EA1DAB" w:rsidRDefault="00EA1DAB" w:rsidP="00EA1DAB">
      <w:pPr>
        <w:shd w:val="clear" w:color="auto" w:fill="FFFFFF"/>
        <w:rPr>
          <w:color w:val="000000"/>
        </w:rPr>
      </w:pPr>
    </w:p>
    <w:p w14:paraId="3A13C765" w14:textId="77777777" w:rsidR="00EA1DAB" w:rsidRDefault="00EA1DAB" w:rsidP="00EA1DAB">
      <w:pPr>
        <w:shd w:val="clear" w:color="auto" w:fill="FFFFFF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Delayed Effective Date Protocol: Sample, Sec. 4672(a)(2)(B), by PL 117-58</w:t>
      </w:r>
    </w:p>
    <w:p w14:paraId="23D54A74" w14:textId="77777777" w:rsidR="00EA1DAB" w:rsidRDefault="00EA1DAB" w:rsidP="00EA1DAB">
      <w:pPr>
        <w:pStyle w:val="ListParagraph"/>
      </w:pPr>
    </w:p>
    <w:p w14:paraId="48961909" w14:textId="0C79567B" w:rsidR="00EA1DAB" w:rsidRDefault="00EA1DAB" w:rsidP="00EA1DAB">
      <w:pPr>
        <w:pStyle w:val="ListParagraph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F0BE3E6" wp14:editId="6E8F59EA">
            <wp:simplePos x="0" y="0"/>
            <wp:positionH relativeFrom="column">
              <wp:posOffset>209550</wp:posOffset>
            </wp:positionH>
            <wp:positionV relativeFrom="paragraph">
              <wp:posOffset>2748280</wp:posOffset>
            </wp:positionV>
            <wp:extent cx="752475" cy="133350"/>
            <wp:effectExtent l="0" t="0" r="9525" b="0"/>
            <wp:wrapNone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ight Arrow Connector 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632D5F4" wp14:editId="0898CCCB">
            <wp:simplePos x="0" y="0"/>
            <wp:positionH relativeFrom="column">
              <wp:posOffset>104775</wp:posOffset>
            </wp:positionH>
            <wp:positionV relativeFrom="paragraph">
              <wp:posOffset>500380</wp:posOffset>
            </wp:positionV>
            <wp:extent cx="838200" cy="19050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ight Arrow Connector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746E4F5" wp14:editId="1074DCBC">
            <wp:extent cx="5390515" cy="4284345"/>
            <wp:effectExtent l="0" t="0" r="635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515" cy="428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B4064" w14:textId="77777777" w:rsidR="00EA1DAB" w:rsidRDefault="00EA1DAB" w:rsidP="00EA1DAB">
      <w:pPr>
        <w:pStyle w:val="ListParagraph"/>
      </w:pPr>
      <w:r>
        <w:t>****</w:t>
      </w:r>
    </w:p>
    <w:p w14:paraId="7EF21929" w14:textId="77777777" w:rsidR="00EA1DAB" w:rsidRDefault="00EA1DAB" w:rsidP="00EA1DAB">
      <w:pPr>
        <w:shd w:val="clear" w:color="auto" w:fill="FFFFFF"/>
        <w:rPr>
          <w:rFonts w:ascii="Open Sans" w:hAnsi="Open Sans" w:cs="Open Sans"/>
          <w:color w:val="000000"/>
          <w:sz w:val="21"/>
          <w:szCs w:val="21"/>
        </w:rPr>
      </w:pPr>
      <w:r>
        <w:rPr>
          <w:rStyle w:val="bold"/>
          <w:rFonts w:ascii="Open Sans" w:hAnsi="Open Sans" w:cs="Open Sans"/>
          <w:b/>
          <w:bCs/>
          <w:color w:val="000000"/>
          <w:sz w:val="21"/>
          <w:szCs w:val="21"/>
        </w:rPr>
        <w:t>BACKGROUND NOTES</w:t>
      </w:r>
    </w:p>
    <w:p w14:paraId="28BC3C1F" w14:textId="77777777" w:rsidR="00EA1DAB" w:rsidRDefault="00EA1DAB" w:rsidP="00EA1DAB">
      <w:pPr>
        <w:shd w:val="clear" w:color="auto" w:fill="FFFFFF"/>
        <w:rPr>
          <w:rFonts w:ascii="Open Sans" w:hAnsi="Open Sans" w:cs="Open Sans"/>
          <w:color w:val="000000"/>
          <w:sz w:val="21"/>
          <w:szCs w:val="21"/>
        </w:rPr>
      </w:pPr>
      <w:r>
        <w:rPr>
          <w:rStyle w:val="bold"/>
          <w:rFonts w:ascii="Open Sans" w:hAnsi="Open Sans" w:cs="Open Sans"/>
          <w:b/>
          <w:bCs/>
          <w:color w:val="000000"/>
          <w:sz w:val="21"/>
          <w:szCs w:val="21"/>
        </w:rPr>
        <w:t>AMENDMENTS</w:t>
      </w:r>
    </w:p>
    <w:p w14:paraId="585B3F69" w14:textId="77777777" w:rsidR="00EA1DAB" w:rsidRDefault="00EA1DAB" w:rsidP="00EA1DAB">
      <w:pPr>
        <w:shd w:val="clear" w:color="auto" w:fill="FFFFFF"/>
        <w:rPr>
          <w:rFonts w:ascii="Open Sans" w:hAnsi="Open Sans" w:cs="Open Sans"/>
          <w:color w:val="000000"/>
          <w:sz w:val="21"/>
          <w:szCs w:val="21"/>
        </w:rPr>
      </w:pPr>
      <w:r>
        <w:rPr>
          <w:rStyle w:val="bold"/>
          <w:rFonts w:ascii="Open Sans" w:hAnsi="Open Sans" w:cs="Open Sans"/>
          <w:b/>
          <w:bCs/>
          <w:color w:val="000000"/>
          <w:sz w:val="21"/>
          <w:szCs w:val="21"/>
        </w:rPr>
        <w:t>2021</w:t>
      </w:r>
      <w:r>
        <w:rPr>
          <w:rFonts w:ascii="Open Sans" w:hAnsi="Open Sans" w:cs="Open Sans"/>
          <w:color w:val="000000"/>
          <w:sz w:val="21"/>
          <w:szCs w:val="21"/>
        </w:rPr>
        <w:t>—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Subsec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>. (a)(2)(B). </w:t>
      </w:r>
      <w:hyperlink r:id="rId9" w:anchor="jcite" w:history="1">
        <w:r>
          <w:rPr>
            <w:rStyle w:val="Hyperlink"/>
            <w:rFonts w:ascii="Open Sans" w:hAnsi="Open Sans" w:cs="Open Sans"/>
            <w:b/>
            <w:bCs/>
            <w:color w:val="225379"/>
            <w:sz w:val="21"/>
            <w:szCs w:val="21"/>
          </w:rPr>
          <w:t>Pub. L. 117-58, Sec. 80201(c)(1)</w:t>
        </w:r>
      </w:hyperlink>
      <w:r>
        <w:rPr>
          <w:rFonts w:ascii="Open Sans" w:hAnsi="Open Sans" w:cs="Open Sans"/>
          <w:color w:val="000000"/>
          <w:sz w:val="21"/>
          <w:szCs w:val="21"/>
        </w:rPr>
        <w:t>, amended subpar. (B) by substituting “20 percent” for “50 percent” each place it appeared.</w:t>
      </w:r>
    </w:p>
    <w:p w14:paraId="3F9C8A4B" w14:textId="77777777" w:rsidR="00EA1DAB" w:rsidRDefault="00EA1DAB" w:rsidP="00EA1DAB">
      <w:pPr>
        <w:pStyle w:val="ListParagraph"/>
      </w:pPr>
    </w:p>
    <w:p w14:paraId="73722F57" w14:textId="77777777" w:rsidR="00EA1DAB" w:rsidRDefault="00EA1DAB" w:rsidP="00EA1DAB">
      <w:pPr>
        <w:shd w:val="clear" w:color="auto" w:fill="FFFFFF"/>
        <w:rPr>
          <w:rFonts w:ascii="Open Sans" w:hAnsi="Open Sans" w:cs="Open Sans"/>
          <w:color w:val="000000"/>
          <w:sz w:val="21"/>
          <w:szCs w:val="21"/>
        </w:rPr>
      </w:pPr>
      <w:r>
        <w:rPr>
          <w:rStyle w:val="bold"/>
          <w:rFonts w:ascii="Open Sans" w:hAnsi="Open Sans" w:cs="Open Sans"/>
          <w:b/>
          <w:bCs/>
          <w:color w:val="000000"/>
          <w:sz w:val="21"/>
          <w:szCs w:val="21"/>
        </w:rPr>
        <w:t>EFFECTIVE DATE OF 2021 AMENDMENT</w:t>
      </w:r>
    </w:p>
    <w:p w14:paraId="7E8F2379" w14:textId="77777777" w:rsidR="00EA1DAB" w:rsidRDefault="00EA1DAB" w:rsidP="00EA1DAB">
      <w:pPr>
        <w:shd w:val="clear" w:color="auto" w:fill="FFFFFF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Amendment by </w:t>
      </w:r>
      <w:hyperlink r:id="rId10" w:anchor="jcite" w:history="1">
        <w:r>
          <w:rPr>
            <w:rStyle w:val="Hyperlink"/>
            <w:rFonts w:ascii="Open Sans" w:hAnsi="Open Sans" w:cs="Open Sans"/>
            <w:b/>
            <w:bCs/>
            <w:color w:val="225379"/>
            <w:sz w:val="21"/>
            <w:szCs w:val="21"/>
          </w:rPr>
          <w:t>Pub. L. 117-58</w:t>
        </w:r>
      </w:hyperlink>
      <w:r>
        <w:rPr>
          <w:rFonts w:ascii="Open Sans" w:hAnsi="Open Sans" w:cs="Open Sans"/>
          <w:color w:val="000000"/>
          <w:sz w:val="21"/>
          <w:szCs w:val="21"/>
        </w:rPr>
        <w:t>, Sec. 80201 is effective on July 1, 2022.</w:t>
      </w:r>
    </w:p>
    <w:p w14:paraId="5450D75C" w14:textId="77777777" w:rsidR="00EA1DAB" w:rsidRDefault="00EA1DAB" w:rsidP="00EA1DAB">
      <w:pPr>
        <w:shd w:val="clear" w:color="auto" w:fill="FFFFFF"/>
        <w:ind w:left="3600" w:firstLine="720"/>
        <w:rPr>
          <w:rFonts w:ascii="Open Sans" w:hAnsi="Open Sans" w:cs="Open Sans"/>
          <w:color w:val="000000"/>
          <w:sz w:val="21"/>
          <w:szCs w:val="21"/>
        </w:rPr>
      </w:pPr>
    </w:p>
    <w:p w14:paraId="3C62CEBF" w14:textId="77777777" w:rsidR="00EA1DAB" w:rsidRDefault="00EA1DAB" w:rsidP="00EA1DAB">
      <w:pPr>
        <w:shd w:val="clear" w:color="auto" w:fill="FFFFFF"/>
        <w:ind w:left="3600" w:firstLine="72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****</w:t>
      </w:r>
    </w:p>
    <w:p w14:paraId="35A24590" w14:textId="77777777" w:rsidR="00EA1DAB" w:rsidRDefault="00EA1DAB" w:rsidP="00EA1DAB">
      <w:pPr>
        <w:shd w:val="clear" w:color="auto" w:fill="FFFFFF"/>
        <w:ind w:left="3600" w:firstLine="720"/>
        <w:rPr>
          <w:rFonts w:ascii="Open Sans" w:hAnsi="Open Sans" w:cs="Open Sans"/>
          <w:color w:val="000000"/>
          <w:sz w:val="21"/>
          <w:szCs w:val="21"/>
        </w:rPr>
      </w:pPr>
    </w:p>
    <w:p w14:paraId="2D53666D" w14:textId="77777777" w:rsidR="00EA1DAB" w:rsidRDefault="00EA1DAB" w:rsidP="00EA1DAB">
      <w:pPr>
        <w:shd w:val="clear" w:color="auto" w:fill="FFFFFF"/>
        <w:ind w:firstLine="720"/>
        <w:rPr>
          <w:rFonts w:ascii="Open Sans" w:hAnsi="Open Sans" w:cs="Open Sans"/>
          <w:b/>
          <w:bCs/>
          <w:color w:val="000000"/>
          <w:sz w:val="21"/>
          <w:szCs w:val="21"/>
          <w:u w:val="single"/>
        </w:rPr>
      </w:pPr>
      <w:r>
        <w:rPr>
          <w:rFonts w:ascii="Open Sans" w:hAnsi="Open Sans" w:cs="Open Sans"/>
          <w:b/>
          <w:bCs/>
          <w:color w:val="000000"/>
          <w:sz w:val="21"/>
          <w:szCs w:val="21"/>
          <w:u w:val="single"/>
        </w:rPr>
        <w:t>Redesignated Example: Sec. 5002(b), by PL 103-465</w:t>
      </w:r>
    </w:p>
    <w:p w14:paraId="738D3784" w14:textId="77777777" w:rsidR="00EA1DAB" w:rsidRDefault="00EA1DAB" w:rsidP="00EA1DAB">
      <w:pPr>
        <w:shd w:val="clear" w:color="auto" w:fill="FFFFFF"/>
        <w:ind w:firstLine="720"/>
        <w:rPr>
          <w:rFonts w:ascii="Open Sans" w:hAnsi="Open Sans" w:cs="Open Sans"/>
          <w:color w:val="000000"/>
          <w:sz w:val="21"/>
          <w:szCs w:val="21"/>
        </w:rPr>
      </w:pPr>
    </w:p>
    <w:p w14:paraId="0B97AD94" w14:textId="760D9630" w:rsidR="00EA1DAB" w:rsidRDefault="00EA1DAB" w:rsidP="00EA1DAB">
      <w:pPr>
        <w:shd w:val="clear" w:color="auto" w:fill="FFFFFF"/>
        <w:ind w:firstLine="720"/>
        <w:rPr>
          <w:rFonts w:ascii="Open Sans" w:hAnsi="Open Sans" w:cs="Open Sans"/>
          <w:color w:val="000000"/>
          <w:sz w:val="21"/>
          <w:szCs w:val="21"/>
        </w:rPr>
      </w:pPr>
      <w:r>
        <w:rPr>
          <w:noProof/>
          <w:color w:val="000000"/>
        </w:rPr>
        <w:lastRenderedPageBreak/>
        <w:drawing>
          <wp:inline distT="0" distB="0" distL="0" distR="0" wp14:anchorId="05CA5363" wp14:editId="530B5D78">
            <wp:extent cx="4351020" cy="3192780"/>
            <wp:effectExtent l="0" t="0" r="1143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020" cy="319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ACC86" w14:textId="77777777" w:rsidR="00EA1DAB" w:rsidRDefault="00EA1DAB" w:rsidP="00EA1DAB">
      <w:pPr>
        <w:shd w:val="clear" w:color="auto" w:fill="FFFFFF"/>
        <w:ind w:firstLine="720"/>
        <w:rPr>
          <w:rFonts w:ascii="Open Sans" w:hAnsi="Open Sans" w:cs="Open Sans"/>
          <w:color w:val="000000"/>
          <w:sz w:val="21"/>
          <w:szCs w:val="21"/>
        </w:rPr>
      </w:pPr>
    </w:p>
    <w:p w14:paraId="4EB50EA4" w14:textId="5BAB2519" w:rsidR="00EA1DAB" w:rsidRDefault="00EA1DAB" w:rsidP="00EA1DAB">
      <w:pPr>
        <w:shd w:val="clear" w:color="auto" w:fill="FFFFFF"/>
        <w:rPr>
          <w:rStyle w:val="bold"/>
          <w:b/>
          <w:bCs/>
        </w:rPr>
      </w:pPr>
      <w:r>
        <w:rPr>
          <w:noProof/>
          <w:color w:val="000000"/>
        </w:rPr>
        <w:drawing>
          <wp:inline distT="0" distB="0" distL="0" distR="0" wp14:anchorId="3DEDC246" wp14:editId="33519418">
            <wp:extent cx="5715000" cy="34067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0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F7AE1" w14:textId="77777777" w:rsidR="00EA1DAB" w:rsidRDefault="00EA1DAB" w:rsidP="00EA1DAB">
      <w:pPr>
        <w:shd w:val="clear" w:color="auto" w:fill="FFFFFF"/>
        <w:rPr>
          <w:rStyle w:val="bold"/>
          <w:rFonts w:ascii="Open Sans" w:hAnsi="Open Sans" w:cs="Open Sans"/>
          <w:b/>
          <w:bCs/>
          <w:color w:val="000000"/>
          <w:sz w:val="21"/>
          <w:szCs w:val="21"/>
        </w:rPr>
      </w:pPr>
    </w:p>
    <w:p w14:paraId="6E19C049" w14:textId="77777777" w:rsidR="00EA1DAB" w:rsidRDefault="00EA1DAB" w:rsidP="00EA1DAB">
      <w:pPr>
        <w:shd w:val="clear" w:color="auto" w:fill="FFFFFF"/>
        <w:rPr>
          <w:highlight w:val="yellow"/>
        </w:rPr>
      </w:pPr>
      <w:r>
        <w:rPr>
          <w:rStyle w:val="bold"/>
          <w:rFonts w:ascii="Open Sans" w:hAnsi="Open Sans" w:cs="Open Sans"/>
          <w:b/>
          <w:bCs/>
          <w:color w:val="000000"/>
          <w:sz w:val="21"/>
          <w:szCs w:val="21"/>
          <w:highlight w:val="yellow"/>
        </w:rPr>
        <w:t>1994</w:t>
      </w:r>
      <w:r>
        <w:rPr>
          <w:rFonts w:ascii="Open Sans" w:hAnsi="Open Sans" w:cs="Open Sans"/>
          <w:color w:val="000000"/>
          <w:sz w:val="21"/>
          <w:szCs w:val="21"/>
          <w:highlight w:val="yellow"/>
        </w:rPr>
        <w:t>--</w:t>
      </w:r>
      <w:proofErr w:type="spellStart"/>
      <w:r>
        <w:rPr>
          <w:rFonts w:ascii="Open Sans" w:hAnsi="Open Sans" w:cs="Open Sans"/>
          <w:color w:val="000000"/>
          <w:sz w:val="21"/>
          <w:szCs w:val="21"/>
          <w:highlight w:val="yellow"/>
        </w:rPr>
        <w:t>Subsec</w:t>
      </w:r>
      <w:proofErr w:type="spellEnd"/>
      <w:r>
        <w:rPr>
          <w:rFonts w:ascii="Open Sans" w:hAnsi="Open Sans" w:cs="Open Sans"/>
          <w:color w:val="000000"/>
          <w:sz w:val="21"/>
          <w:szCs w:val="21"/>
          <w:highlight w:val="yellow"/>
        </w:rPr>
        <w:t>. (b). </w:t>
      </w:r>
      <w:hyperlink r:id="rId15" w:anchor="jcite" w:history="1">
        <w:r>
          <w:rPr>
            <w:rStyle w:val="Hyperlink"/>
            <w:rFonts w:ascii="Open Sans" w:hAnsi="Open Sans" w:cs="Open Sans"/>
            <w:b/>
            <w:bCs/>
            <w:color w:val="225379"/>
            <w:sz w:val="21"/>
            <w:szCs w:val="21"/>
            <w:highlight w:val="yellow"/>
          </w:rPr>
          <w:t>Pub. L. 103-465</w:t>
        </w:r>
      </w:hyperlink>
      <w:r>
        <w:rPr>
          <w:rFonts w:ascii="Open Sans" w:hAnsi="Open Sans" w:cs="Open Sans"/>
          <w:color w:val="000000"/>
          <w:sz w:val="21"/>
          <w:szCs w:val="21"/>
          <w:highlight w:val="yellow"/>
        </w:rPr>
        <w:t>, Sec, 136(c), struck par. (1) and redesignated pars. (2) - (6) as pars. (1) - (5), respectively. Before it was struck, par. (1) read as follows:</w:t>
      </w:r>
    </w:p>
    <w:p w14:paraId="6CF29359" w14:textId="77777777" w:rsidR="00EA1DAB" w:rsidRDefault="00EA1DAB" w:rsidP="00EA1DAB">
      <w:pPr>
        <w:shd w:val="clear" w:color="auto" w:fill="FFFFFF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  <w:highlight w:val="yellow"/>
        </w:rPr>
        <w:t>“(1) For definition of wine gallon, see section 5041(c).”</w:t>
      </w:r>
    </w:p>
    <w:p w14:paraId="310BADA7" w14:textId="77777777" w:rsidR="00EA1DAB" w:rsidRDefault="00EA1DAB" w:rsidP="00EA1DAB">
      <w:pPr>
        <w:shd w:val="clear" w:color="auto" w:fill="FFFFFF"/>
        <w:rPr>
          <w:rFonts w:ascii="Open Sans" w:hAnsi="Open Sans" w:cs="Open Sans"/>
          <w:color w:val="000000"/>
          <w:sz w:val="21"/>
          <w:szCs w:val="21"/>
        </w:rPr>
      </w:pPr>
    </w:p>
    <w:p w14:paraId="28119DEF" w14:textId="77777777" w:rsidR="00EA1DAB" w:rsidRDefault="00EA1DAB" w:rsidP="00EA1DAB">
      <w:pPr>
        <w:shd w:val="clear" w:color="auto" w:fill="FFFFFF"/>
        <w:rPr>
          <w:rFonts w:ascii="Open Sans" w:hAnsi="Open Sans" w:cs="Open Sans"/>
          <w:color w:val="000000"/>
          <w:sz w:val="21"/>
          <w:szCs w:val="21"/>
        </w:rPr>
      </w:pPr>
      <w:r>
        <w:rPr>
          <w:rStyle w:val="bold"/>
          <w:rFonts w:ascii="Open Sans" w:hAnsi="Open Sans" w:cs="Open Sans"/>
          <w:b/>
          <w:bCs/>
          <w:color w:val="000000"/>
          <w:sz w:val="21"/>
          <w:szCs w:val="21"/>
        </w:rPr>
        <w:t>EFFECTIVE DATE OF 1994 AMENDMENT</w:t>
      </w:r>
    </w:p>
    <w:p w14:paraId="46E4B17D" w14:textId="77777777" w:rsidR="00EA1DAB" w:rsidRDefault="00EA1DAB" w:rsidP="00EA1DAB">
      <w:pPr>
        <w:shd w:val="clear" w:color="auto" w:fill="FFFFFF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Amendment by </w:t>
      </w:r>
      <w:hyperlink r:id="rId16" w:anchor="jcite" w:history="1">
        <w:r>
          <w:rPr>
            <w:rStyle w:val="Hyperlink"/>
            <w:rFonts w:ascii="Open Sans" w:hAnsi="Open Sans" w:cs="Open Sans"/>
            <w:b/>
            <w:bCs/>
            <w:color w:val="225379"/>
            <w:sz w:val="21"/>
            <w:szCs w:val="21"/>
          </w:rPr>
          <w:t>Pub. L. 103-465</w:t>
        </w:r>
      </w:hyperlink>
      <w:r>
        <w:rPr>
          <w:rFonts w:ascii="Open Sans" w:hAnsi="Open Sans" w:cs="Open Sans"/>
          <w:color w:val="000000"/>
          <w:sz w:val="21"/>
          <w:szCs w:val="21"/>
        </w:rPr>
        <w:t> effective January 1, 1995.</w:t>
      </w:r>
    </w:p>
    <w:p w14:paraId="4E79F62E" w14:textId="77777777" w:rsidR="00EA1DAB" w:rsidRDefault="00EA1DAB" w:rsidP="00EA1DAB">
      <w:pPr>
        <w:shd w:val="clear" w:color="auto" w:fill="FFFFFF"/>
        <w:rPr>
          <w:rFonts w:ascii="Open Sans" w:hAnsi="Open Sans" w:cs="Open Sans"/>
          <w:color w:val="000000"/>
          <w:sz w:val="21"/>
          <w:szCs w:val="21"/>
        </w:rPr>
      </w:pPr>
    </w:p>
    <w:p w14:paraId="37E62086" w14:textId="77777777" w:rsidR="00EA1DAB" w:rsidRDefault="00EA1DAB" w:rsidP="00EA1DAB">
      <w:pPr>
        <w:shd w:val="clear" w:color="auto" w:fill="FFFFFF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****</w:t>
      </w:r>
    </w:p>
    <w:p w14:paraId="127A780B" w14:textId="77777777" w:rsidR="00EA1DAB" w:rsidRDefault="00EA1DAB" w:rsidP="00EA1DAB">
      <w:pPr>
        <w:shd w:val="clear" w:color="auto" w:fill="FFFFFF"/>
        <w:ind w:left="3600" w:firstLine="720"/>
        <w:rPr>
          <w:rFonts w:ascii="Open Sans" w:hAnsi="Open Sans" w:cs="Open Sans"/>
          <w:color w:val="000000"/>
          <w:sz w:val="21"/>
          <w:szCs w:val="21"/>
        </w:rPr>
      </w:pPr>
    </w:p>
    <w:p w14:paraId="7F5BFCC8" w14:textId="77777777" w:rsidR="00EA1DAB" w:rsidRDefault="00EA1DAB" w:rsidP="00EA1DAB">
      <w:pPr>
        <w:pStyle w:val="ListParagraph"/>
      </w:pPr>
    </w:p>
    <w:p w14:paraId="5503FA63" w14:textId="77777777" w:rsidR="0096789D" w:rsidRDefault="0096789D"/>
    <w:sectPr w:rsidR="009678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C5CA5"/>
    <w:multiLevelType w:val="hybridMultilevel"/>
    <w:tmpl w:val="77FCA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70704"/>
    <w:multiLevelType w:val="hybridMultilevel"/>
    <w:tmpl w:val="798C5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DAB"/>
    <w:rsid w:val="0096789D"/>
    <w:rsid w:val="00EA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7B178D1"/>
  <w15:chartTrackingRefBased/>
  <w15:docId w15:val="{C5FAAA85-BBE4-4A89-87FF-EE74370C3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A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1DA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A1DAB"/>
    <w:pPr>
      <w:ind w:left="720"/>
    </w:pPr>
  </w:style>
  <w:style w:type="character" w:customStyle="1" w:styleId="bold">
    <w:name w:val="bold"/>
    <w:basedOn w:val="DefaultParagraphFont"/>
    <w:rsid w:val="00EA1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2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8AE34.CE11E000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cid:image008.png@01D8AE36.AFB5216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loomberglaw.com/product/tax/document/1?citation=Pub.%20L.%20103-465&amp;amp;summary=ye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hyperlink" Target="https://www.bloomberglaw.com/product/tax/document/1?citation=Pub.%20L.%20103-465&amp;amp;summary=yes" TargetMode="External"/><Relationship Id="rId10" Type="http://schemas.openxmlformats.org/officeDocument/2006/relationships/hyperlink" Target="https://www.bloomberglaw.com/product/tax/document/1?citation=Pub.%20L.%20117-58&amp;amp;summary=y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loomberglaw.com/product/tax/document/1?citation=Pub.%20L.%20117-58%20sec%2080201(c)(1)&amp;amp;summary=yes" TargetMode="External"/><Relationship Id="rId14" Type="http://schemas.openxmlformats.org/officeDocument/2006/relationships/image" Target="cid:image006.png@01D8AE35.F0F41F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2022-08-12T14:46:00Z</dcterms:created>
  <dcterms:modified xsi:type="dcterms:W3CDTF">2022-08-12T14:47:00Z</dcterms:modified>
</cp:coreProperties>
</file>