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6A043" w14:textId="77777777" w:rsidR="00943E1C" w:rsidRPr="00943E1C" w:rsidRDefault="00943E1C" w:rsidP="00112F7F">
      <w:pPr>
        <w:pStyle w:val="ChapterNumber"/>
      </w:pPr>
      <w:r w:rsidRPr="00943E1C">
        <w:t>2</w:t>
      </w:r>
    </w:p>
    <w:p w14:paraId="617F1928" w14:textId="5A53286F" w:rsidR="00943E1C" w:rsidRPr="00943E1C" w:rsidRDefault="00943E1C" w:rsidP="00112F7F">
      <w:pPr>
        <w:pStyle w:val="ChapterTitle"/>
      </w:pPr>
      <w:r w:rsidRPr="00943E1C">
        <w:t>Relationship to Other Intellectual</w:t>
      </w:r>
      <w:r w:rsidR="00B907A0">
        <w:t xml:space="preserve"> </w:t>
      </w:r>
      <w:r w:rsidRPr="00943E1C">
        <w:t>Property Areas</w:t>
      </w:r>
    </w:p>
    <w:p w14:paraId="63F5062B" w14:textId="77777777" w:rsidR="007F4378" w:rsidRPr="0030006E" w:rsidRDefault="007F4378" w:rsidP="007F4378">
      <w:pPr>
        <w:pStyle w:val="AuthorName0"/>
        <w:rPr>
          <w:rFonts w:ascii="Times New Roman" w:hAnsi="Times New Roman" w:cs="Times New Roman"/>
        </w:rPr>
      </w:pPr>
      <w:r w:rsidRPr="0030006E">
        <w:rPr>
          <w:rFonts w:ascii="Times New Roman" w:hAnsi="Times New Roman" w:cs="Times New Roman"/>
        </w:rPr>
        <w:t xml:space="preserve">Patrick G. </w:t>
      </w:r>
      <w:proofErr w:type="spellStart"/>
      <w:r w:rsidRPr="0030006E">
        <w:rPr>
          <w:rFonts w:ascii="Times New Roman" w:hAnsi="Times New Roman" w:cs="Times New Roman"/>
        </w:rPr>
        <w:t>Billig</w:t>
      </w:r>
      <w:proofErr w:type="spellEnd"/>
    </w:p>
    <w:p w14:paraId="49FA9C60" w14:textId="77777777" w:rsidR="007F4378" w:rsidRPr="0030006E" w:rsidRDefault="007F4378" w:rsidP="007F4378">
      <w:pPr>
        <w:pStyle w:val="AuthorName0"/>
        <w:rPr>
          <w:rFonts w:ascii="Times New Roman" w:hAnsi="Times New Roman" w:cs="Times New Roman"/>
        </w:rPr>
      </w:pPr>
      <w:r w:rsidRPr="0030006E">
        <w:rPr>
          <w:rFonts w:ascii="Times New Roman" w:hAnsi="Times New Roman" w:cs="Times New Roman"/>
        </w:rPr>
        <w:t>Rudy Hofmann</w:t>
      </w:r>
    </w:p>
    <w:p w14:paraId="2E4DF946" w14:textId="77777777" w:rsidR="007F4378" w:rsidRDefault="007F4378" w:rsidP="007F4378">
      <w:pPr>
        <w:pStyle w:val="AuthorAffl"/>
        <w:rPr>
          <w:rFonts w:ascii="Times New Roman" w:hAnsi="Times New Roman" w:cs="Times New Roman"/>
        </w:rPr>
      </w:pPr>
      <w:proofErr w:type="spellStart"/>
      <w:r w:rsidRPr="0030006E">
        <w:rPr>
          <w:rFonts w:ascii="Times New Roman" w:hAnsi="Times New Roman" w:cs="Times New Roman"/>
        </w:rPr>
        <w:t>Dicke</w:t>
      </w:r>
      <w:proofErr w:type="spellEnd"/>
      <w:r w:rsidRPr="0030006E">
        <w:rPr>
          <w:rFonts w:ascii="Times New Roman" w:hAnsi="Times New Roman" w:cs="Times New Roman"/>
        </w:rPr>
        <w:t xml:space="preserve">, </w:t>
      </w:r>
      <w:proofErr w:type="spellStart"/>
      <w:r w:rsidRPr="0030006E">
        <w:rPr>
          <w:rFonts w:ascii="Times New Roman" w:hAnsi="Times New Roman" w:cs="Times New Roman"/>
        </w:rPr>
        <w:t>Billig</w:t>
      </w:r>
      <w:proofErr w:type="spellEnd"/>
      <w:r w:rsidRPr="0030006E">
        <w:rPr>
          <w:rFonts w:ascii="Times New Roman" w:hAnsi="Times New Roman" w:cs="Times New Roman"/>
        </w:rPr>
        <w:t xml:space="preserve"> &amp; </w:t>
      </w:r>
      <w:proofErr w:type="spellStart"/>
      <w:r w:rsidRPr="0030006E">
        <w:rPr>
          <w:rFonts w:ascii="Times New Roman" w:hAnsi="Times New Roman" w:cs="Times New Roman"/>
        </w:rPr>
        <w:t>Czaja</w:t>
      </w:r>
      <w:proofErr w:type="spellEnd"/>
      <w:r w:rsidRPr="0030006E">
        <w:rPr>
          <w:rFonts w:ascii="Times New Roman" w:hAnsi="Times New Roman" w:cs="Times New Roman"/>
        </w:rPr>
        <w:t>, PLLC</w:t>
      </w:r>
      <w:r w:rsidRPr="0030006E">
        <w:rPr>
          <w:rFonts w:ascii="Times New Roman" w:hAnsi="Times New Roman" w:cs="Times New Roman"/>
        </w:rPr>
        <w:br/>
        <w:t>Minneapolis, Minnesota</w:t>
      </w:r>
    </w:p>
    <w:p w14:paraId="183473EB" w14:textId="77777777" w:rsidR="00943E1C" w:rsidRPr="00943E1C" w:rsidRDefault="00943E1C" w:rsidP="00943E1C">
      <w:pPr>
        <w:pStyle w:val="toc1"/>
        <w:rPr>
          <w:rFonts w:cs="Times New Roman"/>
        </w:rPr>
      </w:pPr>
      <w:r w:rsidRPr="00943E1C">
        <w:rPr>
          <w:rFonts w:cs="Times New Roman"/>
        </w:rPr>
        <w:t>§2.01</w:t>
      </w:r>
      <w:r w:rsidRPr="00943E1C">
        <w:rPr>
          <w:rFonts w:cs="Times New Roman"/>
        </w:rPr>
        <w:tab/>
        <w:t>Introduction</w:t>
      </w:r>
      <w:r w:rsidRPr="00943E1C">
        <w:rPr>
          <w:rFonts w:cs="Times New Roman"/>
        </w:rPr>
        <w:tab/>
      </w:r>
      <w:r w:rsidRPr="00943E1C">
        <w:rPr>
          <w:rFonts w:cs="Times New Roman"/>
        </w:rPr>
        <w:tab/>
        <w:t>2-3</w:t>
      </w:r>
    </w:p>
    <w:p w14:paraId="2F4FBF43" w14:textId="77777777" w:rsidR="00943E1C" w:rsidRPr="00943E1C" w:rsidRDefault="00943E1C" w:rsidP="00943E1C">
      <w:pPr>
        <w:pStyle w:val="toc1"/>
        <w:rPr>
          <w:rFonts w:cs="Times New Roman"/>
        </w:rPr>
      </w:pPr>
      <w:r w:rsidRPr="00943E1C">
        <w:rPr>
          <w:rFonts w:cs="Times New Roman"/>
        </w:rPr>
        <w:t>§2.02</w:t>
      </w:r>
      <w:r w:rsidRPr="00943E1C">
        <w:rPr>
          <w:rFonts w:cs="Times New Roman"/>
        </w:rPr>
        <w:tab/>
        <w:t>Trade Secret Protection</w:t>
      </w:r>
      <w:r w:rsidRPr="00943E1C">
        <w:rPr>
          <w:rFonts w:cs="Times New Roman"/>
        </w:rPr>
        <w:tab/>
      </w:r>
      <w:r w:rsidRPr="00943E1C">
        <w:rPr>
          <w:rFonts w:cs="Times New Roman"/>
        </w:rPr>
        <w:tab/>
        <w:t>2-3</w:t>
      </w:r>
    </w:p>
    <w:p w14:paraId="21692C5B" w14:textId="77777777" w:rsidR="00943E1C" w:rsidRPr="00943E1C" w:rsidRDefault="00943E1C" w:rsidP="00943E1C">
      <w:pPr>
        <w:pStyle w:val="toc2"/>
      </w:pPr>
      <w:r w:rsidRPr="00943E1C">
        <w:t>A.</w:t>
      </w:r>
      <w:r w:rsidRPr="00943E1C">
        <w:tab/>
        <w:t>Overview of Trade Secrets</w:t>
      </w:r>
      <w:r w:rsidRPr="00943E1C">
        <w:tab/>
      </w:r>
      <w:r w:rsidRPr="00943E1C">
        <w:tab/>
        <w:t>2-3</w:t>
      </w:r>
    </w:p>
    <w:p w14:paraId="5AD76FAE" w14:textId="77777777" w:rsidR="00943E1C" w:rsidRPr="00943E1C" w:rsidRDefault="00943E1C" w:rsidP="00943E1C">
      <w:pPr>
        <w:pStyle w:val="toc3"/>
      </w:pPr>
      <w:r w:rsidRPr="00943E1C">
        <w:t>1.</w:t>
      </w:r>
      <w:r w:rsidRPr="00943E1C">
        <w:tab/>
        <w:t>Trade Secrets Defined</w:t>
      </w:r>
      <w:r w:rsidRPr="00943E1C">
        <w:tab/>
      </w:r>
      <w:r w:rsidRPr="00943E1C">
        <w:tab/>
        <w:t>2-3</w:t>
      </w:r>
    </w:p>
    <w:p w14:paraId="15E45123" w14:textId="77777777" w:rsidR="00943E1C" w:rsidRPr="00943E1C" w:rsidRDefault="00943E1C" w:rsidP="00943E1C">
      <w:pPr>
        <w:pStyle w:val="toc3"/>
      </w:pPr>
      <w:r w:rsidRPr="00943E1C">
        <w:t>2.</w:t>
      </w:r>
      <w:r w:rsidRPr="00943E1C">
        <w:tab/>
        <w:t>Elements of a Trade Secret</w:t>
      </w:r>
      <w:r w:rsidRPr="00943E1C">
        <w:tab/>
      </w:r>
      <w:r w:rsidRPr="00943E1C">
        <w:tab/>
        <w:t>2-7</w:t>
      </w:r>
    </w:p>
    <w:p w14:paraId="730966E8" w14:textId="77777777" w:rsidR="00943E1C" w:rsidRPr="00943E1C" w:rsidRDefault="00943E1C" w:rsidP="00943E1C">
      <w:pPr>
        <w:pStyle w:val="toc3"/>
      </w:pPr>
      <w:r w:rsidRPr="00943E1C">
        <w:t>3.</w:t>
      </w:r>
      <w:r w:rsidRPr="00943E1C">
        <w:tab/>
        <w:t>Actions for Trade Secret Misappropriation</w:t>
      </w:r>
      <w:r w:rsidRPr="00943E1C">
        <w:tab/>
      </w:r>
      <w:r w:rsidRPr="00943E1C">
        <w:tab/>
        <w:t>2-8</w:t>
      </w:r>
    </w:p>
    <w:p w14:paraId="4ABDBF27" w14:textId="77777777" w:rsidR="00943E1C" w:rsidRPr="00943E1C" w:rsidRDefault="00943E1C" w:rsidP="00943E1C">
      <w:pPr>
        <w:pStyle w:val="toc4"/>
      </w:pPr>
      <w:r w:rsidRPr="00943E1C">
        <w:t>a.</w:t>
      </w:r>
      <w:r w:rsidRPr="00943E1C">
        <w:tab/>
        <w:t>Proving the Existence of the Trade Secret</w:t>
      </w:r>
      <w:r w:rsidRPr="00943E1C">
        <w:tab/>
      </w:r>
      <w:r w:rsidRPr="00943E1C">
        <w:tab/>
        <w:t>2-8</w:t>
      </w:r>
    </w:p>
    <w:p w14:paraId="6C5B1228" w14:textId="77777777" w:rsidR="00943E1C" w:rsidRPr="00943E1C" w:rsidRDefault="00943E1C" w:rsidP="00943E1C">
      <w:pPr>
        <w:pStyle w:val="toc4"/>
      </w:pPr>
      <w:r w:rsidRPr="00943E1C">
        <w:t>b.</w:t>
      </w:r>
      <w:r w:rsidRPr="00943E1C">
        <w:tab/>
        <w:t>Proving the Trade Secret Was Improperly</w:t>
      </w:r>
      <w:r w:rsidRPr="00943E1C">
        <w:br/>
        <w:t>Obtained</w:t>
      </w:r>
      <w:r w:rsidRPr="00943E1C">
        <w:tab/>
      </w:r>
      <w:r w:rsidRPr="00943E1C">
        <w:tab/>
        <w:t>2-9</w:t>
      </w:r>
    </w:p>
    <w:p w14:paraId="7CD4844F" w14:textId="77777777" w:rsidR="00943E1C" w:rsidRPr="00943E1C" w:rsidRDefault="00943E1C" w:rsidP="00943E1C">
      <w:pPr>
        <w:pStyle w:val="toc3"/>
      </w:pPr>
      <w:r w:rsidRPr="00943E1C">
        <w:t>4.</w:t>
      </w:r>
      <w:r w:rsidRPr="00943E1C">
        <w:tab/>
        <w:t>Remedies for Misappropriation</w:t>
      </w:r>
      <w:r w:rsidRPr="00943E1C">
        <w:tab/>
      </w:r>
      <w:r w:rsidRPr="00943E1C">
        <w:tab/>
        <w:t>2-10</w:t>
      </w:r>
    </w:p>
    <w:p w14:paraId="7FE4CD98" w14:textId="77777777" w:rsidR="00943E1C" w:rsidRPr="00943E1C" w:rsidRDefault="00943E1C" w:rsidP="00943E1C">
      <w:pPr>
        <w:pStyle w:val="toc2"/>
      </w:pPr>
      <w:r w:rsidRPr="00943E1C">
        <w:t>B.</w:t>
      </w:r>
      <w:r w:rsidRPr="00943E1C">
        <w:tab/>
        <w:t>Trade Secrets Compared to Patents</w:t>
      </w:r>
      <w:r w:rsidRPr="00943E1C">
        <w:tab/>
      </w:r>
      <w:r w:rsidRPr="00943E1C">
        <w:tab/>
        <w:t>2-11</w:t>
      </w:r>
    </w:p>
    <w:p w14:paraId="07B04D03" w14:textId="77777777" w:rsidR="00943E1C" w:rsidRPr="00943E1C" w:rsidRDefault="00943E1C" w:rsidP="00943E1C">
      <w:pPr>
        <w:pStyle w:val="toc3"/>
      </w:pPr>
      <w:r w:rsidRPr="00943E1C">
        <w:t>1.</w:t>
      </w:r>
      <w:r w:rsidRPr="00943E1C">
        <w:tab/>
        <w:t>Disclosure</w:t>
      </w:r>
      <w:r w:rsidRPr="00943E1C">
        <w:tab/>
      </w:r>
      <w:r w:rsidRPr="00943E1C">
        <w:tab/>
        <w:t>2-11</w:t>
      </w:r>
    </w:p>
    <w:p w14:paraId="11872B42" w14:textId="77777777" w:rsidR="00943E1C" w:rsidRPr="00943E1C" w:rsidRDefault="00943E1C" w:rsidP="00943E1C">
      <w:pPr>
        <w:pStyle w:val="toc3"/>
      </w:pPr>
      <w:r w:rsidRPr="00943E1C">
        <w:t>2.</w:t>
      </w:r>
      <w:r w:rsidRPr="00943E1C">
        <w:tab/>
        <w:t xml:space="preserve">Newness: Novelty and </w:t>
      </w:r>
      <w:proofErr w:type="spellStart"/>
      <w:r w:rsidRPr="00943E1C">
        <w:t>Nonobviousness</w:t>
      </w:r>
      <w:proofErr w:type="spellEnd"/>
      <w:r w:rsidRPr="00943E1C">
        <w:tab/>
      </w:r>
      <w:r w:rsidRPr="00943E1C">
        <w:tab/>
        <w:t>2-12</w:t>
      </w:r>
    </w:p>
    <w:p w14:paraId="09933B2D" w14:textId="77777777" w:rsidR="00943E1C" w:rsidRPr="00943E1C" w:rsidRDefault="00943E1C" w:rsidP="00943E1C">
      <w:pPr>
        <w:pStyle w:val="toc3"/>
      </w:pPr>
      <w:r w:rsidRPr="00943E1C">
        <w:t>3.</w:t>
      </w:r>
      <w:r w:rsidRPr="00943E1C">
        <w:tab/>
        <w:t>Inventorship</w:t>
      </w:r>
      <w:r w:rsidRPr="00943E1C">
        <w:tab/>
      </w:r>
      <w:r w:rsidRPr="00943E1C">
        <w:tab/>
        <w:t>2-13</w:t>
      </w:r>
    </w:p>
    <w:p w14:paraId="7051E9AA" w14:textId="77777777" w:rsidR="00943E1C" w:rsidRPr="00943E1C" w:rsidRDefault="00943E1C" w:rsidP="00943E1C">
      <w:pPr>
        <w:pStyle w:val="toc3"/>
      </w:pPr>
      <w:r w:rsidRPr="00943E1C">
        <w:t>4.</w:t>
      </w:r>
      <w:r w:rsidRPr="00943E1C">
        <w:tab/>
        <w:t>Term of Protection</w:t>
      </w:r>
      <w:r w:rsidRPr="00943E1C">
        <w:tab/>
      </w:r>
      <w:r w:rsidRPr="00943E1C">
        <w:tab/>
        <w:t>2-14</w:t>
      </w:r>
    </w:p>
    <w:p w14:paraId="117E0111" w14:textId="77777777" w:rsidR="00943E1C" w:rsidRPr="00943E1C" w:rsidRDefault="00943E1C" w:rsidP="00943E1C">
      <w:pPr>
        <w:pStyle w:val="toc2"/>
      </w:pPr>
      <w:r w:rsidRPr="00943E1C">
        <w:t>C.</w:t>
      </w:r>
      <w:r w:rsidRPr="00943E1C">
        <w:tab/>
        <w:t>No Preemption by Patent Law</w:t>
      </w:r>
      <w:r w:rsidRPr="00943E1C">
        <w:tab/>
      </w:r>
      <w:r w:rsidRPr="00943E1C">
        <w:tab/>
        <w:t>2-14</w:t>
      </w:r>
    </w:p>
    <w:p w14:paraId="29FBA8A4" w14:textId="77777777" w:rsidR="00943E1C" w:rsidRPr="00943E1C" w:rsidRDefault="00943E1C" w:rsidP="00943E1C">
      <w:pPr>
        <w:pStyle w:val="toc2"/>
      </w:pPr>
      <w:r w:rsidRPr="00943E1C">
        <w:t>D.</w:t>
      </w:r>
      <w:r w:rsidRPr="00943E1C">
        <w:tab/>
        <w:t>Trade Secrets and the Leahy-Smith America Invents</w:t>
      </w:r>
      <w:r w:rsidRPr="00943E1C">
        <w:br/>
        <w:t>Act</w:t>
      </w:r>
      <w:r w:rsidRPr="00943E1C">
        <w:tab/>
      </w:r>
      <w:r w:rsidRPr="00943E1C">
        <w:tab/>
        <w:t>2-15</w:t>
      </w:r>
    </w:p>
    <w:p w14:paraId="36816FA6" w14:textId="77777777" w:rsidR="00943E1C" w:rsidRPr="00943E1C" w:rsidRDefault="00943E1C" w:rsidP="00943E1C">
      <w:pPr>
        <w:pStyle w:val="toc1"/>
        <w:rPr>
          <w:rFonts w:cs="Times New Roman"/>
        </w:rPr>
      </w:pPr>
      <w:r w:rsidRPr="00943E1C">
        <w:rPr>
          <w:rFonts w:cs="Times New Roman"/>
        </w:rPr>
        <w:t>§2.03</w:t>
      </w:r>
      <w:r w:rsidRPr="00943E1C">
        <w:rPr>
          <w:rFonts w:cs="Times New Roman"/>
        </w:rPr>
        <w:tab/>
        <w:t>Trademark Protection</w:t>
      </w:r>
      <w:r w:rsidRPr="00943E1C">
        <w:rPr>
          <w:rFonts w:cs="Times New Roman"/>
        </w:rPr>
        <w:tab/>
      </w:r>
      <w:r w:rsidRPr="00943E1C">
        <w:rPr>
          <w:rFonts w:cs="Times New Roman"/>
        </w:rPr>
        <w:tab/>
        <w:t>2-16</w:t>
      </w:r>
    </w:p>
    <w:p w14:paraId="1EA50581" w14:textId="77777777" w:rsidR="00943E1C" w:rsidRPr="00943E1C" w:rsidRDefault="00943E1C" w:rsidP="00943E1C">
      <w:pPr>
        <w:pStyle w:val="toc2"/>
      </w:pPr>
      <w:r w:rsidRPr="00943E1C">
        <w:t>A.</w:t>
      </w:r>
      <w:r w:rsidRPr="00943E1C">
        <w:tab/>
        <w:t>Trademarks Defined</w:t>
      </w:r>
      <w:r w:rsidRPr="00943E1C">
        <w:tab/>
      </w:r>
      <w:r w:rsidRPr="00943E1C">
        <w:tab/>
        <w:t>2-16</w:t>
      </w:r>
    </w:p>
    <w:p w14:paraId="3BD0E34E" w14:textId="77777777" w:rsidR="00943E1C" w:rsidRPr="00943E1C" w:rsidRDefault="00943E1C" w:rsidP="00943E1C">
      <w:pPr>
        <w:pStyle w:val="toc2"/>
      </w:pPr>
      <w:r w:rsidRPr="00943E1C">
        <w:t>B.</w:t>
      </w:r>
      <w:r w:rsidRPr="00943E1C">
        <w:tab/>
        <w:t>Trademark Protection Compared to Patent Protection</w:t>
      </w:r>
      <w:r w:rsidRPr="00943E1C">
        <w:tab/>
      </w:r>
      <w:r w:rsidRPr="00943E1C">
        <w:tab/>
        <w:t>2-17</w:t>
      </w:r>
    </w:p>
    <w:p w14:paraId="57ACFF13" w14:textId="77777777" w:rsidR="00943E1C" w:rsidRPr="00943E1C" w:rsidRDefault="00943E1C" w:rsidP="00943E1C">
      <w:pPr>
        <w:pStyle w:val="toc3"/>
      </w:pPr>
      <w:r w:rsidRPr="00943E1C">
        <w:t>1.</w:t>
      </w:r>
      <w:r w:rsidRPr="00943E1C">
        <w:tab/>
        <w:t>Creation of Rights</w:t>
      </w:r>
      <w:r w:rsidRPr="00943E1C">
        <w:tab/>
      </w:r>
      <w:r w:rsidRPr="00943E1C">
        <w:tab/>
        <w:t>2-17</w:t>
      </w:r>
    </w:p>
    <w:p w14:paraId="22C270A5" w14:textId="77777777" w:rsidR="00943E1C" w:rsidRPr="00943E1C" w:rsidRDefault="00943E1C" w:rsidP="00943E1C">
      <w:pPr>
        <w:pStyle w:val="toc3"/>
      </w:pPr>
      <w:r w:rsidRPr="00943E1C">
        <w:t>2.</w:t>
      </w:r>
      <w:r w:rsidRPr="00943E1C">
        <w:tab/>
        <w:t>Length of Protection</w:t>
      </w:r>
      <w:r w:rsidRPr="00943E1C">
        <w:tab/>
      </w:r>
      <w:r w:rsidRPr="00943E1C">
        <w:tab/>
        <w:t>2-18</w:t>
      </w:r>
    </w:p>
    <w:p w14:paraId="18681D45" w14:textId="77777777" w:rsidR="00943E1C" w:rsidRPr="00943E1C" w:rsidRDefault="00943E1C" w:rsidP="00943E1C">
      <w:pPr>
        <w:pStyle w:val="toc3"/>
      </w:pPr>
      <w:r w:rsidRPr="00943E1C">
        <w:t>3.</w:t>
      </w:r>
      <w:r w:rsidRPr="00943E1C">
        <w:tab/>
        <w:t>Infringement</w:t>
      </w:r>
      <w:r w:rsidRPr="00943E1C">
        <w:tab/>
      </w:r>
      <w:r w:rsidRPr="00943E1C">
        <w:tab/>
        <w:t>2-18</w:t>
      </w:r>
    </w:p>
    <w:p w14:paraId="6D37A3CD" w14:textId="77777777" w:rsidR="00943E1C" w:rsidRPr="00943E1C" w:rsidRDefault="00943E1C" w:rsidP="00943E1C">
      <w:pPr>
        <w:pStyle w:val="toc2"/>
      </w:pPr>
      <w:r w:rsidRPr="00943E1C">
        <w:t>C.</w:t>
      </w:r>
      <w:r w:rsidRPr="00943E1C">
        <w:tab/>
        <w:t>Trade Dress and Utility Patent</w:t>
      </w:r>
      <w:r w:rsidRPr="00943E1C">
        <w:tab/>
      </w:r>
      <w:r w:rsidRPr="00943E1C">
        <w:tab/>
        <w:t>2-19</w:t>
      </w:r>
    </w:p>
    <w:p w14:paraId="0A93D11C" w14:textId="77777777" w:rsidR="00943E1C" w:rsidRPr="00943E1C" w:rsidRDefault="00943E1C" w:rsidP="00943E1C">
      <w:pPr>
        <w:pStyle w:val="toc1"/>
        <w:rPr>
          <w:rFonts w:cs="Times New Roman"/>
        </w:rPr>
      </w:pPr>
      <w:r w:rsidRPr="00943E1C">
        <w:rPr>
          <w:rFonts w:cs="Times New Roman"/>
        </w:rPr>
        <w:t>§2.04</w:t>
      </w:r>
      <w:r w:rsidRPr="00943E1C">
        <w:rPr>
          <w:rFonts w:cs="Times New Roman"/>
        </w:rPr>
        <w:tab/>
        <w:t>Copyright Protection</w:t>
      </w:r>
      <w:r w:rsidRPr="00943E1C">
        <w:rPr>
          <w:rFonts w:cs="Times New Roman"/>
        </w:rPr>
        <w:tab/>
      </w:r>
      <w:r w:rsidRPr="00943E1C">
        <w:rPr>
          <w:rFonts w:cs="Times New Roman"/>
        </w:rPr>
        <w:tab/>
        <w:t>2-20</w:t>
      </w:r>
    </w:p>
    <w:p w14:paraId="63C9C65C" w14:textId="77777777" w:rsidR="00943E1C" w:rsidRPr="00943E1C" w:rsidRDefault="00943E1C" w:rsidP="00943E1C">
      <w:pPr>
        <w:pStyle w:val="toc2"/>
      </w:pPr>
      <w:r w:rsidRPr="00943E1C">
        <w:t>A.</w:t>
      </w:r>
      <w:r w:rsidRPr="00943E1C">
        <w:tab/>
        <w:t>Overview of Copyrights</w:t>
      </w:r>
      <w:r w:rsidRPr="00943E1C">
        <w:tab/>
      </w:r>
      <w:r w:rsidRPr="00943E1C">
        <w:tab/>
        <w:t>2-20</w:t>
      </w:r>
    </w:p>
    <w:p w14:paraId="4ECB912F" w14:textId="77777777" w:rsidR="00943E1C" w:rsidRPr="00943E1C" w:rsidRDefault="00943E1C" w:rsidP="00943E1C">
      <w:pPr>
        <w:pStyle w:val="toc3"/>
      </w:pPr>
      <w:r w:rsidRPr="00943E1C">
        <w:t>1.</w:t>
      </w:r>
      <w:r w:rsidRPr="00943E1C">
        <w:tab/>
        <w:t>Copyright Defined</w:t>
      </w:r>
      <w:r w:rsidRPr="00943E1C">
        <w:tab/>
      </w:r>
      <w:r w:rsidRPr="00943E1C">
        <w:tab/>
        <w:t>2-22</w:t>
      </w:r>
    </w:p>
    <w:p w14:paraId="728DA923" w14:textId="77777777" w:rsidR="00943E1C" w:rsidRPr="00943E1C" w:rsidRDefault="00943E1C" w:rsidP="00943E1C">
      <w:pPr>
        <w:pStyle w:val="toc3"/>
      </w:pPr>
      <w:r w:rsidRPr="00943E1C">
        <w:t>2.</w:t>
      </w:r>
      <w:r w:rsidRPr="00943E1C">
        <w:tab/>
        <w:t>Copyright Registration</w:t>
      </w:r>
      <w:r w:rsidRPr="00943E1C">
        <w:tab/>
      </w:r>
      <w:r w:rsidRPr="00943E1C">
        <w:tab/>
        <w:t>2-22</w:t>
      </w:r>
    </w:p>
    <w:p w14:paraId="3F9EA797" w14:textId="77777777" w:rsidR="00943E1C" w:rsidRPr="00943E1C" w:rsidRDefault="00943E1C" w:rsidP="00943E1C">
      <w:pPr>
        <w:pStyle w:val="toc3"/>
      </w:pPr>
      <w:r w:rsidRPr="00943E1C">
        <w:t>3.</w:t>
      </w:r>
      <w:r w:rsidRPr="00943E1C">
        <w:tab/>
        <w:t>Copyright Infringement</w:t>
      </w:r>
      <w:r w:rsidRPr="00943E1C">
        <w:tab/>
      </w:r>
      <w:r w:rsidRPr="00943E1C">
        <w:tab/>
        <w:t>2-23</w:t>
      </w:r>
    </w:p>
    <w:p w14:paraId="449019B5" w14:textId="77777777" w:rsidR="00943E1C" w:rsidRPr="00943E1C" w:rsidRDefault="00943E1C" w:rsidP="00943E1C">
      <w:pPr>
        <w:pStyle w:val="toc3"/>
      </w:pPr>
      <w:r w:rsidRPr="00943E1C">
        <w:t>4.</w:t>
      </w:r>
      <w:r w:rsidRPr="00943E1C">
        <w:tab/>
        <w:t>Remedies for Infringement</w:t>
      </w:r>
      <w:r w:rsidRPr="00943E1C">
        <w:tab/>
      </w:r>
      <w:r w:rsidRPr="00943E1C">
        <w:tab/>
        <w:t>2-24</w:t>
      </w:r>
    </w:p>
    <w:p w14:paraId="67370407" w14:textId="77777777" w:rsidR="00943E1C" w:rsidRPr="00943E1C" w:rsidRDefault="00943E1C" w:rsidP="00943E1C">
      <w:pPr>
        <w:pStyle w:val="toc2"/>
      </w:pPr>
      <w:r w:rsidRPr="00943E1C">
        <w:t>B.</w:t>
      </w:r>
      <w:r w:rsidRPr="00943E1C">
        <w:tab/>
        <w:t xml:space="preserve">Copyright Protection Compared to Patent Protection </w:t>
      </w:r>
      <w:r w:rsidR="00112F7F">
        <w:br/>
      </w:r>
      <w:r w:rsidRPr="00943E1C">
        <w:t>for Computer Software</w:t>
      </w:r>
      <w:r w:rsidRPr="00943E1C">
        <w:tab/>
      </w:r>
      <w:r w:rsidRPr="00943E1C">
        <w:tab/>
        <w:t>2-24</w:t>
      </w:r>
    </w:p>
    <w:p w14:paraId="44A26120" w14:textId="77777777" w:rsidR="00943E1C" w:rsidRPr="00943E1C" w:rsidRDefault="00943E1C" w:rsidP="00943E1C">
      <w:pPr>
        <w:pStyle w:val="toc3"/>
      </w:pPr>
      <w:r w:rsidRPr="00943E1C">
        <w:t>1.</w:t>
      </w:r>
      <w:r w:rsidRPr="00943E1C">
        <w:tab/>
        <w:t>Scope and Type of Protection</w:t>
      </w:r>
      <w:r w:rsidRPr="00943E1C">
        <w:tab/>
      </w:r>
      <w:r w:rsidRPr="00943E1C">
        <w:tab/>
        <w:t>2-25</w:t>
      </w:r>
    </w:p>
    <w:p w14:paraId="2474E7A3" w14:textId="77777777" w:rsidR="00943E1C" w:rsidRPr="00943E1C" w:rsidRDefault="00943E1C" w:rsidP="00943E1C">
      <w:pPr>
        <w:pStyle w:val="toc3"/>
      </w:pPr>
      <w:r w:rsidRPr="00943E1C">
        <w:t>2.</w:t>
      </w:r>
      <w:r w:rsidRPr="00943E1C">
        <w:tab/>
        <w:t xml:space="preserve">Newness Versus Novelty and </w:t>
      </w:r>
      <w:proofErr w:type="spellStart"/>
      <w:r w:rsidRPr="00943E1C">
        <w:t>Nonobviousness</w:t>
      </w:r>
      <w:proofErr w:type="spellEnd"/>
      <w:r w:rsidRPr="00943E1C">
        <w:tab/>
      </w:r>
      <w:r w:rsidRPr="00943E1C">
        <w:tab/>
        <w:t>2-26</w:t>
      </w:r>
    </w:p>
    <w:p w14:paraId="33E717FB" w14:textId="77777777" w:rsidR="00943E1C" w:rsidRPr="00943E1C" w:rsidRDefault="00943E1C" w:rsidP="00943E1C">
      <w:pPr>
        <w:pStyle w:val="toc3"/>
      </w:pPr>
      <w:r w:rsidRPr="00943E1C">
        <w:lastRenderedPageBreak/>
        <w:t>3.</w:t>
      </w:r>
      <w:r w:rsidRPr="00943E1C">
        <w:tab/>
        <w:t xml:space="preserve">Term of Protection </w:t>
      </w:r>
      <w:r w:rsidRPr="00943E1C">
        <w:tab/>
      </w:r>
      <w:r w:rsidRPr="00943E1C">
        <w:tab/>
        <w:t>2-26</w:t>
      </w:r>
    </w:p>
    <w:p w14:paraId="438FC1C3" w14:textId="77777777" w:rsidR="00943E1C" w:rsidRPr="00943E1C" w:rsidRDefault="00943E1C" w:rsidP="00943E1C">
      <w:pPr>
        <w:pStyle w:val="toc3"/>
      </w:pPr>
      <w:r w:rsidRPr="00943E1C">
        <w:t>4.</w:t>
      </w:r>
      <w:r w:rsidRPr="00943E1C">
        <w:tab/>
        <w:t>New Form of Protection for Electronics and</w:t>
      </w:r>
      <w:r w:rsidRPr="00943E1C">
        <w:br/>
        <w:t>Software</w:t>
      </w:r>
      <w:r w:rsidRPr="00943E1C">
        <w:tab/>
      </w:r>
      <w:r w:rsidRPr="00943E1C">
        <w:tab/>
        <w:t>2-28</w:t>
      </w:r>
    </w:p>
    <w:p w14:paraId="7D093DE9" w14:textId="77777777" w:rsidR="00943E1C" w:rsidRPr="00943E1C" w:rsidRDefault="00943E1C" w:rsidP="00943E1C">
      <w:pPr>
        <w:pStyle w:val="toc3"/>
      </w:pPr>
      <w:r w:rsidRPr="00943E1C">
        <w:t>5.</w:t>
      </w:r>
      <w:r w:rsidRPr="00943E1C">
        <w:tab/>
        <w:t>Design Patents for Software Icons and User</w:t>
      </w:r>
      <w:r w:rsidRPr="00943E1C">
        <w:br/>
        <w:t>Interfaces</w:t>
      </w:r>
      <w:r w:rsidRPr="00943E1C">
        <w:tab/>
      </w:r>
      <w:r w:rsidRPr="00943E1C">
        <w:tab/>
        <w:t>2-29</w:t>
      </w:r>
    </w:p>
    <w:p w14:paraId="66991F4F" w14:textId="77777777" w:rsidR="00943E1C" w:rsidRPr="00943E1C" w:rsidRDefault="00943E1C" w:rsidP="00943E1C">
      <w:pPr>
        <w:pStyle w:val="toc3"/>
      </w:pPr>
      <w:r w:rsidRPr="00943E1C">
        <w:t>6.</w:t>
      </w:r>
      <w:r w:rsidRPr="00943E1C">
        <w:tab/>
        <w:t xml:space="preserve">Exhaustion </w:t>
      </w:r>
      <w:r w:rsidRPr="00943E1C">
        <w:tab/>
      </w:r>
      <w:r w:rsidRPr="00943E1C">
        <w:tab/>
        <w:t>2-30</w:t>
      </w:r>
    </w:p>
    <w:p w14:paraId="1B5309B8" w14:textId="77777777" w:rsidR="00943E1C" w:rsidRPr="00943E1C" w:rsidRDefault="00943E1C" w:rsidP="00943E1C">
      <w:pPr>
        <w:pStyle w:val="toc2"/>
      </w:pPr>
      <w:r w:rsidRPr="00943E1C">
        <w:t>C.</w:t>
      </w:r>
      <w:r w:rsidRPr="00943E1C">
        <w:tab/>
        <w:t>Important Copyright Cases</w:t>
      </w:r>
      <w:r w:rsidRPr="00943E1C">
        <w:tab/>
      </w:r>
      <w:r w:rsidRPr="00943E1C">
        <w:tab/>
        <w:t>2-32</w:t>
      </w:r>
    </w:p>
    <w:p w14:paraId="5BA8A086" w14:textId="77777777" w:rsidR="00943E1C" w:rsidRPr="00943E1C" w:rsidRDefault="00943E1C" w:rsidP="00943E1C">
      <w:pPr>
        <w:pStyle w:val="toc3"/>
      </w:pPr>
      <w:r w:rsidRPr="00943E1C">
        <w:t>1.</w:t>
      </w:r>
      <w:r w:rsidRPr="00943E1C">
        <w:tab/>
      </w:r>
      <w:r w:rsidRPr="00943E1C">
        <w:rPr>
          <w:i/>
          <w:iCs/>
        </w:rPr>
        <w:t>Baker v. Selden</w:t>
      </w:r>
      <w:r w:rsidRPr="00943E1C">
        <w:tab/>
      </w:r>
      <w:r w:rsidRPr="00943E1C">
        <w:tab/>
        <w:t>2-32</w:t>
      </w:r>
    </w:p>
    <w:p w14:paraId="6F2315DC" w14:textId="77777777" w:rsidR="00943E1C" w:rsidRPr="00943E1C" w:rsidRDefault="00943E1C" w:rsidP="00943E1C">
      <w:pPr>
        <w:pStyle w:val="toc3"/>
      </w:pPr>
      <w:r w:rsidRPr="00943E1C">
        <w:t>2.</w:t>
      </w:r>
      <w:r w:rsidRPr="00943E1C">
        <w:tab/>
      </w:r>
      <w:r w:rsidRPr="00943E1C">
        <w:rPr>
          <w:i/>
          <w:iCs/>
        </w:rPr>
        <w:t>Mazer v. Stein</w:t>
      </w:r>
      <w:r w:rsidRPr="00943E1C">
        <w:tab/>
      </w:r>
      <w:r w:rsidRPr="00943E1C">
        <w:tab/>
        <w:t>2-33</w:t>
      </w:r>
    </w:p>
    <w:p w14:paraId="300A8951" w14:textId="77777777" w:rsidR="00943E1C" w:rsidRPr="00943E1C" w:rsidRDefault="00943E1C" w:rsidP="00943E1C">
      <w:pPr>
        <w:pStyle w:val="toc3"/>
      </w:pPr>
      <w:r w:rsidRPr="00943E1C">
        <w:t>3.</w:t>
      </w:r>
      <w:r w:rsidRPr="00943E1C">
        <w:tab/>
      </w:r>
      <w:r w:rsidRPr="00943E1C">
        <w:rPr>
          <w:i/>
          <w:iCs/>
        </w:rPr>
        <w:t>In re Yardley</w:t>
      </w:r>
      <w:r w:rsidRPr="00943E1C">
        <w:tab/>
      </w:r>
      <w:r w:rsidRPr="00943E1C">
        <w:tab/>
        <w:t>2-33</w:t>
      </w:r>
    </w:p>
    <w:p w14:paraId="1F42AD96" w14:textId="77777777" w:rsidR="00943E1C" w:rsidRPr="00943E1C" w:rsidRDefault="00943E1C" w:rsidP="00943E1C">
      <w:pPr>
        <w:pStyle w:val="toc2"/>
      </w:pPr>
      <w:r w:rsidRPr="00943E1C">
        <w:t>D.</w:t>
      </w:r>
      <w:r w:rsidRPr="00943E1C">
        <w:tab/>
        <w:t>Computer Software Copyright Cases</w:t>
      </w:r>
      <w:r w:rsidRPr="00943E1C">
        <w:tab/>
      </w:r>
      <w:r w:rsidRPr="00943E1C">
        <w:tab/>
        <w:t>2-33</w:t>
      </w:r>
    </w:p>
    <w:p w14:paraId="5C0A2011" w14:textId="77777777" w:rsidR="00943E1C" w:rsidRPr="00943E1C" w:rsidRDefault="00943E1C" w:rsidP="00943E1C">
      <w:pPr>
        <w:pStyle w:val="toc3"/>
      </w:pPr>
      <w:r w:rsidRPr="00943E1C">
        <w:t>1.</w:t>
      </w:r>
      <w:r w:rsidRPr="00943E1C">
        <w:tab/>
      </w:r>
      <w:r w:rsidRPr="00943E1C">
        <w:rPr>
          <w:i/>
          <w:iCs/>
        </w:rPr>
        <w:t>Whelan v. Jaslow Dental Lab.</w:t>
      </w:r>
      <w:r w:rsidRPr="00943E1C">
        <w:t xml:space="preserve"> </w:t>
      </w:r>
      <w:r w:rsidRPr="00943E1C">
        <w:tab/>
      </w:r>
      <w:r w:rsidRPr="00943E1C">
        <w:tab/>
        <w:t>2-33</w:t>
      </w:r>
    </w:p>
    <w:p w14:paraId="0B7D1E72" w14:textId="77777777" w:rsidR="00943E1C" w:rsidRPr="00943E1C" w:rsidRDefault="00943E1C" w:rsidP="00943E1C">
      <w:pPr>
        <w:pStyle w:val="toc3"/>
      </w:pPr>
      <w:r w:rsidRPr="00943E1C">
        <w:t>2.</w:t>
      </w:r>
      <w:r w:rsidRPr="00943E1C">
        <w:tab/>
      </w:r>
      <w:r w:rsidRPr="00943E1C">
        <w:rPr>
          <w:i/>
          <w:iCs/>
        </w:rPr>
        <w:t>Computer Associates v</w:t>
      </w:r>
      <w:r w:rsidRPr="00943E1C">
        <w:t>.</w:t>
      </w:r>
      <w:r w:rsidRPr="00943E1C">
        <w:rPr>
          <w:i/>
          <w:iCs/>
        </w:rPr>
        <w:t xml:space="preserve"> Altai</w:t>
      </w:r>
      <w:r w:rsidRPr="00943E1C">
        <w:t>’s Abstraction-</w:t>
      </w:r>
      <w:r w:rsidRPr="00943E1C">
        <w:br/>
        <w:t>Filtration-Comparison Test</w:t>
      </w:r>
      <w:r w:rsidRPr="00943E1C">
        <w:tab/>
      </w:r>
      <w:r w:rsidRPr="00943E1C">
        <w:tab/>
        <w:t>2-34</w:t>
      </w:r>
    </w:p>
    <w:p w14:paraId="5A05AEF7" w14:textId="77777777" w:rsidR="00943E1C" w:rsidRPr="00943E1C" w:rsidRDefault="00943E1C" w:rsidP="00943E1C">
      <w:pPr>
        <w:pStyle w:val="toc3"/>
      </w:pPr>
      <w:r w:rsidRPr="00943E1C">
        <w:t>3.</w:t>
      </w:r>
      <w:r w:rsidRPr="00943E1C">
        <w:tab/>
      </w:r>
      <w:r w:rsidRPr="00943E1C">
        <w:rPr>
          <w:i/>
          <w:iCs/>
        </w:rPr>
        <w:t>Sega v</w:t>
      </w:r>
      <w:r w:rsidRPr="00943E1C">
        <w:t>.</w:t>
      </w:r>
      <w:r w:rsidRPr="00943E1C">
        <w:rPr>
          <w:i/>
          <w:iCs/>
        </w:rPr>
        <w:t xml:space="preserve"> Accolade</w:t>
      </w:r>
      <w:r w:rsidRPr="00943E1C">
        <w:t>’s Reverse Engineering as Fair</w:t>
      </w:r>
      <w:r w:rsidRPr="00943E1C">
        <w:br/>
        <w:t>Use</w:t>
      </w:r>
      <w:r w:rsidRPr="00943E1C">
        <w:tab/>
      </w:r>
      <w:r w:rsidRPr="00943E1C">
        <w:tab/>
        <w:t>2-34</w:t>
      </w:r>
    </w:p>
    <w:p w14:paraId="2716125F" w14:textId="77777777" w:rsidR="00943E1C" w:rsidRPr="00943E1C" w:rsidRDefault="00943E1C" w:rsidP="00943E1C">
      <w:pPr>
        <w:pStyle w:val="toc2"/>
      </w:pPr>
      <w:r w:rsidRPr="00943E1C">
        <w:t>E.</w:t>
      </w:r>
      <w:r w:rsidRPr="00943E1C">
        <w:tab/>
        <w:t>Patent/Copyright Interface</w:t>
      </w:r>
      <w:r w:rsidRPr="00943E1C">
        <w:tab/>
      </w:r>
      <w:r w:rsidRPr="00943E1C">
        <w:tab/>
        <w:t>2-35</w:t>
      </w:r>
    </w:p>
    <w:p w14:paraId="14CB9BC8" w14:textId="77777777" w:rsidR="00943E1C" w:rsidRPr="00943E1C" w:rsidRDefault="00943E1C" w:rsidP="00943E1C">
      <w:pPr>
        <w:pStyle w:val="toc3"/>
      </w:pPr>
      <w:r w:rsidRPr="00943E1C">
        <w:t>1.</w:t>
      </w:r>
      <w:r w:rsidRPr="00943E1C">
        <w:tab/>
      </w:r>
      <w:r w:rsidRPr="00943E1C">
        <w:rPr>
          <w:i/>
          <w:iCs/>
        </w:rPr>
        <w:t>Lotus v. Borland</w:t>
      </w:r>
      <w:r w:rsidRPr="00943E1C">
        <w:tab/>
      </w:r>
      <w:r w:rsidRPr="00943E1C">
        <w:tab/>
        <w:t>2-35</w:t>
      </w:r>
    </w:p>
    <w:p w14:paraId="62241641" w14:textId="77777777" w:rsidR="00943E1C" w:rsidRPr="00943E1C" w:rsidRDefault="00943E1C" w:rsidP="00943E1C">
      <w:pPr>
        <w:pStyle w:val="toc3"/>
      </w:pPr>
      <w:r w:rsidRPr="00943E1C">
        <w:t>2.</w:t>
      </w:r>
      <w:r w:rsidRPr="00943E1C">
        <w:tab/>
        <w:t xml:space="preserve">Secondary Liability </w:t>
      </w:r>
      <w:r w:rsidRPr="00943E1C">
        <w:tab/>
      </w:r>
      <w:r w:rsidRPr="00943E1C">
        <w:tab/>
        <w:t>2-36</w:t>
      </w:r>
    </w:p>
    <w:p w14:paraId="1D76AA36" w14:textId="77777777" w:rsidR="00943E1C" w:rsidRPr="00943E1C" w:rsidRDefault="00943E1C" w:rsidP="00943E1C">
      <w:pPr>
        <w:pStyle w:val="toc4"/>
      </w:pPr>
      <w:r w:rsidRPr="00943E1C">
        <w:t>a.</w:t>
      </w:r>
      <w:r w:rsidRPr="00943E1C">
        <w:tab/>
        <w:t>Vicarious Liability and the Doctrine of</w:t>
      </w:r>
      <w:r w:rsidRPr="00943E1C">
        <w:br/>
      </w:r>
      <w:proofErr w:type="spellStart"/>
      <w:r w:rsidRPr="00943E1C">
        <w:t>Noninfringing</w:t>
      </w:r>
      <w:proofErr w:type="spellEnd"/>
      <w:r w:rsidRPr="00943E1C">
        <w:t xml:space="preserve"> Use</w:t>
      </w:r>
      <w:r w:rsidRPr="00943E1C">
        <w:tab/>
      </w:r>
      <w:r w:rsidRPr="00943E1C">
        <w:tab/>
        <w:t>2-37</w:t>
      </w:r>
    </w:p>
    <w:p w14:paraId="6C6C90FD" w14:textId="77777777" w:rsidR="00943E1C" w:rsidRPr="00943E1C" w:rsidRDefault="00943E1C" w:rsidP="00943E1C">
      <w:pPr>
        <w:pStyle w:val="toc4"/>
      </w:pPr>
      <w:r w:rsidRPr="00943E1C">
        <w:t>b.</w:t>
      </w:r>
      <w:r w:rsidRPr="00943E1C">
        <w:tab/>
        <w:t>Inducement to Infringe in the Copyright Law</w:t>
      </w:r>
      <w:r w:rsidRPr="00943E1C">
        <w:br/>
        <w:t>and the Patent Act</w:t>
      </w:r>
      <w:r w:rsidRPr="00943E1C">
        <w:tab/>
      </w:r>
      <w:r w:rsidRPr="00943E1C">
        <w:tab/>
        <w:t>2-37</w:t>
      </w:r>
    </w:p>
    <w:p w14:paraId="1C031CAB" w14:textId="77777777" w:rsidR="00943E1C" w:rsidRPr="00943E1C" w:rsidRDefault="00943E1C" w:rsidP="00943E1C">
      <w:pPr>
        <w:pStyle w:val="toc4"/>
      </w:pPr>
      <w:r w:rsidRPr="00943E1C">
        <w:t>c.</w:t>
      </w:r>
      <w:r w:rsidRPr="00943E1C">
        <w:tab/>
        <w:t>Copyright Law Implications for Secondary</w:t>
      </w:r>
      <w:r w:rsidRPr="00943E1C">
        <w:br/>
        <w:t xml:space="preserve">Liability Under the Patent Act </w:t>
      </w:r>
      <w:r w:rsidRPr="00943E1C">
        <w:tab/>
      </w:r>
      <w:r w:rsidRPr="00943E1C">
        <w:tab/>
        <w:t>2-38</w:t>
      </w:r>
    </w:p>
    <w:p w14:paraId="3E6F8F2F" w14:textId="77777777" w:rsidR="00943E1C" w:rsidRPr="00943E1C" w:rsidRDefault="00943E1C" w:rsidP="00943E1C">
      <w:pPr>
        <w:pStyle w:val="toc1"/>
        <w:rPr>
          <w:rFonts w:cs="Times New Roman"/>
        </w:rPr>
      </w:pPr>
      <w:r w:rsidRPr="00943E1C">
        <w:rPr>
          <w:rFonts w:cs="Times New Roman"/>
        </w:rPr>
        <w:t>§2.05</w:t>
      </w:r>
      <w:r w:rsidRPr="00943E1C">
        <w:rPr>
          <w:rFonts w:cs="Times New Roman"/>
        </w:rPr>
        <w:tab/>
        <w:t>Combining Patent, Copyright, and Trade Secret Protection</w:t>
      </w:r>
      <w:r w:rsidRPr="00943E1C">
        <w:rPr>
          <w:rFonts w:cs="Times New Roman"/>
        </w:rPr>
        <w:tab/>
      </w:r>
      <w:r w:rsidRPr="00943E1C">
        <w:rPr>
          <w:rFonts w:cs="Times New Roman"/>
        </w:rPr>
        <w:tab/>
        <w:t>2-40</w:t>
      </w:r>
    </w:p>
    <w:p w14:paraId="58D4C75A" w14:textId="77777777" w:rsidR="00943E1C" w:rsidRPr="00943E1C" w:rsidRDefault="00943E1C" w:rsidP="00943E1C">
      <w:pPr>
        <w:pStyle w:val="toc2"/>
      </w:pPr>
      <w:r w:rsidRPr="00943E1C">
        <w:t>A.</w:t>
      </w:r>
      <w:r w:rsidRPr="00943E1C">
        <w:tab/>
        <w:t>Patent and Copyright Not Mutually Exclusive</w:t>
      </w:r>
      <w:r w:rsidRPr="00943E1C">
        <w:tab/>
      </w:r>
      <w:r w:rsidRPr="00943E1C">
        <w:tab/>
        <w:t>2-40</w:t>
      </w:r>
    </w:p>
    <w:p w14:paraId="75F0BA42" w14:textId="77777777" w:rsidR="00943E1C" w:rsidRPr="00943E1C" w:rsidRDefault="00943E1C" w:rsidP="00943E1C">
      <w:pPr>
        <w:pStyle w:val="toc2"/>
      </w:pPr>
      <w:r w:rsidRPr="00943E1C">
        <w:t>B.</w:t>
      </w:r>
      <w:r w:rsidRPr="00943E1C">
        <w:tab/>
        <w:t xml:space="preserve">Withholding Code as Trade Secret While Patenting </w:t>
      </w:r>
      <w:r w:rsidR="00112F7F">
        <w:br/>
      </w:r>
      <w:r w:rsidRPr="00943E1C">
        <w:t>Corresponding Method or Apparatus</w:t>
      </w:r>
      <w:r w:rsidRPr="00943E1C">
        <w:tab/>
      </w:r>
      <w:r w:rsidRPr="00943E1C">
        <w:tab/>
        <w:t>2-43</w:t>
      </w:r>
    </w:p>
    <w:p w14:paraId="2F266BC4" w14:textId="77777777" w:rsidR="00943E1C" w:rsidRPr="00943E1C" w:rsidRDefault="00943E1C" w:rsidP="00943E1C">
      <w:pPr>
        <w:pStyle w:val="toc2"/>
      </w:pPr>
      <w:r w:rsidRPr="00943E1C">
        <w:t>C.</w:t>
      </w:r>
      <w:r w:rsidRPr="00943E1C">
        <w:tab/>
        <w:t>Use of Copyright Notices in Specification and</w:t>
      </w:r>
      <w:r w:rsidRPr="00943E1C">
        <w:br/>
        <w:t xml:space="preserve">Drawing </w:t>
      </w:r>
      <w:r w:rsidRPr="00943E1C">
        <w:tab/>
      </w:r>
      <w:r w:rsidRPr="00943E1C">
        <w:tab/>
        <w:t>2-44</w:t>
      </w:r>
    </w:p>
    <w:p w14:paraId="7001065B" w14:textId="77777777" w:rsidR="00943E1C" w:rsidRPr="00943E1C" w:rsidRDefault="00943E1C" w:rsidP="00943E1C">
      <w:pPr>
        <w:pStyle w:val="toc1"/>
        <w:rPr>
          <w:rFonts w:cs="Times New Roman"/>
        </w:rPr>
      </w:pPr>
      <w:r w:rsidRPr="00943E1C">
        <w:rPr>
          <w:rFonts w:cs="Times New Roman"/>
        </w:rPr>
        <w:t>§2.06</w:t>
      </w:r>
      <w:r w:rsidRPr="00943E1C">
        <w:rPr>
          <w:rFonts w:cs="Times New Roman"/>
        </w:rPr>
        <w:tab/>
        <w:t>Further Studies in Other Intellectual Property Areas</w:t>
      </w:r>
      <w:r w:rsidRPr="00943E1C">
        <w:rPr>
          <w:rFonts w:cs="Times New Roman"/>
        </w:rPr>
        <w:tab/>
      </w:r>
      <w:r w:rsidRPr="00943E1C">
        <w:rPr>
          <w:rFonts w:cs="Times New Roman"/>
        </w:rPr>
        <w:tab/>
        <w:t>2-45</w:t>
      </w:r>
    </w:p>
    <w:p w14:paraId="725DCE30" w14:textId="77777777" w:rsidR="00943E1C" w:rsidRPr="00943E1C" w:rsidRDefault="00943E1C" w:rsidP="00943E1C">
      <w:pPr>
        <w:pStyle w:val="1stlevelheadIrb"/>
        <w:rPr>
          <w:rFonts w:ascii="Times New Roman" w:hAnsi="Times New Roman" w:cs="Times New Roman"/>
        </w:rPr>
      </w:pPr>
      <w:r w:rsidRPr="00943E1C">
        <w:rPr>
          <w:rFonts w:ascii="Times New Roman" w:hAnsi="Times New Roman" w:cs="Times New Roman"/>
        </w:rPr>
        <w:t>§2.01</w:t>
      </w:r>
      <w:r w:rsidRPr="00943E1C">
        <w:rPr>
          <w:rFonts w:ascii="Times New Roman" w:hAnsi="Times New Roman" w:cs="Times New Roman"/>
        </w:rPr>
        <w:tab/>
        <w:t>Introduction</w:t>
      </w:r>
    </w:p>
    <w:p w14:paraId="13BBEE78" w14:textId="77777777" w:rsidR="00943E1C" w:rsidRPr="00943E1C" w:rsidRDefault="00943E1C" w:rsidP="00943E1C">
      <w:pPr>
        <w:pStyle w:val="text"/>
        <w:rPr>
          <w:rFonts w:cs="Times New Roman"/>
        </w:rPr>
      </w:pPr>
      <w:r w:rsidRPr="00943E1C">
        <w:rPr>
          <w:rFonts w:cs="Times New Roman"/>
        </w:rPr>
        <w:t>Patents can be employed to securely protect novel and nonobvious aspects of computer hardware and other electronics. Although patent protection can be obtained to cover many aspects and types of computer software, other aspects and types of software are not as easily protected with patents. Therefore, it is important that other intellectual property areas accord various protections to computer software.</w:t>
      </w:r>
    </w:p>
    <w:p w14:paraId="2BB81BC8" w14:textId="77777777" w:rsidR="00943E1C" w:rsidRPr="00943E1C" w:rsidRDefault="00943E1C" w:rsidP="00943E1C">
      <w:pPr>
        <w:pStyle w:val="text"/>
        <w:rPr>
          <w:rFonts w:cs="Times New Roman"/>
        </w:rPr>
      </w:pPr>
      <w:r w:rsidRPr="00943E1C">
        <w:rPr>
          <w:rFonts w:cs="Times New Roman"/>
        </w:rPr>
        <w:t xml:space="preserve">When deciding how to protect a given software program or system, one must keep in mind that different aspects of computer software are protected by employing different intellectual property laws. As an invention, computer software is protectable by obtaining patent rights. As a form of writing, the software is protectable through copyright. As a system containing proprietary information vital to a business, the computer program is guarded by trade </w:t>
      </w:r>
      <w:r w:rsidRPr="00943E1C">
        <w:rPr>
          <w:rFonts w:cs="Times New Roman"/>
        </w:rPr>
        <w:lastRenderedPageBreak/>
        <w:t>secret law. If the computer software incorporates a distinctive brand name or symbol distinguishing it from the software of other companies, trademark law can be used to prevent other companies from incorporating similar brand names or symbols into their software products. Consequently, obtaining and maintaining a combination of patent, copyright, trade secret, and trademark rights is the best cumulative method of protecting the different, and sometimes overlapping, aspects of computer software.</w:t>
      </w:r>
    </w:p>
    <w:p w14:paraId="510E853F" w14:textId="77777777" w:rsidR="00943E1C" w:rsidRPr="00943E1C" w:rsidRDefault="00943E1C" w:rsidP="00943E1C">
      <w:pPr>
        <w:pStyle w:val="text"/>
        <w:rPr>
          <w:rFonts w:cs="Times New Roman"/>
        </w:rPr>
      </w:pPr>
      <w:r w:rsidRPr="00943E1C">
        <w:rPr>
          <w:rFonts w:cs="Times New Roman"/>
        </w:rPr>
        <w:t xml:space="preserve">This chapter presents an overview of the areas of legal protection, apart from patent law, available to computer software. Although electronic devices are also protectable with all of these other areas of law, this chapter focuses primarily on computer software because a patent does not or cannot adequately protect many of the aspects of software. This chapter compares each of these legal areas to patent law in terms of authority, protection, requirements, creation, and duration. These attributes of patent, copyright, trade secret, and trademark law are cross-referenced in Exhibit 2-1. </w:t>
      </w:r>
    </w:p>
    <w:p w14:paraId="351AA791" w14:textId="77777777" w:rsidR="00943E1C" w:rsidRPr="00943E1C" w:rsidRDefault="00943E1C" w:rsidP="00943E1C">
      <w:pPr>
        <w:pStyle w:val="1stlevelheadIrb"/>
        <w:rPr>
          <w:rFonts w:ascii="Times New Roman" w:hAnsi="Times New Roman" w:cs="Times New Roman"/>
        </w:rPr>
      </w:pPr>
      <w:r w:rsidRPr="00943E1C">
        <w:rPr>
          <w:rFonts w:ascii="Times New Roman" w:hAnsi="Times New Roman" w:cs="Times New Roman"/>
        </w:rPr>
        <w:t>§2.02</w:t>
      </w:r>
      <w:r w:rsidRPr="00943E1C">
        <w:rPr>
          <w:rFonts w:ascii="Times New Roman" w:hAnsi="Times New Roman" w:cs="Times New Roman"/>
        </w:rPr>
        <w:tab/>
        <w:t>Trade Secret Protection</w:t>
      </w:r>
    </w:p>
    <w:p w14:paraId="5A9B2BCF" w14:textId="77777777" w:rsidR="00943E1C" w:rsidRPr="00943E1C" w:rsidRDefault="00943E1C" w:rsidP="00943E1C">
      <w:pPr>
        <w:pStyle w:val="2ndlevelheadnospacebi"/>
        <w:rPr>
          <w:rFonts w:ascii="Times New Roman" w:hAnsi="Times New Roman" w:cs="Times New Roman"/>
        </w:rPr>
      </w:pPr>
      <w:r w:rsidRPr="00943E1C">
        <w:rPr>
          <w:rFonts w:ascii="Times New Roman" w:hAnsi="Times New Roman" w:cs="Times New Roman"/>
        </w:rPr>
        <w:t>A.</w:t>
      </w:r>
      <w:r w:rsidRPr="00943E1C">
        <w:rPr>
          <w:rFonts w:ascii="Times New Roman" w:hAnsi="Times New Roman" w:cs="Times New Roman"/>
        </w:rPr>
        <w:tab/>
        <w:t>Overview of Trade Secrets</w:t>
      </w:r>
    </w:p>
    <w:p w14:paraId="0DEC7EA4" w14:textId="77777777" w:rsidR="00943E1C" w:rsidRPr="00943E1C" w:rsidRDefault="00943E1C" w:rsidP="00943E1C">
      <w:pPr>
        <w:pStyle w:val="3rdlevelheadnospacei"/>
        <w:rPr>
          <w:rFonts w:cs="Times New Roman"/>
        </w:rPr>
      </w:pPr>
      <w:r w:rsidRPr="00943E1C">
        <w:rPr>
          <w:rFonts w:cs="Times New Roman"/>
        </w:rPr>
        <w:t>1.</w:t>
      </w:r>
      <w:r w:rsidRPr="00943E1C">
        <w:rPr>
          <w:rFonts w:cs="Times New Roman"/>
        </w:rPr>
        <w:tab/>
        <w:t>Trade Secrets Defined</w:t>
      </w:r>
    </w:p>
    <w:p w14:paraId="44C31645" w14:textId="77777777" w:rsidR="00943E1C" w:rsidRPr="00943E1C" w:rsidRDefault="00943E1C" w:rsidP="00943E1C">
      <w:pPr>
        <w:pStyle w:val="text"/>
        <w:rPr>
          <w:rFonts w:cs="Times New Roman"/>
        </w:rPr>
      </w:pPr>
      <w:r w:rsidRPr="00943E1C">
        <w:rPr>
          <w:rFonts w:cs="Times New Roman"/>
        </w:rPr>
        <w:t>Trade secret law, which protects secrets relating to commercial affairs, finds its roots in antiquity.</w:t>
      </w:r>
      <w:r w:rsidRPr="00943E1C">
        <w:rPr>
          <w:rFonts w:cs="Times New Roman"/>
          <w:vertAlign w:val="superscript"/>
        </w:rPr>
        <w:footnoteReference w:id="1"/>
      </w:r>
      <w:r w:rsidRPr="00943E1C">
        <w:rPr>
          <w:rFonts w:cs="Times New Roman"/>
        </w:rPr>
        <w:t xml:space="preserve"> In the modern era, U.S. courts have enforced trade secrets for more than 150 years, primarily under state law.</w:t>
      </w:r>
      <w:r w:rsidRPr="00943E1C">
        <w:rPr>
          <w:rFonts w:cs="Times New Roman"/>
          <w:vertAlign w:val="superscript"/>
        </w:rPr>
        <w:footnoteReference w:id="2"/>
      </w:r>
      <w:r w:rsidRPr="00943E1C">
        <w:rPr>
          <w:rFonts w:cs="Times New Roman"/>
        </w:rPr>
        <w:t xml:space="preserve"> Unlike the other forms of intellectual property (i.e., patents, copyrights, and trademarks), trade secrets had not been subject to federal statutes until the passage of the Computer Fraud and Abuse Act of 1986 (CFAA),</w:t>
      </w:r>
      <w:r w:rsidRPr="00943E1C">
        <w:rPr>
          <w:rFonts w:cs="Times New Roman"/>
          <w:vertAlign w:val="superscript"/>
        </w:rPr>
        <w:footnoteReference w:id="3"/>
      </w:r>
      <w:r w:rsidRPr="00943E1C">
        <w:rPr>
          <w:rFonts w:cs="Times New Roman"/>
        </w:rPr>
        <w:t xml:space="preserve"> which created federal jurisdiction in cases where computers of the federal government or certain financial institutions were involved or where the crime itself was interstate in nature,</w:t>
      </w:r>
      <w:r w:rsidRPr="00943E1C">
        <w:rPr>
          <w:rFonts w:cs="Times New Roman"/>
          <w:vertAlign w:val="superscript"/>
        </w:rPr>
        <w:footnoteReference w:id="4"/>
      </w:r>
      <w:r w:rsidRPr="00943E1C">
        <w:rPr>
          <w:rFonts w:cs="Times New Roman"/>
        </w:rPr>
        <w:t xml:space="preserve"> and the Economic Espionage Act of 1996 (EEA), which was directed at industrial espionage and made theft or misappropriation of trade secrets a federal crime.</w:t>
      </w:r>
      <w:r w:rsidRPr="00943E1C">
        <w:rPr>
          <w:rFonts w:cs="Times New Roman"/>
          <w:vertAlign w:val="superscript"/>
        </w:rPr>
        <w:footnoteReference w:id="5"/>
      </w:r>
      <w:r w:rsidRPr="00943E1C">
        <w:rPr>
          <w:rFonts w:cs="Times New Roman"/>
        </w:rPr>
        <w:t xml:space="preserve"> </w:t>
      </w:r>
    </w:p>
    <w:p w14:paraId="0B3A33DB" w14:textId="77777777" w:rsidR="00CC1999" w:rsidRPr="0030006E" w:rsidRDefault="00943E1C" w:rsidP="00CC1999">
      <w:pPr>
        <w:pStyle w:val="textflush"/>
        <w:rPr>
          <w:rFonts w:cs="Times New Roman"/>
        </w:rPr>
      </w:pPr>
      <w:r w:rsidRPr="00943E1C">
        <w:rPr>
          <w:rFonts w:cs="Times New Roman"/>
        </w:rPr>
        <w:lastRenderedPageBreak/>
        <w:t>The Defend Trade Secrets Act (DTSA), which went into effect on May 11, 2016, as an extension of the EEA, now provides for a federal private cause of action for trade secret misappropriation.</w:t>
      </w:r>
      <w:r w:rsidR="00CC1999">
        <w:rPr>
          <w:rStyle w:val="FootnoteReference"/>
          <w:rFonts w:cs="Times New Roman"/>
        </w:rPr>
        <w:footnoteReference w:id="6"/>
      </w:r>
      <w:r w:rsidRPr="00943E1C">
        <w:rPr>
          <w:rFonts w:cs="Times New Roman"/>
        </w:rPr>
        <w:t xml:space="preserve"> The EEA also provides federal prosecutors jurisdiction to bring criminal charges against individuals who knowingly misappropriate trade secrets</w:t>
      </w:r>
      <w:r w:rsidRPr="00943E1C">
        <w:rPr>
          <w:rFonts w:cs="Times New Roman"/>
          <w:vertAlign w:val="superscript"/>
        </w:rPr>
        <w:footnoteReference w:id="7"/>
      </w:r>
      <w:r w:rsidRPr="00943E1C">
        <w:rPr>
          <w:rFonts w:cs="Times New Roman"/>
        </w:rPr>
        <w:t xml:space="preserve"> and provides the federal government the ability to seek injunctive relief for trade secret theft in a civil action under the statute.</w:t>
      </w:r>
      <w:r w:rsidRPr="00943E1C">
        <w:rPr>
          <w:rFonts w:cs="Times New Roman"/>
          <w:vertAlign w:val="superscript"/>
        </w:rPr>
        <w:footnoteReference w:id="8"/>
      </w:r>
      <w:r w:rsidRPr="00943E1C">
        <w:rPr>
          <w:rFonts w:cs="Times New Roman"/>
        </w:rPr>
        <w:t xml:space="preserve"> The EEA includes the Foreign and Economic Espionage Penalty Enhancement Act of 2012,</w:t>
      </w:r>
      <w:r w:rsidRPr="00943E1C">
        <w:rPr>
          <w:rFonts w:cs="Times New Roman"/>
          <w:vertAlign w:val="superscript"/>
        </w:rPr>
        <w:footnoteReference w:id="9"/>
      </w:r>
      <w:r w:rsidRPr="00943E1C">
        <w:rPr>
          <w:rFonts w:cs="Times New Roman"/>
        </w:rPr>
        <w:t xml:space="preserve"> which increased the maximum fines for stealing trade secrets with the intent to benefit foreign entities.</w:t>
      </w:r>
      <w:r w:rsidRPr="00943E1C">
        <w:rPr>
          <w:rFonts w:cs="Times New Roman"/>
          <w:vertAlign w:val="superscript"/>
        </w:rPr>
        <w:footnoteReference w:id="10"/>
      </w:r>
      <w:r w:rsidRPr="00943E1C">
        <w:rPr>
          <w:rFonts w:cs="Times New Roman"/>
        </w:rPr>
        <w:t xml:space="preserve"> The EEA also includes the Theft of Trade Secrets Clarification Act of 2012, to expand the jurisdictional scope of the EEA.</w:t>
      </w:r>
      <w:r w:rsidRPr="00943E1C">
        <w:rPr>
          <w:rFonts w:cs="Times New Roman"/>
          <w:vertAlign w:val="superscript"/>
        </w:rPr>
        <w:footnoteReference w:id="11"/>
      </w:r>
      <w:r w:rsidRPr="00943E1C">
        <w:rPr>
          <w:rFonts w:cs="Times New Roman"/>
        </w:rPr>
        <w:t xml:space="preserve"> Prior to the Theft of Trade Secrets Clarification Act, the EEA covered trade secrets included in products that are produced for or placed in commerce.</w:t>
      </w:r>
      <w:r w:rsidRPr="00943E1C">
        <w:rPr>
          <w:rFonts w:cs="Times New Roman"/>
          <w:vertAlign w:val="superscript"/>
        </w:rPr>
        <w:footnoteReference w:id="12"/>
      </w:r>
      <w:r w:rsidRPr="00943E1C">
        <w:rPr>
          <w:rFonts w:cs="Times New Roman"/>
        </w:rPr>
        <w:t xml:space="preserve"> The EEA now applies to trade secrets that “relate[] to a product or service used in or intended for use” in commerce.</w:t>
      </w:r>
      <w:r w:rsidRPr="00943E1C">
        <w:rPr>
          <w:rFonts w:cs="Times New Roman"/>
          <w:vertAlign w:val="superscript"/>
        </w:rPr>
        <w:footnoteReference w:id="13"/>
      </w:r>
      <w:r w:rsidRPr="00943E1C">
        <w:rPr>
          <w:rFonts w:cs="Times New Roman"/>
        </w:rPr>
        <w:t xml:space="preserve"> </w:t>
      </w:r>
      <w:r w:rsidR="00CC1999">
        <w:rPr>
          <w:rFonts w:cs="Times New Roman"/>
        </w:rPr>
        <w:t xml:space="preserve"> </w:t>
      </w:r>
      <w:r w:rsidR="00CC1999" w:rsidRPr="0030006E">
        <w:rPr>
          <w:rFonts w:cs="Times New Roman"/>
        </w:rPr>
        <w:t>The EEA now provides that, to qualify as a trade secret, the information must “derive[] independent economic value, actual or potential, from not being generally known to, and not being readily ascertainable through proper means by, another person who can obtain economic value from the disclosure or use of the information.”</w:t>
      </w:r>
      <w:r w:rsidR="00CC1999" w:rsidRPr="0030006E">
        <w:rPr>
          <w:rFonts w:cs="Times New Roman"/>
          <w:vertAlign w:val="superscript"/>
        </w:rPr>
        <w:footnoteReference w:id="14"/>
      </w:r>
      <w:r w:rsidR="00CC1999" w:rsidRPr="0030006E">
        <w:rPr>
          <w:rFonts w:cs="Times New Roman"/>
        </w:rPr>
        <w:t xml:space="preserve"> Under the DTSA, a plaintiff may move for the seizure of property necessary to prevent the propagation or dissemination of the trade secret that is the subject of the action.</w:t>
      </w:r>
      <w:r w:rsidR="00CC1999" w:rsidRPr="0030006E">
        <w:rPr>
          <w:rFonts w:cs="Times New Roman"/>
          <w:vertAlign w:val="superscript"/>
        </w:rPr>
        <w:footnoteReference w:id="15"/>
      </w:r>
      <w:r w:rsidR="00CC1999" w:rsidRPr="0030006E">
        <w:rPr>
          <w:rFonts w:cs="Times New Roman"/>
        </w:rPr>
        <w:t xml:space="preserve"> In addition, the DTSA provides remedies in the form of an injunction, damages, and fees.</w:t>
      </w:r>
      <w:r w:rsidR="00CC1999" w:rsidRPr="0030006E">
        <w:rPr>
          <w:rFonts w:cs="Times New Roman"/>
          <w:vertAlign w:val="superscript"/>
        </w:rPr>
        <w:footnoteReference w:id="16"/>
      </w:r>
      <w:r w:rsidR="00CC1999" w:rsidRPr="0030006E">
        <w:rPr>
          <w:rFonts w:cs="Times New Roman"/>
        </w:rPr>
        <w:t xml:space="preserve"> </w:t>
      </w:r>
    </w:p>
    <w:p w14:paraId="52E4036B" w14:textId="77777777" w:rsidR="00943E1C" w:rsidRPr="00943E1C" w:rsidRDefault="00943E1C" w:rsidP="00943E1C">
      <w:pPr>
        <w:pStyle w:val="text"/>
        <w:rPr>
          <w:rFonts w:cs="Times New Roman"/>
        </w:rPr>
      </w:pPr>
    </w:p>
    <w:p w14:paraId="1063F5D1" w14:textId="77777777" w:rsidR="00943E1C" w:rsidRPr="00943E1C" w:rsidRDefault="00943E1C" w:rsidP="00943E1C">
      <w:pPr>
        <w:pStyle w:val="text"/>
        <w:rPr>
          <w:rFonts w:cs="Times New Roman"/>
        </w:rPr>
      </w:pPr>
      <w:r w:rsidRPr="00943E1C">
        <w:rPr>
          <w:rFonts w:cs="Times New Roman"/>
        </w:rPr>
        <w:t>Since the adoption of the Uniform Trade Secrets Act (UTSA) in 1979, 48 states</w:t>
      </w:r>
      <w:r w:rsidRPr="00943E1C">
        <w:rPr>
          <w:rFonts w:cs="Times New Roman"/>
          <w:vertAlign w:val="superscript"/>
        </w:rPr>
        <w:footnoteReference w:id="17"/>
      </w:r>
      <w:r w:rsidRPr="00943E1C">
        <w:rPr>
          <w:rFonts w:cs="Times New Roman"/>
        </w:rPr>
        <w:t xml:space="preserve"> as well as the District of Columbia, Puerto Rico, and the U.S. Virgin Islands, have implemented versions </w:t>
      </w:r>
      <w:r w:rsidRPr="00943E1C">
        <w:rPr>
          <w:rFonts w:cs="Times New Roman"/>
        </w:rPr>
        <w:lastRenderedPageBreak/>
        <w:t>of the UTSA.</w:t>
      </w:r>
      <w:r w:rsidRPr="00943E1C">
        <w:rPr>
          <w:rFonts w:cs="Times New Roman"/>
          <w:vertAlign w:val="superscript"/>
        </w:rPr>
        <w:footnoteReference w:id="18"/>
      </w:r>
      <w:r w:rsidRPr="00943E1C">
        <w:rPr>
          <w:rFonts w:cs="Times New Roman"/>
        </w:rPr>
        <w:t xml:space="preserve"> New York</w:t>
      </w:r>
      <w:r w:rsidRPr="00943E1C">
        <w:rPr>
          <w:rFonts w:cs="Times New Roman"/>
          <w:vertAlign w:val="superscript"/>
        </w:rPr>
        <w:footnoteReference w:id="19"/>
      </w:r>
      <w:r w:rsidRPr="00943E1C">
        <w:rPr>
          <w:rFonts w:cs="Times New Roman"/>
        </w:rPr>
        <w:t xml:space="preserve"> and Massachusetts</w:t>
      </w:r>
      <w:r w:rsidRPr="00943E1C">
        <w:rPr>
          <w:rFonts w:cs="Times New Roman"/>
          <w:vertAlign w:val="superscript"/>
        </w:rPr>
        <w:footnoteReference w:id="20"/>
      </w:r>
      <w:r w:rsidRPr="00943E1C">
        <w:rPr>
          <w:rFonts w:cs="Times New Roman"/>
        </w:rPr>
        <w:t xml:space="preserve"> have not adopted the UTSA. The UTSA may also preempt all common law tort claims based on misappropriation of information regardless of whether such information meets the statutory definition of a trade secret.</w:t>
      </w:r>
      <w:r w:rsidRPr="00943E1C">
        <w:rPr>
          <w:rFonts w:cs="Times New Roman"/>
          <w:vertAlign w:val="superscript"/>
        </w:rPr>
        <w:footnoteReference w:id="21"/>
      </w:r>
      <w:r w:rsidRPr="00943E1C">
        <w:rPr>
          <w:rFonts w:cs="Times New Roman"/>
        </w:rPr>
        <w:t xml:space="preserve"> Variations of the UTSA adopted by each state and each state court’s interpretation of the UTSA have led to a lack of uniformity of its application, which is addressed now with the DTSA. Because it will take time for the DTSA to be interpreted and understood, trade secret law in this section is generally addressed with respect to the UTSA.</w:t>
      </w:r>
      <w:r w:rsidR="00CC1999">
        <w:rPr>
          <w:rStyle w:val="FootnoteReference"/>
          <w:rFonts w:cs="Times New Roman"/>
        </w:rPr>
        <w:footnoteReference w:id="22"/>
      </w:r>
      <w:r w:rsidRPr="00943E1C">
        <w:rPr>
          <w:rFonts w:cs="Times New Roman"/>
        </w:rPr>
        <w:t xml:space="preserve"> Furthermore, the DTSA does not preempt state law adoption of the UTSA as the DTSA provides that “[n]</w:t>
      </w:r>
      <w:proofErr w:type="spellStart"/>
      <w:r w:rsidRPr="00943E1C">
        <w:rPr>
          <w:rFonts w:cs="Times New Roman"/>
        </w:rPr>
        <w:t>othing</w:t>
      </w:r>
      <w:proofErr w:type="spellEnd"/>
      <w:r w:rsidRPr="00943E1C">
        <w:rPr>
          <w:rFonts w:cs="Times New Roman"/>
        </w:rPr>
        <w:t xml:space="preserve"> in the amendments made by this section shall be construed . . . to preempt other provisions of law.”</w:t>
      </w:r>
    </w:p>
    <w:p w14:paraId="65DA1383" w14:textId="77777777" w:rsidR="00943E1C" w:rsidRPr="00943E1C" w:rsidRDefault="00943E1C" w:rsidP="00943E1C">
      <w:pPr>
        <w:pStyle w:val="text"/>
        <w:rPr>
          <w:rFonts w:cs="Times New Roman"/>
        </w:rPr>
      </w:pPr>
      <w:r w:rsidRPr="00943E1C">
        <w:rPr>
          <w:rFonts w:cs="Times New Roman"/>
        </w:rPr>
        <w:t>International treaties also govern trade secret protection.</w:t>
      </w:r>
      <w:r w:rsidRPr="00943E1C">
        <w:rPr>
          <w:rFonts w:cs="Times New Roman"/>
          <w:vertAlign w:val="superscript"/>
        </w:rPr>
        <w:footnoteReference w:id="23"/>
      </w:r>
      <w:r w:rsidRPr="00943E1C">
        <w:rPr>
          <w:rFonts w:cs="Times New Roman"/>
        </w:rPr>
        <w:t xml:space="preserve"> For example, a nation that is a member of the World Trade Organization (WTO) and a signatory to the Agreement on Trade-Related Aspects of Intellectual Property Rights (TRIPS) of 1994</w:t>
      </w:r>
      <w:r w:rsidRPr="00943E1C">
        <w:rPr>
          <w:rFonts w:cs="Times New Roman"/>
          <w:vertAlign w:val="superscript"/>
        </w:rPr>
        <w:footnoteReference w:id="24"/>
      </w:r>
      <w:r w:rsidRPr="00943E1C">
        <w:rPr>
          <w:rFonts w:cs="Times New Roman"/>
        </w:rPr>
        <w:t xml:space="preserve"> must provide a form of protection for “undisclosed information” (i.e., trade secrets). The language that defines the scope of protection under TRIPS is similar to that of the UTSA. Member nations must provide protection for information that is secret and commercially valuable because it is secret and must subject it to reasonable steps to keep it secret.</w:t>
      </w:r>
      <w:r w:rsidRPr="00943E1C">
        <w:rPr>
          <w:rFonts w:cs="Times New Roman"/>
          <w:vertAlign w:val="superscript"/>
        </w:rPr>
        <w:footnoteReference w:id="25"/>
      </w:r>
      <w:r w:rsidRPr="00943E1C">
        <w:rPr>
          <w:rFonts w:cs="Times New Roman"/>
        </w:rPr>
        <w:t xml:space="preserve"> The United States fulfills its TRIPS obligation to provide trade secret protection through its state laws.</w:t>
      </w:r>
    </w:p>
    <w:p w14:paraId="7A2B7874" w14:textId="77777777" w:rsidR="00943E1C" w:rsidRPr="00943E1C" w:rsidRDefault="00943E1C" w:rsidP="00943E1C">
      <w:pPr>
        <w:pStyle w:val="3rdlevelhead1i"/>
        <w:rPr>
          <w:rFonts w:cs="Times New Roman"/>
        </w:rPr>
      </w:pPr>
      <w:r w:rsidRPr="00943E1C">
        <w:rPr>
          <w:rFonts w:cs="Times New Roman"/>
        </w:rPr>
        <w:t>2.</w:t>
      </w:r>
      <w:r w:rsidRPr="00943E1C">
        <w:rPr>
          <w:rFonts w:cs="Times New Roman"/>
        </w:rPr>
        <w:tab/>
        <w:t>Elements of a Trade Secret</w:t>
      </w:r>
    </w:p>
    <w:p w14:paraId="70B9019C" w14:textId="77777777" w:rsidR="00CC1999" w:rsidRPr="0030006E" w:rsidRDefault="00CC1999" w:rsidP="00CC1999">
      <w:pPr>
        <w:pStyle w:val="text"/>
        <w:tabs>
          <w:tab w:val="left" w:pos="919"/>
        </w:tabs>
        <w:rPr>
          <w:rFonts w:cs="Times New Roman"/>
        </w:rPr>
      </w:pPr>
      <w:r w:rsidRPr="0030006E">
        <w:rPr>
          <w:rFonts w:cs="Times New Roman"/>
        </w:rPr>
        <w:lastRenderedPageBreak/>
        <w:t>A trade secret under the USTA is information, such as formulas, patterns, compilations, programs, devices, methods, techniques, or processes, that</w:t>
      </w:r>
    </w:p>
    <w:p w14:paraId="047FA71A" w14:textId="77777777" w:rsidR="00CC1999" w:rsidRPr="0030006E" w:rsidRDefault="00CC1999" w:rsidP="00CC1999">
      <w:pPr>
        <w:pStyle w:val="numberlistplstart"/>
        <w:rPr>
          <w:rFonts w:cs="Times New Roman"/>
        </w:rPr>
      </w:pPr>
      <w:r w:rsidRPr="0030006E">
        <w:rPr>
          <w:rFonts w:cs="Times New Roman"/>
        </w:rPr>
        <w:t>(1)</w:t>
      </w:r>
      <w:r w:rsidRPr="0030006E">
        <w:rPr>
          <w:rFonts w:cs="Times New Roman"/>
        </w:rPr>
        <w:tab/>
        <w:t>derives independent economic value, actual or potential, from not being generally known to, and not being readily ascertainable by proper means by, other people who can obtain economic value from its disclosure or use; and</w:t>
      </w:r>
    </w:p>
    <w:p w14:paraId="303A3370" w14:textId="77777777" w:rsidR="00CC1999" w:rsidRPr="0030006E" w:rsidRDefault="00CC1999" w:rsidP="00CC1999">
      <w:pPr>
        <w:pStyle w:val="numberlistplend"/>
        <w:rPr>
          <w:vertAlign w:val="superscript"/>
        </w:rPr>
      </w:pPr>
      <w:r w:rsidRPr="0030006E">
        <w:t>(2)</w:t>
      </w:r>
      <w:r w:rsidRPr="0030006E">
        <w:tab/>
        <w:t>is the subject of efforts that are reasonable under the circumstances to maintain its secrecy.</w:t>
      </w:r>
      <w:r w:rsidRPr="0030006E">
        <w:rPr>
          <w:vertAlign w:val="superscript"/>
        </w:rPr>
        <w:footnoteReference w:id="26"/>
      </w:r>
    </w:p>
    <w:p w14:paraId="43D422DC" w14:textId="77777777" w:rsidR="00CC1999" w:rsidRPr="0030006E" w:rsidRDefault="00CC1999" w:rsidP="00CC1999">
      <w:pPr>
        <w:pStyle w:val="text"/>
        <w:tabs>
          <w:tab w:val="left" w:pos="360"/>
        </w:tabs>
        <w:rPr>
          <w:rFonts w:cs="Times New Roman"/>
        </w:rPr>
      </w:pPr>
      <w:r w:rsidRPr="0030006E">
        <w:rPr>
          <w:rFonts w:cs="Times New Roman"/>
        </w:rPr>
        <w:t>Prior to the DTSA, the EAA defined trade secrets as “all forms and types of financial, business, scientific, technical, economic, or engineering information” where: “(A) the owner thereof has taken reasonable measures to keep such information secret; and (B) the information derives independent economic value, actual or potential, from not being generally known to, and not being readily ascertainable through proper means by, the public.”</w:t>
      </w:r>
      <w:r w:rsidRPr="0030006E">
        <w:rPr>
          <w:rFonts w:cs="Times New Roman"/>
          <w:vertAlign w:val="superscript"/>
        </w:rPr>
        <w:footnoteReference w:id="27"/>
      </w:r>
      <w:r w:rsidRPr="0030006E">
        <w:rPr>
          <w:rFonts w:cs="Times New Roman"/>
        </w:rPr>
        <w:t xml:space="preserve"> In 2016, the latter part of this definition was amended. The EEA now provides that, to qualify as a trade secret, the information must “derive[] independent economic value, actual or potential, from not being generally known to, and not being readily ascertainable through proper means by, another person who can obtain economic value from the disclosure or use of the information.”</w:t>
      </w:r>
      <w:r w:rsidRPr="0030006E">
        <w:rPr>
          <w:rFonts w:cs="Times New Roman"/>
          <w:vertAlign w:val="superscript"/>
        </w:rPr>
        <w:footnoteReference w:id="28"/>
      </w:r>
      <w:r w:rsidRPr="0030006E">
        <w:rPr>
          <w:rFonts w:cs="Times New Roman"/>
        </w:rPr>
        <w:t xml:space="preserve"> This amended definition more closely tracks the USTA definition.</w:t>
      </w:r>
      <w:r w:rsidRPr="0030006E">
        <w:rPr>
          <w:rFonts w:cs="Times New Roman"/>
          <w:vertAlign w:val="superscript"/>
        </w:rPr>
        <w:footnoteReference w:id="29"/>
      </w:r>
    </w:p>
    <w:p w14:paraId="2BB4A713" w14:textId="77777777" w:rsidR="00943E1C" w:rsidRPr="00943E1C" w:rsidRDefault="00943E1C" w:rsidP="00943E1C">
      <w:pPr>
        <w:pStyle w:val="text"/>
        <w:rPr>
          <w:rFonts w:cs="Times New Roman"/>
        </w:rPr>
      </w:pPr>
      <w:r w:rsidRPr="00943E1C">
        <w:rPr>
          <w:rFonts w:cs="Times New Roman"/>
        </w:rPr>
        <w:t xml:space="preserve">In simpler terms, a trade secret is a secret that has value </w:t>
      </w:r>
      <w:r w:rsidRPr="00943E1C">
        <w:rPr>
          <w:rFonts w:cs="Times New Roman"/>
          <w:i/>
          <w:iCs/>
        </w:rPr>
        <w:t>because</w:t>
      </w:r>
      <w:r w:rsidRPr="00943E1C">
        <w:rPr>
          <w:rFonts w:cs="Times New Roman"/>
        </w:rPr>
        <w:t xml:space="preserve"> others do not know it. This simple definition is not so simple to apply; the determination of what constitutes a trade secret is nebulous.</w:t>
      </w:r>
      <w:r w:rsidRPr="00943E1C">
        <w:rPr>
          <w:rFonts w:cs="Times New Roman"/>
          <w:vertAlign w:val="superscript"/>
        </w:rPr>
        <w:footnoteReference w:id="30"/>
      </w:r>
      <w:r w:rsidRPr="00943E1C">
        <w:rPr>
          <w:rFonts w:cs="Times New Roman"/>
        </w:rPr>
        <w:t xml:space="preserve"> Trade secrets are difficult to define, in part, because they encompass a wide spectrum of items. Although patents protect only four subjects (i.e., processes, machines, manufactures, and compositions of matter),</w:t>
      </w:r>
      <w:r w:rsidRPr="00943E1C">
        <w:rPr>
          <w:rFonts w:cs="Times New Roman"/>
          <w:vertAlign w:val="superscript"/>
        </w:rPr>
        <w:footnoteReference w:id="31"/>
      </w:r>
      <w:r w:rsidRPr="00943E1C">
        <w:rPr>
          <w:rFonts w:cs="Times New Roman"/>
        </w:rPr>
        <w:t xml:space="preserve"> anything embodying information that is more valuable because of being a secret is protectable by maintaining it as a trade secret. Thus, chemical compounds,</w:t>
      </w:r>
      <w:r w:rsidRPr="00943E1C">
        <w:rPr>
          <w:rFonts w:cs="Times New Roman"/>
          <w:vertAlign w:val="superscript"/>
        </w:rPr>
        <w:footnoteReference w:id="32"/>
      </w:r>
      <w:r w:rsidRPr="00943E1C">
        <w:rPr>
          <w:rFonts w:cs="Times New Roman"/>
        </w:rPr>
        <w:t xml:space="preserve"> customer lists,</w:t>
      </w:r>
      <w:r w:rsidRPr="00943E1C">
        <w:rPr>
          <w:rFonts w:cs="Times New Roman"/>
          <w:vertAlign w:val="superscript"/>
        </w:rPr>
        <w:footnoteReference w:id="33"/>
      </w:r>
      <w:r w:rsidRPr="00943E1C">
        <w:rPr>
          <w:rFonts w:cs="Times New Roman"/>
        </w:rPr>
        <w:t xml:space="preserve"> and manufacturing processes can be trade secrets.</w:t>
      </w:r>
      <w:r w:rsidRPr="00943E1C">
        <w:rPr>
          <w:rFonts w:cs="Times New Roman"/>
          <w:vertAlign w:val="superscript"/>
        </w:rPr>
        <w:footnoteReference w:id="34"/>
      </w:r>
      <w:r w:rsidRPr="00943E1C">
        <w:rPr>
          <w:rFonts w:cs="Times New Roman"/>
        </w:rPr>
        <w:t xml:space="preserve"> Computer programs and electronic devices also can be trade secrets.</w:t>
      </w:r>
      <w:r w:rsidRPr="00943E1C">
        <w:rPr>
          <w:rFonts w:cs="Times New Roman"/>
          <w:vertAlign w:val="superscript"/>
        </w:rPr>
        <w:footnoteReference w:id="35"/>
      </w:r>
    </w:p>
    <w:p w14:paraId="4C7A5F50" w14:textId="77777777" w:rsidR="00943E1C" w:rsidRPr="00943E1C" w:rsidRDefault="00943E1C" w:rsidP="00943E1C">
      <w:pPr>
        <w:pStyle w:val="text"/>
        <w:rPr>
          <w:rFonts w:cs="Times New Roman"/>
        </w:rPr>
      </w:pPr>
      <w:r w:rsidRPr="00943E1C">
        <w:rPr>
          <w:rFonts w:cs="Times New Roman"/>
        </w:rPr>
        <w:t xml:space="preserve">The status of a computer program, manufacturing process, and the like as a trade secret, however, unlike the status of electronic devices, is often extremely difficult to assess, partly because such items do not blend easily into a framework utilizing such notions as know-how and </w:t>
      </w:r>
      <w:r w:rsidRPr="00943E1C">
        <w:rPr>
          <w:rFonts w:cs="Times New Roman"/>
        </w:rPr>
        <w:lastRenderedPageBreak/>
        <w:t>reverse engineering.</w:t>
      </w:r>
      <w:r w:rsidRPr="00943E1C">
        <w:rPr>
          <w:rFonts w:cs="Times New Roman"/>
          <w:vertAlign w:val="superscript"/>
        </w:rPr>
        <w:footnoteReference w:id="36"/>
      </w:r>
      <w:r w:rsidRPr="00943E1C">
        <w:rPr>
          <w:rFonts w:cs="Times New Roman"/>
        </w:rPr>
        <w:t xml:space="preserve"> To facilitate trade secret analysis, courts, such as in </w:t>
      </w:r>
      <w:r w:rsidRPr="00943E1C">
        <w:rPr>
          <w:rFonts w:cs="Times New Roman"/>
          <w:i/>
          <w:iCs/>
        </w:rPr>
        <w:t>Gates Rubber v</w:t>
      </w:r>
      <w:r w:rsidRPr="00943E1C">
        <w:rPr>
          <w:rFonts w:cs="Times New Roman"/>
        </w:rPr>
        <w:t>.</w:t>
      </w:r>
      <w:r w:rsidRPr="00943E1C">
        <w:rPr>
          <w:rFonts w:cs="Times New Roman"/>
          <w:i/>
          <w:iCs/>
        </w:rPr>
        <w:t xml:space="preserve"> Bando Chemical Industries</w:t>
      </w:r>
      <w:r w:rsidRPr="00943E1C">
        <w:rPr>
          <w:rFonts w:cs="Times New Roman"/>
        </w:rPr>
        <w:t>,</w:t>
      </w:r>
      <w:r w:rsidRPr="00943E1C">
        <w:rPr>
          <w:rFonts w:cs="Times New Roman"/>
          <w:vertAlign w:val="superscript"/>
        </w:rPr>
        <w:footnoteReference w:id="37"/>
      </w:r>
      <w:r w:rsidRPr="00943E1C">
        <w:rPr>
          <w:rFonts w:cs="Times New Roman"/>
        </w:rPr>
        <w:t xml:space="preserve"> have inspected several relevant factors, including the following:</w:t>
      </w:r>
    </w:p>
    <w:p w14:paraId="0DA770FC" w14:textId="77777777" w:rsidR="00943E1C" w:rsidRPr="00943E1C" w:rsidRDefault="00943E1C" w:rsidP="00943E1C">
      <w:pPr>
        <w:pStyle w:val="numberlistplstart"/>
        <w:rPr>
          <w:rFonts w:cs="Times New Roman"/>
        </w:rPr>
      </w:pPr>
      <w:r w:rsidRPr="00943E1C">
        <w:rPr>
          <w:rFonts w:cs="Times New Roman"/>
        </w:rPr>
        <w:t>(1)</w:t>
      </w:r>
      <w:r w:rsidRPr="00943E1C">
        <w:rPr>
          <w:rFonts w:cs="Times New Roman"/>
        </w:rPr>
        <w:tab/>
        <w:t>The extent to which the trade secret is known outside the business;</w:t>
      </w:r>
    </w:p>
    <w:p w14:paraId="6BA61CC1" w14:textId="77777777" w:rsidR="00943E1C" w:rsidRPr="00943E1C" w:rsidRDefault="00943E1C" w:rsidP="00943E1C">
      <w:pPr>
        <w:pStyle w:val="numberlistpl"/>
        <w:rPr>
          <w:rFonts w:cs="Times New Roman"/>
        </w:rPr>
      </w:pPr>
      <w:r w:rsidRPr="00943E1C">
        <w:rPr>
          <w:rFonts w:cs="Times New Roman"/>
        </w:rPr>
        <w:t>(2)</w:t>
      </w:r>
      <w:r w:rsidRPr="00943E1C">
        <w:rPr>
          <w:rFonts w:cs="Times New Roman"/>
        </w:rPr>
        <w:tab/>
        <w:t>The extent to which the trade secret is known internally, such as by employees;</w:t>
      </w:r>
    </w:p>
    <w:p w14:paraId="5EAA1491" w14:textId="77777777" w:rsidR="00943E1C" w:rsidRPr="00943E1C" w:rsidRDefault="00943E1C" w:rsidP="00943E1C">
      <w:pPr>
        <w:pStyle w:val="numberlistpl"/>
        <w:rPr>
          <w:rFonts w:cs="Times New Roman"/>
        </w:rPr>
      </w:pPr>
      <w:r w:rsidRPr="00943E1C">
        <w:rPr>
          <w:rFonts w:cs="Times New Roman"/>
        </w:rPr>
        <w:t>(3)</w:t>
      </w:r>
      <w:r w:rsidRPr="00943E1C">
        <w:rPr>
          <w:rFonts w:cs="Times New Roman"/>
        </w:rPr>
        <w:tab/>
        <w:t>The security measures taken by the holder of the trade secret to ensure nondisclosure;</w:t>
      </w:r>
    </w:p>
    <w:p w14:paraId="3DE3F3A4" w14:textId="77777777" w:rsidR="00943E1C" w:rsidRPr="00943E1C" w:rsidRDefault="00943E1C" w:rsidP="00943E1C">
      <w:pPr>
        <w:pStyle w:val="numberlistpl"/>
        <w:rPr>
          <w:rFonts w:cs="Times New Roman"/>
        </w:rPr>
      </w:pPr>
      <w:r w:rsidRPr="00943E1C">
        <w:rPr>
          <w:rFonts w:cs="Times New Roman"/>
        </w:rPr>
        <w:t>(4)</w:t>
      </w:r>
      <w:r w:rsidRPr="00943E1C">
        <w:rPr>
          <w:rFonts w:cs="Times New Roman"/>
        </w:rPr>
        <w:tab/>
        <w:t>The value of the trade secret due to its nondisclosure;</w:t>
      </w:r>
    </w:p>
    <w:p w14:paraId="6D06A2CE" w14:textId="77777777" w:rsidR="00943E1C" w:rsidRPr="00943E1C" w:rsidRDefault="00943E1C" w:rsidP="00943E1C">
      <w:pPr>
        <w:pStyle w:val="numberlistpl"/>
        <w:rPr>
          <w:rFonts w:cs="Times New Roman"/>
        </w:rPr>
      </w:pPr>
      <w:r w:rsidRPr="00943E1C">
        <w:rPr>
          <w:rFonts w:cs="Times New Roman"/>
        </w:rPr>
        <w:t>(5)</w:t>
      </w:r>
      <w:r w:rsidRPr="00943E1C">
        <w:rPr>
          <w:rFonts w:cs="Times New Roman"/>
        </w:rPr>
        <w:tab/>
        <w:t>The amount of effort and money expended in obtaining or developing the trade secret; and</w:t>
      </w:r>
    </w:p>
    <w:p w14:paraId="32A0BCF0" w14:textId="77777777" w:rsidR="00943E1C" w:rsidRPr="00943E1C" w:rsidRDefault="00943E1C" w:rsidP="00943E1C">
      <w:pPr>
        <w:pStyle w:val="numberlistplend"/>
      </w:pPr>
      <w:r w:rsidRPr="00943E1C">
        <w:t>(6)</w:t>
      </w:r>
      <w:r w:rsidRPr="00943E1C">
        <w:tab/>
        <w:t>The amount of effort and money needed for others to acquire the secret independently.</w:t>
      </w:r>
      <w:r w:rsidRPr="00943E1C">
        <w:rPr>
          <w:vertAlign w:val="superscript"/>
        </w:rPr>
        <w:footnoteReference w:id="38"/>
      </w:r>
    </w:p>
    <w:p w14:paraId="5B7CFFA7" w14:textId="77777777" w:rsidR="00943E1C" w:rsidRPr="00943E1C" w:rsidRDefault="00943E1C" w:rsidP="00943E1C">
      <w:pPr>
        <w:pStyle w:val="text"/>
        <w:rPr>
          <w:rFonts w:cs="Times New Roman"/>
        </w:rPr>
      </w:pPr>
      <w:r w:rsidRPr="00943E1C">
        <w:rPr>
          <w:rFonts w:cs="Times New Roman"/>
          <w:i/>
          <w:iCs/>
        </w:rPr>
        <w:t>Gates Rubber</w:t>
      </w:r>
      <w:r w:rsidRPr="00943E1C">
        <w:rPr>
          <w:rFonts w:cs="Times New Roman"/>
        </w:rPr>
        <w:t xml:space="preserve"> provides a good example of a software-as-trade-secret case. In </w:t>
      </w:r>
      <w:r w:rsidRPr="00943E1C">
        <w:rPr>
          <w:rFonts w:cs="Times New Roman"/>
          <w:i/>
          <w:iCs/>
        </w:rPr>
        <w:t>Gates Rubber</w:t>
      </w:r>
      <w:r w:rsidRPr="00943E1C">
        <w:rPr>
          <w:rFonts w:cs="Times New Roman"/>
        </w:rPr>
        <w:t>, Gates developed a computer program named Design Flex 4.0, which aided in the selection of an appropriate industrial machine belt for any given machine.</w:t>
      </w:r>
      <w:r w:rsidRPr="00943E1C">
        <w:rPr>
          <w:rFonts w:cs="Times New Roman"/>
          <w:vertAlign w:val="superscript"/>
        </w:rPr>
        <w:footnoteReference w:id="39"/>
      </w:r>
      <w:r w:rsidRPr="00943E1C">
        <w:rPr>
          <w:rFonts w:cs="Times New Roman"/>
        </w:rPr>
        <w:t xml:space="preserve"> A Gates Rubber employee left the company and went to work for Bando, a competitor, where the employee developed a software program. Bando’s new software program, named Chauffeur, was very similar to Design Flex 4.0.</w:t>
      </w:r>
      <w:r w:rsidRPr="00943E1C">
        <w:rPr>
          <w:rFonts w:cs="Times New Roman"/>
          <w:vertAlign w:val="superscript"/>
        </w:rPr>
        <w:footnoteReference w:id="40"/>
      </w:r>
      <w:r w:rsidRPr="00943E1C">
        <w:rPr>
          <w:rFonts w:cs="Times New Roman"/>
        </w:rPr>
        <w:t xml:space="preserve"> The district court and the Tenth Circuit held that the Design Flex 4.0 program embodied trade secrets owned by Gates Rubber.</w:t>
      </w:r>
      <w:r w:rsidRPr="00943E1C">
        <w:rPr>
          <w:rFonts w:cs="Times New Roman"/>
          <w:vertAlign w:val="superscript"/>
        </w:rPr>
        <w:footnoteReference w:id="41"/>
      </w:r>
      <w:r w:rsidRPr="00943E1C">
        <w:rPr>
          <w:rFonts w:cs="Times New Roman"/>
        </w:rPr>
        <w:t xml:space="preserve"> These trade secrets included the use of mathematical constants “uniquely applicable to Gates Rubber’s belts and its belt selection system,” which were misappropriated by the creation of the Chauffeur program.</w:t>
      </w:r>
      <w:r w:rsidRPr="00943E1C">
        <w:rPr>
          <w:rFonts w:cs="Times New Roman"/>
          <w:vertAlign w:val="superscript"/>
        </w:rPr>
        <w:footnoteReference w:id="42"/>
      </w:r>
    </w:p>
    <w:p w14:paraId="656899E9" w14:textId="24250342" w:rsidR="00943E1C" w:rsidRPr="00943E1C" w:rsidRDefault="00943E1C" w:rsidP="00943E1C">
      <w:pPr>
        <w:pStyle w:val="3rdlevelhead1i"/>
        <w:rPr>
          <w:rFonts w:cs="Times New Roman"/>
        </w:rPr>
      </w:pPr>
      <w:r w:rsidRPr="00943E1C">
        <w:rPr>
          <w:rFonts w:cs="Times New Roman"/>
        </w:rPr>
        <w:t>3.</w:t>
      </w:r>
      <w:r w:rsidRPr="00943E1C">
        <w:rPr>
          <w:rFonts w:cs="Times New Roman"/>
        </w:rPr>
        <w:tab/>
        <w:t xml:space="preserve">Actions for Trade Secret Misappropriation </w:t>
      </w:r>
      <w:r w:rsidR="009A4A76" w:rsidRPr="00943E1C">
        <w:rPr>
          <w:rFonts w:cs="Times New Roman"/>
          <w:vertAlign w:val="superscript"/>
        </w:rPr>
        <w:footnoteReference w:id="43"/>
      </w:r>
    </w:p>
    <w:p w14:paraId="78E55D3A" w14:textId="306B6C43" w:rsidR="00943E1C" w:rsidRPr="00943E1C" w:rsidRDefault="00943E1C" w:rsidP="00943E1C">
      <w:pPr>
        <w:pStyle w:val="text"/>
        <w:rPr>
          <w:rFonts w:cs="Times New Roman"/>
        </w:rPr>
      </w:pPr>
      <w:r w:rsidRPr="00943E1C">
        <w:rPr>
          <w:rFonts w:cs="Times New Roman"/>
        </w:rPr>
        <w:t xml:space="preserve">As illustrated by the </w:t>
      </w:r>
      <w:r w:rsidRPr="00943E1C">
        <w:rPr>
          <w:rFonts w:cs="Times New Roman"/>
          <w:i/>
          <w:iCs/>
        </w:rPr>
        <w:t>Gates Rubber</w:t>
      </w:r>
      <w:r w:rsidRPr="00943E1C">
        <w:rPr>
          <w:rFonts w:cs="Times New Roman"/>
        </w:rPr>
        <w:t xml:space="preserve"> case, the UTSA protects trade secrets obtained by misappropriation. Nevertheless, “[w]</w:t>
      </w:r>
      <w:proofErr w:type="spellStart"/>
      <w:r w:rsidRPr="00943E1C">
        <w:rPr>
          <w:rFonts w:cs="Times New Roman"/>
        </w:rPr>
        <w:t>ithout</w:t>
      </w:r>
      <w:proofErr w:type="spellEnd"/>
      <w:r w:rsidRPr="00943E1C">
        <w:rPr>
          <w:rFonts w:cs="Times New Roman"/>
        </w:rPr>
        <w:t xml:space="preserve"> a proven trade secret there can be no action for misappropriation, even if defendant’s actions were wrongful.” And so, in an action for trade secret misappropriation, the factfinder must first determine that a trade secret exists and that the trade secret was improperly obtained.</w:t>
      </w:r>
    </w:p>
    <w:p w14:paraId="12367541" w14:textId="77777777" w:rsidR="00943E1C" w:rsidRPr="00943E1C" w:rsidRDefault="00943E1C" w:rsidP="00943E1C">
      <w:pPr>
        <w:pStyle w:val="4thlevelheadai"/>
        <w:rPr>
          <w:rFonts w:cs="Times New Roman"/>
        </w:rPr>
      </w:pPr>
      <w:r w:rsidRPr="00943E1C">
        <w:rPr>
          <w:rFonts w:cs="Times New Roman"/>
        </w:rPr>
        <w:t>a.</w:t>
      </w:r>
      <w:r w:rsidRPr="00943E1C">
        <w:rPr>
          <w:rFonts w:cs="Times New Roman"/>
        </w:rPr>
        <w:tab/>
        <w:t xml:space="preserve">Proving the Existence of the Trade Secret </w:t>
      </w:r>
    </w:p>
    <w:p w14:paraId="4E3D09C4" w14:textId="77777777" w:rsidR="00943E1C" w:rsidRPr="00943E1C" w:rsidRDefault="00943E1C" w:rsidP="00943E1C">
      <w:pPr>
        <w:pStyle w:val="text"/>
        <w:rPr>
          <w:rFonts w:cs="Times New Roman"/>
        </w:rPr>
      </w:pPr>
      <w:r w:rsidRPr="00943E1C">
        <w:rPr>
          <w:rFonts w:cs="Times New Roman"/>
        </w:rPr>
        <w:t xml:space="preserve">Under the UTSA, one proves that a trade secret exists by showing the information has </w:t>
      </w:r>
      <w:r w:rsidRPr="00943E1C">
        <w:rPr>
          <w:rFonts w:cs="Times New Roman"/>
          <w:i/>
          <w:iCs/>
        </w:rPr>
        <w:t>economic value</w:t>
      </w:r>
      <w:r w:rsidRPr="00943E1C">
        <w:rPr>
          <w:rFonts w:cs="Times New Roman"/>
        </w:rPr>
        <w:t xml:space="preserve"> because it is </w:t>
      </w:r>
      <w:r w:rsidRPr="00943E1C">
        <w:rPr>
          <w:rFonts w:cs="Times New Roman"/>
          <w:i/>
          <w:iCs/>
        </w:rPr>
        <w:t>not generally known</w:t>
      </w:r>
      <w:r w:rsidRPr="00943E1C">
        <w:rPr>
          <w:rFonts w:cs="Times New Roman"/>
        </w:rPr>
        <w:t xml:space="preserve"> because of reasonable </w:t>
      </w:r>
      <w:r w:rsidRPr="00943E1C">
        <w:rPr>
          <w:rFonts w:cs="Times New Roman"/>
          <w:i/>
          <w:iCs/>
        </w:rPr>
        <w:t>secrecy efforts</w:t>
      </w:r>
      <w:r w:rsidRPr="00943E1C">
        <w:rPr>
          <w:rFonts w:cs="Times New Roman"/>
        </w:rPr>
        <w:t>.</w:t>
      </w:r>
      <w:r w:rsidRPr="00943E1C">
        <w:rPr>
          <w:rFonts w:cs="Times New Roman"/>
          <w:vertAlign w:val="superscript"/>
        </w:rPr>
        <w:footnoteReference w:id="44"/>
      </w:r>
      <w:r w:rsidRPr="00943E1C">
        <w:rPr>
          <w:rFonts w:cs="Times New Roman"/>
        </w:rPr>
        <w:t xml:space="preserve"> The economic value, the first of the three trade secret elements, can be either actual or potential </w:t>
      </w:r>
      <w:r w:rsidRPr="00943E1C">
        <w:rPr>
          <w:rFonts w:cs="Times New Roman"/>
        </w:rPr>
        <w:lastRenderedPageBreak/>
        <w:t>value.</w:t>
      </w:r>
      <w:r w:rsidRPr="00943E1C">
        <w:rPr>
          <w:rFonts w:cs="Times New Roman"/>
          <w:vertAlign w:val="superscript"/>
        </w:rPr>
        <w:footnoteReference w:id="45"/>
      </w:r>
      <w:r w:rsidRPr="00943E1C">
        <w:rPr>
          <w:rFonts w:cs="Times New Roman"/>
        </w:rPr>
        <w:t xml:space="preserve"> One indication of value can be the usefulness of the secret information, because if information is useful to a business, that information necessarily has value to that business. The secret information does not, however, have to be useful for a long period of time. Secret information that can be used only a single time may have a greater value than “smaller” secrets used for an extended period.</w:t>
      </w:r>
      <w:r w:rsidRPr="00943E1C">
        <w:rPr>
          <w:rFonts w:cs="Times New Roman"/>
          <w:vertAlign w:val="superscript"/>
        </w:rPr>
        <w:footnoteReference w:id="46"/>
      </w:r>
    </w:p>
    <w:p w14:paraId="16AC852A" w14:textId="77777777" w:rsidR="00943E1C" w:rsidRPr="00943E1C" w:rsidRDefault="00943E1C" w:rsidP="00943E1C">
      <w:pPr>
        <w:pStyle w:val="text"/>
        <w:rPr>
          <w:rFonts w:cs="Times New Roman"/>
        </w:rPr>
      </w:pPr>
      <w:r w:rsidRPr="00943E1C">
        <w:rPr>
          <w:rFonts w:cs="Times New Roman"/>
        </w:rPr>
        <w:t>The second trade secret element, not being generally known, indicates that the information must not be in the public domain. There is no value in protecting the secrecy of information if it can be “readily ascertainable,” either because others know it or because others could learn it from other sources.</w:t>
      </w:r>
      <w:r w:rsidRPr="00943E1C">
        <w:rPr>
          <w:rFonts w:cs="Times New Roman"/>
          <w:vertAlign w:val="superscript"/>
        </w:rPr>
        <w:footnoteReference w:id="47"/>
      </w:r>
      <w:r w:rsidRPr="00943E1C">
        <w:rPr>
          <w:rFonts w:cs="Times New Roman"/>
        </w:rPr>
        <w:t xml:space="preserve"> To determine whether the information is </w:t>
      </w:r>
      <w:r w:rsidRPr="00943E1C">
        <w:rPr>
          <w:rFonts w:cs="Times New Roman"/>
          <w:i/>
          <w:iCs/>
        </w:rPr>
        <w:t>readily</w:t>
      </w:r>
      <w:r w:rsidRPr="00943E1C">
        <w:rPr>
          <w:rFonts w:cs="Times New Roman"/>
        </w:rPr>
        <w:t xml:space="preserve"> ascertainable, a factfinder assesses the costs and effort required to learn the information.</w:t>
      </w:r>
      <w:r w:rsidRPr="00943E1C">
        <w:rPr>
          <w:rFonts w:cs="Times New Roman"/>
          <w:vertAlign w:val="superscript"/>
        </w:rPr>
        <w:footnoteReference w:id="48"/>
      </w:r>
      <w:r w:rsidRPr="00943E1C">
        <w:rPr>
          <w:rFonts w:cs="Times New Roman"/>
        </w:rPr>
        <w:t xml:space="preserve"> If the costs and effort are too great, the information is not considered readily ascertainable and therefore is not in the public domain.</w:t>
      </w:r>
    </w:p>
    <w:p w14:paraId="737D5161" w14:textId="77777777" w:rsidR="00943E1C" w:rsidRPr="00943E1C" w:rsidRDefault="00943E1C" w:rsidP="00943E1C">
      <w:pPr>
        <w:pStyle w:val="text"/>
        <w:rPr>
          <w:rFonts w:cs="Times New Roman"/>
        </w:rPr>
      </w:pPr>
      <w:r w:rsidRPr="00943E1C">
        <w:rPr>
          <w:rFonts w:cs="Times New Roman"/>
        </w:rPr>
        <w:t>Not being generally known or not being readily ascertainable does not, however, mean that the secret must be known and used by only a single party. Another can independently know and use the trade secret. Because both parties retain the information privately, the information does not pass into the public domain and the trade secret remains valuable to those parties.</w:t>
      </w:r>
      <w:r w:rsidRPr="00943E1C">
        <w:rPr>
          <w:rFonts w:cs="Times New Roman"/>
          <w:vertAlign w:val="superscript"/>
        </w:rPr>
        <w:footnoteReference w:id="49"/>
      </w:r>
    </w:p>
    <w:p w14:paraId="29A7EE20" w14:textId="77777777" w:rsidR="00943E1C" w:rsidRPr="00943E1C" w:rsidRDefault="00943E1C" w:rsidP="00943E1C">
      <w:pPr>
        <w:pStyle w:val="text"/>
        <w:rPr>
          <w:rFonts w:cs="Times New Roman"/>
        </w:rPr>
      </w:pPr>
      <w:r w:rsidRPr="00943E1C">
        <w:rPr>
          <w:rFonts w:cs="Times New Roman"/>
        </w:rPr>
        <w:t>As to the third trade secret element, the secret holder must make a concerted effort to keep the information secret. Of course, the trade secret holder may divulge the trade secret information to its own employees who use the information. Nonetheless, one must use reasonable care to retain the secrecy of the information.</w:t>
      </w:r>
      <w:r w:rsidRPr="00943E1C">
        <w:rPr>
          <w:rFonts w:cs="Times New Roman"/>
          <w:vertAlign w:val="superscript"/>
        </w:rPr>
        <w:footnoteReference w:id="50"/>
      </w:r>
      <w:r w:rsidRPr="00943E1C">
        <w:rPr>
          <w:rFonts w:cs="Times New Roman"/>
        </w:rPr>
        <w:t xml:space="preserve"> Reasonable care can include implementing physical security measures and obtaining nondisclosure agreements from employees. With respect to computer software, maintaining passwords on the computer system to prevent unauthorized access is an excellent means to reasonably maintain the secrecy of the information.</w:t>
      </w:r>
      <w:r w:rsidRPr="00943E1C">
        <w:rPr>
          <w:rFonts w:cs="Times New Roman"/>
          <w:vertAlign w:val="superscript"/>
        </w:rPr>
        <w:footnoteReference w:id="51"/>
      </w:r>
    </w:p>
    <w:p w14:paraId="2A670D14" w14:textId="77777777" w:rsidR="00943E1C" w:rsidRPr="00943E1C" w:rsidRDefault="00943E1C" w:rsidP="00943E1C">
      <w:pPr>
        <w:pStyle w:val="4thlevelheadai"/>
        <w:rPr>
          <w:rFonts w:cs="Times New Roman"/>
        </w:rPr>
      </w:pPr>
      <w:r w:rsidRPr="00943E1C">
        <w:rPr>
          <w:rFonts w:cs="Times New Roman"/>
        </w:rPr>
        <w:t>b.</w:t>
      </w:r>
      <w:r w:rsidRPr="00943E1C">
        <w:rPr>
          <w:rFonts w:cs="Times New Roman"/>
        </w:rPr>
        <w:tab/>
        <w:t xml:space="preserve">Proving the Trade Secret Was Improperly Obtained </w:t>
      </w:r>
    </w:p>
    <w:p w14:paraId="4E6D8EBB" w14:textId="77777777" w:rsidR="00943E1C" w:rsidRPr="00943E1C" w:rsidRDefault="00943E1C" w:rsidP="00943E1C">
      <w:pPr>
        <w:pStyle w:val="text"/>
        <w:rPr>
          <w:rFonts w:cs="Times New Roman"/>
        </w:rPr>
      </w:pPr>
      <w:r w:rsidRPr="00943E1C">
        <w:rPr>
          <w:rFonts w:cs="Times New Roman"/>
        </w:rPr>
        <w:t xml:space="preserve">Once the existence of a trade secret is proven by a showing that the information has </w:t>
      </w:r>
      <w:r w:rsidRPr="00943E1C">
        <w:rPr>
          <w:rFonts w:cs="Times New Roman"/>
          <w:i/>
          <w:iCs/>
        </w:rPr>
        <w:t>economic value</w:t>
      </w:r>
      <w:r w:rsidRPr="00943E1C">
        <w:rPr>
          <w:rFonts w:cs="Times New Roman"/>
        </w:rPr>
        <w:t xml:space="preserve"> because it is </w:t>
      </w:r>
      <w:r w:rsidRPr="00943E1C">
        <w:rPr>
          <w:rFonts w:cs="Times New Roman"/>
          <w:i/>
          <w:iCs/>
        </w:rPr>
        <w:t>not generally known</w:t>
      </w:r>
      <w:r w:rsidRPr="00943E1C">
        <w:rPr>
          <w:rFonts w:cs="Times New Roman"/>
        </w:rPr>
        <w:t xml:space="preserve"> due to reasonable </w:t>
      </w:r>
      <w:r w:rsidRPr="00943E1C">
        <w:rPr>
          <w:rFonts w:cs="Times New Roman"/>
          <w:i/>
          <w:iCs/>
        </w:rPr>
        <w:t>secrecy efforts</w:t>
      </w:r>
      <w:r w:rsidRPr="00943E1C">
        <w:rPr>
          <w:rFonts w:cs="Times New Roman"/>
        </w:rPr>
        <w:t>, the factfinder must then find that the trade secret was improperly obtained (i.e., misappropriated). Of course, gaining or learning a trade secret by independent means or from proper means is legal. Acquiring the trade secret by improper means is, however, prohibited.</w:t>
      </w:r>
      <w:r w:rsidRPr="00943E1C">
        <w:rPr>
          <w:rFonts w:cs="Times New Roman"/>
          <w:vertAlign w:val="superscript"/>
        </w:rPr>
        <w:footnoteReference w:id="52"/>
      </w:r>
      <w:r w:rsidRPr="00943E1C">
        <w:rPr>
          <w:rFonts w:cs="Times New Roman"/>
        </w:rPr>
        <w:t xml:space="preserve"> This breach of duty—gaining the secret improperly—is the “gravamen of a trade secret claim.”</w:t>
      </w:r>
      <w:r w:rsidRPr="00943E1C">
        <w:rPr>
          <w:rFonts w:cs="Times New Roman"/>
          <w:vertAlign w:val="superscript"/>
        </w:rPr>
        <w:footnoteReference w:id="53"/>
      </w:r>
    </w:p>
    <w:p w14:paraId="5C098D4C" w14:textId="77777777" w:rsidR="00943E1C" w:rsidRPr="00943E1C" w:rsidRDefault="00943E1C" w:rsidP="00943E1C">
      <w:pPr>
        <w:pStyle w:val="text"/>
        <w:rPr>
          <w:rFonts w:cs="Times New Roman"/>
        </w:rPr>
      </w:pPr>
      <w:r w:rsidRPr="00943E1C">
        <w:rPr>
          <w:rFonts w:cs="Times New Roman"/>
        </w:rPr>
        <w:t>The UTSA defines misappropriation as:</w:t>
      </w:r>
    </w:p>
    <w:p w14:paraId="757E95FE" w14:textId="77777777" w:rsidR="00943E1C" w:rsidRPr="00943E1C" w:rsidRDefault="00943E1C" w:rsidP="00943E1C">
      <w:pPr>
        <w:pStyle w:val="blocknumberrl"/>
        <w:spacing w:before="180"/>
        <w:rPr>
          <w:rFonts w:ascii="Times New Roman" w:hAnsi="Times New Roman" w:cs="Times New Roman"/>
        </w:rPr>
      </w:pPr>
      <w:r w:rsidRPr="00943E1C">
        <w:rPr>
          <w:rFonts w:ascii="Times New Roman" w:hAnsi="Times New Roman" w:cs="Times New Roman"/>
        </w:rPr>
        <w:lastRenderedPageBreak/>
        <w:t>(I)</w:t>
      </w:r>
      <w:r w:rsidRPr="00943E1C">
        <w:rPr>
          <w:rFonts w:ascii="Times New Roman" w:hAnsi="Times New Roman" w:cs="Times New Roman"/>
        </w:rPr>
        <w:tab/>
      </w:r>
      <w:r w:rsidRPr="00943E1C">
        <w:rPr>
          <w:rFonts w:ascii="Times New Roman" w:hAnsi="Times New Roman" w:cs="Times New Roman"/>
          <w:i/>
          <w:iCs/>
        </w:rPr>
        <w:t>acquisition</w:t>
      </w:r>
      <w:r w:rsidRPr="00943E1C">
        <w:rPr>
          <w:rFonts w:ascii="Times New Roman" w:hAnsi="Times New Roman" w:cs="Times New Roman"/>
        </w:rPr>
        <w:t xml:space="preserve"> of a trade secret of another by a person who knows or has reason to know that the trade secret was </w:t>
      </w:r>
      <w:r w:rsidRPr="00943E1C">
        <w:rPr>
          <w:rFonts w:ascii="Times New Roman" w:hAnsi="Times New Roman" w:cs="Times New Roman"/>
          <w:i/>
          <w:iCs/>
        </w:rPr>
        <w:t>acquired by improper means</w:t>
      </w:r>
      <w:r w:rsidRPr="00943E1C">
        <w:rPr>
          <w:rFonts w:ascii="Times New Roman" w:hAnsi="Times New Roman" w:cs="Times New Roman"/>
        </w:rPr>
        <w:t>; or</w:t>
      </w:r>
    </w:p>
    <w:p w14:paraId="144D1502" w14:textId="77777777" w:rsidR="00943E1C" w:rsidRPr="00943E1C" w:rsidRDefault="00943E1C" w:rsidP="00943E1C">
      <w:pPr>
        <w:pStyle w:val="blocknumberrl"/>
        <w:rPr>
          <w:rFonts w:ascii="Times New Roman" w:hAnsi="Times New Roman" w:cs="Times New Roman"/>
        </w:rPr>
      </w:pPr>
      <w:r w:rsidRPr="00943E1C">
        <w:rPr>
          <w:rFonts w:ascii="Times New Roman" w:hAnsi="Times New Roman" w:cs="Times New Roman"/>
        </w:rPr>
        <w:t>(II)</w:t>
      </w:r>
      <w:r w:rsidRPr="00943E1C">
        <w:rPr>
          <w:rFonts w:ascii="Times New Roman" w:hAnsi="Times New Roman" w:cs="Times New Roman"/>
        </w:rPr>
        <w:tab/>
      </w:r>
      <w:r w:rsidRPr="00943E1C">
        <w:rPr>
          <w:rFonts w:ascii="Times New Roman" w:hAnsi="Times New Roman" w:cs="Times New Roman"/>
          <w:i/>
          <w:iCs/>
        </w:rPr>
        <w:t>disclosure or use</w:t>
      </w:r>
      <w:r w:rsidRPr="00943E1C">
        <w:rPr>
          <w:rFonts w:ascii="Times New Roman" w:hAnsi="Times New Roman" w:cs="Times New Roman"/>
        </w:rPr>
        <w:t xml:space="preserve"> of a trade secret of another </w:t>
      </w:r>
      <w:r w:rsidRPr="00943E1C">
        <w:rPr>
          <w:rFonts w:ascii="Times New Roman" w:hAnsi="Times New Roman" w:cs="Times New Roman"/>
          <w:i/>
          <w:iCs/>
        </w:rPr>
        <w:t>without express or implied consent</w:t>
      </w:r>
      <w:r w:rsidRPr="00943E1C">
        <w:rPr>
          <w:rFonts w:ascii="Times New Roman" w:hAnsi="Times New Roman" w:cs="Times New Roman"/>
        </w:rPr>
        <w:t xml:space="preserve"> by a person who:</w:t>
      </w:r>
    </w:p>
    <w:p w14:paraId="6C2B9835" w14:textId="77777777" w:rsidR="00943E1C" w:rsidRPr="00943E1C" w:rsidRDefault="00943E1C" w:rsidP="00943E1C">
      <w:pPr>
        <w:pStyle w:val="blocknumberrl"/>
        <w:ind w:left="1300"/>
        <w:rPr>
          <w:rFonts w:ascii="Times New Roman" w:hAnsi="Times New Roman" w:cs="Times New Roman"/>
        </w:rPr>
      </w:pPr>
      <w:r w:rsidRPr="00943E1C">
        <w:rPr>
          <w:rFonts w:ascii="Times New Roman" w:hAnsi="Times New Roman" w:cs="Times New Roman"/>
        </w:rPr>
        <w:t>(A)</w:t>
      </w:r>
      <w:r w:rsidRPr="00943E1C">
        <w:rPr>
          <w:rFonts w:ascii="Times New Roman" w:hAnsi="Times New Roman" w:cs="Times New Roman"/>
        </w:rPr>
        <w:tab/>
        <w:t>used improper means to acquire knowledge of the trade secret; or</w:t>
      </w:r>
    </w:p>
    <w:p w14:paraId="5F7B2914" w14:textId="77777777" w:rsidR="00943E1C" w:rsidRPr="00943E1C" w:rsidRDefault="00943E1C" w:rsidP="00943E1C">
      <w:pPr>
        <w:pStyle w:val="blocknumberrl"/>
        <w:ind w:left="1300"/>
        <w:rPr>
          <w:rFonts w:ascii="Times New Roman" w:hAnsi="Times New Roman" w:cs="Times New Roman"/>
        </w:rPr>
      </w:pPr>
      <w:r w:rsidRPr="00943E1C">
        <w:rPr>
          <w:rFonts w:ascii="Times New Roman" w:hAnsi="Times New Roman" w:cs="Times New Roman"/>
        </w:rPr>
        <w:t>(B)</w:t>
      </w:r>
      <w:r w:rsidRPr="00943E1C">
        <w:rPr>
          <w:rFonts w:ascii="Times New Roman" w:hAnsi="Times New Roman" w:cs="Times New Roman"/>
        </w:rPr>
        <w:tab/>
        <w:t>at the time of disclosure or use, knew or had reason to know that his knowledge of the trade secret was:</w:t>
      </w:r>
    </w:p>
    <w:p w14:paraId="12E3DFFA" w14:textId="77777777" w:rsidR="00943E1C" w:rsidRPr="00943E1C" w:rsidRDefault="00943E1C" w:rsidP="00943E1C">
      <w:pPr>
        <w:pStyle w:val="blocknumberrl"/>
        <w:ind w:left="1720"/>
        <w:rPr>
          <w:rFonts w:ascii="Times New Roman" w:hAnsi="Times New Roman" w:cs="Times New Roman"/>
        </w:rPr>
      </w:pPr>
      <w:r w:rsidRPr="00943E1C">
        <w:rPr>
          <w:rFonts w:ascii="Times New Roman" w:hAnsi="Times New Roman" w:cs="Times New Roman"/>
        </w:rPr>
        <w:t>(</w:t>
      </w:r>
      <w:proofErr w:type="spellStart"/>
      <w:r w:rsidRPr="00943E1C">
        <w:rPr>
          <w:rFonts w:ascii="Times New Roman" w:hAnsi="Times New Roman" w:cs="Times New Roman"/>
        </w:rPr>
        <w:t>i</w:t>
      </w:r>
      <w:proofErr w:type="spellEnd"/>
      <w:r w:rsidRPr="00943E1C">
        <w:rPr>
          <w:rFonts w:ascii="Times New Roman" w:hAnsi="Times New Roman" w:cs="Times New Roman"/>
        </w:rPr>
        <w:t>)</w:t>
      </w:r>
      <w:r w:rsidRPr="00943E1C">
        <w:rPr>
          <w:rFonts w:ascii="Times New Roman" w:hAnsi="Times New Roman" w:cs="Times New Roman"/>
        </w:rPr>
        <w:tab/>
        <w:t>derived from or through a person who had utilized improper means to acquire it;</w:t>
      </w:r>
    </w:p>
    <w:p w14:paraId="4B142906" w14:textId="77777777" w:rsidR="00943E1C" w:rsidRPr="00943E1C" w:rsidRDefault="00943E1C" w:rsidP="00943E1C">
      <w:pPr>
        <w:pStyle w:val="blocknumberrl"/>
        <w:ind w:left="1720"/>
        <w:rPr>
          <w:rFonts w:ascii="Times New Roman" w:hAnsi="Times New Roman" w:cs="Times New Roman"/>
        </w:rPr>
      </w:pPr>
      <w:r w:rsidRPr="00943E1C">
        <w:rPr>
          <w:rFonts w:ascii="Times New Roman" w:hAnsi="Times New Roman" w:cs="Times New Roman"/>
        </w:rPr>
        <w:t>(ii)</w:t>
      </w:r>
      <w:r w:rsidRPr="00943E1C">
        <w:rPr>
          <w:rFonts w:ascii="Times New Roman" w:hAnsi="Times New Roman" w:cs="Times New Roman"/>
        </w:rPr>
        <w:tab/>
        <w:t>acquired under circumstances giving rise to a duty to maintain its secrecy or limit its use; or</w:t>
      </w:r>
    </w:p>
    <w:p w14:paraId="5F76B5A7" w14:textId="77777777" w:rsidR="00943E1C" w:rsidRPr="00943E1C" w:rsidRDefault="00943E1C" w:rsidP="00943E1C">
      <w:pPr>
        <w:pStyle w:val="blocknumberrl"/>
        <w:ind w:left="1720"/>
        <w:rPr>
          <w:rFonts w:ascii="Times New Roman" w:hAnsi="Times New Roman" w:cs="Times New Roman"/>
        </w:rPr>
      </w:pPr>
      <w:r w:rsidRPr="00943E1C">
        <w:rPr>
          <w:rFonts w:ascii="Times New Roman" w:hAnsi="Times New Roman" w:cs="Times New Roman"/>
        </w:rPr>
        <w:t>(iii)</w:t>
      </w:r>
      <w:r w:rsidRPr="00943E1C">
        <w:rPr>
          <w:rFonts w:ascii="Times New Roman" w:hAnsi="Times New Roman" w:cs="Times New Roman"/>
        </w:rPr>
        <w:tab/>
        <w:t>derived from or through a person who owed a duty to the person seeking relief to maintain its secrecy or limit its use; or</w:t>
      </w:r>
    </w:p>
    <w:p w14:paraId="6823A5C7" w14:textId="77777777" w:rsidR="00943E1C" w:rsidRPr="00943E1C" w:rsidRDefault="00943E1C" w:rsidP="00943E1C">
      <w:pPr>
        <w:pStyle w:val="blocknumberrl"/>
        <w:spacing w:after="180"/>
        <w:ind w:left="1300"/>
        <w:rPr>
          <w:rFonts w:ascii="Times New Roman" w:hAnsi="Times New Roman" w:cs="Times New Roman"/>
        </w:rPr>
      </w:pPr>
      <w:r w:rsidRPr="00943E1C">
        <w:rPr>
          <w:rFonts w:ascii="Times New Roman" w:hAnsi="Times New Roman" w:cs="Times New Roman"/>
        </w:rPr>
        <w:t>(C)</w:t>
      </w:r>
      <w:r w:rsidRPr="00943E1C">
        <w:rPr>
          <w:rFonts w:ascii="Times New Roman" w:hAnsi="Times New Roman" w:cs="Times New Roman"/>
        </w:rPr>
        <w:tab/>
        <w:t>before a material change of his position, knew or had reason to know that it was a trade secret and that knowledge of it had been acquired by accident or mistake.</w:t>
      </w:r>
      <w:r w:rsidRPr="00943E1C">
        <w:rPr>
          <w:rFonts w:ascii="Times New Roman" w:hAnsi="Times New Roman" w:cs="Times New Roman"/>
          <w:vertAlign w:val="superscript"/>
        </w:rPr>
        <w:footnoteReference w:id="54"/>
      </w:r>
    </w:p>
    <w:p w14:paraId="3A9BA287" w14:textId="77777777" w:rsidR="00943E1C" w:rsidRPr="00943E1C" w:rsidRDefault="00943E1C" w:rsidP="00943E1C">
      <w:pPr>
        <w:pStyle w:val="text"/>
        <w:rPr>
          <w:rFonts w:cs="Times New Roman"/>
        </w:rPr>
      </w:pPr>
      <w:r w:rsidRPr="00943E1C">
        <w:rPr>
          <w:rFonts w:cs="Times New Roman"/>
        </w:rPr>
        <w:t>Hence, trade secret misappropriation occurs if (1) one acquires the trade secret of another by improper means; or (2) one uses or discloses another’s trade secret that was either derived from a person using improper means or acquired under circumstances giving rise to a duty of secrecy.</w:t>
      </w:r>
      <w:r w:rsidRPr="00943E1C">
        <w:rPr>
          <w:rFonts w:cs="Times New Roman"/>
          <w:vertAlign w:val="superscript"/>
        </w:rPr>
        <w:footnoteReference w:id="55"/>
      </w:r>
      <w:r w:rsidRPr="00943E1C">
        <w:rPr>
          <w:rFonts w:cs="Times New Roman"/>
        </w:rPr>
        <w:t xml:space="preserve"> Not all methods of appropriating a trade secret are improper. For example, reverse engineering—starting with the known product and working backward to figure out the method of making it—is a proper method of obtaining a trade secret, as is independently inventing the trade secret or observing the trade secret in a public place.</w:t>
      </w:r>
      <w:r w:rsidRPr="00943E1C">
        <w:rPr>
          <w:rFonts w:cs="Times New Roman"/>
          <w:vertAlign w:val="superscript"/>
        </w:rPr>
        <w:footnoteReference w:id="56"/>
      </w:r>
    </w:p>
    <w:p w14:paraId="7FB6E9B5" w14:textId="77777777" w:rsidR="00943E1C" w:rsidRPr="00943E1C" w:rsidRDefault="00943E1C" w:rsidP="00943E1C">
      <w:pPr>
        <w:pStyle w:val="3rdlevelhead1i"/>
        <w:rPr>
          <w:rFonts w:cs="Times New Roman"/>
        </w:rPr>
      </w:pPr>
      <w:r w:rsidRPr="00943E1C">
        <w:rPr>
          <w:rFonts w:cs="Times New Roman"/>
        </w:rPr>
        <w:t>4.</w:t>
      </w:r>
      <w:r w:rsidRPr="00943E1C">
        <w:rPr>
          <w:rFonts w:cs="Times New Roman"/>
        </w:rPr>
        <w:tab/>
        <w:t>Remedies for Misappropriation</w:t>
      </w:r>
    </w:p>
    <w:p w14:paraId="2730CEB3" w14:textId="77777777" w:rsidR="00943E1C" w:rsidRPr="00943E1C" w:rsidRDefault="00943E1C" w:rsidP="00943E1C">
      <w:pPr>
        <w:pStyle w:val="text"/>
        <w:rPr>
          <w:rFonts w:cs="Times New Roman"/>
        </w:rPr>
      </w:pPr>
      <w:r w:rsidRPr="00943E1C">
        <w:rPr>
          <w:rFonts w:cs="Times New Roman"/>
        </w:rPr>
        <w:t>Injunctive relief or damages are available as remedies for trade secret misappropriation.</w:t>
      </w:r>
      <w:r w:rsidRPr="00943E1C">
        <w:rPr>
          <w:rFonts w:cs="Times New Roman"/>
          <w:vertAlign w:val="superscript"/>
        </w:rPr>
        <w:footnoteReference w:id="57"/>
      </w:r>
      <w:r w:rsidRPr="00943E1C">
        <w:rPr>
          <w:rFonts w:cs="Times New Roman"/>
        </w:rPr>
        <w:t xml:space="preserve"> There are four types of misappropriation damages. The actual loss resulting from the misappropriation and the unjust enrichment obtained from the </w:t>
      </w:r>
      <w:proofErr w:type="spellStart"/>
      <w:r w:rsidRPr="00943E1C">
        <w:rPr>
          <w:rFonts w:cs="Times New Roman"/>
        </w:rPr>
        <w:t>misappropriator</w:t>
      </w:r>
      <w:proofErr w:type="spellEnd"/>
      <w:r w:rsidRPr="00943E1C">
        <w:rPr>
          <w:rFonts w:cs="Times New Roman"/>
        </w:rPr>
        <w:t xml:space="preserve"> are both recoverable. In addition, if the misappropriation was willful and malicious, then punitive damages are awardable. Under the UTSA, such punitive damages can be up to twice the amount awarded for actual loss and unjust enrichment.</w:t>
      </w:r>
      <w:r w:rsidRPr="00943E1C">
        <w:rPr>
          <w:rFonts w:cs="Times New Roman"/>
          <w:vertAlign w:val="superscript"/>
        </w:rPr>
        <w:footnoteReference w:id="58"/>
      </w:r>
      <w:r w:rsidRPr="00943E1C">
        <w:rPr>
          <w:rFonts w:cs="Times New Roman"/>
        </w:rPr>
        <w:t xml:space="preserve"> Finally, the factfinder can assess damages based on a reasonable royalty for the use or disclosure of the trade secret by the </w:t>
      </w:r>
      <w:proofErr w:type="spellStart"/>
      <w:r w:rsidRPr="00943E1C">
        <w:rPr>
          <w:rFonts w:cs="Times New Roman"/>
        </w:rPr>
        <w:t>misappropriator</w:t>
      </w:r>
      <w:proofErr w:type="spellEnd"/>
      <w:r w:rsidRPr="00943E1C">
        <w:rPr>
          <w:rFonts w:cs="Times New Roman"/>
        </w:rPr>
        <w:t>.</w:t>
      </w:r>
      <w:r w:rsidRPr="00943E1C">
        <w:rPr>
          <w:rFonts w:cs="Times New Roman"/>
          <w:vertAlign w:val="superscript"/>
        </w:rPr>
        <w:footnoteReference w:id="59"/>
      </w:r>
    </w:p>
    <w:p w14:paraId="16766BF1" w14:textId="77777777" w:rsidR="00943E1C" w:rsidRPr="00943E1C" w:rsidRDefault="00943E1C" w:rsidP="00943E1C">
      <w:pPr>
        <w:pStyle w:val="text"/>
        <w:rPr>
          <w:rFonts w:cs="Times New Roman"/>
        </w:rPr>
      </w:pPr>
      <w:r w:rsidRPr="00943E1C">
        <w:rPr>
          <w:rFonts w:cs="Times New Roman"/>
        </w:rPr>
        <w:t>In addition to damages, a court can award injunctive relief for either actual or threatened misappropriation.</w:t>
      </w:r>
      <w:r w:rsidRPr="00943E1C">
        <w:rPr>
          <w:rFonts w:cs="Times New Roman"/>
          <w:vertAlign w:val="superscript"/>
        </w:rPr>
        <w:footnoteReference w:id="60"/>
      </w:r>
      <w:r w:rsidRPr="00943E1C">
        <w:rPr>
          <w:rFonts w:cs="Times New Roman"/>
        </w:rPr>
        <w:t xml:space="preserve"> If a court grants an injunction, it may remain in effect until the trade secret no longer exists (i.e., when the information has passed into the public domain or the trade secret no longer has economic value).</w:t>
      </w:r>
      <w:r w:rsidRPr="00943E1C">
        <w:rPr>
          <w:rFonts w:cs="Times New Roman"/>
          <w:vertAlign w:val="superscript"/>
        </w:rPr>
        <w:footnoteReference w:id="61"/>
      </w:r>
      <w:r w:rsidRPr="00943E1C">
        <w:rPr>
          <w:rFonts w:cs="Times New Roman"/>
        </w:rPr>
        <w:t xml:space="preserve"> Moreover, the injunction may continue for an additional reasonable period after the trade secret no longer exists. This eliminates commercial advantage that otherwise would be derived from the misappropriation.</w:t>
      </w:r>
      <w:r w:rsidRPr="00943E1C">
        <w:rPr>
          <w:rFonts w:cs="Times New Roman"/>
          <w:vertAlign w:val="superscript"/>
        </w:rPr>
        <w:footnoteReference w:id="62"/>
      </w:r>
    </w:p>
    <w:p w14:paraId="5817B7E5" w14:textId="77777777" w:rsidR="00943E1C" w:rsidRPr="00943E1C" w:rsidRDefault="00943E1C" w:rsidP="00943E1C">
      <w:pPr>
        <w:pStyle w:val="text"/>
        <w:rPr>
          <w:rFonts w:cs="Times New Roman"/>
        </w:rPr>
      </w:pPr>
      <w:r w:rsidRPr="00943E1C">
        <w:rPr>
          <w:rFonts w:cs="Times New Roman"/>
        </w:rPr>
        <w:t>Under the federal Economic Espionage Act of 1996, theft of a trade secret also can result in criminal fines, imprisonment, or property forfeiture.</w:t>
      </w:r>
      <w:r w:rsidRPr="00943E1C">
        <w:rPr>
          <w:rFonts w:cs="Times New Roman"/>
          <w:vertAlign w:val="superscript"/>
        </w:rPr>
        <w:footnoteReference w:id="63"/>
      </w:r>
      <w:r w:rsidRPr="00943E1C">
        <w:rPr>
          <w:rFonts w:cs="Times New Roman"/>
        </w:rPr>
        <w:t xml:space="preserve"> The criminal penalties can be severe. </w:t>
      </w:r>
      <w:r w:rsidRPr="00943E1C">
        <w:rPr>
          <w:rFonts w:cs="Times New Roman"/>
        </w:rPr>
        <w:lastRenderedPageBreak/>
        <w:t>For example, converting a trade secret, or just conspiring to do so, can be punished with up to 10 years’ imprisonment.</w:t>
      </w:r>
      <w:r w:rsidRPr="00943E1C">
        <w:rPr>
          <w:rFonts w:cs="Times New Roman"/>
          <w:vertAlign w:val="superscript"/>
        </w:rPr>
        <w:footnoteReference w:id="64"/>
      </w:r>
      <w:r w:rsidRPr="00943E1C">
        <w:rPr>
          <w:rFonts w:cs="Times New Roman"/>
        </w:rPr>
        <w:t xml:space="preserve"> </w:t>
      </w:r>
    </w:p>
    <w:p w14:paraId="20F6A0A3" w14:textId="77777777" w:rsidR="00943E1C" w:rsidRPr="00943E1C" w:rsidRDefault="00943E1C" w:rsidP="00943E1C">
      <w:pPr>
        <w:pStyle w:val="text"/>
        <w:rPr>
          <w:rFonts w:cs="Times New Roman"/>
        </w:rPr>
      </w:pPr>
      <w:r w:rsidRPr="00943E1C">
        <w:rPr>
          <w:rFonts w:cs="Times New Roman"/>
        </w:rPr>
        <w:t xml:space="preserve">One of the more significant features of the DTSA, which is not provided in the UTSA and in the trade secret law of many states, is that a court can issue civil seizure orders in “extraordinary circumstances” upon </w:t>
      </w:r>
      <w:r w:rsidRPr="00943E1C">
        <w:rPr>
          <w:rFonts w:cs="Times New Roman"/>
          <w:i/>
          <w:iCs/>
        </w:rPr>
        <w:t>ex parte</w:t>
      </w:r>
      <w:r w:rsidRPr="00943E1C">
        <w:rPr>
          <w:rFonts w:cs="Times New Roman"/>
        </w:rPr>
        <w:t xml:space="preserve"> application if “necessary to prevent the propagation or dissemination of the trade secret that is the subject of the action.”</w:t>
      </w:r>
      <w:r w:rsidR="00CC1999">
        <w:rPr>
          <w:rStyle w:val="FootnoteReference"/>
          <w:rFonts w:cs="Times New Roman"/>
        </w:rPr>
        <w:footnoteReference w:id="65"/>
      </w:r>
    </w:p>
    <w:p w14:paraId="307D5BE4" w14:textId="77777777" w:rsidR="00943E1C" w:rsidRPr="00943E1C" w:rsidRDefault="00943E1C" w:rsidP="00943E1C">
      <w:pPr>
        <w:pStyle w:val="2ndlevelheadBbi"/>
        <w:rPr>
          <w:rFonts w:cs="Times New Roman"/>
        </w:rPr>
      </w:pPr>
      <w:r w:rsidRPr="00943E1C">
        <w:rPr>
          <w:rFonts w:cs="Times New Roman"/>
        </w:rPr>
        <w:t>B.</w:t>
      </w:r>
      <w:r w:rsidRPr="00943E1C">
        <w:rPr>
          <w:rFonts w:cs="Times New Roman"/>
        </w:rPr>
        <w:tab/>
        <w:t>Trade Secrets Compared to Patents</w:t>
      </w:r>
    </w:p>
    <w:p w14:paraId="543B0907" w14:textId="77777777" w:rsidR="00943E1C" w:rsidRPr="00943E1C" w:rsidRDefault="00943E1C" w:rsidP="00943E1C">
      <w:pPr>
        <w:pStyle w:val="3rdlevelheadnospacei"/>
        <w:rPr>
          <w:rFonts w:cs="Times New Roman"/>
        </w:rPr>
      </w:pPr>
      <w:r w:rsidRPr="00943E1C">
        <w:rPr>
          <w:rFonts w:cs="Times New Roman"/>
        </w:rPr>
        <w:t>1.</w:t>
      </w:r>
      <w:r w:rsidRPr="00943E1C">
        <w:rPr>
          <w:rFonts w:cs="Times New Roman"/>
        </w:rPr>
        <w:tab/>
        <w:t>Disclosure</w:t>
      </w:r>
    </w:p>
    <w:p w14:paraId="77D62B27" w14:textId="77777777" w:rsidR="00943E1C" w:rsidRPr="00943E1C" w:rsidRDefault="00943E1C" w:rsidP="00943E1C">
      <w:pPr>
        <w:pStyle w:val="text"/>
        <w:rPr>
          <w:rFonts w:cs="Times New Roman"/>
        </w:rPr>
      </w:pPr>
      <w:r w:rsidRPr="00943E1C">
        <w:rPr>
          <w:rFonts w:cs="Times New Roman"/>
        </w:rPr>
        <w:t>A fundamental difference between a trade secret and a patent is the act of disclosure. Once revealed publicly, a trade secret is lost. By contrast, disclosure is an essential requirement for obtaining a patent. The specification section of any patent application must adequately disclose the invention to enable one skilled in the art to make and use the invention, and must disclose the best mode for carrying out the invention.</w:t>
      </w:r>
      <w:r w:rsidRPr="00943E1C">
        <w:rPr>
          <w:rFonts w:cs="Times New Roman"/>
          <w:vertAlign w:val="superscript"/>
        </w:rPr>
        <w:footnoteReference w:id="66"/>
      </w:r>
      <w:r w:rsidRPr="00943E1C">
        <w:rPr>
          <w:rFonts w:cs="Times New Roman"/>
        </w:rPr>
        <w:t xml:space="preserve"> Because opposite consequences result from disclosure of the invention under trade secret law and patent law, a single invention cannot be protected simultaneously by both a patent and a trade secret. Nevertheless, a trade secret of a patentable invention may </w:t>
      </w:r>
      <w:r w:rsidRPr="00943E1C">
        <w:rPr>
          <w:rFonts w:cs="Times New Roman"/>
          <w:i/>
          <w:iCs/>
        </w:rPr>
        <w:t>transform</w:t>
      </w:r>
      <w:r w:rsidRPr="00943E1C">
        <w:rPr>
          <w:rFonts w:cs="Times New Roman"/>
        </w:rPr>
        <w:t xml:space="preserve"> into a pending patent application or a patent by its disclosure in a published patent application or an issued patent.</w:t>
      </w:r>
      <w:r w:rsidRPr="00943E1C">
        <w:rPr>
          <w:rFonts w:cs="Times New Roman"/>
          <w:vertAlign w:val="superscript"/>
        </w:rPr>
        <w:footnoteReference w:id="67"/>
      </w:r>
      <w:r w:rsidRPr="00943E1C">
        <w:rPr>
          <w:rFonts w:cs="Times New Roman"/>
        </w:rPr>
        <w:t xml:space="preserve"> Patents and trade secrets may, however, coexist in a single product. For example, the invention owner, after seeking patent rights on the primary invention, can make improvements to the patented invention. These improvements can be kept as trade secrets.</w:t>
      </w:r>
      <w:r w:rsidRPr="00943E1C">
        <w:rPr>
          <w:rFonts w:cs="Times New Roman"/>
          <w:vertAlign w:val="superscript"/>
        </w:rPr>
        <w:footnoteReference w:id="68"/>
      </w:r>
      <w:r w:rsidRPr="00943E1C">
        <w:rPr>
          <w:rFonts w:cs="Times New Roman"/>
        </w:rPr>
        <w:t xml:space="preserve"> Of course, if the improvements are patentable, they can be separately patented.</w:t>
      </w:r>
    </w:p>
    <w:p w14:paraId="6E4280A9" w14:textId="77777777" w:rsidR="00943E1C" w:rsidRPr="00943E1C" w:rsidRDefault="00943E1C" w:rsidP="00943E1C">
      <w:pPr>
        <w:pStyle w:val="3rdlevelhead1i"/>
        <w:rPr>
          <w:rFonts w:cs="Times New Roman"/>
        </w:rPr>
      </w:pPr>
      <w:r w:rsidRPr="00943E1C">
        <w:rPr>
          <w:rFonts w:cs="Times New Roman"/>
        </w:rPr>
        <w:t>2.</w:t>
      </w:r>
      <w:r w:rsidRPr="00943E1C">
        <w:rPr>
          <w:rFonts w:cs="Times New Roman"/>
        </w:rPr>
        <w:tab/>
        <w:t xml:space="preserve">Newness: Novelty and </w:t>
      </w:r>
      <w:proofErr w:type="spellStart"/>
      <w:r w:rsidRPr="00943E1C">
        <w:rPr>
          <w:rFonts w:cs="Times New Roman"/>
        </w:rPr>
        <w:t>Nonobviousness</w:t>
      </w:r>
      <w:proofErr w:type="spellEnd"/>
      <w:r w:rsidRPr="00943E1C">
        <w:rPr>
          <w:rFonts w:cs="Times New Roman"/>
        </w:rPr>
        <w:t xml:space="preserve"> </w:t>
      </w:r>
    </w:p>
    <w:p w14:paraId="084EB93A" w14:textId="77777777" w:rsidR="00943E1C" w:rsidRPr="00943E1C" w:rsidRDefault="00943E1C" w:rsidP="00943E1C">
      <w:pPr>
        <w:pStyle w:val="text"/>
        <w:rPr>
          <w:rFonts w:cs="Times New Roman"/>
        </w:rPr>
      </w:pPr>
      <w:r w:rsidRPr="00943E1C">
        <w:rPr>
          <w:rFonts w:cs="Times New Roman"/>
        </w:rPr>
        <w:t>Newness is a second important difference between trade secrets and patents. To be patentable, inventions must be novel over the prior art under 35 U.S.C. §102</w:t>
      </w:r>
      <w:r w:rsidRPr="00943E1C">
        <w:rPr>
          <w:rFonts w:cs="Times New Roman"/>
          <w:vertAlign w:val="superscript"/>
        </w:rPr>
        <w:footnoteReference w:id="69"/>
      </w:r>
      <w:r w:rsidRPr="00943E1C">
        <w:rPr>
          <w:rFonts w:cs="Times New Roman"/>
        </w:rPr>
        <w:t xml:space="preserve"> and must be nonobvious under 35 U.S.C. §103.</w:t>
      </w:r>
      <w:r w:rsidRPr="00943E1C">
        <w:rPr>
          <w:rFonts w:cs="Times New Roman"/>
          <w:vertAlign w:val="superscript"/>
        </w:rPr>
        <w:footnoteReference w:id="70"/>
      </w:r>
      <w:r w:rsidRPr="00943E1C">
        <w:rPr>
          <w:rFonts w:cs="Times New Roman"/>
        </w:rPr>
        <w:t xml:space="preserve"> A trade secret does not need to be novel or nonobvious to one skilled in the art. Instead, the hallmark of a trade secret is secrecy from the proper audience.</w:t>
      </w:r>
      <w:r w:rsidRPr="00943E1C">
        <w:rPr>
          <w:rFonts w:cs="Times New Roman"/>
          <w:vertAlign w:val="superscript"/>
        </w:rPr>
        <w:footnoteReference w:id="71"/>
      </w:r>
      <w:r w:rsidRPr="00943E1C">
        <w:rPr>
          <w:rFonts w:cs="Times New Roman"/>
        </w:rPr>
        <w:t xml:space="preserve"> For an invention to qualify for patent rights in the United States, others cannot know or use the invention in the United States, and knowledge of the invention cannot be available in a printed publication anywhere in the world before the patent applicant invents the invention.</w:t>
      </w:r>
      <w:r w:rsidRPr="00943E1C">
        <w:rPr>
          <w:rFonts w:cs="Times New Roman"/>
          <w:vertAlign w:val="superscript"/>
        </w:rPr>
        <w:footnoteReference w:id="72"/>
      </w:r>
      <w:r w:rsidRPr="00943E1C">
        <w:rPr>
          <w:rFonts w:cs="Times New Roman"/>
        </w:rPr>
        <w:t xml:space="preserve"> Moreover, the invention cannot be patented or described in a printed publication anywhere in the world or be in public use or on sale in the United States more than one year prior to the date on which the application covering the invention is filed in the United States.</w:t>
      </w:r>
      <w:r w:rsidRPr="00943E1C">
        <w:rPr>
          <w:rFonts w:cs="Times New Roman"/>
          <w:vertAlign w:val="superscript"/>
        </w:rPr>
        <w:footnoteReference w:id="73"/>
      </w:r>
      <w:r w:rsidRPr="00943E1C">
        <w:rPr>
          <w:rFonts w:cs="Times New Roman"/>
        </w:rPr>
        <w:t xml:space="preserve"> This is not the case with trade secrets. The owner of a trade secret benefits from the value the trade secret has with respect to a certain audience of customers or competitors. People outside this audience may know or use a trade secret. The trade secret also may be available in a printed publication. This is true as long as the population for which the trade secret is secured does not know, use, or read about the trade secret.</w:t>
      </w:r>
    </w:p>
    <w:p w14:paraId="4F2493DA" w14:textId="77777777" w:rsidR="00943E1C" w:rsidRPr="00943E1C" w:rsidRDefault="00943E1C" w:rsidP="00943E1C">
      <w:pPr>
        <w:pStyle w:val="text"/>
        <w:rPr>
          <w:rFonts w:cs="Times New Roman"/>
        </w:rPr>
      </w:pPr>
      <w:r w:rsidRPr="00943E1C">
        <w:rPr>
          <w:rFonts w:cs="Times New Roman"/>
        </w:rPr>
        <w:t>For example, suppose a paper presented at a chemical symposium in Australia describes a new method of producing “goop,” and that the subsequent journal is found in the general circulation of every university library in Australia and Europe. Because of the article, several companies are manufacturing goop in Europe. Back in the United States, Americans are oblivious to goop. If a chemical plant in Minnesota begins producing goop and diligently protects this “secret” of goop production, then it can be a protectable trade secret. However, anyone who learns how to make goop after traveling to Australia and reading the published article could properly begin a competing goop manufacturing business in Minnesota without liability for trade secret misappropriation.</w:t>
      </w:r>
    </w:p>
    <w:p w14:paraId="4948EB5C" w14:textId="77777777" w:rsidR="00943E1C" w:rsidRPr="00943E1C" w:rsidRDefault="00943E1C" w:rsidP="00943E1C">
      <w:pPr>
        <w:pStyle w:val="3rdlevelhead1i"/>
        <w:rPr>
          <w:rFonts w:cs="Times New Roman"/>
        </w:rPr>
      </w:pPr>
      <w:r w:rsidRPr="00943E1C">
        <w:rPr>
          <w:rFonts w:cs="Times New Roman"/>
        </w:rPr>
        <w:t>3.</w:t>
      </w:r>
      <w:r w:rsidRPr="00943E1C">
        <w:rPr>
          <w:rFonts w:cs="Times New Roman"/>
        </w:rPr>
        <w:tab/>
        <w:t>Inventorship</w:t>
      </w:r>
    </w:p>
    <w:p w14:paraId="0D7A081C" w14:textId="77777777" w:rsidR="00943E1C" w:rsidRPr="00943E1C" w:rsidRDefault="00943E1C" w:rsidP="00943E1C">
      <w:pPr>
        <w:pStyle w:val="text"/>
        <w:rPr>
          <w:rFonts w:cs="Times New Roman"/>
        </w:rPr>
      </w:pPr>
      <w:r w:rsidRPr="00943E1C">
        <w:rPr>
          <w:rFonts w:cs="Times New Roman"/>
        </w:rPr>
        <w:t>Closely related to the novelty requirement of patent law is the requirement that the patent applicant must be the first inventive entity to invent the invention or the “true inventor” (i.e., one cannot patent what someone else invented).</w:t>
      </w:r>
      <w:r w:rsidRPr="00943E1C">
        <w:rPr>
          <w:rFonts w:cs="Times New Roman"/>
          <w:vertAlign w:val="superscript"/>
        </w:rPr>
        <w:footnoteReference w:id="74"/>
      </w:r>
      <w:r w:rsidRPr="00943E1C">
        <w:rPr>
          <w:rFonts w:cs="Times New Roman"/>
        </w:rPr>
        <w:t xml:space="preserve"> A third main difference between patents and trade secrets is that just as trade secrets do not need to be novel, trade secrets do not need to be uniquely invented. Anyone using a trade secret and taking reasonable secrecy precautions to retain the economic value of the secret can do so regardless of who is the first true inventor.</w:t>
      </w:r>
    </w:p>
    <w:p w14:paraId="1D95CBED" w14:textId="77777777" w:rsidR="00943E1C" w:rsidRPr="00943E1C" w:rsidRDefault="00943E1C" w:rsidP="00943E1C">
      <w:pPr>
        <w:pStyle w:val="3rdlevelhead1i"/>
        <w:rPr>
          <w:rFonts w:cs="Times New Roman"/>
        </w:rPr>
      </w:pPr>
      <w:r w:rsidRPr="00943E1C">
        <w:rPr>
          <w:rFonts w:cs="Times New Roman"/>
        </w:rPr>
        <w:t>4.</w:t>
      </w:r>
      <w:r w:rsidRPr="00943E1C">
        <w:rPr>
          <w:rFonts w:cs="Times New Roman"/>
        </w:rPr>
        <w:tab/>
        <w:t xml:space="preserve">Term of Protection </w:t>
      </w:r>
    </w:p>
    <w:p w14:paraId="16BD0DF4" w14:textId="77777777" w:rsidR="00943E1C" w:rsidRPr="00943E1C" w:rsidRDefault="00943E1C" w:rsidP="00943E1C">
      <w:pPr>
        <w:pStyle w:val="text"/>
        <w:rPr>
          <w:rFonts w:cs="Times New Roman"/>
        </w:rPr>
      </w:pPr>
      <w:r w:rsidRPr="00943E1C">
        <w:rPr>
          <w:rFonts w:cs="Times New Roman"/>
        </w:rPr>
        <w:t>A fourth, and quite significant, difference between patent law and trade secret law is the term available for protection. Historically, Section 154 of the Patent Act secured a 17-year patent protection to inventors from the patent’s issue date. Since mid-1995, however, the patent term now expires 20 years after the patent’s effective filing date.</w:t>
      </w:r>
      <w:r w:rsidRPr="00943E1C">
        <w:rPr>
          <w:rFonts w:cs="Times New Roman"/>
          <w:vertAlign w:val="superscript"/>
        </w:rPr>
        <w:footnoteReference w:id="75"/>
      </w:r>
      <w:r w:rsidRPr="00943E1C">
        <w:rPr>
          <w:rFonts w:cs="Times New Roman"/>
        </w:rPr>
        <w:t xml:space="preserve"> In great contrast to a patent’s restricted term, a trade secret is not limited in its duration. As long as the trade secret remains valuable by its continued secrecy, trade secret protection is available.</w:t>
      </w:r>
    </w:p>
    <w:p w14:paraId="6DCD0EB9" w14:textId="77777777" w:rsidR="00943E1C" w:rsidRDefault="00943E1C" w:rsidP="00943E1C">
      <w:pPr>
        <w:pStyle w:val="text"/>
        <w:rPr>
          <w:rFonts w:cs="Times New Roman"/>
        </w:rPr>
      </w:pPr>
      <w:r w:rsidRPr="00943E1C">
        <w:rPr>
          <w:rFonts w:cs="Times New Roman"/>
        </w:rPr>
        <w:t xml:space="preserve">Coca-Cola soda is an example of a long-held trade secret. Its formula, named </w:t>
      </w:r>
      <w:r w:rsidRPr="00943E1C">
        <w:rPr>
          <w:rFonts w:cs="Times New Roman"/>
          <w:i/>
          <w:iCs/>
        </w:rPr>
        <w:t>7X,</w:t>
      </w:r>
      <w:r w:rsidRPr="00943E1C">
        <w:rPr>
          <w:rFonts w:cs="Times New Roman"/>
        </w:rPr>
        <w:t xml:space="preserve"> has remained undisclosed for more than 130 years.</w:t>
      </w:r>
      <w:r w:rsidRPr="00943E1C">
        <w:rPr>
          <w:rFonts w:cs="Times New Roman"/>
          <w:vertAlign w:val="superscript"/>
        </w:rPr>
        <w:footnoteReference w:id="76"/>
      </w:r>
      <w:r w:rsidRPr="00943E1C">
        <w:rPr>
          <w:rFonts w:cs="Times New Roman"/>
        </w:rPr>
        <w:t xml:space="preserve"> This is far longer than the term that would have been granted had the formula been patented. The value of this trade secret remains formidable; 2010 net annual income attributable to shareholders of the Coca-Cola Company was $11.8 billion.</w:t>
      </w:r>
      <w:r w:rsidRPr="00943E1C">
        <w:rPr>
          <w:rFonts w:cs="Times New Roman"/>
          <w:vertAlign w:val="superscript"/>
        </w:rPr>
        <w:footnoteReference w:id="77"/>
      </w:r>
      <w:r w:rsidRPr="00943E1C">
        <w:rPr>
          <w:rFonts w:cs="Times New Roman"/>
        </w:rPr>
        <w:t xml:space="preserve"> </w:t>
      </w:r>
    </w:p>
    <w:p w14:paraId="6EBABB2D" w14:textId="77777777" w:rsidR="00CC1999" w:rsidRPr="0030006E" w:rsidRDefault="00CC1999" w:rsidP="00CC1999">
      <w:pPr>
        <w:pStyle w:val="3rdlevelhead1i"/>
        <w:rPr>
          <w:rFonts w:cs="Times New Roman"/>
        </w:rPr>
      </w:pPr>
      <w:r w:rsidRPr="0030006E">
        <w:rPr>
          <w:rFonts w:cs="Times New Roman"/>
        </w:rPr>
        <w:t>5.</w:t>
      </w:r>
      <w:r w:rsidRPr="0030006E">
        <w:rPr>
          <w:rFonts w:cs="Times New Roman"/>
        </w:rPr>
        <w:tab/>
        <w:t>Applicable Subject Matter</w:t>
      </w:r>
    </w:p>
    <w:p w14:paraId="0CABA3D0" w14:textId="77777777" w:rsidR="00CC1999" w:rsidRPr="0030006E" w:rsidRDefault="00CC1999" w:rsidP="00CC1999">
      <w:pPr>
        <w:pStyle w:val="text"/>
        <w:tabs>
          <w:tab w:val="left" w:pos="360"/>
        </w:tabs>
        <w:rPr>
          <w:rFonts w:cs="Times New Roman"/>
        </w:rPr>
      </w:pPr>
      <w:r w:rsidRPr="0030006E">
        <w:rPr>
          <w:rFonts w:cs="Times New Roman"/>
        </w:rPr>
        <w:t xml:space="preserve">A fifth, and topically relevant, difference between patent law and trade secret law is the technological subject matter available for protection. For instance, courts have invalidated business method claims and certain types of computer-implemented inventions. In </w:t>
      </w:r>
      <w:r w:rsidRPr="0030006E">
        <w:rPr>
          <w:rFonts w:cs="Times New Roman"/>
          <w:i/>
          <w:iCs/>
        </w:rPr>
        <w:t>Alice Corp. v. CLS Bank, International,</w:t>
      </w:r>
      <w:r w:rsidRPr="0030006E">
        <w:rPr>
          <w:rFonts w:cs="Times New Roman"/>
          <w:vertAlign w:val="superscript"/>
        </w:rPr>
        <w:footnoteReference w:id="78"/>
      </w:r>
      <w:r w:rsidRPr="0030006E">
        <w:rPr>
          <w:rFonts w:cs="Times New Roman"/>
        </w:rPr>
        <w:t xml:space="preserve"> the Supreme Court held that, although software remains patentable, the claims require an inventive concept beyond computer implementation of an abstract idea. By contrast, courts have shown greater willingness to afford trade secret protection to ideas, and that trade secret law may be used to sanction the misappropriation of a secret idea.</w:t>
      </w:r>
      <w:r w:rsidRPr="0030006E">
        <w:rPr>
          <w:rFonts w:cs="Times New Roman"/>
          <w:vertAlign w:val="superscript"/>
        </w:rPr>
        <w:footnoteReference w:id="79"/>
      </w:r>
      <w:r w:rsidRPr="0030006E">
        <w:rPr>
          <w:rFonts w:cs="Times New Roman"/>
        </w:rPr>
        <w:t xml:space="preserve"> </w:t>
      </w:r>
    </w:p>
    <w:p w14:paraId="2FB81CC8" w14:textId="77777777" w:rsidR="00CC1999" w:rsidRPr="00CC1999" w:rsidRDefault="00CC1999" w:rsidP="00B907A0"/>
    <w:p w14:paraId="453503AA" w14:textId="6817D6C5" w:rsidR="00943E1C" w:rsidRPr="00943E1C" w:rsidRDefault="00943E1C" w:rsidP="00943E1C">
      <w:pPr>
        <w:pStyle w:val="2ndlevelheadBbi"/>
        <w:rPr>
          <w:rFonts w:cs="Times New Roman"/>
        </w:rPr>
      </w:pPr>
      <w:r w:rsidRPr="00943E1C">
        <w:rPr>
          <w:rFonts w:cs="Times New Roman"/>
        </w:rPr>
        <w:t>C.</w:t>
      </w:r>
      <w:r w:rsidRPr="00943E1C">
        <w:rPr>
          <w:rFonts w:cs="Times New Roman"/>
        </w:rPr>
        <w:tab/>
      </w:r>
      <w:r w:rsidR="00CC1999" w:rsidRPr="0030006E">
        <w:rPr>
          <w:rFonts w:cs="Times New Roman"/>
        </w:rPr>
        <w:t>Preemption by Patent and Copyright Law</w:t>
      </w:r>
    </w:p>
    <w:p w14:paraId="1DDA76E3" w14:textId="77777777" w:rsidR="00CC1999" w:rsidRPr="0030006E" w:rsidRDefault="00CC1999" w:rsidP="00CC1999">
      <w:pPr>
        <w:pStyle w:val="text"/>
        <w:rPr>
          <w:rFonts w:cs="Times New Roman"/>
        </w:rPr>
      </w:pPr>
      <w:r w:rsidRPr="0030006E">
        <w:rPr>
          <w:rFonts w:cs="Times New Roman"/>
        </w:rPr>
        <w:t>The different spheres of intellectual property law can sometimes overlap. Trade secret law, which common law and state statute govern, lacks the federal authority of patent law and copyright law.</w:t>
      </w:r>
      <w:r w:rsidRPr="0030006E">
        <w:rPr>
          <w:rFonts w:cs="Times New Roman"/>
          <w:vertAlign w:val="superscript"/>
        </w:rPr>
        <w:footnoteReference w:id="80"/>
      </w:r>
      <w:r w:rsidRPr="0030006E">
        <w:rPr>
          <w:rFonts w:cs="Times New Roman"/>
        </w:rPr>
        <w:t xml:space="preserve"> Because patents and copyrights are federally prescribed, they take precedence over conflicting state laws. </w:t>
      </w:r>
    </w:p>
    <w:p w14:paraId="610FAC0B" w14:textId="77777777" w:rsidR="00CC1999" w:rsidRPr="0030006E" w:rsidRDefault="00CC1999" w:rsidP="00CC1999">
      <w:pPr>
        <w:pStyle w:val="text"/>
        <w:rPr>
          <w:rFonts w:cs="Times New Roman"/>
        </w:rPr>
      </w:pPr>
      <w:r w:rsidRPr="0030006E">
        <w:rPr>
          <w:rFonts w:cs="Times New Roman"/>
        </w:rPr>
        <w:t>The supremacy of federal law in the area of copyright means, however, that state protection of copyrightable subject matter must sometimes give way to the Copyright Act. Although the Supreme Court has not addressed the question, 11 federal circuits have held that the Copyright Act is one of the uncommon statutes that completely preempts the substantive field and thus transforms a state-law complaint asserting claims that are preempted into a federal claim for purposes of the well-pleaded complaint rule.</w:t>
      </w:r>
      <w:r w:rsidRPr="0030006E">
        <w:rPr>
          <w:rFonts w:cs="Times New Roman"/>
          <w:vertAlign w:val="superscript"/>
        </w:rPr>
        <w:footnoteReference w:id="81"/>
      </w:r>
      <w:r w:rsidRPr="0030006E">
        <w:rPr>
          <w:rFonts w:cs="Times New Roman"/>
        </w:rPr>
        <w:t xml:space="preserve"> The Copyright Act preempts a state law claim when two conditions are met, and for a state-law claim to be preempted by the Copyright Act, both prongs of a two-factor test must be satisfied:</w:t>
      </w:r>
      <w:r w:rsidRPr="0030006E">
        <w:rPr>
          <w:rFonts w:cs="Times New Roman"/>
          <w:vertAlign w:val="superscript"/>
        </w:rPr>
        <w:footnoteReference w:id="82"/>
      </w:r>
      <w:r w:rsidRPr="0030006E">
        <w:rPr>
          <w:rFonts w:cs="Times New Roman"/>
        </w:rPr>
        <w:t xml:space="preserve"> </w:t>
      </w:r>
    </w:p>
    <w:p w14:paraId="31480A13" w14:textId="77777777" w:rsidR="00CC1999" w:rsidRPr="0030006E" w:rsidRDefault="00CC1999" w:rsidP="00CC1999">
      <w:pPr>
        <w:pStyle w:val="block-f0"/>
        <w:rPr>
          <w:rFonts w:cs="Times New Roman"/>
        </w:rPr>
      </w:pPr>
      <w:r w:rsidRPr="0030006E">
        <w:rPr>
          <w:rFonts w:cs="Times New Roman"/>
        </w:rPr>
        <w:t>First, the claim is examined to determine whether it falls “within the subject matter of copyright” as defined by 17 U.S.C. §102. . . . [a]</w:t>
      </w:r>
      <w:proofErr w:type="spellStart"/>
      <w:r w:rsidRPr="0030006E">
        <w:rPr>
          <w:rFonts w:cs="Times New Roman"/>
        </w:rPr>
        <w:t>nd</w:t>
      </w:r>
      <w:proofErr w:type="spellEnd"/>
      <w:r w:rsidRPr="0030006E">
        <w:rPr>
          <w:rFonts w:cs="Times New Roman"/>
        </w:rPr>
        <w:t xml:space="preserve"> second, “the cause of action is examined to determine if it protects rights that are ‘equivalent’ to any of the exclusive rights of a federal copyright, as provided in 17 U.S.C. §106.”</w:t>
      </w:r>
      <w:r w:rsidRPr="0030006E">
        <w:rPr>
          <w:rFonts w:cs="Times New Roman"/>
          <w:vertAlign w:val="superscript"/>
        </w:rPr>
        <w:footnoteReference w:id="83"/>
      </w:r>
      <w:r w:rsidRPr="0030006E">
        <w:rPr>
          <w:rFonts w:cs="Times New Roman"/>
        </w:rPr>
        <w:t xml:space="preserve"> </w:t>
      </w:r>
    </w:p>
    <w:p w14:paraId="33B739D8" w14:textId="77777777" w:rsidR="00CC1999" w:rsidRPr="0030006E" w:rsidRDefault="00CC1999" w:rsidP="00CC1999">
      <w:pPr>
        <w:pStyle w:val="text"/>
        <w:rPr>
          <w:rFonts w:cs="Times New Roman"/>
        </w:rPr>
      </w:pPr>
      <w:r w:rsidRPr="0030006E">
        <w:rPr>
          <w:rFonts w:cs="Times New Roman"/>
        </w:rPr>
        <w:t xml:space="preserve">Applying this analysis to the Texas trade secret law at issue in </w:t>
      </w:r>
      <w:proofErr w:type="spellStart"/>
      <w:r w:rsidRPr="0030006E">
        <w:rPr>
          <w:rFonts w:cs="Times New Roman"/>
          <w:i/>
          <w:iCs/>
        </w:rPr>
        <w:t>GlobeRanger</w:t>
      </w:r>
      <w:proofErr w:type="spellEnd"/>
      <w:r w:rsidRPr="0030006E">
        <w:rPr>
          <w:rFonts w:cs="Times New Roman"/>
          <w:i/>
          <w:iCs/>
        </w:rPr>
        <w:t xml:space="preserve"> Corp. v. Software AG</w:t>
      </w:r>
      <w:r w:rsidRPr="0030006E">
        <w:rPr>
          <w:rFonts w:cs="Times New Roman"/>
        </w:rPr>
        <w:t>,</w:t>
      </w:r>
      <w:r w:rsidRPr="0030006E">
        <w:rPr>
          <w:rFonts w:cs="Times New Roman"/>
          <w:vertAlign w:val="superscript"/>
        </w:rPr>
        <w:footnoteReference w:id="84"/>
      </w:r>
      <w:r w:rsidRPr="0030006E">
        <w:rPr>
          <w:rFonts w:cs="Times New Roman"/>
        </w:rPr>
        <w:t xml:space="preserve"> the Fifth Circuit concluded that (1) although allegations of misappropriation of items such as procedures, processes, or methods could potentially remove a trade secret claim from the possibility of preemption, </w:t>
      </w:r>
      <w:proofErr w:type="spellStart"/>
      <w:r w:rsidRPr="0030006E">
        <w:rPr>
          <w:rFonts w:cs="Times New Roman"/>
        </w:rPr>
        <w:t>GlobeRanger’s</w:t>
      </w:r>
      <w:proofErr w:type="spellEnd"/>
      <w:r w:rsidRPr="0030006E">
        <w:rPr>
          <w:rFonts w:cs="Times New Roman"/>
        </w:rPr>
        <w:t xml:space="preserve"> misappropriation claim was limited to software and thus fell within the scope of work protected under the Copyright Act; and (2) Texas trade secret law protects acts beyond the copying or transmitting that the Copyright Act protects against. Thus, failing to meet the second element of the test, the Fifth Circuit found that the Texas trade secret misappropriation law was not preempted by the Copyright Act.</w:t>
      </w:r>
    </w:p>
    <w:p w14:paraId="1732DD20" w14:textId="77777777" w:rsidR="00CC1999" w:rsidRPr="0030006E" w:rsidRDefault="00CC1999" w:rsidP="00CC1999">
      <w:pPr>
        <w:pStyle w:val="text"/>
        <w:rPr>
          <w:rFonts w:cs="Times New Roman"/>
        </w:rPr>
      </w:pPr>
      <w:r w:rsidRPr="0030006E">
        <w:rPr>
          <w:rFonts w:cs="Times New Roman"/>
        </w:rPr>
        <w:t xml:space="preserve">In </w:t>
      </w:r>
      <w:r w:rsidRPr="0030006E">
        <w:rPr>
          <w:rFonts w:cs="Times New Roman"/>
          <w:i/>
          <w:iCs/>
        </w:rPr>
        <w:t>Kewanee Oil Co</w:t>
      </w:r>
      <w:r w:rsidRPr="0030006E">
        <w:rPr>
          <w:rFonts w:cs="Times New Roman"/>
        </w:rPr>
        <w:t>.</w:t>
      </w:r>
      <w:r w:rsidRPr="0030006E">
        <w:rPr>
          <w:rFonts w:cs="Times New Roman"/>
          <w:i/>
          <w:iCs/>
        </w:rPr>
        <w:t xml:space="preserve"> v</w:t>
      </w:r>
      <w:r w:rsidRPr="0030006E">
        <w:rPr>
          <w:rFonts w:cs="Times New Roman"/>
        </w:rPr>
        <w:t>.</w:t>
      </w:r>
      <w:r w:rsidRPr="0030006E">
        <w:rPr>
          <w:rFonts w:cs="Times New Roman"/>
          <w:i/>
          <w:iCs/>
        </w:rPr>
        <w:t xml:space="preserve"> </w:t>
      </w:r>
      <w:proofErr w:type="spellStart"/>
      <w:r w:rsidRPr="0030006E">
        <w:rPr>
          <w:rFonts w:cs="Times New Roman"/>
          <w:i/>
          <w:iCs/>
        </w:rPr>
        <w:t>Bicron</w:t>
      </w:r>
      <w:proofErr w:type="spellEnd"/>
      <w:r w:rsidRPr="0030006E">
        <w:rPr>
          <w:rFonts w:cs="Times New Roman"/>
          <w:i/>
          <w:iCs/>
        </w:rPr>
        <w:t xml:space="preserve"> Corp</w:t>
      </w:r>
      <w:r w:rsidRPr="0030006E">
        <w:rPr>
          <w:rFonts w:cs="Times New Roman"/>
        </w:rPr>
        <w:t>.,</w:t>
      </w:r>
      <w:r w:rsidRPr="0030006E">
        <w:rPr>
          <w:rFonts w:cs="Times New Roman"/>
          <w:vertAlign w:val="superscript"/>
        </w:rPr>
        <w:footnoteReference w:id="85"/>
      </w:r>
      <w:r w:rsidRPr="0030006E">
        <w:rPr>
          <w:rFonts w:cs="Times New Roman"/>
        </w:rPr>
        <w:t xml:space="preserve"> the Supreme Court held that the federal patent statutes do not preempt state trade secret laws. </w:t>
      </w:r>
    </w:p>
    <w:p w14:paraId="174AEA59" w14:textId="77777777" w:rsidR="00943E1C" w:rsidRPr="00943E1C" w:rsidRDefault="00943E1C" w:rsidP="00943E1C">
      <w:pPr>
        <w:pStyle w:val="text"/>
        <w:rPr>
          <w:rFonts w:cs="Times New Roman"/>
        </w:rPr>
      </w:pPr>
      <w:r w:rsidRPr="00943E1C">
        <w:rPr>
          <w:rFonts w:cs="Times New Roman"/>
        </w:rPr>
        <w:t xml:space="preserve">At dispute in </w:t>
      </w:r>
      <w:r w:rsidRPr="00943E1C">
        <w:rPr>
          <w:rFonts w:cs="Times New Roman"/>
          <w:i/>
          <w:iCs/>
        </w:rPr>
        <w:t>Kewanee Oil</w:t>
      </w:r>
      <w:r w:rsidRPr="00943E1C">
        <w:rPr>
          <w:rFonts w:cs="Times New Roman"/>
        </w:rPr>
        <w:t xml:space="preserve"> were 20 trade secrets dealing with the production of crystals. After some of Kewanee Oil’s employees left to work for </w:t>
      </w:r>
      <w:proofErr w:type="spellStart"/>
      <w:r w:rsidRPr="00943E1C">
        <w:rPr>
          <w:rFonts w:cs="Times New Roman"/>
        </w:rPr>
        <w:t>Bicron</w:t>
      </w:r>
      <w:proofErr w:type="spellEnd"/>
      <w:r w:rsidRPr="00943E1C">
        <w:rPr>
          <w:rFonts w:cs="Times New Roman"/>
        </w:rPr>
        <w:t xml:space="preserve"> Corporation, the district court granted a permanent injunction against the use by </w:t>
      </w:r>
      <w:proofErr w:type="spellStart"/>
      <w:r w:rsidRPr="00943E1C">
        <w:rPr>
          <w:rFonts w:cs="Times New Roman"/>
        </w:rPr>
        <w:t>Bicron</w:t>
      </w:r>
      <w:proofErr w:type="spellEnd"/>
      <w:r w:rsidRPr="00943E1C">
        <w:rPr>
          <w:rFonts w:cs="Times New Roman"/>
        </w:rPr>
        <w:t xml:space="preserve"> of the trade secrets. The injunction was to be enforced until the trade secrets were generally available to the public. The appellate court reversed the district court and decided that trade secret protection could not grant a monopoly because the trade secrets were patentable subject matter.</w:t>
      </w:r>
    </w:p>
    <w:p w14:paraId="300D1D7E" w14:textId="77777777" w:rsidR="00943E1C" w:rsidRPr="00943E1C" w:rsidRDefault="00943E1C" w:rsidP="00943E1C">
      <w:pPr>
        <w:pStyle w:val="text"/>
        <w:rPr>
          <w:rFonts w:cs="Times New Roman"/>
        </w:rPr>
      </w:pPr>
      <w:r w:rsidRPr="00943E1C">
        <w:rPr>
          <w:rFonts w:cs="Times New Roman"/>
        </w:rPr>
        <w:t>The Supreme Court reversed the appellate court’s decision and reinstated the district court’s permanent injunction. The Court held that states, in furthering their diverse interests, may have different methods of protecting intellectual property. The only limitation imposed on the states is that state laws may not conflict with the operation of the federal patent law.</w:t>
      </w:r>
    </w:p>
    <w:p w14:paraId="0231375B" w14:textId="77777777" w:rsidR="00943E1C" w:rsidRPr="00943E1C" w:rsidRDefault="00943E1C" w:rsidP="00943E1C">
      <w:pPr>
        <w:pStyle w:val="text"/>
        <w:rPr>
          <w:rFonts w:cs="Times New Roman"/>
        </w:rPr>
      </w:pPr>
      <w:r w:rsidRPr="00943E1C">
        <w:rPr>
          <w:rFonts w:cs="Times New Roman"/>
        </w:rPr>
        <w:t>The Supreme Court inspected the objectives of both the patent and the trade secret laws. The Justices determined that patent law seeks to promote the progress of science by offering inventors a temporary monopoly in exchange for public disclosure of their inventions.</w:t>
      </w:r>
      <w:r w:rsidRPr="00943E1C">
        <w:rPr>
          <w:rFonts w:cs="Times New Roman"/>
          <w:vertAlign w:val="superscript"/>
        </w:rPr>
        <w:footnoteReference w:id="86"/>
      </w:r>
      <w:r w:rsidRPr="00943E1C">
        <w:rPr>
          <w:rFonts w:cs="Times New Roman"/>
        </w:rPr>
        <w:t xml:space="preserve"> In contrast, trade secret laws seek to promote scientific research and development of discoveries that may not or cannot be subject to patent protection, such as discoveries of ideas that do not fall under the proper subject matters protected by patents.</w:t>
      </w:r>
      <w:r w:rsidRPr="00943E1C">
        <w:rPr>
          <w:rFonts w:cs="Times New Roman"/>
          <w:vertAlign w:val="superscript"/>
        </w:rPr>
        <w:footnoteReference w:id="87"/>
      </w:r>
      <w:r w:rsidRPr="00943E1C">
        <w:rPr>
          <w:rFonts w:cs="Times New Roman"/>
        </w:rPr>
        <w:t xml:space="preserve"> In other words, trade secret law can protect items that are not patentable. Trade secret law also can protect patentable inventions. However, with respect to these patentable inventions, trade secret law does not guarantee that other inventors will not later invent and possibly patent these inventions.</w:t>
      </w:r>
    </w:p>
    <w:p w14:paraId="35254399" w14:textId="77777777" w:rsidR="00943E1C" w:rsidRPr="00943E1C" w:rsidRDefault="00943E1C" w:rsidP="00943E1C">
      <w:pPr>
        <w:pStyle w:val="text"/>
        <w:rPr>
          <w:rFonts w:cs="Times New Roman"/>
        </w:rPr>
      </w:pPr>
      <w:r w:rsidRPr="00943E1C">
        <w:rPr>
          <w:rFonts w:cs="Times New Roman"/>
        </w:rPr>
        <w:t>As a result, the Supreme Court determined the objectives of trade secret law are not incompatible with those of patent law. Therefore, because trade secrets do not deter public disclosure of discoveries through the patent process, because trade secret law offers positive effects on discoveries outside patent law’s realm, and because history has shown that there is a high probability that other inventors will independently discover (and then perhaps patent) trade secret information, the Supreme Court held that federal patent law does not preempt trade secret law.</w:t>
      </w:r>
    </w:p>
    <w:p w14:paraId="719F1E7F" w14:textId="77777777" w:rsidR="00943E1C" w:rsidRPr="00943E1C" w:rsidRDefault="00943E1C" w:rsidP="00943E1C">
      <w:pPr>
        <w:pStyle w:val="2ndlevelheadBbi"/>
        <w:rPr>
          <w:rFonts w:cs="Times New Roman"/>
        </w:rPr>
      </w:pPr>
      <w:r w:rsidRPr="00943E1C">
        <w:rPr>
          <w:rFonts w:cs="Times New Roman"/>
        </w:rPr>
        <w:t>D.</w:t>
      </w:r>
      <w:r w:rsidRPr="00943E1C">
        <w:rPr>
          <w:rFonts w:cs="Times New Roman"/>
        </w:rPr>
        <w:tab/>
        <w:t xml:space="preserve">Trade Secrets and the Leahy-Smith America Invents Act </w:t>
      </w:r>
    </w:p>
    <w:p w14:paraId="0061DDC9" w14:textId="77777777" w:rsidR="00943E1C" w:rsidRPr="00943E1C" w:rsidRDefault="00943E1C" w:rsidP="00943E1C">
      <w:pPr>
        <w:pStyle w:val="text"/>
        <w:rPr>
          <w:rFonts w:cs="Times New Roman"/>
        </w:rPr>
      </w:pPr>
      <w:r w:rsidRPr="00943E1C">
        <w:rPr>
          <w:rFonts w:cs="Times New Roman"/>
        </w:rPr>
        <w:t>The Leahy-Smith America Invents Act (AIA)</w:t>
      </w:r>
      <w:r w:rsidRPr="00943E1C">
        <w:rPr>
          <w:rFonts w:cs="Times New Roman"/>
          <w:vertAlign w:val="superscript"/>
        </w:rPr>
        <w:footnoteReference w:id="88"/>
      </w:r>
      <w:r w:rsidRPr="00943E1C">
        <w:rPr>
          <w:rFonts w:cs="Times New Roman"/>
        </w:rPr>
        <w:t xml:space="preserve"> arguably represents the most comprehensive change to the U.S. patent laws since the Patent Act of 1952. Among the changes, Section 5 of the AIA expands the prior use defense of 35 U.S.C. §273 to processes, machines, manufactures, and compositions of matter for patents issued after September 16, 2011. This provision can affect the decision for some as to whether to seek patent protection for an invention or to keep it a trade secret.</w:t>
      </w:r>
    </w:p>
    <w:p w14:paraId="45860E02" w14:textId="77777777" w:rsidR="00943E1C" w:rsidRPr="00943E1C" w:rsidRDefault="00943E1C" w:rsidP="00943E1C">
      <w:pPr>
        <w:pStyle w:val="text"/>
        <w:rPr>
          <w:rFonts w:cs="Times New Roman"/>
          <w:vertAlign w:val="superscript"/>
        </w:rPr>
      </w:pPr>
      <w:r w:rsidRPr="00943E1C">
        <w:rPr>
          <w:rFonts w:cs="Times New Roman"/>
        </w:rPr>
        <w:t>Before the AIA, the Patent Act permitted prior user rights for business method patents. Congress added Section 273 to Title 35 entitled “Defense to infringement based on earlier inventor” in 1999.</w:t>
      </w:r>
      <w:r w:rsidRPr="00943E1C">
        <w:rPr>
          <w:rFonts w:cs="Times New Roman"/>
          <w:vertAlign w:val="superscript"/>
        </w:rPr>
        <w:footnoteReference w:id="89"/>
      </w:r>
      <w:r w:rsidRPr="00943E1C">
        <w:rPr>
          <w:rFonts w:cs="Times New Roman"/>
        </w:rPr>
        <w:t xml:space="preserve"> Section 273 was added in response to the Federal Circuit decision in </w:t>
      </w:r>
      <w:r w:rsidRPr="00943E1C">
        <w:rPr>
          <w:rFonts w:cs="Times New Roman"/>
          <w:i/>
          <w:iCs/>
        </w:rPr>
        <w:t>State Street Bank &amp; Trust Co. v</w:t>
      </w:r>
      <w:r w:rsidRPr="00943E1C">
        <w:rPr>
          <w:rFonts w:cs="Times New Roman"/>
        </w:rPr>
        <w:t>.</w:t>
      </w:r>
      <w:r w:rsidRPr="00943E1C">
        <w:rPr>
          <w:rFonts w:cs="Times New Roman"/>
          <w:i/>
          <w:iCs/>
        </w:rPr>
        <w:t xml:space="preserve"> Signature Financial Group, Inc.</w:t>
      </w:r>
      <w:r w:rsidRPr="00943E1C">
        <w:rPr>
          <w:rFonts w:cs="Times New Roman"/>
        </w:rPr>
        <w:t>,</w:t>
      </w:r>
      <w:r w:rsidRPr="00943E1C">
        <w:rPr>
          <w:rFonts w:cs="Times New Roman"/>
          <w:vertAlign w:val="superscript"/>
        </w:rPr>
        <w:footnoteReference w:id="90"/>
      </w:r>
      <w:r w:rsidRPr="00943E1C">
        <w:rPr>
          <w:rFonts w:cs="Times New Roman"/>
        </w:rPr>
        <w:t xml:space="preserve"> which held that business methods fall within the scope of patentable subject matter. With the addition of Section 273, Congress addressed the financial industry’s concern for liability with a modified version of prior user rights against business method patents. Congress had considered amending the Patent Act to include prior user rights several times before, without success,</w:t>
      </w:r>
      <w:r w:rsidRPr="00943E1C">
        <w:rPr>
          <w:rFonts w:cs="Times New Roman"/>
          <w:vertAlign w:val="superscript"/>
        </w:rPr>
        <w:footnoteReference w:id="91"/>
      </w:r>
      <w:r w:rsidRPr="00943E1C">
        <w:rPr>
          <w:rFonts w:cs="Times New Roman"/>
        </w:rPr>
        <w:t xml:space="preserve"> and the business method exception presented limited protection. The prior user defense for business method patents generated only two reported decisions, and in each case the defense was unsuccessful.</w:t>
      </w:r>
      <w:r w:rsidRPr="00943E1C">
        <w:rPr>
          <w:rFonts w:cs="Times New Roman"/>
          <w:vertAlign w:val="superscript"/>
        </w:rPr>
        <w:footnoteReference w:id="92"/>
      </w:r>
    </w:p>
    <w:p w14:paraId="42D44017" w14:textId="77777777" w:rsidR="00943E1C" w:rsidRPr="00943E1C" w:rsidRDefault="00943E1C" w:rsidP="00943E1C">
      <w:pPr>
        <w:pStyle w:val="text"/>
        <w:rPr>
          <w:rFonts w:cs="Times New Roman"/>
        </w:rPr>
      </w:pPr>
      <w:r w:rsidRPr="00943E1C">
        <w:rPr>
          <w:rFonts w:cs="Times New Roman"/>
        </w:rPr>
        <w:t xml:space="preserve">The prior user defense provides a safe harbor of protection for an accused infringer that decides to use the invention in private. Under Section 273, now entitled “Defense to infringement based on prior commercial use,” a prior user sued for patent infringement can argue with clear and convincing evidence that it is entitled to exploit the invention provided that certain conditions are met. For example, the prior user must also show that the invention was, in good faith, commercially used in the United States in an internal commercial use, in an actual arm’s length sale, or other arm’s length transfer that resulted in a commercial use. Also, the prior commercial use must take place prior to the earlier of one year before the effective filing date of the patent application or public disclosure by the patentee. </w:t>
      </w:r>
    </w:p>
    <w:p w14:paraId="63AB80A7" w14:textId="77777777" w:rsidR="00943E1C" w:rsidRPr="00943E1C" w:rsidRDefault="00943E1C" w:rsidP="00943E1C">
      <w:pPr>
        <w:pStyle w:val="text"/>
        <w:rPr>
          <w:rFonts w:cs="Times New Roman"/>
        </w:rPr>
      </w:pPr>
      <w:r w:rsidRPr="00943E1C">
        <w:rPr>
          <w:rFonts w:cs="Times New Roman"/>
        </w:rPr>
        <w:t>Whether the prior use defense will tip the balance of available protection toward keeping inventions as trade secrets remains to be determined. If a prior user was secretly exploiting an invention claimed in a patent, the prior user may be unable to assert invalidity based on its own use or noninfringement. The prior user defense extends only to the specific subject matter for which it has been established as a commercial use. If the prior use differs from the accused subject matter, such as if a manufacturing process has been modified or abandoned, infringement can still be found. Also, the prior use defense is only a defense to infringement, and it cannot be used to invalidate the asserted patent. In many cases, an accused infringer would prefer to assert invalidity against the patentee rather than a relatively toothless and nontransferable prior user defense that leaves the patent intact.</w:t>
      </w:r>
    </w:p>
    <w:p w14:paraId="45737FC1" w14:textId="77777777" w:rsidR="00943E1C" w:rsidRPr="00943E1C" w:rsidRDefault="00943E1C" w:rsidP="00943E1C">
      <w:pPr>
        <w:pStyle w:val="1stlevelheadIrb"/>
        <w:rPr>
          <w:rFonts w:ascii="Times New Roman" w:hAnsi="Times New Roman" w:cs="Times New Roman"/>
        </w:rPr>
      </w:pPr>
      <w:r w:rsidRPr="00943E1C">
        <w:rPr>
          <w:rFonts w:ascii="Times New Roman" w:hAnsi="Times New Roman" w:cs="Times New Roman"/>
        </w:rPr>
        <w:t>§2.03</w:t>
      </w:r>
      <w:r w:rsidRPr="00943E1C">
        <w:rPr>
          <w:rFonts w:ascii="Times New Roman" w:hAnsi="Times New Roman" w:cs="Times New Roman"/>
        </w:rPr>
        <w:tab/>
        <w:t>Trademark Protection</w:t>
      </w:r>
    </w:p>
    <w:p w14:paraId="7AF8D6F7" w14:textId="77777777" w:rsidR="00943E1C" w:rsidRPr="00943E1C" w:rsidRDefault="00943E1C" w:rsidP="00943E1C">
      <w:pPr>
        <w:pStyle w:val="2ndlevelheadnospacebi"/>
        <w:rPr>
          <w:rFonts w:ascii="Times New Roman" w:hAnsi="Times New Roman" w:cs="Times New Roman"/>
        </w:rPr>
      </w:pPr>
      <w:r w:rsidRPr="00943E1C">
        <w:rPr>
          <w:rFonts w:ascii="Times New Roman" w:hAnsi="Times New Roman" w:cs="Times New Roman"/>
        </w:rPr>
        <w:t>A.</w:t>
      </w:r>
      <w:r w:rsidRPr="00943E1C">
        <w:rPr>
          <w:rFonts w:ascii="Times New Roman" w:hAnsi="Times New Roman" w:cs="Times New Roman"/>
        </w:rPr>
        <w:tab/>
        <w:t>Trademarks Defined</w:t>
      </w:r>
    </w:p>
    <w:p w14:paraId="375BC95A" w14:textId="77777777" w:rsidR="00943E1C" w:rsidRPr="00943E1C" w:rsidRDefault="00943E1C" w:rsidP="00943E1C">
      <w:pPr>
        <w:pStyle w:val="text"/>
        <w:rPr>
          <w:rFonts w:cs="Times New Roman"/>
        </w:rPr>
      </w:pPr>
      <w:r w:rsidRPr="00943E1C">
        <w:rPr>
          <w:rFonts w:cs="Times New Roman"/>
        </w:rPr>
        <w:t>Intellectual property laws usually protect an item that an entrepreneur markets. Patents give the businessperson a monopoly that can be used to prevent others from making, using, and selling products that include the patented invention.</w:t>
      </w:r>
      <w:r w:rsidRPr="00943E1C">
        <w:rPr>
          <w:rFonts w:cs="Times New Roman"/>
          <w:vertAlign w:val="superscript"/>
        </w:rPr>
        <w:footnoteReference w:id="93"/>
      </w:r>
      <w:r w:rsidRPr="00943E1C">
        <w:rPr>
          <w:rFonts w:cs="Times New Roman"/>
        </w:rPr>
        <w:t xml:space="preserve"> Copyrights give the author the exclusive right to reproduce and sell a copyrighted product.</w:t>
      </w:r>
      <w:r w:rsidRPr="00943E1C">
        <w:rPr>
          <w:rFonts w:cs="Times New Roman"/>
          <w:vertAlign w:val="superscript"/>
        </w:rPr>
        <w:footnoteReference w:id="94"/>
      </w:r>
      <w:r w:rsidRPr="00943E1C">
        <w:rPr>
          <w:rFonts w:cs="Times New Roman"/>
        </w:rPr>
        <w:t xml:space="preserve"> Trade secret law gives the marketer a right to prevent others from improperly knowing the secret production methods of a product, ensuring that others do not improperly learn about and then market a competing product.</w:t>
      </w:r>
      <w:r w:rsidRPr="00943E1C">
        <w:rPr>
          <w:rFonts w:cs="Times New Roman"/>
          <w:vertAlign w:val="superscript"/>
        </w:rPr>
        <w:footnoteReference w:id="95"/>
      </w:r>
      <w:r w:rsidRPr="00943E1C">
        <w:rPr>
          <w:rFonts w:cs="Times New Roman"/>
        </w:rPr>
        <w:t xml:space="preserve"> In contrast to the protection of products under patent law, copyright law, or trade secret law, a trademark does </w:t>
      </w:r>
      <w:r w:rsidRPr="00943E1C">
        <w:rPr>
          <w:rFonts w:cs="Times New Roman"/>
          <w:i/>
          <w:iCs/>
        </w:rPr>
        <w:t>not</w:t>
      </w:r>
      <w:r w:rsidRPr="00943E1C">
        <w:rPr>
          <w:rFonts w:cs="Times New Roman"/>
        </w:rPr>
        <w:t xml:space="preserve"> protect a marketed product. Instead, trademark law protects the </w:t>
      </w:r>
      <w:r w:rsidRPr="00943E1C">
        <w:rPr>
          <w:rFonts w:cs="Times New Roman"/>
          <w:i/>
          <w:iCs/>
        </w:rPr>
        <w:t>association</w:t>
      </w:r>
      <w:r w:rsidRPr="00943E1C">
        <w:rPr>
          <w:rFonts w:cs="Times New Roman"/>
        </w:rPr>
        <w:t xml:space="preserve"> of a product or service with the producer of the product or service.</w:t>
      </w:r>
      <w:r w:rsidRPr="00943E1C">
        <w:rPr>
          <w:rFonts w:cs="Times New Roman"/>
          <w:vertAlign w:val="superscript"/>
        </w:rPr>
        <w:footnoteReference w:id="96"/>
      </w:r>
    </w:p>
    <w:p w14:paraId="574852D7" w14:textId="77777777" w:rsidR="00943E1C" w:rsidRPr="00943E1C" w:rsidRDefault="00943E1C" w:rsidP="00943E1C">
      <w:pPr>
        <w:pStyle w:val="text"/>
        <w:rPr>
          <w:rFonts w:cs="Times New Roman"/>
        </w:rPr>
      </w:pPr>
      <w:r w:rsidRPr="00943E1C">
        <w:rPr>
          <w:rFonts w:cs="Times New Roman"/>
        </w:rPr>
        <w:t>Trademarks are the symbols, words, names, and other devices that identify the source of a product and distinguish the product from products produced by others.</w:t>
      </w:r>
      <w:r w:rsidRPr="00943E1C">
        <w:rPr>
          <w:rFonts w:cs="Times New Roman"/>
          <w:vertAlign w:val="superscript"/>
        </w:rPr>
        <w:footnoteReference w:id="97"/>
      </w:r>
      <w:r w:rsidRPr="00943E1C">
        <w:rPr>
          <w:rFonts w:cs="Times New Roman"/>
        </w:rPr>
        <w:t xml:space="preserve"> Well-known trademarks in the computer industry include Adobe, Apple, Google, HP, IBM, Microsoft, Novell, and TrueType. These trademark symbols allow the consumer to determine easily who made the good or who is providing the service. By knowing this information, the consumer can “identify goods or services that have been satisfactory in the past and reject goods or services that have failed to give satisfaction.”</w:t>
      </w:r>
      <w:r w:rsidRPr="00943E1C">
        <w:rPr>
          <w:rFonts w:cs="Times New Roman"/>
          <w:vertAlign w:val="superscript"/>
        </w:rPr>
        <w:footnoteReference w:id="98"/>
      </w:r>
    </w:p>
    <w:p w14:paraId="0C9EF772" w14:textId="77777777" w:rsidR="00943E1C" w:rsidRPr="00943E1C" w:rsidRDefault="00943E1C" w:rsidP="00943E1C">
      <w:pPr>
        <w:pStyle w:val="text"/>
        <w:rPr>
          <w:rFonts w:cs="Times New Roman"/>
        </w:rPr>
      </w:pPr>
      <w:r w:rsidRPr="00943E1C">
        <w:rPr>
          <w:rFonts w:cs="Times New Roman"/>
        </w:rPr>
        <w:t>Though trademarks protect the association of a producer with a product rather than the product itself, trademark protection can be very desirable. Except for single-product monopolies, a consumer is presented with many options in the search for a single product. To reduce the effort in making purchasing decisions, consumers rely on trademark brand names. For example, rather than purchase “just any” lap top computer, a consumer may choose a Dell Inspiron</w:t>
      </w:r>
      <w:r w:rsidRPr="00943E1C">
        <w:rPr>
          <w:rFonts w:cs="Times New Roman"/>
          <w:vertAlign w:val="superscript"/>
        </w:rPr>
        <w:footnoteReference w:id="99"/>
      </w:r>
      <w:r w:rsidRPr="00943E1C">
        <w:rPr>
          <w:rFonts w:cs="Times New Roman"/>
        </w:rPr>
        <w:t xml:space="preserve"> lap top computer model. Similarly, when a research facility is evaluating the purchase of a group of servers, a large part of the decision may be based on how the purchasers feel about certain brand names of computer servers, such as believing HP ProLiant servers offer superior quality.</w:t>
      </w:r>
      <w:r w:rsidRPr="00943E1C">
        <w:rPr>
          <w:rFonts w:cs="Times New Roman"/>
          <w:vertAlign w:val="superscript"/>
        </w:rPr>
        <w:footnoteReference w:id="100"/>
      </w:r>
      <w:r w:rsidRPr="00943E1C">
        <w:rPr>
          <w:rFonts w:cs="Times New Roman"/>
        </w:rPr>
        <w:t xml:space="preserve"> If other manufacturers also labeled their products with these brand names, the consuming public would be unable to choose products easily.</w:t>
      </w:r>
    </w:p>
    <w:p w14:paraId="49879520" w14:textId="77777777" w:rsidR="00943E1C" w:rsidRPr="00943E1C" w:rsidRDefault="00943E1C" w:rsidP="00943E1C">
      <w:pPr>
        <w:pStyle w:val="2ndlevelheadBbi"/>
        <w:rPr>
          <w:rFonts w:cs="Times New Roman"/>
        </w:rPr>
      </w:pPr>
      <w:r w:rsidRPr="00943E1C">
        <w:rPr>
          <w:rFonts w:cs="Times New Roman"/>
        </w:rPr>
        <w:t>B.</w:t>
      </w:r>
      <w:r w:rsidRPr="00943E1C">
        <w:rPr>
          <w:rFonts w:cs="Times New Roman"/>
        </w:rPr>
        <w:tab/>
        <w:t xml:space="preserve">Trademark Protection Compared to Patent Protection </w:t>
      </w:r>
    </w:p>
    <w:p w14:paraId="7170B5C1" w14:textId="77777777" w:rsidR="00943E1C" w:rsidRPr="00943E1C" w:rsidRDefault="00943E1C" w:rsidP="00943E1C">
      <w:pPr>
        <w:pStyle w:val="3rdlevelheadnospacei"/>
        <w:rPr>
          <w:rFonts w:cs="Times New Roman"/>
        </w:rPr>
      </w:pPr>
      <w:r w:rsidRPr="00943E1C">
        <w:rPr>
          <w:rFonts w:cs="Times New Roman"/>
        </w:rPr>
        <w:t>1.</w:t>
      </w:r>
      <w:r w:rsidRPr="00943E1C">
        <w:rPr>
          <w:rFonts w:cs="Times New Roman"/>
        </w:rPr>
        <w:tab/>
        <w:t xml:space="preserve">Creation of Rights </w:t>
      </w:r>
    </w:p>
    <w:p w14:paraId="0BF991BF" w14:textId="77777777" w:rsidR="00943E1C" w:rsidRPr="00943E1C" w:rsidRDefault="00943E1C" w:rsidP="00943E1C">
      <w:pPr>
        <w:pStyle w:val="text"/>
        <w:rPr>
          <w:rFonts w:cs="Times New Roman"/>
        </w:rPr>
      </w:pPr>
      <w:r w:rsidRPr="00943E1C">
        <w:rPr>
          <w:rFonts w:cs="Times New Roman"/>
        </w:rPr>
        <w:t>The U.S. Patent and Trademark Office (USPTO) handles both trademarks and patents. However, patents and trademarks are very different. A primary difference between a patent and a trademark is in the way that patent rights and trademark rights are created. The USPTO issues a patent after examination of the patent application.</w:t>
      </w:r>
      <w:r w:rsidRPr="00943E1C">
        <w:rPr>
          <w:rFonts w:cs="Times New Roman"/>
          <w:vertAlign w:val="superscript"/>
        </w:rPr>
        <w:footnoteReference w:id="101"/>
      </w:r>
      <w:r w:rsidRPr="00943E1C">
        <w:rPr>
          <w:rFonts w:cs="Times New Roman"/>
        </w:rPr>
        <w:t xml:space="preserve"> In contrast, the USPTO does not </w:t>
      </w:r>
      <w:r w:rsidRPr="00943E1C">
        <w:rPr>
          <w:rFonts w:cs="Times New Roman"/>
          <w:i/>
          <w:iCs/>
        </w:rPr>
        <w:t>create</w:t>
      </w:r>
      <w:r w:rsidRPr="00943E1C">
        <w:rPr>
          <w:rFonts w:cs="Times New Roman"/>
        </w:rPr>
        <w:t xml:space="preserve"> trademark rights; it only </w:t>
      </w:r>
      <w:r w:rsidRPr="00943E1C">
        <w:rPr>
          <w:rFonts w:cs="Times New Roman"/>
          <w:i/>
          <w:iCs/>
        </w:rPr>
        <w:t>registers</w:t>
      </w:r>
      <w:r w:rsidRPr="00943E1C">
        <w:rPr>
          <w:rFonts w:cs="Times New Roman"/>
        </w:rPr>
        <w:t xml:space="preserve"> trademarks.</w:t>
      </w:r>
      <w:r w:rsidRPr="00943E1C">
        <w:rPr>
          <w:rFonts w:cs="Times New Roman"/>
          <w:vertAlign w:val="superscript"/>
        </w:rPr>
        <w:footnoteReference w:id="102"/>
      </w:r>
      <w:r w:rsidRPr="00943E1C">
        <w:rPr>
          <w:rFonts w:cs="Times New Roman"/>
        </w:rPr>
        <w:t xml:space="preserve"> The actual use of the mark in connection with goods or services</w:t>
      </w:r>
      <w:r w:rsidRPr="00943E1C">
        <w:rPr>
          <w:rFonts w:cs="Times New Roman"/>
          <w:i/>
          <w:iCs/>
        </w:rPr>
        <w:t xml:space="preserve"> creates</w:t>
      </w:r>
      <w:r w:rsidRPr="00943E1C">
        <w:rPr>
          <w:rFonts w:cs="Times New Roman"/>
        </w:rPr>
        <w:t xml:space="preserve"> the trademark.</w:t>
      </w:r>
      <w:r w:rsidRPr="00943E1C">
        <w:rPr>
          <w:rFonts w:cs="Times New Roman"/>
          <w:vertAlign w:val="superscript"/>
        </w:rPr>
        <w:footnoteReference w:id="103"/>
      </w:r>
      <w:r w:rsidRPr="00943E1C">
        <w:rPr>
          <w:rFonts w:cs="Times New Roman"/>
        </w:rPr>
        <w:t xml:space="preserve"> Thus, trademarks are protectable even without the trademark owner’s formally registering the mark with the USPTO.</w:t>
      </w:r>
      <w:r w:rsidRPr="00943E1C">
        <w:rPr>
          <w:rFonts w:cs="Times New Roman"/>
          <w:vertAlign w:val="superscript"/>
        </w:rPr>
        <w:footnoteReference w:id="104"/>
      </w:r>
    </w:p>
    <w:p w14:paraId="0058FDC5" w14:textId="77777777" w:rsidR="00943E1C" w:rsidRPr="00943E1C" w:rsidRDefault="00943E1C" w:rsidP="00943E1C">
      <w:pPr>
        <w:pStyle w:val="3rdlevelhead1i"/>
        <w:rPr>
          <w:rFonts w:cs="Times New Roman"/>
        </w:rPr>
      </w:pPr>
      <w:r w:rsidRPr="00943E1C">
        <w:rPr>
          <w:rFonts w:cs="Times New Roman"/>
        </w:rPr>
        <w:t>2.</w:t>
      </w:r>
      <w:r w:rsidRPr="00943E1C">
        <w:rPr>
          <w:rFonts w:cs="Times New Roman"/>
        </w:rPr>
        <w:tab/>
        <w:t xml:space="preserve">Length of Protection </w:t>
      </w:r>
    </w:p>
    <w:p w14:paraId="710C1693" w14:textId="77777777" w:rsidR="00943E1C" w:rsidRPr="00943E1C" w:rsidRDefault="00943E1C" w:rsidP="00943E1C">
      <w:pPr>
        <w:pStyle w:val="text"/>
        <w:rPr>
          <w:rFonts w:cs="Times New Roman"/>
        </w:rPr>
      </w:pPr>
      <w:r w:rsidRPr="00943E1C">
        <w:rPr>
          <w:rFonts w:cs="Times New Roman"/>
        </w:rPr>
        <w:t>A second difference between trademark and patent protection is the length of protection. A trademark can be protected for as long as it functions as a trademark. This means that so long as the mark is correctly used in commerce to identify the product with the producer, the trademark is protectable. A patent can protect an invention for a maximum of 20 years.</w:t>
      </w:r>
      <w:r w:rsidRPr="00943E1C">
        <w:rPr>
          <w:rFonts w:cs="Times New Roman"/>
          <w:vertAlign w:val="superscript"/>
        </w:rPr>
        <w:footnoteReference w:id="105"/>
      </w:r>
      <w:r w:rsidRPr="00943E1C">
        <w:rPr>
          <w:rFonts w:cs="Times New Roman"/>
        </w:rPr>
        <w:t xml:space="preserve"> Thus, the life of a trademark can be substantially longer than the life of a patent.</w:t>
      </w:r>
    </w:p>
    <w:p w14:paraId="77CB0574" w14:textId="77777777" w:rsidR="00943E1C" w:rsidRPr="00943E1C" w:rsidRDefault="00943E1C" w:rsidP="00943E1C">
      <w:pPr>
        <w:pStyle w:val="3rdlevelhead1i"/>
        <w:rPr>
          <w:rFonts w:cs="Times New Roman"/>
        </w:rPr>
      </w:pPr>
      <w:r w:rsidRPr="00943E1C">
        <w:rPr>
          <w:rFonts w:cs="Times New Roman"/>
        </w:rPr>
        <w:t>3.</w:t>
      </w:r>
      <w:r w:rsidRPr="00943E1C">
        <w:rPr>
          <w:rFonts w:cs="Times New Roman"/>
        </w:rPr>
        <w:tab/>
        <w:t xml:space="preserve">Infringement </w:t>
      </w:r>
    </w:p>
    <w:p w14:paraId="429D2BB3" w14:textId="77777777" w:rsidR="00943E1C" w:rsidRPr="00943E1C" w:rsidRDefault="00943E1C" w:rsidP="00943E1C">
      <w:pPr>
        <w:pStyle w:val="text"/>
        <w:rPr>
          <w:rFonts w:cs="Times New Roman"/>
        </w:rPr>
      </w:pPr>
      <w:r w:rsidRPr="00943E1C">
        <w:rPr>
          <w:rFonts w:cs="Times New Roman"/>
        </w:rPr>
        <w:t>Trademark and patent infringement are also dissimilar. A patent is infringed when someone other than the patent owner (or assignee) makes, uses, or sells a patented invention.</w:t>
      </w:r>
      <w:r w:rsidRPr="00943E1C">
        <w:rPr>
          <w:rFonts w:cs="Times New Roman"/>
          <w:vertAlign w:val="superscript"/>
        </w:rPr>
        <w:footnoteReference w:id="106"/>
      </w:r>
      <w:r w:rsidRPr="00943E1C">
        <w:rPr>
          <w:rFonts w:cs="Times New Roman"/>
        </w:rPr>
        <w:t xml:space="preserve"> A trademark is infringed when the use of another’s mark on a product is likely to cause confusion or mistake to a consumer.</w:t>
      </w:r>
      <w:r w:rsidRPr="00943E1C">
        <w:rPr>
          <w:rFonts w:cs="Times New Roman"/>
          <w:vertAlign w:val="superscript"/>
        </w:rPr>
        <w:footnoteReference w:id="107"/>
      </w:r>
      <w:r w:rsidRPr="00943E1C">
        <w:rPr>
          <w:rFonts w:cs="Times New Roman"/>
        </w:rPr>
        <w:t xml:space="preserve"> This likelihood-of-confusion standard results in the prohibition of similar marks in a similar field, but the allowance of the same trademark in two different industries. For example, the marks CITIBANK and CITY BANK are confusingly similar because both relate to the field of banking services.</w:t>
      </w:r>
      <w:r w:rsidRPr="00943E1C">
        <w:rPr>
          <w:rFonts w:cs="Times New Roman"/>
          <w:vertAlign w:val="superscript"/>
        </w:rPr>
        <w:footnoteReference w:id="108"/>
      </w:r>
      <w:r w:rsidRPr="00943E1C">
        <w:rPr>
          <w:rFonts w:cs="Times New Roman"/>
        </w:rPr>
        <w:t xml:space="preserve"> However, the marks LEXIS and LEXUS are not confusingly similar, because LEXIS identifies an online legal database and LEXUS identifies a line of luxury cars.</w:t>
      </w:r>
      <w:r w:rsidRPr="00943E1C">
        <w:rPr>
          <w:rFonts w:cs="Times New Roman"/>
          <w:vertAlign w:val="superscript"/>
        </w:rPr>
        <w:footnoteReference w:id="109"/>
      </w:r>
    </w:p>
    <w:p w14:paraId="22A255E9" w14:textId="77777777" w:rsidR="00943E1C" w:rsidRPr="00943E1C" w:rsidRDefault="00943E1C" w:rsidP="00943E1C">
      <w:pPr>
        <w:pStyle w:val="text"/>
        <w:rPr>
          <w:rFonts w:cs="Times New Roman"/>
        </w:rPr>
      </w:pPr>
      <w:r w:rsidRPr="00943E1C">
        <w:rPr>
          <w:rFonts w:cs="Times New Roman"/>
        </w:rPr>
        <w:t xml:space="preserve">Courts have wrestled with how to determine properly whether a mark is likely to cause confusion. In </w:t>
      </w:r>
      <w:r w:rsidRPr="00943E1C">
        <w:rPr>
          <w:rFonts w:cs="Times New Roman"/>
          <w:i/>
          <w:iCs/>
        </w:rPr>
        <w:t>In re E</w:t>
      </w:r>
      <w:r w:rsidRPr="00943E1C">
        <w:rPr>
          <w:rFonts w:cs="Times New Roman"/>
        </w:rPr>
        <w:t>.</w:t>
      </w:r>
      <w:r w:rsidRPr="00943E1C">
        <w:rPr>
          <w:rFonts w:cs="Times New Roman"/>
          <w:i/>
          <w:iCs/>
        </w:rPr>
        <w:t>I</w:t>
      </w:r>
      <w:r w:rsidRPr="00943E1C">
        <w:rPr>
          <w:rFonts w:cs="Times New Roman"/>
        </w:rPr>
        <w:t>.</w:t>
      </w:r>
      <w:r w:rsidRPr="00943E1C">
        <w:rPr>
          <w:rFonts w:cs="Times New Roman"/>
          <w:i/>
          <w:iCs/>
        </w:rPr>
        <w:t xml:space="preserve"> du Pont de Nemours &amp; Co</w:t>
      </w:r>
      <w:r w:rsidRPr="00943E1C">
        <w:rPr>
          <w:rFonts w:cs="Times New Roman"/>
        </w:rPr>
        <w:t>.,</w:t>
      </w:r>
      <w:r w:rsidRPr="00943E1C">
        <w:rPr>
          <w:rFonts w:cs="Times New Roman"/>
          <w:vertAlign w:val="superscript"/>
        </w:rPr>
        <w:footnoteReference w:id="110"/>
      </w:r>
      <w:r w:rsidRPr="00943E1C">
        <w:rPr>
          <w:rFonts w:cs="Times New Roman"/>
        </w:rPr>
        <w:t xml:space="preserve"> the Court of Customs and Patent Appeals set forth the following factors to be considered in testing for likelihood of confusion:</w:t>
      </w:r>
    </w:p>
    <w:p w14:paraId="48C683FE" w14:textId="77777777" w:rsidR="00943E1C" w:rsidRPr="00943E1C" w:rsidRDefault="00943E1C" w:rsidP="00112F7F">
      <w:pPr>
        <w:pStyle w:val="numberlistplstart0"/>
      </w:pPr>
      <w:r w:rsidRPr="00943E1C">
        <w:t>1.</w:t>
      </w:r>
      <w:r w:rsidRPr="00943E1C">
        <w:tab/>
        <w:t>The similarity or dissimilarity of the marks in their entireties as to appearance, sound, connotation and commercial impression;</w:t>
      </w:r>
    </w:p>
    <w:p w14:paraId="02C27188" w14:textId="77777777" w:rsidR="00943E1C" w:rsidRPr="00943E1C" w:rsidRDefault="00943E1C" w:rsidP="00112F7F">
      <w:pPr>
        <w:pStyle w:val="numberlist0"/>
      </w:pPr>
      <w:r w:rsidRPr="00943E1C">
        <w:t>2.</w:t>
      </w:r>
      <w:r w:rsidRPr="00943E1C">
        <w:tab/>
        <w:t>The similarity or dissimilarity and nature of the goods or services as described in an application or registration or in connection with which a prior mark is in use;</w:t>
      </w:r>
    </w:p>
    <w:p w14:paraId="788A221B" w14:textId="77777777" w:rsidR="00943E1C" w:rsidRPr="00943E1C" w:rsidRDefault="00943E1C" w:rsidP="00112F7F">
      <w:pPr>
        <w:pStyle w:val="numberlist0"/>
      </w:pPr>
      <w:r w:rsidRPr="00943E1C">
        <w:t>3.</w:t>
      </w:r>
      <w:r w:rsidRPr="00943E1C">
        <w:tab/>
        <w:t>The similarity or dissimilarity of established, likely-to-continue trade channels;</w:t>
      </w:r>
    </w:p>
    <w:p w14:paraId="664B4C63" w14:textId="77777777" w:rsidR="00943E1C" w:rsidRPr="00943E1C" w:rsidRDefault="00943E1C" w:rsidP="00112F7F">
      <w:pPr>
        <w:pStyle w:val="numberlist0"/>
      </w:pPr>
      <w:r w:rsidRPr="00943E1C">
        <w:t>4.</w:t>
      </w:r>
      <w:r w:rsidRPr="00943E1C">
        <w:tab/>
        <w:t>The conditions under which and buyers to whom sales are made, i.e., “impulse” vs. careful, sophisticated purchasing;</w:t>
      </w:r>
    </w:p>
    <w:p w14:paraId="71BE55FE" w14:textId="77777777" w:rsidR="00943E1C" w:rsidRPr="00943E1C" w:rsidRDefault="00943E1C" w:rsidP="00112F7F">
      <w:pPr>
        <w:pStyle w:val="numberlist0"/>
      </w:pPr>
      <w:r w:rsidRPr="00943E1C">
        <w:t>5.</w:t>
      </w:r>
      <w:r w:rsidRPr="00943E1C">
        <w:tab/>
        <w:t>The fame of the prior mark (sales, advertising, length of use);</w:t>
      </w:r>
    </w:p>
    <w:p w14:paraId="2DF5DDEC" w14:textId="77777777" w:rsidR="00943E1C" w:rsidRPr="00943E1C" w:rsidRDefault="00943E1C" w:rsidP="00112F7F">
      <w:pPr>
        <w:pStyle w:val="numberlist0"/>
      </w:pPr>
      <w:r w:rsidRPr="00943E1C">
        <w:t>6.</w:t>
      </w:r>
      <w:r w:rsidRPr="00943E1C">
        <w:tab/>
        <w:t>The number and nature of similar marks in use on similar goods;</w:t>
      </w:r>
    </w:p>
    <w:p w14:paraId="4C4F68E5" w14:textId="77777777" w:rsidR="00943E1C" w:rsidRPr="00943E1C" w:rsidRDefault="00943E1C" w:rsidP="00112F7F">
      <w:pPr>
        <w:pStyle w:val="numberlist0"/>
      </w:pPr>
      <w:r w:rsidRPr="00943E1C">
        <w:t>7.</w:t>
      </w:r>
      <w:r w:rsidRPr="00943E1C">
        <w:tab/>
        <w:t>The nature and extent of any actual confusion;</w:t>
      </w:r>
    </w:p>
    <w:p w14:paraId="1D7801F2" w14:textId="77777777" w:rsidR="00943E1C" w:rsidRPr="00943E1C" w:rsidRDefault="00943E1C" w:rsidP="00112F7F">
      <w:pPr>
        <w:pStyle w:val="numberlist0"/>
      </w:pPr>
      <w:r w:rsidRPr="00943E1C">
        <w:t>8.</w:t>
      </w:r>
      <w:r w:rsidRPr="00943E1C">
        <w:tab/>
        <w:t>The length of time during and the conditions under which there has been concurrent use without evidence of actual confusion;</w:t>
      </w:r>
    </w:p>
    <w:p w14:paraId="1FEF51D8" w14:textId="77777777" w:rsidR="00943E1C" w:rsidRPr="00943E1C" w:rsidRDefault="00943E1C" w:rsidP="00112F7F">
      <w:pPr>
        <w:pStyle w:val="numberlist0"/>
      </w:pPr>
      <w:r w:rsidRPr="00943E1C">
        <w:t>9.</w:t>
      </w:r>
      <w:r w:rsidRPr="00943E1C">
        <w:tab/>
        <w:t>The variety of goods on which a mark is or is not used (house mark, “family” mark, product mark);</w:t>
      </w:r>
    </w:p>
    <w:p w14:paraId="3B239666" w14:textId="77777777" w:rsidR="00943E1C" w:rsidRPr="00943E1C" w:rsidRDefault="00943E1C" w:rsidP="00112F7F">
      <w:pPr>
        <w:pStyle w:val="numberlist0"/>
      </w:pPr>
      <w:r w:rsidRPr="00943E1C">
        <w:t>10.</w:t>
      </w:r>
      <w:r w:rsidRPr="00943E1C">
        <w:tab/>
        <w:t>The market interface between applicant and the owner of a prior mark:</w:t>
      </w:r>
    </w:p>
    <w:p w14:paraId="5F4D931B" w14:textId="77777777" w:rsidR="00943E1C" w:rsidRPr="00943E1C" w:rsidRDefault="00943E1C" w:rsidP="00112F7F">
      <w:pPr>
        <w:pStyle w:val="numberlistplal0"/>
      </w:pPr>
      <w:r w:rsidRPr="00943E1C">
        <w:t>a.</w:t>
      </w:r>
      <w:r w:rsidRPr="00943E1C">
        <w:tab/>
        <w:t>a mere “consent” to register or use;</w:t>
      </w:r>
    </w:p>
    <w:p w14:paraId="3E115AA9" w14:textId="77777777" w:rsidR="00943E1C" w:rsidRPr="00943E1C" w:rsidRDefault="00943E1C" w:rsidP="00112F7F">
      <w:pPr>
        <w:pStyle w:val="numberlistplal0"/>
      </w:pPr>
      <w:r w:rsidRPr="00943E1C">
        <w:t>b.</w:t>
      </w:r>
      <w:r w:rsidRPr="00943E1C">
        <w:tab/>
        <w:t>agreement provisions designed to preclude confusion, i.e., limitations on continued use of the marks by each party;</w:t>
      </w:r>
    </w:p>
    <w:p w14:paraId="3ACFD5CB" w14:textId="77777777" w:rsidR="00943E1C" w:rsidRPr="00943E1C" w:rsidRDefault="00943E1C" w:rsidP="00112F7F">
      <w:pPr>
        <w:pStyle w:val="numberlistplal0"/>
      </w:pPr>
      <w:r w:rsidRPr="00943E1C">
        <w:t>c.</w:t>
      </w:r>
      <w:r w:rsidRPr="00943E1C">
        <w:tab/>
        <w:t>assignment of mark, application, registration and goodwill of the related business;</w:t>
      </w:r>
    </w:p>
    <w:p w14:paraId="5249A2C3" w14:textId="77777777" w:rsidR="00943E1C" w:rsidRPr="00943E1C" w:rsidRDefault="00943E1C" w:rsidP="00112F7F">
      <w:pPr>
        <w:pStyle w:val="numberlistplal0"/>
      </w:pPr>
      <w:r w:rsidRPr="00943E1C">
        <w:t>d.</w:t>
      </w:r>
      <w:r w:rsidRPr="00943E1C">
        <w:tab/>
        <w:t xml:space="preserve">laches and estoppel attributable to owner of prior mark and indicative of lack of confusion; </w:t>
      </w:r>
    </w:p>
    <w:p w14:paraId="6DF600C2" w14:textId="77777777" w:rsidR="00943E1C" w:rsidRPr="00943E1C" w:rsidRDefault="00943E1C" w:rsidP="00112F7F">
      <w:pPr>
        <w:pStyle w:val="numberlist0"/>
      </w:pPr>
      <w:r w:rsidRPr="00943E1C">
        <w:t>11.</w:t>
      </w:r>
      <w:r w:rsidRPr="00943E1C">
        <w:tab/>
        <w:t>The extent to which applicant has a right to exclude others from use of its mark on its goods;</w:t>
      </w:r>
    </w:p>
    <w:p w14:paraId="1187FE3A" w14:textId="77777777" w:rsidR="00943E1C" w:rsidRPr="00943E1C" w:rsidRDefault="00943E1C" w:rsidP="00112F7F">
      <w:pPr>
        <w:pStyle w:val="numberlist0"/>
      </w:pPr>
      <w:r w:rsidRPr="00943E1C">
        <w:t>12.</w:t>
      </w:r>
      <w:r w:rsidRPr="00943E1C">
        <w:tab/>
        <w:t xml:space="preserve">The extent of potential confusion, i.e., whether </w:t>
      </w:r>
      <w:r w:rsidRPr="00943E1C">
        <w:rPr>
          <w:i/>
          <w:iCs/>
        </w:rPr>
        <w:t>de minimis</w:t>
      </w:r>
      <w:r w:rsidRPr="00943E1C">
        <w:t xml:space="preserve"> or substantial; and</w:t>
      </w:r>
    </w:p>
    <w:p w14:paraId="2930B257" w14:textId="77777777" w:rsidR="00943E1C" w:rsidRPr="00943E1C" w:rsidRDefault="00943E1C" w:rsidP="00943E1C">
      <w:pPr>
        <w:pStyle w:val="numberlistend"/>
      </w:pPr>
      <w:r w:rsidRPr="00943E1C">
        <w:t>13.</w:t>
      </w:r>
      <w:r w:rsidRPr="00943E1C">
        <w:tab/>
        <w:t>Any other established fact probative of the effect of use.</w:t>
      </w:r>
      <w:r w:rsidRPr="00943E1C">
        <w:rPr>
          <w:vertAlign w:val="superscript"/>
        </w:rPr>
        <w:footnoteReference w:id="111"/>
      </w:r>
    </w:p>
    <w:p w14:paraId="4C368115" w14:textId="77777777" w:rsidR="00943E1C" w:rsidRPr="00943E1C" w:rsidRDefault="00943E1C" w:rsidP="00943E1C">
      <w:pPr>
        <w:pStyle w:val="text"/>
        <w:rPr>
          <w:rFonts w:cs="Times New Roman"/>
        </w:rPr>
      </w:pPr>
      <w:r w:rsidRPr="00943E1C">
        <w:rPr>
          <w:rFonts w:cs="Times New Roman"/>
        </w:rPr>
        <w:t xml:space="preserve">The </w:t>
      </w:r>
      <w:r w:rsidRPr="00943E1C">
        <w:rPr>
          <w:rFonts w:cs="Times New Roman"/>
          <w:i/>
          <w:iCs/>
        </w:rPr>
        <w:t>du Pont</w:t>
      </w:r>
      <w:r w:rsidRPr="00943E1C">
        <w:rPr>
          <w:rFonts w:cs="Times New Roman"/>
        </w:rPr>
        <w:t xml:space="preserve"> factors are a means to determine whether trademark infringement has occurred. In analyzing two marks for likelihood of confusion, some of the </w:t>
      </w:r>
      <w:r w:rsidRPr="00943E1C">
        <w:rPr>
          <w:rFonts w:cs="Times New Roman"/>
          <w:i/>
          <w:iCs/>
        </w:rPr>
        <w:t>du Pont</w:t>
      </w:r>
      <w:r w:rsidRPr="00943E1C">
        <w:rPr>
          <w:rFonts w:cs="Times New Roman"/>
        </w:rPr>
        <w:t xml:space="preserve"> factors may weigh in favor of the first mark while the remaining factors weigh in favor of the second mark. Thus, although the </w:t>
      </w:r>
      <w:r w:rsidRPr="00943E1C">
        <w:rPr>
          <w:rFonts w:cs="Times New Roman"/>
          <w:i/>
          <w:iCs/>
        </w:rPr>
        <w:t>du Pont</w:t>
      </w:r>
      <w:r w:rsidRPr="00943E1C">
        <w:rPr>
          <w:rFonts w:cs="Times New Roman"/>
        </w:rPr>
        <w:t xml:space="preserve"> court provided a trier of fact with a more definitive vehicle for trademark infringement decision making, infringement cases are determined on a case-by-case basis after inspecting the totality of the probative facts.</w:t>
      </w:r>
    </w:p>
    <w:p w14:paraId="6202D56C" w14:textId="77777777" w:rsidR="00943E1C" w:rsidRPr="00943E1C" w:rsidRDefault="00943E1C" w:rsidP="00943E1C">
      <w:pPr>
        <w:pStyle w:val="2ndlevelheadBbi"/>
        <w:rPr>
          <w:rFonts w:cs="Times New Roman"/>
        </w:rPr>
      </w:pPr>
      <w:r w:rsidRPr="00943E1C">
        <w:rPr>
          <w:rFonts w:cs="Times New Roman"/>
        </w:rPr>
        <w:t>C.</w:t>
      </w:r>
      <w:r w:rsidRPr="00943E1C">
        <w:rPr>
          <w:rFonts w:cs="Times New Roman"/>
        </w:rPr>
        <w:tab/>
        <w:t>Trade Dress and Utility Patents</w:t>
      </w:r>
    </w:p>
    <w:p w14:paraId="21C2856D" w14:textId="77777777" w:rsidR="00943E1C" w:rsidRPr="00943E1C" w:rsidRDefault="00943E1C" w:rsidP="00943E1C">
      <w:pPr>
        <w:pStyle w:val="text"/>
        <w:rPr>
          <w:rFonts w:cs="Times New Roman"/>
        </w:rPr>
      </w:pPr>
      <w:r w:rsidRPr="00943E1C">
        <w:rPr>
          <w:rFonts w:cs="Times New Roman"/>
        </w:rPr>
        <w:t>In general, “trade dress” involves the total image of a product and may include features such as size, shape, color, graphics, and may be eligible for protection if it is nonfunctional and distinctive or has acquired secondary meaning in the marketplace as being an identifier of the producer or source of the product. Section 43(a) of the Lanham Act can be used to protect a product’s appearance, or “trade dress,” without having a registered trademark.</w:t>
      </w:r>
      <w:r w:rsidRPr="00943E1C">
        <w:rPr>
          <w:rFonts w:cs="Times New Roman"/>
          <w:vertAlign w:val="superscript"/>
        </w:rPr>
        <w:footnoteReference w:id="112"/>
      </w:r>
      <w:r w:rsidRPr="00943E1C">
        <w:rPr>
          <w:rFonts w:cs="Times New Roman"/>
        </w:rPr>
        <w:t xml:space="preserve"> For example, a number of federal district courts have recognized the viability of a trade dress infringement claim based on the “look and feel” of a website design.</w:t>
      </w:r>
      <w:r w:rsidRPr="00943E1C">
        <w:rPr>
          <w:rFonts w:cs="Times New Roman"/>
          <w:vertAlign w:val="superscript"/>
        </w:rPr>
        <w:footnoteReference w:id="113"/>
      </w:r>
      <w:r w:rsidRPr="00943E1C">
        <w:rPr>
          <w:rFonts w:cs="Times New Roman"/>
        </w:rPr>
        <w:t xml:space="preserve"> </w:t>
      </w:r>
    </w:p>
    <w:p w14:paraId="3E855D5F" w14:textId="77777777" w:rsidR="00943E1C" w:rsidRPr="00943E1C" w:rsidRDefault="00943E1C" w:rsidP="00943E1C">
      <w:pPr>
        <w:pStyle w:val="text"/>
        <w:rPr>
          <w:rFonts w:cs="Times New Roman"/>
        </w:rPr>
      </w:pPr>
      <w:r w:rsidRPr="00943E1C">
        <w:rPr>
          <w:rFonts w:cs="Times New Roman"/>
        </w:rPr>
        <w:t xml:space="preserve">The Supreme Court, in </w:t>
      </w:r>
      <w:proofErr w:type="spellStart"/>
      <w:r w:rsidRPr="00943E1C">
        <w:rPr>
          <w:rFonts w:cs="Times New Roman"/>
          <w:i/>
          <w:iCs/>
        </w:rPr>
        <w:t>TrafFix</w:t>
      </w:r>
      <w:proofErr w:type="spellEnd"/>
      <w:r w:rsidRPr="00943E1C">
        <w:rPr>
          <w:rFonts w:cs="Times New Roman"/>
          <w:i/>
          <w:iCs/>
        </w:rPr>
        <w:t xml:space="preserve"> Devices, Inc</w:t>
      </w:r>
      <w:r w:rsidRPr="00943E1C">
        <w:rPr>
          <w:rFonts w:cs="Times New Roman"/>
        </w:rPr>
        <w:t>.</w:t>
      </w:r>
      <w:r w:rsidRPr="00943E1C">
        <w:rPr>
          <w:rFonts w:cs="Times New Roman"/>
          <w:i/>
          <w:iCs/>
        </w:rPr>
        <w:t xml:space="preserve"> v</w:t>
      </w:r>
      <w:r w:rsidRPr="00943E1C">
        <w:rPr>
          <w:rFonts w:cs="Times New Roman"/>
        </w:rPr>
        <w:t>.</w:t>
      </w:r>
      <w:r w:rsidRPr="00943E1C">
        <w:rPr>
          <w:rFonts w:cs="Times New Roman"/>
          <w:i/>
          <w:iCs/>
        </w:rPr>
        <w:t xml:space="preserve"> Marketing Displays, Inc</w:t>
      </w:r>
      <w:r w:rsidRPr="00943E1C">
        <w:rPr>
          <w:rFonts w:cs="Times New Roman"/>
        </w:rPr>
        <w:t>.,</w:t>
      </w:r>
      <w:r w:rsidRPr="00943E1C">
        <w:rPr>
          <w:rFonts w:cs="Times New Roman"/>
          <w:vertAlign w:val="superscript"/>
        </w:rPr>
        <w:footnoteReference w:id="114"/>
      </w:r>
      <w:r w:rsidRPr="00943E1C">
        <w:rPr>
          <w:rFonts w:cs="Times New Roman"/>
        </w:rPr>
        <w:t xml:space="preserve"> addressed whether federal trade dress protection could extend to a product configuration covered by an expired utility patent. The Court rejected a per se</w:t>
      </w:r>
      <w:r w:rsidRPr="00943E1C">
        <w:rPr>
          <w:rFonts w:cs="Times New Roman"/>
          <w:i/>
          <w:iCs/>
        </w:rPr>
        <w:t xml:space="preserve"> </w:t>
      </w:r>
      <w:r w:rsidRPr="00943E1C">
        <w:rPr>
          <w:rFonts w:cs="Times New Roman"/>
        </w:rPr>
        <w:t>rule that would have prevented trade dress protection of any product configuration disclosed in an expired utility patent, instead opting to focus on functionality. The Court determined that an expired utility patent itself is strong evidence of functionality, which precludes trade dress protection. “Where the expired patent claimed the features in question, one who seeks to establish trade dress protection must carry the heavy burden of showing that the feature is not functional, for instance by showing that it is merely an ornamental, incidental, or arbitrary aspect of the device.”</w:t>
      </w:r>
      <w:r w:rsidRPr="00943E1C">
        <w:rPr>
          <w:rFonts w:cs="Times New Roman"/>
          <w:vertAlign w:val="superscript"/>
        </w:rPr>
        <w:footnoteReference w:id="115"/>
      </w:r>
      <w:r w:rsidRPr="00943E1C">
        <w:rPr>
          <w:rFonts w:cs="Times New Roman"/>
        </w:rPr>
        <w:t xml:space="preserve"> The Supreme Court’s decision is consistent with its prior decision in </w:t>
      </w:r>
      <w:r w:rsidRPr="00943E1C">
        <w:rPr>
          <w:rFonts w:cs="Times New Roman"/>
          <w:i/>
          <w:iCs/>
        </w:rPr>
        <w:t>Wal-Mart Stores, Inc</w:t>
      </w:r>
      <w:r w:rsidRPr="00943E1C">
        <w:rPr>
          <w:rFonts w:cs="Times New Roman"/>
        </w:rPr>
        <w:t>.</w:t>
      </w:r>
      <w:r w:rsidRPr="00943E1C">
        <w:rPr>
          <w:rFonts w:cs="Times New Roman"/>
          <w:i/>
          <w:iCs/>
        </w:rPr>
        <w:t xml:space="preserve"> v</w:t>
      </w:r>
      <w:r w:rsidRPr="00943E1C">
        <w:rPr>
          <w:rFonts w:cs="Times New Roman"/>
        </w:rPr>
        <w:t>.</w:t>
      </w:r>
      <w:r w:rsidRPr="00943E1C">
        <w:rPr>
          <w:rFonts w:cs="Times New Roman"/>
          <w:i/>
          <w:iCs/>
        </w:rPr>
        <w:t xml:space="preserve"> Samara Brothers, Inc</w:t>
      </w:r>
      <w:r w:rsidRPr="00943E1C">
        <w:rPr>
          <w:rFonts w:cs="Times New Roman"/>
        </w:rPr>
        <w:t>.</w:t>
      </w:r>
      <w:r w:rsidRPr="00943E1C">
        <w:rPr>
          <w:rFonts w:cs="Times New Roman"/>
          <w:vertAlign w:val="superscript"/>
        </w:rPr>
        <w:footnoteReference w:id="116"/>
      </w:r>
      <w:r w:rsidRPr="00943E1C">
        <w:rPr>
          <w:rFonts w:cs="Times New Roman"/>
        </w:rPr>
        <w:t xml:space="preserve"> to restrict the “misuse or over-extension of trade dress” as a means for protecting product designs.</w:t>
      </w:r>
    </w:p>
    <w:p w14:paraId="1D5BD6E3" w14:textId="77777777" w:rsidR="00943E1C" w:rsidRPr="00943E1C" w:rsidRDefault="00943E1C" w:rsidP="00943E1C">
      <w:pPr>
        <w:pStyle w:val="1stlevelheadIrb"/>
        <w:rPr>
          <w:rFonts w:ascii="Times New Roman" w:hAnsi="Times New Roman" w:cs="Times New Roman"/>
        </w:rPr>
      </w:pPr>
      <w:r w:rsidRPr="00943E1C">
        <w:rPr>
          <w:rFonts w:ascii="Times New Roman" w:hAnsi="Times New Roman" w:cs="Times New Roman"/>
        </w:rPr>
        <w:t>§2.04</w:t>
      </w:r>
      <w:r w:rsidRPr="00943E1C">
        <w:rPr>
          <w:rFonts w:ascii="Times New Roman" w:hAnsi="Times New Roman" w:cs="Times New Roman"/>
        </w:rPr>
        <w:tab/>
        <w:t>Copyright Protection</w:t>
      </w:r>
    </w:p>
    <w:p w14:paraId="674F7FFB" w14:textId="77777777" w:rsidR="00943E1C" w:rsidRPr="00943E1C" w:rsidRDefault="00943E1C" w:rsidP="00943E1C">
      <w:pPr>
        <w:pStyle w:val="2ndlevelheadnospacebi"/>
        <w:rPr>
          <w:rFonts w:ascii="Times New Roman" w:hAnsi="Times New Roman" w:cs="Times New Roman"/>
        </w:rPr>
      </w:pPr>
      <w:r w:rsidRPr="00943E1C">
        <w:rPr>
          <w:rFonts w:ascii="Times New Roman" w:hAnsi="Times New Roman" w:cs="Times New Roman"/>
        </w:rPr>
        <w:t>A.</w:t>
      </w:r>
      <w:r w:rsidRPr="00943E1C">
        <w:rPr>
          <w:rFonts w:ascii="Times New Roman" w:hAnsi="Times New Roman" w:cs="Times New Roman"/>
        </w:rPr>
        <w:tab/>
        <w:t xml:space="preserve">Overview of Copyrights </w:t>
      </w:r>
    </w:p>
    <w:p w14:paraId="6FED9EE4" w14:textId="77777777" w:rsidR="00943E1C" w:rsidRPr="00943E1C" w:rsidRDefault="00943E1C" w:rsidP="00943E1C">
      <w:pPr>
        <w:pStyle w:val="text"/>
        <w:rPr>
          <w:rFonts w:cs="Times New Roman"/>
          <w:vertAlign w:val="superscript"/>
        </w:rPr>
      </w:pPr>
      <w:r w:rsidRPr="00943E1C">
        <w:rPr>
          <w:rFonts w:cs="Times New Roman"/>
        </w:rPr>
        <w:t>Copyright law and patent law stem from the same constitutional foundation. Under the Constitution, “Congress shall have power to promote the progress of Science and useful Arts, by securing for limited times to Authors and Inventors the exclusive right to their respective Writings and Discoveries.”</w:t>
      </w:r>
      <w:r w:rsidRPr="00943E1C">
        <w:rPr>
          <w:rFonts w:cs="Times New Roman"/>
          <w:vertAlign w:val="superscript"/>
        </w:rPr>
        <w:footnoteReference w:id="117"/>
      </w:r>
      <w:r w:rsidRPr="00943E1C">
        <w:rPr>
          <w:rFonts w:cs="Times New Roman"/>
        </w:rPr>
        <w:t xml:space="preserve"> Congress thereby has the power to grant monopolistic rights to both authors and inventors under the Copyright Clause of the Constitution. The immediate effect of copyright law is to secure a fair return for an author’s creative labor, but the ultimate aim is, by this incentive, to stimulate artistic creativity for the general public good.</w:t>
      </w:r>
      <w:r w:rsidRPr="00943E1C">
        <w:rPr>
          <w:rFonts w:cs="Times New Roman"/>
          <w:vertAlign w:val="superscript"/>
        </w:rPr>
        <w:footnoteReference w:id="118"/>
      </w:r>
      <w:r w:rsidRPr="00943E1C">
        <w:rPr>
          <w:rFonts w:cs="Times New Roman"/>
        </w:rPr>
        <w:t xml:space="preserve"> Patent law governs the granting of patents to inventors,</w:t>
      </w:r>
      <w:r w:rsidRPr="00943E1C">
        <w:rPr>
          <w:rFonts w:cs="Times New Roman"/>
          <w:vertAlign w:val="superscript"/>
        </w:rPr>
        <w:footnoteReference w:id="119"/>
      </w:r>
      <w:r w:rsidRPr="00943E1C">
        <w:rPr>
          <w:rFonts w:cs="Times New Roman"/>
        </w:rPr>
        <w:t xml:space="preserve"> while copyright law controls the granting of copyrights to authors.</w:t>
      </w:r>
      <w:r w:rsidRPr="00943E1C">
        <w:rPr>
          <w:rFonts w:cs="Times New Roman"/>
          <w:vertAlign w:val="superscript"/>
        </w:rPr>
        <w:footnoteReference w:id="120"/>
      </w:r>
    </w:p>
    <w:p w14:paraId="09F58173" w14:textId="77777777" w:rsidR="00943E1C" w:rsidRPr="00943E1C" w:rsidRDefault="00943E1C" w:rsidP="00943E1C">
      <w:pPr>
        <w:pStyle w:val="text"/>
        <w:rPr>
          <w:rFonts w:cs="Times New Roman"/>
        </w:rPr>
      </w:pPr>
      <w:r w:rsidRPr="00943E1C">
        <w:rPr>
          <w:rFonts w:cs="Times New Roman"/>
        </w:rPr>
        <w:t>United States copyright law is also governed by international treaties, which have set minimum standards of protection. These treaties include the Berne Convention,</w:t>
      </w:r>
      <w:r w:rsidRPr="00943E1C">
        <w:rPr>
          <w:rFonts w:cs="Times New Roman"/>
          <w:vertAlign w:val="superscript"/>
        </w:rPr>
        <w:footnoteReference w:id="121"/>
      </w:r>
      <w:r w:rsidRPr="00943E1C">
        <w:rPr>
          <w:rFonts w:cs="Times New Roman"/>
        </w:rPr>
        <w:t xml:space="preserve"> amended in 1979; TRIPS</w:t>
      </w:r>
      <w:r w:rsidRPr="00943E1C">
        <w:rPr>
          <w:rFonts w:cs="Times New Roman"/>
          <w:vertAlign w:val="superscript"/>
        </w:rPr>
        <w:footnoteReference w:id="122"/>
      </w:r>
      <w:r w:rsidRPr="00943E1C">
        <w:rPr>
          <w:rFonts w:cs="Times New Roman"/>
        </w:rPr>
        <w:t xml:space="preserve"> in 1994; the World Intellectual Property Organization (WIPO) Copyright Treaty (WCT) in 1996;</w:t>
      </w:r>
      <w:r w:rsidRPr="00943E1C">
        <w:rPr>
          <w:rFonts w:cs="Times New Roman"/>
          <w:vertAlign w:val="superscript"/>
        </w:rPr>
        <w:footnoteReference w:id="123"/>
      </w:r>
      <w:r w:rsidRPr="00943E1C">
        <w:rPr>
          <w:rFonts w:cs="Times New Roman"/>
        </w:rPr>
        <w:t xml:space="preserve"> and the WIPO Performances and Phonograms Treaty (WPPT) in 1996.</w:t>
      </w:r>
      <w:r w:rsidRPr="00943E1C">
        <w:rPr>
          <w:rFonts w:cs="Times New Roman"/>
          <w:vertAlign w:val="superscript"/>
        </w:rPr>
        <w:footnoteReference w:id="124"/>
      </w:r>
      <w:r w:rsidRPr="00943E1C">
        <w:rPr>
          <w:rFonts w:cs="Times New Roman"/>
        </w:rPr>
        <w:t xml:space="preserve"> The United States joined the Berne Convention with the Berne Convention Implementation Act of 1988,</w:t>
      </w:r>
      <w:r w:rsidRPr="00943E1C">
        <w:rPr>
          <w:rFonts w:cs="Times New Roman"/>
          <w:vertAlign w:val="superscript"/>
        </w:rPr>
        <w:footnoteReference w:id="125"/>
      </w:r>
      <w:r w:rsidRPr="00943E1C">
        <w:rPr>
          <w:rFonts w:cs="Times New Roman"/>
        </w:rPr>
        <w:t xml:space="preserve"> which conformed the 1976 Copyright Act to the Berne Convention’s requirements. The United States passed the Uruguay Round Agreements Act of 1994 to implement the TRIPS agreement of 1994. The United States ratified the WCT in 1999. The WIPO Copyright and Performances and Phonograms Treaties Implementation Act implemented the WCT and WPPT as part of the Digital Millennium Copyright Act (DMCA),</w:t>
      </w:r>
      <w:r w:rsidRPr="00943E1C">
        <w:rPr>
          <w:rFonts w:cs="Times New Roman"/>
          <w:vertAlign w:val="superscript"/>
        </w:rPr>
        <w:footnoteReference w:id="126"/>
      </w:r>
      <w:r w:rsidRPr="00943E1C">
        <w:rPr>
          <w:rFonts w:cs="Times New Roman"/>
        </w:rPr>
        <w:t xml:space="preserve"> which took force in 2002. Current treaties that may also affect copyright laws include the Trans-Pacific Partnership Agreement (TPP), which began in 2010, and the Trans-Atlantic Free Trade Agreement (TAFTA) or Transatlantic Trade and Investment Partnership (TTIP), which began in 2013.</w:t>
      </w:r>
    </w:p>
    <w:p w14:paraId="2A73CC8E" w14:textId="77777777" w:rsidR="00943E1C" w:rsidRPr="00943E1C" w:rsidRDefault="00943E1C" w:rsidP="00943E1C">
      <w:pPr>
        <w:pStyle w:val="3rdlevelhead1i"/>
        <w:rPr>
          <w:rFonts w:cs="Times New Roman"/>
        </w:rPr>
      </w:pPr>
      <w:r w:rsidRPr="00943E1C">
        <w:rPr>
          <w:rFonts w:cs="Times New Roman"/>
        </w:rPr>
        <w:t>1.</w:t>
      </w:r>
      <w:r w:rsidRPr="00943E1C">
        <w:rPr>
          <w:rFonts w:cs="Times New Roman"/>
        </w:rPr>
        <w:tab/>
        <w:t xml:space="preserve">Copyright Defined </w:t>
      </w:r>
    </w:p>
    <w:p w14:paraId="377B2AC5" w14:textId="77777777" w:rsidR="00943E1C" w:rsidRPr="00943E1C" w:rsidRDefault="00943E1C" w:rsidP="00943E1C">
      <w:pPr>
        <w:pStyle w:val="text"/>
        <w:rPr>
          <w:rFonts w:cs="Times New Roman"/>
        </w:rPr>
      </w:pPr>
      <w:r w:rsidRPr="00943E1C">
        <w:rPr>
          <w:rFonts w:cs="Times New Roman"/>
        </w:rPr>
        <w:t>Copyright protection consists of the following set of rights over which the copyright owner has exclusive control: to reproduce copies of the work, to prepare new works based on the work,</w:t>
      </w:r>
      <w:r w:rsidRPr="00943E1C">
        <w:rPr>
          <w:rFonts w:cs="Times New Roman"/>
          <w:vertAlign w:val="superscript"/>
        </w:rPr>
        <w:footnoteReference w:id="127"/>
      </w:r>
      <w:r w:rsidRPr="00943E1C">
        <w:rPr>
          <w:rFonts w:cs="Times New Roman"/>
        </w:rPr>
        <w:t xml:space="preserve"> to distribute copies of the work, to perform the work in public, and to display the work in public.</w:t>
      </w:r>
      <w:r w:rsidRPr="00943E1C">
        <w:rPr>
          <w:rFonts w:cs="Times New Roman"/>
          <w:vertAlign w:val="superscript"/>
        </w:rPr>
        <w:footnoteReference w:id="128"/>
      </w:r>
      <w:r w:rsidRPr="00943E1C">
        <w:rPr>
          <w:rFonts w:cs="Times New Roman"/>
        </w:rPr>
        <w:t xml:space="preserve"> In 1998, the DMCA afforded copyright owners a new form of protection against those who would circumvent technical protection measures to gain unauthorized access to copyrighted work.</w:t>
      </w:r>
      <w:r w:rsidRPr="00943E1C">
        <w:rPr>
          <w:rFonts w:cs="Times New Roman"/>
          <w:vertAlign w:val="superscript"/>
        </w:rPr>
        <w:footnoteReference w:id="129"/>
      </w:r>
      <w:r w:rsidRPr="00943E1C">
        <w:rPr>
          <w:rFonts w:cs="Times New Roman"/>
        </w:rPr>
        <w:t xml:space="preserve"> These exclusive rights are not without bounds. Limitations do exist.</w:t>
      </w:r>
      <w:r w:rsidRPr="00943E1C">
        <w:rPr>
          <w:rFonts w:cs="Times New Roman"/>
          <w:vertAlign w:val="superscript"/>
        </w:rPr>
        <w:footnoteReference w:id="130"/>
      </w:r>
      <w:r w:rsidRPr="00943E1C">
        <w:rPr>
          <w:rFonts w:cs="Times New Roman"/>
        </w:rPr>
        <w:t xml:space="preserve"> For example, libraries are allowed to make an additional copy of a copyrighted work without permission of the copyright owner.</w:t>
      </w:r>
      <w:r w:rsidRPr="00943E1C">
        <w:rPr>
          <w:rFonts w:cs="Times New Roman"/>
          <w:vertAlign w:val="superscript"/>
        </w:rPr>
        <w:footnoteReference w:id="131"/>
      </w:r>
    </w:p>
    <w:p w14:paraId="0B24907A" w14:textId="77777777" w:rsidR="00943E1C" w:rsidRPr="00943E1C" w:rsidRDefault="00943E1C" w:rsidP="00943E1C">
      <w:pPr>
        <w:pStyle w:val="text"/>
        <w:rPr>
          <w:rFonts w:cs="Times New Roman"/>
        </w:rPr>
      </w:pPr>
      <w:r w:rsidRPr="00943E1C">
        <w:rPr>
          <w:rFonts w:cs="Times New Roman"/>
        </w:rPr>
        <w:t>A copyrighted work is an original work of authorship that is fixed in a tangible medium of expression.</w:t>
      </w:r>
      <w:r w:rsidRPr="00943E1C">
        <w:rPr>
          <w:rFonts w:cs="Times New Roman"/>
          <w:vertAlign w:val="superscript"/>
        </w:rPr>
        <w:footnoteReference w:id="132"/>
      </w:r>
      <w:r w:rsidRPr="00943E1C">
        <w:rPr>
          <w:rFonts w:cs="Times New Roman"/>
        </w:rPr>
        <w:t xml:space="preserve"> Works of authorship include literary, musical, dramatic, choreographed, pictorial, graphic, sculptural, audiovisual, and architectural works.</w:t>
      </w:r>
      <w:r w:rsidRPr="00943E1C">
        <w:rPr>
          <w:rFonts w:cs="Times New Roman"/>
          <w:vertAlign w:val="superscript"/>
        </w:rPr>
        <w:footnoteReference w:id="133"/>
      </w:r>
      <w:r w:rsidRPr="00943E1C">
        <w:rPr>
          <w:rFonts w:cs="Times New Roman"/>
        </w:rPr>
        <w:t xml:space="preserve"> Sound recordings are also works of authorship.</w:t>
      </w:r>
      <w:r w:rsidRPr="00943E1C">
        <w:rPr>
          <w:rFonts w:cs="Times New Roman"/>
          <w:vertAlign w:val="superscript"/>
        </w:rPr>
        <w:footnoteReference w:id="134"/>
      </w:r>
    </w:p>
    <w:p w14:paraId="14C741AF" w14:textId="77777777" w:rsidR="00943E1C" w:rsidRPr="00943E1C" w:rsidRDefault="00943E1C" w:rsidP="00943E1C">
      <w:pPr>
        <w:pStyle w:val="text"/>
        <w:rPr>
          <w:rFonts w:cs="Times New Roman"/>
        </w:rPr>
      </w:pPr>
      <w:r w:rsidRPr="00943E1C">
        <w:rPr>
          <w:rFonts w:cs="Times New Roman"/>
        </w:rPr>
        <w:t>The copyright owner is initially the author of the work.</w:t>
      </w:r>
      <w:r w:rsidRPr="00943E1C">
        <w:rPr>
          <w:rFonts w:cs="Times New Roman"/>
          <w:vertAlign w:val="superscript"/>
        </w:rPr>
        <w:footnoteReference w:id="135"/>
      </w:r>
      <w:r w:rsidRPr="00943E1C">
        <w:rPr>
          <w:rFonts w:cs="Times New Roman"/>
        </w:rPr>
        <w:t xml:space="preserve"> If more than one person jointly creates the work, then they are co-owners.</w:t>
      </w:r>
      <w:r w:rsidRPr="00943E1C">
        <w:rPr>
          <w:rFonts w:cs="Times New Roman"/>
          <w:vertAlign w:val="superscript"/>
        </w:rPr>
        <w:footnoteReference w:id="136"/>
      </w:r>
      <w:r w:rsidRPr="00943E1C">
        <w:rPr>
          <w:rFonts w:cs="Times New Roman"/>
        </w:rPr>
        <w:t xml:space="preserve"> Works made within the scope of one’s employment, and works specially ordered or commissioned having a written agreement to classify them as such, are </w:t>
      </w:r>
      <w:r w:rsidRPr="00943E1C">
        <w:rPr>
          <w:rFonts w:cs="Times New Roman"/>
          <w:i/>
          <w:iCs/>
        </w:rPr>
        <w:t>works made for hire</w:t>
      </w:r>
      <w:r w:rsidRPr="00943E1C">
        <w:rPr>
          <w:rFonts w:cs="Times New Roman"/>
        </w:rPr>
        <w:t>.</w:t>
      </w:r>
      <w:r w:rsidRPr="00943E1C">
        <w:rPr>
          <w:rFonts w:cs="Times New Roman"/>
          <w:vertAlign w:val="superscript"/>
        </w:rPr>
        <w:footnoteReference w:id="137"/>
      </w:r>
      <w:r w:rsidRPr="00943E1C">
        <w:rPr>
          <w:rFonts w:cs="Times New Roman"/>
        </w:rPr>
        <w:t xml:space="preserve"> The employer or commissioner of a work made for hire is the author for copyright purposes.</w:t>
      </w:r>
      <w:r w:rsidRPr="00943E1C">
        <w:rPr>
          <w:rFonts w:cs="Times New Roman"/>
          <w:vertAlign w:val="superscript"/>
        </w:rPr>
        <w:footnoteReference w:id="138"/>
      </w:r>
    </w:p>
    <w:p w14:paraId="3B2F943E" w14:textId="77777777" w:rsidR="00943E1C" w:rsidRPr="00943E1C" w:rsidRDefault="00943E1C" w:rsidP="00943E1C">
      <w:pPr>
        <w:pStyle w:val="text"/>
        <w:rPr>
          <w:rFonts w:cs="Times New Roman"/>
        </w:rPr>
      </w:pPr>
      <w:r w:rsidRPr="00943E1C">
        <w:rPr>
          <w:rFonts w:cs="Times New Roman"/>
        </w:rPr>
        <w:t>The exclusive rights that form copyright protection</w:t>
      </w:r>
      <w:r w:rsidRPr="00943E1C">
        <w:rPr>
          <w:rFonts w:cs="Times New Roman"/>
          <w:vertAlign w:val="superscript"/>
        </w:rPr>
        <w:footnoteReference w:id="139"/>
      </w:r>
      <w:r w:rsidRPr="00943E1C">
        <w:rPr>
          <w:rFonts w:cs="Times New Roman"/>
        </w:rPr>
        <w:t xml:space="preserve"> can be transferred to others in whole or in part.</w:t>
      </w:r>
      <w:r w:rsidRPr="00943E1C">
        <w:rPr>
          <w:rFonts w:cs="Times New Roman"/>
          <w:vertAlign w:val="superscript"/>
        </w:rPr>
        <w:footnoteReference w:id="140"/>
      </w:r>
      <w:r w:rsidRPr="00943E1C">
        <w:rPr>
          <w:rFonts w:cs="Times New Roman"/>
        </w:rPr>
        <w:t xml:space="preserve"> Thus, there may be several copyright owners of any given copyrighted work.</w:t>
      </w:r>
    </w:p>
    <w:p w14:paraId="2B56D4CF" w14:textId="77777777" w:rsidR="00943E1C" w:rsidRPr="00943E1C" w:rsidRDefault="00943E1C" w:rsidP="00943E1C">
      <w:pPr>
        <w:pStyle w:val="3rdlevelhead1i"/>
        <w:rPr>
          <w:rFonts w:cs="Times New Roman"/>
        </w:rPr>
      </w:pPr>
      <w:r w:rsidRPr="00943E1C">
        <w:rPr>
          <w:rFonts w:cs="Times New Roman"/>
        </w:rPr>
        <w:t>2.</w:t>
      </w:r>
      <w:r w:rsidRPr="00943E1C">
        <w:rPr>
          <w:rFonts w:cs="Times New Roman"/>
        </w:rPr>
        <w:tab/>
        <w:t>Copyright Registration</w:t>
      </w:r>
    </w:p>
    <w:p w14:paraId="3D2ECB36" w14:textId="77777777" w:rsidR="00943E1C" w:rsidRPr="00943E1C" w:rsidRDefault="00943E1C" w:rsidP="00943E1C">
      <w:pPr>
        <w:pStyle w:val="text"/>
        <w:rPr>
          <w:rFonts w:cs="Times New Roman"/>
        </w:rPr>
      </w:pPr>
      <w:r w:rsidRPr="00943E1C">
        <w:rPr>
          <w:rFonts w:cs="Times New Roman"/>
        </w:rPr>
        <w:t xml:space="preserve">Copyright subsists spontaneously with the creation of the work as it is placed in a </w:t>
      </w:r>
      <w:r w:rsidRPr="00943E1C">
        <w:rPr>
          <w:rFonts w:cs="Times New Roman"/>
          <w:i/>
          <w:iCs/>
        </w:rPr>
        <w:t>fixed</w:t>
      </w:r>
      <w:r w:rsidRPr="00943E1C">
        <w:rPr>
          <w:rFonts w:cs="Times New Roman"/>
        </w:rPr>
        <w:t xml:space="preserve"> medium of expression.</w:t>
      </w:r>
      <w:r w:rsidRPr="00943E1C">
        <w:rPr>
          <w:rFonts w:cs="Times New Roman"/>
          <w:vertAlign w:val="superscript"/>
        </w:rPr>
        <w:footnoteReference w:id="141"/>
      </w:r>
      <w:r w:rsidRPr="00943E1C">
        <w:rPr>
          <w:rFonts w:cs="Times New Roman"/>
        </w:rPr>
        <w:t xml:space="preserve"> Although no formal papers need to be filed or fees paid for copyright to spring to existence, a formal copyright registration procedure is available that offers advantages to a copyright owner. At any point in time while copyright exists in a work, the copyright may be registered with the U.S. Copyright Office.</w:t>
      </w:r>
      <w:r w:rsidRPr="00943E1C">
        <w:rPr>
          <w:rFonts w:cs="Times New Roman"/>
          <w:vertAlign w:val="superscript"/>
        </w:rPr>
        <w:footnoteReference w:id="142"/>
      </w:r>
    </w:p>
    <w:p w14:paraId="4736B16E" w14:textId="77777777" w:rsidR="00943E1C" w:rsidRPr="00943E1C" w:rsidRDefault="00943E1C" w:rsidP="00943E1C">
      <w:pPr>
        <w:pStyle w:val="text"/>
        <w:rPr>
          <w:rFonts w:cs="Times New Roman"/>
        </w:rPr>
      </w:pPr>
      <w:r w:rsidRPr="00943E1C">
        <w:rPr>
          <w:rFonts w:cs="Times New Roman"/>
        </w:rPr>
        <w:t>A copyright can be registered in the Copyright Office by filing a registration application, paying a registration fee, and possibly depositing one or more copies of the work.</w:t>
      </w:r>
      <w:r w:rsidRPr="00943E1C">
        <w:rPr>
          <w:rFonts w:cs="Times New Roman"/>
          <w:vertAlign w:val="superscript"/>
        </w:rPr>
        <w:footnoteReference w:id="143"/>
      </w:r>
      <w:r w:rsidRPr="00943E1C">
        <w:rPr>
          <w:rFonts w:cs="Times New Roman"/>
        </w:rPr>
        <w:t xml:space="preserve"> The application form (the basis of the copyright registration) includes the name and address of the copyright owner, the title of the work, and the year of creation and publication (if any).</w:t>
      </w:r>
      <w:r w:rsidRPr="00943E1C">
        <w:rPr>
          <w:rFonts w:cs="Times New Roman"/>
          <w:vertAlign w:val="superscript"/>
        </w:rPr>
        <w:footnoteReference w:id="144"/>
      </w:r>
    </w:p>
    <w:p w14:paraId="1841A87F" w14:textId="77777777" w:rsidR="00943E1C" w:rsidRPr="00943E1C" w:rsidRDefault="00943E1C" w:rsidP="00943E1C">
      <w:pPr>
        <w:pStyle w:val="3rdlevelhead1i"/>
        <w:rPr>
          <w:rFonts w:cs="Times New Roman"/>
        </w:rPr>
      </w:pPr>
      <w:r w:rsidRPr="00943E1C">
        <w:rPr>
          <w:rFonts w:cs="Times New Roman"/>
        </w:rPr>
        <w:t>3.</w:t>
      </w:r>
      <w:r w:rsidRPr="00943E1C">
        <w:rPr>
          <w:rFonts w:cs="Times New Roman"/>
        </w:rPr>
        <w:tab/>
        <w:t xml:space="preserve">Copyright Infringement </w:t>
      </w:r>
    </w:p>
    <w:p w14:paraId="29E9DA51" w14:textId="77777777" w:rsidR="00943E1C" w:rsidRPr="00943E1C" w:rsidRDefault="00943E1C" w:rsidP="00943E1C">
      <w:pPr>
        <w:pStyle w:val="text"/>
        <w:rPr>
          <w:rFonts w:cs="Times New Roman"/>
        </w:rPr>
      </w:pPr>
      <w:r w:rsidRPr="00943E1C">
        <w:rPr>
          <w:rFonts w:cs="Times New Roman"/>
        </w:rPr>
        <w:t>Copyright infringement occurs whenever someone violates one of the exclusive rights of a copyright owner.</w:t>
      </w:r>
      <w:r w:rsidRPr="00943E1C">
        <w:rPr>
          <w:rFonts w:cs="Times New Roman"/>
          <w:vertAlign w:val="superscript"/>
        </w:rPr>
        <w:footnoteReference w:id="145"/>
      </w:r>
      <w:r w:rsidRPr="00943E1C">
        <w:rPr>
          <w:rFonts w:cs="Times New Roman"/>
        </w:rPr>
        <w:t xml:space="preserve"> The right to bring an infringement suit for a copyrighted work produced in the United States is one of the advantages offered by copyright registration.</w:t>
      </w:r>
      <w:r w:rsidRPr="00943E1C">
        <w:rPr>
          <w:rFonts w:cs="Times New Roman"/>
          <w:vertAlign w:val="superscript"/>
        </w:rPr>
        <w:footnoteReference w:id="146"/>
      </w:r>
      <w:r w:rsidRPr="00943E1C">
        <w:rPr>
          <w:rFonts w:cs="Times New Roman"/>
        </w:rPr>
        <w:t xml:space="preserve"> For nearly all works, no action for copyright infringement can begin until the copyright has been registered.</w:t>
      </w:r>
      <w:r w:rsidRPr="00943E1C">
        <w:rPr>
          <w:rFonts w:cs="Times New Roman"/>
          <w:vertAlign w:val="superscript"/>
        </w:rPr>
        <w:footnoteReference w:id="147"/>
      </w:r>
    </w:p>
    <w:p w14:paraId="0B692886" w14:textId="77777777" w:rsidR="00943E1C" w:rsidRPr="00943E1C" w:rsidRDefault="00943E1C" w:rsidP="00943E1C">
      <w:pPr>
        <w:pStyle w:val="text"/>
        <w:rPr>
          <w:rFonts w:cs="Times New Roman"/>
        </w:rPr>
      </w:pPr>
      <w:r w:rsidRPr="00943E1C">
        <w:rPr>
          <w:rFonts w:cs="Times New Roman"/>
        </w:rPr>
        <w:t>In a copyright infringement suit where a plaintiff alleges that a defendant infringed the plaintiff’s copyright, infringement traditionally involves a two-step analysis. First, the plaintiff must prove that the defendant copied from plaintiff’s copyrighted work. Second, the portions of the copyrighted work copied must go “so far as to constitute improper appropriation.”</w:t>
      </w:r>
      <w:r w:rsidRPr="00943E1C">
        <w:rPr>
          <w:rFonts w:cs="Times New Roman"/>
          <w:vertAlign w:val="superscript"/>
        </w:rPr>
        <w:footnoteReference w:id="148"/>
      </w:r>
    </w:p>
    <w:p w14:paraId="5C446103" w14:textId="77777777" w:rsidR="00943E1C" w:rsidRPr="00943E1C" w:rsidRDefault="00943E1C" w:rsidP="00943E1C">
      <w:pPr>
        <w:pStyle w:val="text"/>
        <w:rPr>
          <w:rFonts w:cs="Times New Roman"/>
        </w:rPr>
      </w:pPr>
      <w:r w:rsidRPr="00943E1C">
        <w:rPr>
          <w:rFonts w:cs="Times New Roman"/>
        </w:rPr>
        <w:t>Proving the first element of a copyright infringement suit requires establishing that copying has occurred. This may be established by the defendant’s own admission of copying.</w:t>
      </w:r>
      <w:r w:rsidRPr="00943E1C">
        <w:rPr>
          <w:rFonts w:cs="Times New Roman"/>
          <w:vertAlign w:val="superscript"/>
        </w:rPr>
        <w:footnoteReference w:id="149"/>
      </w:r>
      <w:r w:rsidRPr="00943E1C">
        <w:rPr>
          <w:rFonts w:cs="Times New Roman"/>
        </w:rPr>
        <w:t xml:space="preserve"> However, in most cases, the defendant will not admit to copying. Therefore, copying can be reasonably inferred by a finding of similarity between the works and access of the defendant to the plaintiff’s copyrighted work.</w:t>
      </w:r>
      <w:r w:rsidRPr="00943E1C">
        <w:rPr>
          <w:rFonts w:cs="Times New Roman"/>
          <w:vertAlign w:val="superscript"/>
        </w:rPr>
        <w:footnoteReference w:id="150"/>
      </w:r>
      <w:r w:rsidRPr="00943E1C">
        <w:rPr>
          <w:rFonts w:cs="Times New Roman"/>
        </w:rPr>
        <w:t xml:space="preserve"> If there is no showing of access, a striking similarity between the works may suffice if the works are so similar as to preclude the possibility that the defendant independently created the secondary work.</w:t>
      </w:r>
      <w:r w:rsidRPr="00943E1C">
        <w:rPr>
          <w:rFonts w:cs="Times New Roman"/>
          <w:vertAlign w:val="superscript"/>
        </w:rPr>
        <w:footnoteReference w:id="151"/>
      </w:r>
    </w:p>
    <w:p w14:paraId="464AA31B" w14:textId="77777777" w:rsidR="00943E1C" w:rsidRPr="00943E1C" w:rsidRDefault="00943E1C" w:rsidP="00943E1C">
      <w:pPr>
        <w:pStyle w:val="text"/>
        <w:rPr>
          <w:rFonts w:cs="Times New Roman"/>
        </w:rPr>
      </w:pPr>
      <w:r w:rsidRPr="00943E1C">
        <w:rPr>
          <w:rFonts w:cs="Times New Roman"/>
        </w:rPr>
        <w:t>Once copying is proved, a plaintiff in a copyright infringement suit must still prove that the copying amounted to improper appropriation. Courts rely on two tests to determine whether improper appropriation has occurred. In the protected expression test, a court must decide whether the defendant copied copyright protected expression.</w:t>
      </w:r>
      <w:r w:rsidRPr="00943E1C">
        <w:rPr>
          <w:rFonts w:cs="Times New Roman"/>
          <w:vertAlign w:val="superscript"/>
        </w:rPr>
        <w:footnoteReference w:id="152"/>
      </w:r>
      <w:r w:rsidRPr="00943E1C">
        <w:rPr>
          <w:rFonts w:cs="Times New Roman"/>
        </w:rPr>
        <w:t xml:space="preserve"> In the audience test, a court must find that an audience of laypeople would find the defendant’s work substantially similar to the copyright protected work of the plaintiff.</w:t>
      </w:r>
      <w:r w:rsidRPr="00943E1C">
        <w:rPr>
          <w:rFonts w:cs="Times New Roman"/>
          <w:vertAlign w:val="superscript"/>
        </w:rPr>
        <w:footnoteReference w:id="153"/>
      </w:r>
    </w:p>
    <w:p w14:paraId="386015AE" w14:textId="77777777" w:rsidR="00943E1C" w:rsidRPr="00943E1C" w:rsidRDefault="00943E1C" w:rsidP="00943E1C">
      <w:pPr>
        <w:pStyle w:val="3rdlevelhead1i"/>
        <w:rPr>
          <w:rFonts w:cs="Times New Roman"/>
        </w:rPr>
      </w:pPr>
      <w:r w:rsidRPr="00943E1C">
        <w:rPr>
          <w:rFonts w:cs="Times New Roman"/>
        </w:rPr>
        <w:t>4.</w:t>
      </w:r>
      <w:r w:rsidRPr="00943E1C">
        <w:rPr>
          <w:rFonts w:cs="Times New Roman"/>
        </w:rPr>
        <w:tab/>
        <w:t xml:space="preserve">Remedies for Infringement </w:t>
      </w:r>
    </w:p>
    <w:p w14:paraId="592C8A01" w14:textId="77777777" w:rsidR="00943E1C" w:rsidRPr="00943E1C" w:rsidRDefault="00943E1C" w:rsidP="00943E1C">
      <w:pPr>
        <w:pStyle w:val="text"/>
        <w:rPr>
          <w:rFonts w:cs="Times New Roman"/>
        </w:rPr>
      </w:pPr>
      <w:r w:rsidRPr="00943E1C">
        <w:rPr>
          <w:rFonts w:cs="Times New Roman"/>
        </w:rPr>
        <w:t>A court can award several types of remedies to the copyright owner. To prevent infringement, a court may grant temporary or permanent injunctions.</w:t>
      </w:r>
      <w:r w:rsidRPr="00943E1C">
        <w:rPr>
          <w:rFonts w:cs="Times New Roman"/>
          <w:vertAlign w:val="superscript"/>
        </w:rPr>
        <w:footnoteReference w:id="154"/>
      </w:r>
      <w:r w:rsidRPr="00943E1C">
        <w:rPr>
          <w:rFonts w:cs="Times New Roman"/>
        </w:rPr>
        <w:t xml:space="preserve"> Infringing copies of a copyrighted work can be impounded and destroyed.</w:t>
      </w:r>
      <w:r w:rsidRPr="00943E1C">
        <w:rPr>
          <w:rFonts w:cs="Times New Roman"/>
          <w:vertAlign w:val="superscript"/>
        </w:rPr>
        <w:footnoteReference w:id="155"/>
      </w:r>
      <w:r w:rsidRPr="00943E1C">
        <w:rPr>
          <w:rFonts w:cs="Times New Roman"/>
        </w:rPr>
        <w:t xml:space="preserve"> Actual damages and the infringer’s profits may be awarded.</w:t>
      </w:r>
      <w:r w:rsidRPr="00943E1C">
        <w:rPr>
          <w:rFonts w:cs="Times New Roman"/>
          <w:vertAlign w:val="superscript"/>
        </w:rPr>
        <w:footnoteReference w:id="156"/>
      </w:r>
      <w:r w:rsidRPr="00943E1C">
        <w:rPr>
          <w:rFonts w:cs="Times New Roman"/>
        </w:rPr>
        <w:t xml:space="preserve"> In the alternative to actual damages and profits, statutory damages can be awarded.</w:t>
      </w:r>
      <w:r w:rsidRPr="00943E1C">
        <w:rPr>
          <w:rFonts w:cs="Times New Roman"/>
          <w:vertAlign w:val="superscript"/>
        </w:rPr>
        <w:footnoteReference w:id="157"/>
      </w:r>
      <w:r w:rsidRPr="00943E1C">
        <w:rPr>
          <w:rFonts w:cs="Times New Roman"/>
        </w:rPr>
        <w:t xml:space="preserve"> For willful infringement, statutory damages may be up to $150,000.</w:t>
      </w:r>
      <w:r w:rsidRPr="00943E1C">
        <w:rPr>
          <w:rFonts w:cs="Times New Roman"/>
          <w:vertAlign w:val="superscript"/>
        </w:rPr>
        <w:footnoteReference w:id="158"/>
      </w:r>
      <w:r w:rsidRPr="00943E1C">
        <w:rPr>
          <w:rFonts w:cs="Times New Roman"/>
        </w:rPr>
        <w:t xml:space="preserve"> Attorneys’ fees and costs are the final types of remedies available in a copyright infringement action.</w:t>
      </w:r>
      <w:r w:rsidRPr="00943E1C">
        <w:rPr>
          <w:rFonts w:cs="Times New Roman"/>
          <w:vertAlign w:val="superscript"/>
        </w:rPr>
        <w:footnoteReference w:id="159"/>
      </w:r>
    </w:p>
    <w:p w14:paraId="1CB72161" w14:textId="77777777" w:rsidR="00943E1C" w:rsidRPr="00943E1C" w:rsidRDefault="00943E1C" w:rsidP="00943E1C">
      <w:pPr>
        <w:pStyle w:val="2ndlevelheadBbi"/>
        <w:rPr>
          <w:rFonts w:cs="Times New Roman"/>
        </w:rPr>
      </w:pPr>
      <w:r w:rsidRPr="00943E1C">
        <w:rPr>
          <w:rFonts w:cs="Times New Roman"/>
        </w:rPr>
        <w:t>B.</w:t>
      </w:r>
      <w:r w:rsidRPr="00943E1C">
        <w:rPr>
          <w:rFonts w:cs="Times New Roman"/>
        </w:rPr>
        <w:tab/>
        <w:t xml:space="preserve">Copyright Protection Compared to Patent Protection for Computer Software </w:t>
      </w:r>
    </w:p>
    <w:p w14:paraId="388857FC" w14:textId="77777777" w:rsidR="00943E1C" w:rsidRPr="00943E1C" w:rsidRDefault="00943E1C" w:rsidP="00943E1C">
      <w:pPr>
        <w:pStyle w:val="text"/>
        <w:rPr>
          <w:rFonts w:cs="Times New Roman"/>
        </w:rPr>
      </w:pPr>
      <w:r w:rsidRPr="00943E1C">
        <w:rPr>
          <w:rFonts w:cs="Times New Roman"/>
        </w:rPr>
        <w:t xml:space="preserve">In one sense, a patent is a reward for an inventor’s progress in the sciences. The reward is a limited exclusive right to the invention. After this exclusivity period expires, the public can freely make and use the patented invention, and science progresses. While patents deal with the sciences, historically copyrights covered the domain of the arts. A patentable invention’s value is in the invention itself. Art is valuable not for its original subject matter, as with a patentable invention, but rather for the art’s </w:t>
      </w:r>
      <w:r w:rsidRPr="00943E1C">
        <w:rPr>
          <w:rFonts w:cs="Times New Roman"/>
          <w:i/>
          <w:iCs/>
        </w:rPr>
        <w:t>original expression</w:t>
      </w:r>
      <w:r w:rsidRPr="00943E1C">
        <w:rPr>
          <w:rFonts w:cs="Times New Roman"/>
        </w:rPr>
        <w:t xml:space="preserve"> of a subject. For example, given a child’s fable (such as </w:t>
      </w:r>
      <w:r w:rsidRPr="00943E1C">
        <w:rPr>
          <w:rFonts w:cs="Times New Roman"/>
          <w:i/>
          <w:iCs/>
        </w:rPr>
        <w:t>Cinderella</w:t>
      </w:r>
      <w:r w:rsidRPr="00943E1C">
        <w:rPr>
          <w:rFonts w:cs="Times New Roman"/>
        </w:rPr>
        <w:t>), one can recast the fable into a musical, an animated movie, a series of collectible figures, or even an ice show. Each of these expressions of the subject matter is separately copyrightable.</w:t>
      </w:r>
    </w:p>
    <w:p w14:paraId="61A43EE7" w14:textId="77777777" w:rsidR="00943E1C" w:rsidRPr="00943E1C" w:rsidRDefault="00943E1C" w:rsidP="00943E1C">
      <w:pPr>
        <w:pStyle w:val="text"/>
        <w:rPr>
          <w:rFonts w:cs="Times New Roman"/>
        </w:rPr>
      </w:pPr>
      <w:r w:rsidRPr="00943E1C">
        <w:rPr>
          <w:rFonts w:cs="Times New Roman"/>
        </w:rPr>
        <w:t>Because Congress enacted copyright law and patent law to protect different groups of people (authors by copyrights and inventors by patents) creating different types of works (writings and invention discoveries), copyright and patent law have differing scopes of protection, requirements, and procedures. These differences result in specific advantages in obtaining copyright or patent rights in software. One should explore these advantages to gain the broadest intellectual property protection.</w:t>
      </w:r>
    </w:p>
    <w:p w14:paraId="750E1462" w14:textId="77777777" w:rsidR="00943E1C" w:rsidRPr="00943E1C" w:rsidRDefault="00943E1C" w:rsidP="00943E1C">
      <w:pPr>
        <w:pStyle w:val="3rdlevelhead1i"/>
        <w:rPr>
          <w:rFonts w:cs="Times New Roman"/>
        </w:rPr>
      </w:pPr>
      <w:r w:rsidRPr="00943E1C">
        <w:rPr>
          <w:rFonts w:cs="Times New Roman"/>
        </w:rPr>
        <w:t>1.</w:t>
      </w:r>
      <w:r w:rsidRPr="00943E1C">
        <w:rPr>
          <w:rFonts w:cs="Times New Roman"/>
        </w:rPr>
        <w:tab/>
        <w:t xml:space="preserve">Scope and Type of Protection </w:t>
      </w:r>
    </w:p>
    <w:p w14:paraId="3830E618" w14:textId="77777777" w:rsidR="00943E1C" w:rsidRPr="00943E1C" w:rsidRDefault="00943E1C" w:rsidP="00943E1C">
      <w:pPr>
        <w:pStyle w:val="text"/>
        <w:rPr>
          <w:rFonts w:cs="Times New Roman"/>
        </w:rPr>
      </w:pPr>
      <w:r w:rsidRPr="00943E1C">
        <w:rPr>
          <w:rFonts w:cs="Times New Roman"/>
        </w:rPr>
        <w:t xml:space="preserve">Although copyright law guards many forms of artistic works, the two forms associated with computer software are </w:t>
      </w:r>
      <w:r w:rsidRPr="00943E1C">
        <w:rPr>
          <w:rFonts w:cs="Times New Roman"/>
          <w:i/>
          <w:iCs/>
        </w:rPr>
        <w:t>literary works</w:t>
      </w:r>
      <w:r w:rsidRPr="00943E1C">
        <w:rPr>
          <w:rFonts w:cs="Times New Roman"/>
        </w:rPr>
        <w:t xml:space="preserve"> and </w:t>
      </w:r>
      <w:r w:rsidRPr="00943E1C">
        <w:rPr>
          <w:rFonts w:cs="Times New Roman"/>
          <w:i/>
          <w:iCs/>
        </w:rPr>
        <w:t>audiovisual works</w:t>
      </w:r>
      <w:r w:rsidRPr="00943E1C">
        <w:rPr>
          <w:rFonts w:cs="Times New Roman"/>
        </w:rPr>
        <w:t>.</w:t>
      </w:r>
      <w:r w:rsidRPr="00943E1C">
        <w:rPr>
          <w:rFonts w:cs="Times New Roman"/>
          <w:vertAlign w:val="superscript"/>
        </w:rPr>
        <w:footnoteReference w:id="160"/>
      </w:r>
      <w:r w:rsidRPr="00943E1C">
        <w:rPr>
          <w:rFonts w:cs="Times New Roman"/>
        </w:rPr>
        <w:t xml:space="preserve"> Literary works are those expressed in words, numbers, or other symbols.</w:t>
      </w:r>
      <w:r w:rsidRPr="00943E1C">
        <w:rPr>
          <w:rFonts w:cs="Times New Roman"/>
          <w:vertAlign w:val="superscript"/>
        </w:rPr>
        <w:footnoteReference w:id="161"/>
      </w:r>
      <w:r w:rsidRPr="00943E1C">
        <w:rPr>
          <w:rFonts w:cs="Times New Roman"/>
        </w:rPr>
        <w:t xml:space="preserve"> Source code and object code of a computer program both fit within this definition. Screen displays produced during the execution of a computer program also are literary works. Beyond being a literary work, computer programs that incorporate multimedia data, such as the hundreds of computer CD-ROMs and DVDs on the market, fit within the definition of audiovisual works.</w:t>
      </w:r>
      <w:r w:rsidRPr="00943E1C">
        <w:rPr>
          <w:rFonts w:cs="Times New Roman"/>
          <w:vertAlign w:val="superscript"/>
        </w:rPr>
        <w:footnoteReference w:id="162"/>
      </w:r>
    </w:p>
    <w:p w14:paraId="46F7EF2D" w14:textId="77777777" w:rsidR="00943E1C" w:rsidRPr="00943E1C" w:rsidRDefault="00943E1C" w:rsidP="00943E1C">
      <w:pPr>
        <w:pStyle w:val="text"/>
        <w:rPr>
          <w:rFonts w:cs="Times New Roman"/>
        </w:rPr>
      </w:pPr>
      <w:r w:rsidRPr="00943E1C">
        <w:rPr>
          <w:rFonts w:cs="Times New Roman"/>
        </w:rPr>
        <w:t>A patent includes of a series of claims that detail the scope of protection given by the patent. (For more detailed discussion, see Chapter 6, “Crafting the Claims,” and Chapter 7, “Functional Claim Drafting in the Electronics, Computer, and Software Arts.”) A copyright has no such series of claims. However, like a patent with its limiting claims, a copyright may or may not extend to the entire work. Instead, a copyright may extend only to portions of the work, leaving the remaining parts either uncopyrighted or thinly copyrighted.</w:t>
      </w:r>
    </w:p>
    <w:p w14:paraId="309F5DA0" w14:textId="77777777" w:rsidR="00943E1C" w:rsidRPr="00943E1C" w:rsidRDefault="00943E1C" w:rsidP="00943E1C">
      <w:pPr>
        <w:pStyle w:val="text"/>
        <w:rPr>
          <w:rFonts w:cs="Times New Roman"/>
        </w:rPr>
      </w:pPr>
      <w:r w:rsidRPr="00943E1C">
        <w:rPr>
          <w:rFonts w:cs="Times New Roman"/>
        </w:rPr>
        <w:t xml:space="preserve">An idea is protected differently under patent law and copyright law. An inventor can patent a new and nonobvious system or method. In contrast, because copyright law is intended to protect the artistic </w:t>
      </w:r>
      <w:r w:rsidRPr="00943E1C">
        <w:rPr>
          <w:rFonts w:cs="Times New Roman"/>
          <w:i/>
          <w:iCs/>
        </w:rPr>
        <w:t>expression</w:t>
      </w:r>
      <w:r w:rsidRPr="00943E1C">
        <w:rPr>
          <w:rFonts w:cs="Times New Roman"/>
        </w:rPr>
        <w:t xml:space="preserve"> of an idea, a copyright never protects the idea itself.</w:t>
      </w:r>
      <w:r w:rsidRPr="00943E1C">
        <w:rPr>
          <w:rFonts w:cs="Times New Roman"/>
          <w:vertAlign w:val="superscript"/>
        </w:rPr>
        <w:footnoteReference w:id="163"/>
      </w:r>
      <w:r w:rsidRPr="00943E1C">
        <w:rPr>
          <w:rFonts w:cs="Times New Roman"/>
        </w:rPr>
        <w:t xml:space="preserve"> Likewise, copyright does not extend to any procedure, system, or method of operation.</w:t>
      </w:r>
      <w:r w:rsidRPr="00943E1C">
        <w:rPr>
          <w:rFonts w:cs="Times New Roman"/>
          <w:vertAlign w:val="superscript"/>
        </w:rPr>
        <w:footnoteReference w:id="164"/>
      </w:r>
    </w:p>
    <w:p w14:paraId="6CD79984" w14:textId="77777777" w:rsidR="00943E1C" w:rsidRPr="00943E1C" w:rsidRDefault="00943E1C" w:rsidP="00943E1C">
      <w:pPr>
        <w:pStyle w:val="text"/>
        <w:rPr>
          <w:rFonts w:cs="Times New Roman"/>
        </w:rPr>
      </w:pPr>
      <w:r w:rsidRPr="00943E1C">
        <w:rPr>
          <w:rFonts w:cs="Times New Roman"/>
        </w:rPr>
        <w:t xml:space="preserve">The Copyright Office publishes an administrative manual that contains, </w:t>
      </w:r>
      <w:r w:rsidRPr="00943E1C">
        <w:rPr>
          <w:rFonts w:cs="Times New Roman"/>
          <w:i/>
          <w:iCs/>
        </w:rPr>
        <w:t>inter alia</w:t>
      </w:r>
      <w:r w:rsidRPr="00943E1C">
        <w:rPr>
          <w:rFonts w:cs="Times New Roman"/>
        </w:rPr>
        <w:t>, legal interpretations and guidance regarding copyright registrations.</w:t>
      </w:r>
      <w:r w:rsidRPr="00943E1C">
        <w:rPr>
          <w:rFonts w:cs="Times New Roman"/>
          <w:vertAlign w:val="superscript"/>
        </w:rPr>
        <w:footnoteReference w:id="165"/>
      </w:r>
      <w:r w:rsidRPr="00943E1C">
        <w:rPr>
          <w:rFonts w:cs="Times New Roman"/>
        </w:rPr>
        <w:t xml:space="preserve"> Several circuit courts have held the Copyright Office’s interpretations of copyright law are entitled to the lower deference applicable under </w:t>
      </w:r>
      <w:r w:rsidRPr="00943E1C">
        <w:rPr>
          <w:rFonts w:cs="Times New Roman"/>
          <w:i/>
          <w:iCs/>
        </w:rPr>
        <w:t>Skidmore v. Swift &amp; Co.</w:t>
      </w:r>
      <w:r w:rsidRPr="00943E1C">
        <w:rPr>
          <w:rFonts w:cs="Times New Roman"/>
          <w:vertAlign w:val="superscript"/>
        </w:rPr>
        <w:footnoteReference w:id="166"/>
      </w:r>
      <w:r w:rsidRPr="00943E1C">
        <w:rPr>
          <w:rFonts w:cs="Times New Roman"/>
        </w:rPr>
        <w:t xml:space="preserve"> In general, “agencies charged with applying a statute necessarily make all sorts of interpretive choices, and while not all of those choices bind judges to follow them, they certainly may influence courts facing questions the agencies have already answered.”</w:t>
      </w:r>
      <w:r w:rsidRPr="00943E1C">
        <w:rPr>
          <w:rFonts w:cs="Times New Roman"/>
          <w:vertAlign w:val="superscript"/>
        </w:rPr>
        <w:footnoteReference w:id="167"/>
      </w:r>
      <w:r w:rsidRPr="00943E1C">
        <w:rPr>
          <w:rFonts w:cs="Times New Roman"/>
        </w:rPr>
        <w:t xml:space="preserve"> The Compendium includes a number of chapters regarding the copyrightability of various electronics and software-related works such as computer programs,</w:t>
      </w:r>
      <w:r w:rsidRPr="00943E1C">
        <w:rPr>
          <w:rFonts w:cs="Times New Roman"/>
          <w:vertAlign w:val="superscript"/>
        </w:rPr>
        <w:footnoteReference w:id="168"/>
      </w:r>
      <w:r w:rsidRPr="00943E1C">
        <w:rPr>
          <w:rFonts w:cs="Times New Roman"/>
        </w:rPr>
        <w:t xml:space="preserve"> screen displays,</w:t>
      </w:r>
      <w:r w:rsidRPr="00943E1C">
        <w:rPr>
          <w:rFonts w:cs="Times New Roman"/>
          <w:vertAlign w:val="superscript"/>
        </w:rPr>
        <w:footnoteReference w:id="169"/>
      </w:r>
      <w:r w:rsidRPr="00943E1C">
        <w:rPr>
          <w:rFonts w:cs="Times New Roman"/>
        </w:rPr>
        <w:t xml:space="preserve"> apps,</w:t>
      </w:r>
      <w:r w:rsidRPr="00943E1C">
        <w:rPr>
          <w:rFonts w:cs="Times New Roman"/>
          <w:vertAlign w:val="superscript"/>
        </w:rPr>
        <w:footnoteReference w:id="170"/>
      </w:r>
      <w:r w:rsidRPr="00943E1C">
        <w:rPr>
          <w:rFonts w:cs="Times New Roman"/>
        </w:rPr>
        <w:t xml:space="preserve"> video games,</w:t>
      </w:r>
      <w:r w:rsidRPr="00943E1C">
        <w:rPr>
          <w:rFonts w:cs="Times New Roman"/>
          <w:vertAlign w:val="superscript"/>
        </w:rPr>
        <w:footnoteReference w:id="171"/>
      </w:r>
      <w:r w:rsidRPr="00943E1C">
        <w:rPr>
          <w:rFonts w:cs="Times New Roman"/>
        </w:rPr>
        <w:t xml:space="preserve"> databases,</w:t>
      </w:r>
      <w:r w:rsidRPr="00943E1C">
        <w:rPr>
          <w:rFonts w:cs="Times New Roman"/>
          <w:vertAlign w:val="superscript"/>
        </w:rPr>
        <w:footnoteReference w:id="172"/>
      </w:r>
      <w:r w:rsidRPr="00943E1C">
        <w:rPr>
          <w:rFonts w:cs="Times New Roman"/>
        </w:rPr>
        <w:t xml:space="preserve"> websites and website content,</w:t>
      </w:r>
      <w:r w:rsidRPr="00943E1C">
        <w:rPr>
          <w:rFonts w:cs="Times New Roman"/>
          <w:vertAlign w:val="superscript"/>
        </w:rPr>
        <w:footnoteReference w:id="173"/>
      </w:r>
      <w:r w:rsidRPr="00943E1C">
        <w:rPr>
          <w:rFonts w:cs="Times New Roman"/>
        </w:rPr>
        <w:t xml:space="preserve"> mask works,</w:t>
      </w:r>
      <w:r w:rsidRPr="00943E1C">
        <w:rPr>
          <w:rFonts w:cs="Times New Roman"/>
          <w:vertAlign w:val="superscript"/>
        </w:rPr>
        <w:footnoteReference w:id="174"/>
      </w:r>
      <w:r w:rsidRPr="00943E1C">
        <w:rPr>
          <w:rFonts w:cs="Times New Roman"/>
        </w:rPr>
        <w:t xml:space="preserve"> and other works. </w:t>
      </w:r>
    </w:p>
    <w:p w14:paraId="2629475A" w14:textId="77777777" w:rsidR="00943E1C" w:rsidRPr="00943E1C" w:rsidRDefault="00943E1C" w:rsidP="00943E1C">
      <w:pPr>
        <w:pStyle w:val="3rdlevelhead1i"/>
        <w:rPr>
          <w:rFonts w:cs="Times New Roman"/>
        </w:rPr>
      </w:pPr>
      <w:r w:rsidRPr="00943E1C">
        <w:rPr>
          <w:rFonts w:cs="Times New Roman"/>
        </w:rPr>
        <w:t>2.</w:t>
      </w:r>
      <w:r w:rsidRPr="00943E1C">
        <w:rPr>
          <w:rFonts w:cs="Times New Roman"/>
        </w:rPr>
        <w:tab/>
        <w:t xml:space="preserve">Newness Versus Novelty and </w:t>
      </w:r>
      <w:proofErr w:type="spellStart"/>
      <w:r w:rsidRPr="00943E1C">
        <w:rPr>
          <w:rFonts w:cs="Times New Roman"/>
        </w:rPr>
        <w:t>Nonobviousness</w:t>
      </w:r>
      <w:proofErr w:type="spellEnd"/>
      <w:r w:rsidRPr="00943E1C">
        <w:rPr>
          <w:rFonts w:cs="Times New Roman"/>
        </w:rPr>
        <w:t xml:space="preserve"> </w:t>
      </w:r>
    </w:p>
    <w:p w14:paraId="18A31ED7" w14:textId="77777777" w:rsidR="00943E1C" w:rsidRPr="00943E1C" w:rsidRDefault="00943E1C" w:rsidP="00943E1C">
      <w:pPr>
        <w:pStyle w:val="text"/>
        <w:rPr>
          <w:rFonts w:cs="Times New Roman"/>
        </w:rPr>
      </w:pPr>
      <w:r w:rsidRPr="00943E1C">
        <w:rPr>
          <w:rFonts w:cs="Times New Roman"/>
        </w:rPr>
        <w:t>To obtain a patent, an inventor must have invented a new or improved useful thing or process.</w:t>
      </w:r>
      <w:r w:rsidRPr="00943E1C">
        <w:rPr>
          <w:rFonts w:cs="Times New Roman"/>
          <w:vertAlign w:val="superscript"/>
        </w:rPr>
        <w:footnoteReference w:id="175"/>
      </w:r>
      <w:r w:rsidRPr="00943E1C">
        <w:rPr>
          <w:rFonts w:cs="Times New Roman"/>
        </w:rPr>
        <w:t xml:space="preserve"> Copyright law, which is concerned with the protection of expressions, does not require the subject matter to be new, only that the expression of that subject matter be </w:t>
      </w:r>
      <w:r w:rsidRPr="00943E1C">
        <w:rPr>
          <w:rFonts w:cs="Times New Roman"/>
          <w:i/>
          <w:iCs/>
        </w:rPr>
        <w:t>original</w:t>
      </w:r>
      <w:r w:rsidRPr="00943E1C">
        <w:rPr>
          <w:rFonts w:cs="Times New Roman"/>
        </w:rPr>
        <w:t>.</w:t>
      </w:r>
      <w:r w:rsidRPr="00943E1C">
        <w:rPr>
          <w:rFonts w:cs="Times New Roman"/>
          <w:vertAlign w:val="superscript"/>
        </w:rPr>
        <w:footnoteReference w:id="176"/>
      </w:r>
      <w:r w:rsidRPr="00943E1C">
        <w:rPr>
          <w:rFonts w:cs="Times New Roman"/>
        </w:rPr>
        <w:t xml:space="preserve"> Such original expression must be placed, or fixed, in a tangible medium.</w:t>
      </w:r>
      <w:r w:rsidRPr="00943E1C">
        <w:rPr>
          <w:rFonts w:cs="Times New Roman"/>
          <w:vertAlign w:val="superscript"/>
        </w:rPr>
        <w:footnoteReference w:id="177"/>
      </w:r>
      <w:r w:rsidRPr="00943E1C">
        <w:rPr>
          <w:rFonts w:cs="Times New Roman"/>
        </w:rPr>
        <w:t xml:space="preserve"> Computer storage media, such as CD-ROMs, DVDs, and flash memory, are such media.</w:t>
      </w:r>
    </w:p>
    <w:p w14:paraId="44E2DB19" w14:textId="77777777" w:rsidR="00943E1C" w:rsidRPr="00943E1C" w:rsidRDefault="00943E1C" w:rsidP="00943E1C">
      <w:pPr>
        <w:pStyle w:val="text"/>
        <w:rPr>
          <w:rFonts w:cs="Times New Roman"/>
        </w:rPr>
      </w:pPr>
      <w:r w:rsidRPr="00943E1C">
        <w:rPr>
          <w:rFonts w:cs="Times New Roman"/>
        </w:rPr>
        <w:t>The USPTO issues patents only after an extensive investigation determining the novelty of the invention. The originality needed to obtain a copyright is not nearly so rigorous as that of a patent’s novelty.</w:t>
      </w:r>
    </w:p>
    <w:p w14:paraId="4DFC2260" w14:textId="77777777" w:rsidR="00943E1C" w:rsidRPr="00943E1C" w:rsidRDefault="00943E1C" w:rsidP="00943E1C">
      <w:pPr>
        <w:pStyle w:val="3rdlevelhead1i"/>
        <w:rPr>
          <w:rFonts w:cs="Times New Roman"/>
        </w:rPr>
      </w:pPr>
      <w:r w:rsidRPr="00943E1C">
        <w:rPr>
          <w:rFonts w:cs="Times New Roman"/>
        </w:rPr>
        <w:t>3.</w:t>
      </w:r>
      <w:r w:rsidRPr="00943E1C">
        <w:rPr>
          <w:rFonts w:cs="Times New Roman"/>
        </w:rPr>
        <w:tab/>
        <w:t xml:space="preserve">Term of Protection </w:t>
      </w:r>
    </w:p>
    <w:p w14:paraId="5CBFA3FA" w14:textId="77777777" w:rsidR="00943E1C" w:rsidRPr="00943E1C" w:rsidRDefault="00943E1C" w:rsidP="00943E1C">
      <w:pPr>
        <w:pStyle w:val="text"/>
        <w:rPr>
          <w:rFonts w:cs="Times New Roman"/>
        </w:rPr>
      </w:pPr>
      <w:r w:rsidRPr="00943E1C">
        <w:rPr>
          <w:rFonts w:cs="Times New Roman"/>
        </w:rPr>
        <w:t>To reward inventors for their work, but also to ensure that the invention passes to the public, patent protection extends only up to 20 years after the filing of the patent application.</w:t>
      </w:r>
      <w:r w:rsidRPr="00943E1C">
        <w:rPr>
          <w:rFonts w:cs="Times New Roman"/>
          <w:vertAlign w:val="superscript"/>
        </w:rPr>
        <w:footnoteReference w:id="178"/>
      </w:r>
      <w:r w:rsidRPr="00943E1C">
        <w:rPr>
          <w:rFonts w:cs="Times New Roman"/>
        </w:rPr>
        <w:t xml:space="preserve"> In contrast, copyright exclusivity extends to 70 years after the death of the author for works created by identified natural persons.</w:t>
      </w:r>
      <w:r w:rsidRPr="00943E1C">
        <w:rPr>
          <w:rFonts w:cs="Times New Roman"/>
          <w:vertAlign w:val="superscript"/>
        </w:rPr>
        <w:footnoteReference w:id="179"/>
      </w:r>
      <w:r w:rsidRPr="00943E1C">
        <w:rPr>
          <w:rFonts w:cs="Times New Roman"/>
        </w:rPr>
        <w:t xml:space="preserve"> If the work was made for hire or is an anonymous or pseudonymous work, copyright protection is available for the earlier of 95 years from its first publication or 120 years from its creation.</w:t>
      </w:r>
      <w:r w:rsidRPr="00943E1C">
        <w:rPr>
          <w:rFonts w:cs="Times New Roman"/>
          <w:vertAlign w:val="superscript"/>
        </w:rPr>
        <w:footnoteReference w:id="180"/>
      </w:r>
      <w:r w:rsidRPr="00943E1C">
        <w:rPr>
          <w:rFonts w:cs="Times New Roman"/>
        </w:rPr>
        <w:t xml:space="preserve"> Originally, the terms of patent protection and copyright protection were similar. The Patent Act of 1790 provided for a term of up to 14 years from patent grant,</w:t>
      </w:r>
      <w:r w:rsidRPr="00943E1C">
        <w:rPr>
          <w:rFonts w:cs="Times New Roman"/>
          <w:vertAlign w:val="superscript"/>
        </w:rPr>
        <w:footnoteReference w:id="181"/>
      </w:r>
      <w:r w:rsidRPr="00943E1C">
        <w:rPr>
          <w:rFonts w:cs="Times New Roman"/>
        </w:rPr>
        <w:t xml:space="preserve"> and the Copyright Act of 1790 provided for a term of 14 years, renewable for an additional 14 years if the author was still alive at the end of the first term.</w:t>
      </w:r>
      <w:r w:rsidRPr="00943E1C">
        <w:rPr>
          <w:rFonts w:cs="Times New Roman"/>
          <w:vertAlign w:val="superscript"/>
        </w:rPr>
        <w:footnoteReference w:id="182"/>
      </w:r>
      <w:r w:rsidRPr="00943E1C">
        <w:rPr>
          <w:rFonts w:cs="Times New Roman"/>
        </w:rPr>
        <w:t xml:space="preserve"> (The Copyright Act of 1790, however, only extended protections to maps, charts, and books.</w:t>
      </w:r>
      <w:r w:rsidRPr="00943E1C">
        <w:rPr>
          <w:rFonts w:cs="Times New Roman"/>
          <w:vertAlign w:val="superscript"/>
        </w:rPr>
        <w:footnoteReference w:id="183"/>
      </w:r>
      <w:r w:rsidRPr="00943E1C">
        <w:rPr>
          <w:rFonts w:cs="Times New Roman"/>
        </w:rPr>
        <w:t>) Congress has since increased the copyright term a total of once in the first 100 years since the Copyright Act of 1790, a total of twice in the first 170 years, and 11 times in the last 40 years.</w:t>
      </w:r>
    </w:p>
    <w:p w14:paraId="3F028543" w14:textId="77777777" w:rsidR="00943E1C" w:rsidRPr="00943E1C" w:rsidRDefault="00943E1C" w:rsidP="00943E1C">
      <w:pPr>
        <w:pStyle w:val="text"/>
        <w:rPr>
          <w:rFonts w:cs="Times New Roman"/>
        </w:rPr>
      </w:pPr>
      <w:r w:rsidRPr="00943E1C">
        <w:rPr>
          <w:rFonts w:cs="Times New Roman"/>
        </w:rPr>
        <w:t>The most recent increase in copyright term was the Sonny Bono Copyright Term Extension Act of 1998 (CTEA), which retroactively increased the maximum term to life of author plus 70 years in the United States,</w:t>
      </w:r>
      <w:r w:rsidRPr="00943E1C">
        <w:rPr>
          <w:rFonts w:cs="Times New Roman"/>
          <w:vertAlign w:val="superscript"/>
        </w:rPr>
        <w:footnoteReference w:id="184"/>
      </w:r>
      <w:r w:rsidRPr="00943E1C">
        <w:rPr>
          <w:rFonts w:cs="Times New Roman"/>
        </w:rPr>
        <w:t xml:space="preserve"> from life of author plus 50 years.</w:t>
      </w:r>
      <w:r w:rsidRPr="00943E1C">
        <w:rPr>
          <w:rFonts w:cs="Times New Roman"/>
          <w:vertAlign w:val="superscript"/>
        </w:rPr>
        <w:footnoteReference w:id="185"/>
      </w:r>
      <w:r w:rsidRPr="00943E1C">
        <w:rPr>
          <w:rFonts w:cs="Times New Roman"/>
        </w:rPr>
        <w:t xml:space="preserve"> One criticism of the CTEA was that the value of the public domain is significantly decreased when access to certain works is denied nearly indefinitely by Congress retroactively extending copyright protection for existing works.</w:t>
      </w:r>
      <w:r w:rsidRPr="00943E1C">
        <w:rPr>
          <w:rFonts w:cs="Times New Roman"/>
          <w:vertAlign w:val="superscript"/>
        </w:rPr>
        <w:footnoteReference w:id="186"/>
      </w:r>
      <w:r w:rsidRPr="00943E1C">
        <w:rPr>
          <w:rFonts w:cs="Times New Roman"/>
        </w:rPr>
        <w:t xml:space="preserve"> The Supreme Court, in </w:t>
      </w:r>
      <w:r w:rsidRPr="00943E1C">
        <w:rPr>
          <w:rFonts w:cs="Times New Roman"/>
          <w:i/>
          <w:iCs/>
        </w:rPr>
        <w:t>Eldred v</w:t>
      </w:r>
      <w:r w:rsidRPr="00943E1C">
        <w:rPr>
          <w:rFonts w:cs="Times New Roman"/>
        </w:rPr>
        <w:t xml:space="preserve">. </w:t>
      </w:r>
      <w:r w:rsidRPr="00943E1C">
        <w:rPr>
          <w:rFonts w:cs="Times New Roman"/>
          <w:i/>
          <w:iCs/>
        </w:rPr>
        <w:t>Ashcroft</w:t>
      </w:r>
      <w:r w:rsidRPr="00943E1C">
        <w:rPr>
          <w:rFonts w:cs="Times New Roman"/>
        </w:rPr>
        <w:t>,</w:t>
      </w:r>
      <w:r w:rsidRPr="00943E1C">
        <w:rPr>
          <w:rFonts w:cs="Times New Roman"/>
          <w:vertAlign w:val="superscript"/>
        </w:rPr>
        <w:footnoteReference w:id="187"/>
      </w:r>
      <w:r w:rsidRPr="00943E1C">
        <w:rPr>
          <w:rFonts w:cs="Times New Roman"/>
        </w:rPr>
        <w:t xml:space="preserve"> considered the question as to whether such practice exceeds the constitutional mandate of granting copyrights for “limited times” and upheld the constitutionality of the CTEA, holding that the CTEA does not exceed Congress’ authority under the Copyright Clause.</w:t>
      </w:r>
      <w:r w:rsidRPr="00943E1C">
        <w:rPr>
          <w:rFonts w:cs="Times New Roman"/>
          <w:vertAlign w:val="superscript"/>
        </w:rPr>
        <w:footnoteReference w:id="188"/>
      </w:r>
      <w:r w:rsidRPr="00943E1C">
        <w:rPr>
          <w:rFonts w:cs="Times New Roman"/>
        </w:rPr>
        <w:t xml:space="preserve"> </w:t>
      </w:r>
    </w:p>
    <w:p w14:paraId="5EBF3434" w14:textId="77777777" w:rsidR="00943E1C" w:rsidRPr="00943E1C" w:rsidRDefault="00943E1C" w:rsidP="00943E1C">
      <w:pPr>
        <w:pStyle w:val="3rdlevelhead1i"/>
        <w:rPr>
          <w:rFonts w:cs="Times New Roman"/>
        </w:rPr>
      </w:pPr>
      <w:r w:rsidRPr="00943E1C">
        <w:rPr>
          <w:rFonts w:cs="Times New Roman"/>
        </w:rPr>
        <w:t>4.</w:t>
      </w:r>
      <w:r w:rsidRPr="00943E1C">
        <w:rPr>
          <w:rFonts w:cs="Times New Roman"/>
        </w:rPr>
        <w:tab/>
        <w:t>New Form of Protection for Electronics and Software</w:t>
      </w:r>
    </w:p>
    <w:p w14:paraId="68429910" w14:textId="77777777" w:rsidR="00943E1C" w:rsidRPr="00943E1C" w:rsidRDefault="00943E1C" w:rsidP="00943E1C">
      <w:pPr>
        <w:pStyle w:val="text"/>
        <w:rPr>
          <w:rFonts w:cs="Times New Roman"/>
        </w:rPr>
      </w:pPr>
      <w:r w:rsidRPr="00943E1C">
        <w:rPr>
          <w:rFonts w:cs="Times New Roman"/>
        </w:rPr>
        <w:t>Today’s technological advances allow a copyrighted work, such as software, to be readily available to consumers in electronic form. Copyright owners attempt to control consumer access to these electronic forms of copyrighted works by employing technological measures such as scrambling, encrypting, or deactivating the work. ­Consumers can pay a fee to obtain the necessary technological measures to gain access to the work by descrambling, decrypting, or activating the work. In light of this practice, Congress recognized that there was a need for a new and separate form of copyright protection to allow copyright owners to protect against unauthorized access to copyrighted works.</w:t>
      </w:r>
    </w:p>
    <w:p w14:paraId="5DF6E369" w14:textId="77777777" w:rsidR="00943E1C" w:rsidRPr="00943E1C" w:rsidRDefault="00943E1C" w:rsidP="00943E1C">
      <w:pPr>
        <w:pStyle w:val="text"/>
        <w:rPr>
          <w:rFonts w:cs="Times New Roman"/>
        </w:rPr>
      </w:pPr>
      <w:r w:rsidRPr="00943E1C">
        <w:rPr>
          <w:rFonts w:cs="Times New Roman"/>
        </w:rPr>
        <w:t>The DMCA was promulgated, in part, to prohibit the trafficking of products or devices that circumvent technological measures used by copyright owners to restrict access to their copyrighted works.</w:t>
      </w:r>
      <w:r w:rsidRPr="00943E1C">
        <w:rPr>
          <w:rFonts w:cs="Times New Roman"/>
          <w:vertAlign w:val="superscript"/>
        </w:rPr>
        <w:footnoteReference w:id="189"/>
      </w:r>
      <w:r w:rsidRPr="00943E1C">
        <w:rPr>
          <w:rFonts w:cs="Times New Roman"/>
        </w:rPr>
        <w:t xml:space="preserve"> The DMCA clearly establishes a copyright owner’s right to protect against unauthorized access as a right separate and distinct from the right to protect against violations of the exclusive rights of reproduction and distribution.</w:t>
      </w:r>
      <w:r w:rsidRPr="00943E1C">
        <w:rPr>
          <w:rFonts w:cs="Times New Roman"/>
          <w:vertAlign w:val="superscript"/>
        </w:rPr>
        <w:footnoteReference w:id="190"/>
      </w:r>
      <w:r w:rsidRPr="00943E1C">
        <w:rPr>
          <w:rFonts w:cs="Times New Roman"/>
        </w:rPr>
        <w:t xml:space="preserve"> Section 1201(a)(2) of the DMCA states:</w:t>
      </w:r>
    </w:p>
    <w:p w14:paraId="637F22DC" w14:textId="77777777" w:rsidR="00943E1C" w:rsidRPr="00943E1C" w:rsidRDefault="00943E1C" w:rsidP="00943E1C">
      <w:pPr>
        <w:pStyle w:val="block-f-2"/>
        <w:rPr>
          <w:rFonts w:cs="Times New Roman"/>
        </w:rPr>
      </w:pPr>
      <w:r w:rsidRPr="00943E1C">
        <w:rPr>
          <w:rFonts w:cs="Times New Roman"/>
        </w:rPr>
        <w:t>[n]o person shall manufacture, import, offer to the public, provide, or otherwise traffic in any technology, product, service, device, component, or part thereof, that:</w:t>
      </w:r>
    </w:p>
    <w:p w14:paraId="1F694B75" w14:textId="77777777" w:rsidR="00943E1C" w:rsidRPr="00943E1C" w:rsidRDefault="00943E1C" w:rsidP="00943E1C">
      <w:pPr>
        <w:pStyle w:val="block-p--0"/>
        <w:rPr>
          <w:rFonts w:cs="Times New Roman"/>
        </w:rPr>
      </w:pPr>
      <w:r w:rsidRPr="00943E1C">
        <w:rPr>
          <w:rFonts w:cs="Times New Roman"/>
        </w:rPr>
        <w:t>(A) is primarily designed or produced for the purpose of circumventing a technological measure that effectively controls access to a work protected under this title;</w:t>
      </w:r>
    </w:p>
    <w:p w14:paraId="258092CF" w14:textId="77777777" w:rsidR="00943E1C" w:rsidRPr="00943E1C" w:rsidRDefault="00943E1C" w:rsidP="00943E1C">
      <w:pPr>
        <w:pStyle w:val="block-p--0"/>
        <w:rPr>
          <w:rFonts w:cs="Times New Roman"/>
        </w:rPr>
      </w:pPr>
      <w:r w:rsidRPr="00943E1C">
        <w:rPr>
          <w:rFonts w:cs="Times New Roman"/>
        </w:rPr>
        <w:t>(B) has only limited commercially significant purpose or use other than to circumvent a technological measure that effectively controls access to a work protected under this title; or</w:t>
      </w:r>
    </w:p>
    <w:p w14:paraId="508CD7BB" w14:textId="77777777" w:rsidR="00943E1C" w:rsidRPr="00943E1C" w:rsidRDefault="00943E1C" w:rsidP="00943E1C">
      <w:pPr>
        <w:pStyle w:val="block-p-3"/>
        <w:rPr>
          <w:rFonts w:cs="Times New Roman"/>
        </w:rPr>
      </w:pPr>
      <w:r w:rsidRPr="00943E1C">
        <w:rPr>
          <w:rFonts w:cs="Times New Roman"/>
        </w:rPr>
        <w:t>(C) is marketed by that person or another acting in concert with that person with that person’s knowledge for use in circumventing a technological measure that effectively controls access to a work protected under this title.</w:t>
      </w:r>
      <w:r w:rsidRPr="00943E1C">
        <w:rPr>
          <w:rFonts w:cs="Times New Roman"/>
          <w:vertAlign w:val="superscript"/>
        </w:rPr>
        <w:footnoteReference w:id="191"/>
      </w:r>
    </w:p>
    <w:p w14:paraId="463CF42E" w14:textId="77777777" w:rsidR="00943E1C" w:rsidRPr="00943E1C" w:rsidRDefault="00943E1C" w:rsidP="00943E1C">
      <w:pPr>
        <w:pStyle w:val="text"/>
        <w:rPr>
          <w:rFonts w:cs="Times New Roman"/>
        </w:rPr>
      </w:pPr>
      <w:r w:rsidRPr="00943E1C">
        <w:rPr>
          <w:rFonts w:cs="Times New Roman"/>
        </w:rPr>
        <w:t>Section 1201(a)(3)(A) states that “‘circumvent[</w:t>
      </w:r>
      <w:proofErr w:type="spellStart"/>
      <w:r w:rsidRPr="00943E1C">
        <w:rPr>
          <w:rFonts w:cs="Times New Roman"/>
        </w:rPr>
        <w:t>ing</w:t>
      </w:r>
      <w:proofErr w:type="spellEnd"/>
      <w:r w:rsidRPr="00943E1C">
        <w:rPr>
          <w:rFonts w:cs="Times New Roman"/>
        </w:rPr>
        <w:t>] a technological measure’ means to descramble a scrambled work, to decrypt an encrypted work, or otherwise avoid, bypass, remove, deactivate, or impair a technological measure, without the authority of the copyright owner.”</w:t>
      </w:r>
      <w:r w:rsidRPr="00943E1C">
        <w:rPr>
          <w:rFonts w:cs="Times New Roman"/>
          <w:vertAlign w:val="superscript"/>
        </w:rPr>
        <w:footnoteReference w:id="192"/>
      </w:r>
      <w:r w:rsidRPr="00943E1C">
        <w:rPr>
          <w:rFonts w:cs="Times New Roman"/>
        </w:rPr>
        <w:t xml:space="preserve"> Furthermore, Section 1201(a)(3)(B) of the DMCA states that “a technological measure ‘effectively controls access to a work’ if the measure . . . requires the application of information, or a process or treatment, with the authority of the copyright owner, to gain access to the work.”</w:t>
      </w:r>
      <w:r w:rsidRPr="00943E1C">
        <w:rPr>
          <w:rFonts w:cs="Times New Roman"/>
          <w:vertAlign w:val="superscript"/>
        </w:rPr>
        <w:footnoteReference w:id="193"/>
      </w:r>
    </w:p>
    <w:p w14:paraId="2B705AFC" w14:textId="77777777" w:rsidR="00943E1C" w:rsidRPr="00943E1C" w:rsidRDefault="00943E1C" w:rsidP="00943E1C">
      <w:pPr>
        <w:pStyle w:val="3rdlevelhead1i"/>
        <w:rPr>
          <w:rFonts w:cs="Times New Roman"/>
        </w:rPr>
      </w:pPr>
      <w:r w:rsidRPr="00943E1C">
        <w:rPr>
          <w:rFonts w:cs="Times New Roman"/>
        </w:rPr>
        <w:t>5.</w:t>
      </w:r>
      <w:r w:rsidRPr="00943E1C">
        <w:rPr>
          <w:rFonts w:cs="Times New Roman"/>
        </w:rPr>
        <w:tab/>
        <w:t>Design Patents for Software Icons and User Interfaces</w:t>
      </w:r>
    </w:p>
    <w:p w14:paraId="105F39F6" w14:textId="77777777" w:rsidR="00943E1C" w:rsidRPr="00943E1C" w:rsidRDefault="00943E1C" w:rsidP="00943E1C">
      <w:pPr>
        <w:pStyle w:val="text"/>
        <w:rPr>
          <w:rFonts w:cs="Times New Roman"/>
        </w:rPr>
      </w:pPr>
      <w:r w:rsidRPr="00943E1C">
        <w:rPr>
          <w:rFonts w:cs="Times New Roman"/>
        </w:rPr>
        <w:t>In order to avoid the potential that competitors may design icons or user interfaces that look exactly like their own, companies engaged in the computer arts may wish to protect the graphical elements of their computer programs with design patents.</w:t>
      </w:r>
      <w:r w:rsidRPr="00943E1C">
        <w:rPr>
          <w:rFonts w:cs="Times New Roman"/>
          <w:vertAlign w:val="superscript"/>
        </w:rPr>
        <w:footnoteReference w:id="194"/>
      </w:r>
      <w:r w:rsidRPr="00943E1C">
        <w:rPr>
          <w:rFonts w:cs="Times New Roman"/>
        </w:rPr>
        <w:t xml:space="preserve"> Design patents can be employed in situations where there is a strong possibility of another party creating a computer program that does not infringe a previously copyrighted computer program even though the computer programs have identical or similar graphical elements. For example, these situations can arise where source code or object code are elements of a computer program protected under copyright law,</w:t>
      </w:r>
      <w:r w:rsidRPr="00943E1C">
        <w:rPr>
          <w:rFonts w:cs="Times New Roman"/>
          <w:vertAlign w:val="superscript"/>
        </w:rPr>
        <w:footnoteReference w:id="195"/>
      </w:r>
      <w:r w:rsidRPr="00943E1C">
        <w:rPr>
          <w:rFonts w:cs="Times New Roman"/>
        </w:rPr>
        <w:t xml:space="preserve"> but the other party did not copy “a work of another”</w:t>
      </w:r>
      <w:r w:rsidRPr="00943E1C">
        <w:rPr>
          <w:rFonts w:cs="Times New Roman"/>
          <w:vertAlign w:val="superscript"/>
        </w:rPr>
        <w:footnoteReference w:id="196"/>
      </w:r>
      <w:r w:rsidRPr="00943E1C">
        <w:rPr>
          <w:rFonts w:cs="Times New Roman"/>
        </w:rPr>
        <w:t xml:space="preserve"> (i.e., the source code or object code). </w:t>
      </w:r>
    </w:p>
    <w:p w14:paraId="303F3FA0" w14:textId="77777777" w:rsidR="00943E1C" w:rsidRPr="00943E1C" w:rsidRDefault="00943E1C" w:rsidP="00943E1C">
      <w:pPr>
        <w:pStyle w:val="text"/>
        <w:rPr>
          <w:rFonts w:cs="Times New Roman"/>
        </w:rPr>
      </w:pPr>
      <w:r w:rsidRPr="00943E1C">
        <w:rPr>
          <w:rFonts w:cs="Times New Roman"/>
        </w:rPr>
        <w:t>The USPTO now grants design patents for ornamental, nonfunctional elements of computer graphics when they are shown as part of an object of manufacture, such as a computer screen.</w:t>
      </w:r>
      <w:r w:rsidRPr="00943E1C">
        <w:rPr>
          <w:rFonts w:cs="Times New Roman"/>
          <w:vertAlign w:val="superscript"/>
        </w:rPr>
        <w:footnoteReference w:id="197"/>
      </w:r>
      <w:r w:rsidRPr="00943E1C">
        <w:rPr>
          <w:rFonts w:cs="Times New Roman"/>
        </w:rPr>
        <w:t xml:space="preserve"> While there isn’t any special jurisprudence specifically regarding enforcement of design patents for graphical elements of computer programs, there is a robust body of case law pertaining to infringement of design patents in general.</w:t>
      </w:r>
      <w:r w:rsidRPr="00943E1C">
        <w:rPr>
          <w:rFonts w:cs="Times New Roman"/>
          <w:vertAlign w:val="superscript"/>
        </w:rPr>
        <w:footnoteReference w:id="198"/>
      </w:r>
      <w:r w:rsidRPr="00943E1C">
        <w:rPr>
          <w:rFonts w:cs="Times New Roman"/>
        </w:rPr>
        <w:t xml:space="preserve"> Thus, companies engaged in the computer arts should have confidence that they will be able to both obtain and enforce design patents related to the graphical elements of their computer programs.</w:t>
      </w:r>
    </w:p>
    <w:p w14:paraId="0578ABE1" w14:textId="77777777" w:rsidR="00943E1C" w:rsidRPr="00943E1C" w:rsidRDefault="00943E1C" w:rsidP="00943E1C">
      <w:pPr>
        <w:pStyle w:val="3rdlevelhead1i"/>
        <w:rPr>
          <w:rFonts w:cs="Times New Roman"/>
        </w:rPr>
      </w:pPr>
      <w:r w:rsidRPr="00943E1C">
        <w:rPr>
          <w:rFonts w:cs="Times New Roman"/>
        </w:rPr>
        <w:t>6.</w:t>
      </w:r>
      <w:r w:rsidRPr="00943E1C">
        <w:rPr>
          <w:rFonts w:cs="Times New Roman"/>
        </w:rPr>
        <w:tab/>
        <w:t>Exhaustion</w:t>
      </w:r>
    </w:p>
    <w:p w14:paraId="0166868C" w14:textId="77777777" w:rsidR="00943E1C" w:rsidRPr="00943E1C" w:rsidRDefault="00943E1C" w:rsidP="00943E1C">
      <w:pPr>
        <w:pStyle w:val="text"/>
        <w:rPr>
          <w:rFonts w:cs="Times New Roman"/>
          <w:vertAlign w:val="superscript"/>
        </w:rPr>
      </w:pPr>
      <w:r w:rsidRPr="00943E1C">
        <w:rPr>
          <w:rFonts w:cs="Times New Roman"/>
        </w:rPr>
        <w:t>The principle of exhaustion is as widely accepted in copyright law as it is in patent law.</w:t>
      </w:r>
      <w:r w:rsidRPr="00943E1C">
        <w:rPr>
          <w:rFonts w:cs="Times New Roman"/>
          <w:vertAlign w:val="superscript"/>
        </w:rPr>
        <w:footnoteReference w:id="199"/>
      </w:r>
      <w:r w:rsidRPr="00943E1C">
        <w:rPr>
          <w:rFonts w:cs="Times New Roman"/>
        </w:rPr>
        <w:t xml:space="preserve"> The doctrine of patent exhaustion provides that the initial authorized sale of a patented item terminates all patent rights to the item.</w:t>
      </w:r>
      <w:r w:rsidRPr="00943E1C">
        <w:rPr>
          <w:rFonts w:cs="Times New Roman"/>
          <w:vertAlign w:val="superscript"/>
        </w:rPr>
        <w:footnoteReference w:id="200"/>
      </w:r>
      <w:r w:rsidRPr="00943E1C">
        <w:rPr>
          <w:rFonts w:cs="Times New Roman"/>
        </w:rPr>
        <w:t xml:space="preserve"> The rationale of patent exhaustion is an unconditional sale of a patented item exhausts the patentee’s right to control the purchaser’s use of the item because the patentee has bargained for and received full value for the goods.</w:t>
      </w:r>
      <w:r w:rsidRPr="00943E1C">
        <w:rPr>
          <w:rFonts w:cs="Times New Roman"/>
          <w:vertAlign w:val="superscript"/>
        </w:rPr>
        <w:footnoteReference w:id="201"/>
      </w:r>
      <w:r w:rsidRPr="00943E1C">
        <w:rPr>
          <w:rFonts w:cs="Times New Roman"/>
        </w:rPr>
        <w:t xml:space="preserve"> For example, if a patentee grants a license with specific restriction, exhaustion will occur if the licensee makes a sale within those restrictions.</w:t>
      </w:r>
      <w:r w:rsidRPr="00943E1C">
        <w:rPr>
          <w:rFonts w:cs="Times New Roman"/>
          <w:vertAlign w:val="superscript"/>
        </w:rPr>
        <w:footnoteReference w:id="202"/>
      </w:r>
      <w:r w:rsidRPr="00943E1C">
        <w:rPr>
          <w:rFonts w:cs="Times New Roman"/>
        </w:rPr>
        <w:t xml:space="preserve"> Additionally, method claims are exhausted with an authorized sale of a patented item that substantially embodies the method if the item has no reasonable </w:t>
      </w:r>
      <w:proofErr w:type="spellStart"/>
      <w:r w:rsidRPr="00943E1C">
        <w:rPr>
          <w:rFonts w:cs="Times New Roman"/>
        </w:rPr>
        <w:t>noninfringing</w:t>
      </w:r>
      <w:proofErr w:type="spellEnd"/>
      <w:r w:rsidRPr="00943E1C">
        <w:rPr>
          <w:rFonts w:cs="Times New Roman"/>
        </w:rPr>
        <w:t xml:space="preserve"> use</w:t>
      </w:r>
      <w:r w:rsidRPr="00943E1C">
        <w:rPr>
          <w:rFonts w:cs="Times New Roman"/>
          <w:vertAlign w:val="superscript"/>
        </w:rPr>
        <w:footnoteReference w:id="203"/>
      </w:r>
      <w:r w:rsidRPr="00943E1C">
        <w:rPr>
          <w:rFonts w:cs="Times New Roman"/>
        </w:rPr>
        <w:t xml:space="preserve"> and includes all inventive aspects of the claimed method.</w:t>
      </w:r>
      <w:r w:rsidRPr="00943E1C">
        <w:rPr>
          <w:rFonts w:cs="Times New Roman"/>
          <w:vertAlign w:val="superscript"/>
        </w:rPr>
        <w:footnoteReference w:id="204"/>
      </w:r>
      <w:r w:rsidRPr="00943E1C">
        <w:rPr>
          <w:rFonts w:cs="Times New Roman"/>
        </w:rPr>
        <w:t xml:space="preserve"> The Federal Circuit has also held that a purchaser of a patented item carries the right to use the item in a way that would infringe method claims.</w:t>
      </w:r>
      <w:r w:rsidRPr="00943E1C">
        <w:rPr>
          <w:rFonts w:cs="Times New Roman"/>
          <w:vertAlign w:val="superscript"/>
        </w:rPr>
        <w:footnoteReference w:id="205"/>
      </w:r>
    </w:p>
    <w:p w14:paraId="554457FD" w14:textId="77777777" w:rsidR="00943E1C" w:rsidRPr="00943E1C" w:rsidRDefault="00943E1C" w:rsidP="00943E1C">
      <w:pPr>
        <w:pStyle w:val="text"/>
        <w:rPr>
          <w:rFonts w:cs="Times New Roman"/>
        </w:rPr>
      </w:pPr>
      <w:r w:rsidRPr="00943E1C">
        <w:rPr>
          <w:rFonts w:cs="Times New Roman"/>
        </w:rPr>
        <w:t>The principle of exhaustion is commonly known as the first sale doctrine in copyright law. Like patent exhaustion, the first sale doctrine is an affirmative defense against a charge of infringement.</w:t>
      </w:r>
      <w:r w:rsidRPr="00943E1C">
        <w:rPr>
          <w:rFonts w:cs="Times New Roman"/>
          <w:vertAlign w:val="superscript"/>
        </w:rPr>
        <w:footnoteReference w:id="206"/>
      </w:r>
      <w:r w:rsidRPr="00943E1C">
        <w:rPr>
          <w:rFonts w:cs="Times New Roman"/>
        </w:rPr>
        <w:t xml:space="preserve"> Although the doctrine of patent exhaustion is a common law right, the first sale doctrine is codified into the Copyright Act. The Copyright Act grants “the owner of copyright under this title” certain “exclusive rights,” including the right “to distribute copies . . . of the copyrighted work to the public by sale or other transfer of ownership.”</w:t>
      </w:r>
      <w:r w:rsidRPr="00943E1C">
        <w:rPr>
          <w:rFonts w:cs="Times New Roman"/>
          <w:vertAlign w:val="superscript"/>
        </w:rPr>
        <w:footnoteReference w:id="207"/>
      </w:r>
      <w:r w:rsidRPr="00943E1C">
        <w:rPr>
          <w:rFonts w:cs="Times New Roman"/>
        </w:rPr>
        <w:t xml:space="preserve"> These rights are qualified by limitations throughout the Copyright Act, including the application of the first sale doctrine, which states: “Notwithstanding the provisions of section 106(3) [above], the owner of a particular copy or phonorecord lawfully made under this title . . . is entitled, without the authority of the copyright owner, to sell or otherwise dispose of the possession of that copy or phonorecord.”</w:t>
      </w:r>
      <w:r w:rsidRPr="00943E1C">
        <w:rPr>
          <w:rFonts w:cs="Times New Roman"/>
          <w:vertAlign w:val="superscript"/>
        </w:rPr>
        <w:footnoteReference w:id="208"/>
      </w:r>
      <w:r w:rsidRPr="00943E1C">
        <w:rPr>
          <w:rFonts w:cs="Times New Roman"/>
        </w:rPr>
        <w:t xml:space="preserve"> The first sale doctrine affects the right of distribution, and does not affect a copyright owner’s right of reproduction.</w:t>
      </w:r>
      <w:r w:rsidRPr="00943E1C">
        <w:rPr>
          <w:rFonts w:cs="Times New Roman"/>
          <w:vertAlign w:val="superscript"/>
        </w:rPr>
        <w:footnoteReference w:id="209"/>
      </w:r>
      <w:r w:rsidRPr="00943E1C">
        <w:rPr>
          <w:rFonts w:cs="Times New Roman"/>
        </w:rPr>
        <w:t xml:space="preserve"> </w:t>
      </w:r>
    </w:p>
    <w:p w14:paraId="39F0686B" w14:textId="77777777" w:rsidR="00943E1C" w:rsidRPr="00943E1C" w:rsidRDefault="00943E1C" w:rsidP="00943E1C">
      <w:pPr>
        <w:pStyle w:val="text"/>
        <w:rPr>
          <w:rFonts w:cs="Times New Roman"/>
        </w:rPr>
      </w:pPr>
      <w:r w:rsidRPr="00943E1C">
        <w:rPr>
          <w:rFonts w:cs="Times New Roman"/>
        </w:rPr>
        <w:t>The first sale doctrine includes several recognized limitations related to software and digital data codified into the Copyright Act. For example, the Record Rental Amendment of 1984 prohibits an owner of a phonorecord that embodies a sound recording or musical work from renting it to the public for direct or indirect commercial advantage. This exception was designed to prevent music stores from renting records and thereby facilitating home copying.</w:t>
      </w:r>
      <w:r w:rsidRPr="00943E1C">
        <w:rPr>
          <w:rFonts w:cs="Times New Roman"/>
          <w:vertAlign w:val="superscript"/>
        </w:rPr>
        <w:footnoteReference w:id="210"/>
      </w:r>
      <w:r w:rsidRPr="00943E1C">
        <w:rPr>
          <w:rFonts w:cs="Times New Roman"/>
        </w:rPr>
        <w:t xml:space="preserve"> The Copyright Software Rental Amendments Act of 1990 also prohibits rentals of computer software for direct or indirect commercial advantage.</w:t>
      </w:r>
      <w:r w:rsidRPr="00943E1C">
        <w:rPr>
          <w:rFonts w:cs="Times New Roman"/>
          <w:vertAlign w:val="superscript"/>
        </w:rPr>
        <w:footnoteReference w:id="211"/>
      </w:r>
      <w:r w:rsidRPr="00943E1C">
        <w:rPr>
          <w:rFonts w:cs="Times New Roman"/>
        </w:rPr>
        <w:t xml:space="preserve"> </w:t>
      </w:r>
    </w:p>
    <w:p w14:paraId="56E29834" w14:textId="77777777" w:rsidR="00943E1C" w:rsidRPr="00943E1C" w:rsidRDefault="00943E1C" w:rsidP="00943E1C">
      <w:pPr>
        <w:pStyle w:val="text"/>
        <w:rPr>
          <w:rFonts w:cs="Times New Roman"/>
        </w:rPr>
      </w:pPr>
      <w:r w:rsidRPr="00943E1C">
        <w:rPr>
          <w:rFonts w:cs="Times New Roman"/>
        </w:rPr>
        <w:t>In addition to the codified limitations of the first sale doctrine, the common law includes further limitations related to software and digital data. For example, the first sale doctrine excludes copyright owners from secondary market control only if they sell or transfer copies in a manner that allows a transferee to become an owner of a copy, rather than licensing rights or making other similar transfers that do not convey copy ownership.</w:t>
      </w:r>
      <w:r w:rsidRPr="00943E1C">
        <w:rPr>
          <w:rFonts w:cs="Times New Roman"/>
          <w:vertAlign w:val="superscript"/>
        </w:rPr>
        <w:footnoteReference w:id="212"/>
      </w:r>
      <w:r w:rsidRPr="00943E1C">
        <w:rPr>
          <w:rFonts w:cs="Times New Roman"/>
          <w:vertAlign w:val="superscript"/>
        </w:rPr>
        <w:t xml:space="preserve"> </w:t>
      </w:r>
      <w:r w:rsidRPr="00943E1C">
        <w:rPr>
          <w:rFonts w:cs="Times New Roman"/>
        </w:rPr>
        <w:t>The exhaustion of rights from a sale can be waived contractually and are enforceable unless their terms are objectionable on grounds applicable to contracts in general (e.g., if they violate a rule of positive law, or if they are unconscionable).</w:t>
      </w:r>
      <w:r w:rsidRPr="00943E1C">
        <w:rPr>
          <w:rFonts w:cs="Times New Roman"/>
          <w:vertAlign w:val="superscript"/>
        </w:rPr>
        <w:footnoteReference w:id="213"/>
      </w:r>
      <w:r w:rsidRPr="00943E1C">
        <w:rPr>
          <w:rFonts w:cs="Times New Roman"/>
        </w:rPr>
        <w:t xml:space="preserve"> </w:t>
      </w:r>
    </w:p>
    <w:p w14:paraId="4DF5D9BB" w14:textId="77777777" w:rsidR="00943E1C" w:rsidRPr="00943E1C" w:rsidRDefault="00943E1C" w:rsidP="00943E1C">
      <w:pPr>
        <w:pStyle w:val="text"/>
        <w:rPr>
          <w:rFonts w:cs="Times New Roman"/>
        </w:rPr>
      </w:pPr>
      <w:r w:rsidRPr="00943E1C">
        <w:rPr>
          <w:rFonts w:cs="Times New Roman"/>
        </w:rPr>
        <w:t>In addition, the first sale doctrine applies only to physical copies and not to digital copies, such as online downloads of software or audio/visual files.</w:t>
      </w:r>
      <w:r w:rsidRPr="00943E1C">
        <w:rPr>
          <w:rFonts w:cs="Times New Roman"/>
          <w:vertAlign w:val="superscript"/>
        </w:rPr>
        <w:footnoteReference w:id="214"/>
      </w:r>
      <w:r w:rsidRPr="00943E1C">
        <w:rPr>
          <w:rFonts w:cs="Times New Roman"/>
        </w:rPr>
        <w:t xml:space="preserve"> The court in </w:t>
      </w:r>
      <w:r w:rsidRPr="00943E1C">
        <w:rPr>
          <w:rFonts w:cs="Times New Roman"/>
          <w:i/>
          <w:iCs/>
        </w:rPr>
        <w:t xml:space="preserve">Capitol Records v. </w:t>
      </w:r>
      <w:proofErr w:type="spellStart"/>
      <w:r w:rsidRPr="00943E1C">
        <w:rPr>
          <w:rFonts w:cs="Times New Roman"/>
          <w:i/>
          <w:iCs/>
        </w:rPr>
        <w:t>ReDigi</w:t>
      </w:r>
      <w:proofErr w:type="spellEnd"/>
      <w:r w:rsidRPr="00943E1C">
        <w:rPr>
          <w:rFonts w:cs="Times New Roman"/>
          <w:i/>
          <w:iCs/>
        </w:rPr>
        <w:t>, Inc.</w:t>
      </w:r>
      <w:r w:rsidRPr="00943E1C">
        <w:rPr>
          <w:rFonts w:cs="Times New Roman"/>
          <w:vertAlign w:val="superscript"/>
        </w:rPr>
        <w:footnoteReference w:id="215"/>
      </w:r>
      <w:r w:rsidRPr="00943E1C">
        <w:rPr>
          <w:rFonts w:cs="Times New Roman"/>
        </w:rPr>
        <w:t xml:space="preserve"> stated that Section 109 of the Copyright Act holds that the defense applies only to “copies” and “phonorecords.” The definition of the terms “copy” and “phonorecord” in Section 101 of the Copyright Act defines each as “material objects.” The court found that an online service designed to re-sell music files infringed the copyrights in the works embodied in the music files because the transfer of the digital files necessarily involved reproductions of the works and therefore constituted a violation of the copyright owner’s exclusive reproduction right to which the first sale doctrine is not a defense. The transfer of files also involved a violation of the copyright owner’s exclusive distribution right, to which the first sale doctrine can be a defense but in this case was not because the first sale doctrine is limited to lawfully made copies and to the owner’s particular copy, which this was not.</w:t>
      </w:r>
    </w:p>
    <w:p w14:paraId="6BAEC8C7" w14:textId="77777777" w:rsidR="00943E1C" w:rsidRPr="00943E1C" w:rsidRDefault="00943E1C" w:rsidP="00943E1C">
      <w:pPr>
        <w:pStyle w:val="text"/>
        <w:rPr>
          <w:rFonts w:cs="Times New Roman"/>
          <w:vertAlign w:val="superscript"/>
        </w:rPr>
      </w:pPr>
      <w:r w:rsidRPr="00943E1C">
        <w:rPr>
          <w:rFonts w:cs="Times New Roman"/>
        </w:rPr>
        <w:t xml:space="preserve">The decision in </w:t>
      </w:r>
      <w:proofErr w:type="spellStart"/>
      <w:r w:rsidRPr="00943E1C">
        <w:rPr>
          <w:rFonts w:cs="Times New Roman"/>
          <w:i/>
          <w:iCs/>
        </w:rPr>
        <w:t>ReDigi</w:t>
      </w:r>
      <w:proofErr w:type="spellEnd"/>
      <w:r w:rsidRPr="00943E1C">
        <w:rPr>
          <w:rFonts w:cs="Times New Roman"/>
        </w:rPr>
        <w:t xml:space="preserve"> is consistent with a report of the U.S. Copyright Office that concludes that the first sale doctrine does not properly apply to the resale of digital goods because, as a matter of statutory construction, a resale of digital goods does not fall within the language of the statute; secondary markets for physical copies include “natural brakes” against creating undue harm to copyright owners, and these barriers do not exist in secondary markets for digital goods; and a secondary market for digital goods directly competes with the primary market for the copyrighted works.</w:t>
      </w:r>
      <w:r w:rsidRPr="00943E1C">
        <w:rPr>
          <w:rFonts w:cs="Times New Roman"/>
          <w:vertAlign w:val="superscript"/>
        </w:rPr>
        <w:footnoteReference w:id="216"/>
      </w:r>
    </w:p>
    <w:p w14:paraId="2B595F13" w14:textId="77777777" w:rsidR="00943E1C" w:rsidRPr="00943E1C" w:rsidRDefault="00943E1C" w:rsidP="00943E1C">
      <w:pPr>
        <w:pStyle w:val="2ndlevelheadBbi"/>
        <w:rPr>
          <w:rFonts w:cs="Times New Roman"/>
        </w:rPr>
      </w:pPr>
      <w:r w:rsidRPr="00943E1C">
        <w:rPr>
          <w:rFonts w:cs="Times New Roman"/>
        </w:rPr>
        <w:t>C.</w:t>
      </w:r>
      <w:r w:rsidRPr="00943E1C">
        <w:rPr>
          <w:rFonts w:cs="Times New Roman"/>
        </w:rPr>
        <w:tab/>
        <w:t xml:space="preserve">Important Copyright Cases </w:t>
      </w:r>
    </w:p>
    <w:p w14:paraId="1EA11B38" w14:textId="77777777" w:rsidR="00943E1C" w:rsidRPr="00943E1C" w:rsidRDefault="00943E1C" w:rsidP="00943E1C">
      <w:pPr>
        <w:pStyle w:val="3rdlevelheadnospacei"/>
        <w:rPr>
          <w:rFonts w:cs="Times New Roman"/>
        </w:rPr>
      </w:pPr>
      <w:r w:rsidRPr="00943E1C">
        <w:rPr>
          <w:rFonts w:cs="Times New Roman"/>
        </w:rPr>
        <w:t>1.</w:t>
      </w:r>
      <w:r w:rsidRPr="00943E1C">
        <w:rPr>
          <w:rFonts w:cs="Times New Roman"/>
        </w:rPr>
        <w:tab/>
      </w:r>
      <w:r w:rsidRPr="00943E1C">
        <w:rPr>
          <w:rFonts w:cs="Times New Roman"/>
          <w:i w:val="0"/>
          <w:iCs/>
        </w:rPr>
        <w:t>Baker v. Selden</w:t>
      </w:r>
      <w:r w:rsidRPr="00943E1C">
        <w:rPr>
          <w:rFonts w:cs="Times New Roman"/>
        </w:rPr>
        <w:t xml:space="preserve"> </w:t>
      </w:r>
    </w:p>
    <w:p w14:paraId="259DF97B" w14:textId="77777777" w:rsidR="00943E1C" w:rsidRPr="00943E1C" w:rsidRDefault="00943E1C" w:rsidP="00943E1C">
      <w:pPr>
        <w:pStyle w:val="text"/>
        <w:rPr>
          <w:rFonts w:cs="Times New Roman"/>
        </w:rPr>
      </w:pPr>
      <w:r w:rsidRPr="00943E1C">
        <w:rPr>
          <w:rFonts w:cs="Times New Roman"/>
        </w:rPr>
        <w:t xml:space="preserve">One of the most discussed cases in computer copyright law was decided in 1879, more than 100 years before the introduction of the personal computer. In </w:t>
      </w:r>
      <w:r w:rsidRPr="00943E1C">
        <w:rPr>
          <w:rFonts w:cs="Times New Roman"/>
          <w:i/>
          <w:iCs/>
        </w:rPr>
        <w:t>Baker v</w:t>
      </w:r>
      <w:r w:rsidRPr="00943E1C">
        <w:rPr>
          <w:rFonts w:cs="Times New Roman"/>
        </w:rPr>
        <w:t>.</w:t>
      </w:r>
      <w:r w:rsidRPr="00943E1C">
        <w:rPr>
          <w:rFonts w:cs="Times New Roman"/>
          <w:i/>
          <w:iCs/>
        </w:rPr>
        <w:t xml:space="preserve"> Selden</w:t>
      </w:r>
      <w:r w:rsidRPr="00943E1C">
        <w:rPr>
          <w:rFonts w:cs="Times New Roman"/>
        </w:rPr>
        <w:t>,</w:t>
      </w:r>
      <w:r w:rsidRPr="00943E1C">
        <w:rPr>
          <w:rFonts w:cs="Times New Roman"/>
          <w:vertAlign w:val="superscript"/>
        </w:rPr>
        <w:footnoteReference w:id="217"/>
      </w:r>
      <w:r w:rsidRPr="00943E1C">
        <w:rPr>
          <w:rFonts w:cs="Times New Roman"/>
        </w:rPr>
        <w:t xml:space="preserve"> the Supreme Court considered whether Baker’s copyrighted book, which described an accounting system and included a series of accounting forms, was infringed by Selden’s use of a similar accounting system and forms. The Court discussed the differences between copyright and patent law. Although the book revealed a new method of accounting, the copyright in the book did not protect the accounting method itself. A patent grants protection of a method. The protection offered by copyright law is only to expression, not ideas.</w:t>
      </w:r>
      <w:r w:rsidRPr="00943E1C">
        <w:rPr>
          <w:rFonts w:cs="Times New Roman"/>
          <w:vertAlign w:val="superscript"/>
        </w:rPr>
        <w:footnoteReference w:id="218"/>
      </w:r>
    </w:p>
    <w:p w14:paraId="387897C2" w14:textId="77777777" w:rsidR="00943E1C" w:rsidRPr="00943E1C" w:rsidRDefault="00943E1C" w:rsidP="00943E1C">
      <w:pPr>
        <w:pStyle w:val="3rdlevelhead1i"/>
        <w:rPr>
          <w:rFonts w:cs="Times New Roman"/>
        </w:rPr>
      </w:pPr>
      <w:r w:rsidRPr="00943E1C">
        <w:rPr>
          <w:rFonts w:cs="Times New Roman"/>
        </w:rPr>
        <w:t>2.</w:t>
      </w:r>
      <w:r w:rsidRPr="00943E1C">
        <w:rPr>
          <w:rFonts w:cs="Times New Roman"/>
        </w:rPr>
        <w:tab/>
      </w:r>
      <w:r w:rsidRPr="00943E1C">
        <w:rPr>
          <w:rFonts w:cs="Times New Roman"/>
          <w:i w:val="0"/>
          <w:iCs/>
        </w:rPr>
        <w:t>Mazer v. Stein</w:t>
      </w:r>
      <w:r w:rsidRPr="00943E1C">
        <w:rPr>
          <w:rFonts w:cs="Times New Roman"/>
        </w:rPr>
        <w:t xml:space="preserve"> </w:t>
      </w:r>
    </w:p>
    <w:p w14:paraId="0562D089" w14:textId="77777777" w:rsidR="00943E1C" w:rsidRPr="00943E1C" w:rsidRDefault="00943E1C" w:rsidP="00943E1C">
      <w:pPr>
        <w:pStyle w:val="text"/>
        <w:rPr>
          <w:rFonts w:cs="Times New Roman"/>
        </w:rPr>
      </w:pPr>
      <w:r w:rsidRPr="00943E1C">
        <w:rPr>
          <w:rFonts w:cs="Times New Roman"/>
        </w:rPr>
        <w:t xml:space="preserve">Patent law cannot preempt copyright law, because both arise from the same constitutional base. However, the coexistence of copyrights and patents was initially problematic for early courts. The Supreme Court, in </w:t>
      </w:r>
      <w:r w:rsidRPr="00943E1C">
        <w:rPr>
          <w:rFonts w:cs="Times New Roman"/>
          <w:i/>
          <w:iCs/>
        </w:rPr>
        <w:t>Mazer v</w:t>
      </w:r>
      <w:r w:rsidRPr="00943E1C">
        <w:rPr>
          <w:rFonts w:cs="Times New Roman"/>
        </w:rPr>
        <w:t>.</w:t>
      </w:r>
      <w:r w:rsidRPr="00943E1C">
        <w:rPr>
          <w:rFonts w:cs="Times New Roman"/>
          <w:i/>
          <w:iCs/>
        </w:rPr>
        <w:t xml:space="preserve"> Stein</w:t>
      </w:r>
      <w:r w:rsidRPr="00943E1C">
        <w:rPr>
          <w:rFonts w:cs="Times New Roman"/>
        </w:rPr>
        <w:t>,</w:t>
      </w:r>
      <w:r w:rsidRPr="00943E1C">
        <w:rPr>
          <w:rFonts w:cs="Times New Roman"/>
          <w:vertAlign w:val="superscript"/>
        </w:rPr>
        <w:footnoteReference w:id="219"/>
      </w:r>
      <w:r w:rsidRPr="00943E1C">
        <w:rPr>
          <w:rFonts w:cs="Times New Roman"/>
        </w:rPr>
        <w:t xml:space="preserve"> addressed whether both patents and copyrights could protect lamps having artistic statuette bases. At issue was whether the existence of a design patent “should be interpreted as denying protection to artistic articles embodied or reproduced in manufactured articles.”</w:t>
      </w:r>
      <w:r w:rsidRPr="00943E1C">
        <w:rPr>
          <w:rFonts w:cs="Times New Roman"/>
          <w:vertAlign w:val="superscript"/>
        </w:rPr>
        <w:footnoteReference w:id="220"/>
      </w:r>
      <w:r w:rsidRPr="00943E1C">
        <w:rPr>
          <w:rFonts w:cs="Times New Roman"/>
        </w:rPr>
        <w:t xml:space="preserve"> The Court held that because neither the patent nor the copyright statutes state that the two types of protection are mutually exclusive, the patentability of an object does not bar copyright of the object as a work of art.</w:t>
      </w:r>
      <w:r w:rsidRPr="00943E1C">
        <w:rPr>
          <w:rFonts w:cs="Times New Roman"/>
          <w:vertAlign w:val="superscript"/>
        </w:rPr>
        <w:footnoteReference w:id="221"/>
      </w:r>
      <w:r w:rsidRPr="00943E1C">
        <w:rPr>
          <w:rFonts w:cs="Times New Roman"/>
        </w:rPr>
        <w:t xml:space="preserve"> The result of </w:t>
      </w:r>
      <w:r w:rsidRPr="00943E1C">
        <w:rPr>
          <w:rFonts w:cs="Times New Roman"/>
          <w:i/>
          <w:iCs/>
        </w:rPr>
        <w:t>Mazer v</w:t>
      </w:r>
      <w:r w:rsidRPr="00943E1C">
        <w:rPr>
          <w:rFonts w:cs="Times New Roman"/>
        </w:rPr>
        <w:t>.</w:t>
      </w:r>
      <w:r w:rsidRPr="00943E1C">
        <w:rPr>
          <w:rFonts w:cs="Times New Roman"/>
          <w:i/>
          <w:iCs/>
        </w:rPr>
        <w:t xml:space="preserve"> Stein</w:t>
      </w:r>
      <w:r w:rsidRPr="00943E1C">
        <w:rPr>
          <w:rFonts w:cs="Times New Roman"/>
        </w:rPr>
        <w:t xml:space="preserve"> is that although a computer program can be patented, its expressive content can also acquire copyright registration.</w:t>
      </w:r>
    </w:p>
    <w:p w14:paraId="3AE6D031" w14:textId="77777777" w:rsidR="00943E1C" w:rsidRPr="00943E1C" w:rsidRDefault="00943E1C" w:rsidP="00943E1C">
      <w:pPr>
        <w:pStyle w:val="3rdlevelhead1i"/>
        <w:rPr>
          <w:rFonts w:cs="Times New Roman"/>
          <w:i w:val="0"/>
          <w:iCs/>
        </w:rPr>
      </w:pPr>
      <w:r w:rsidRPr="00943E1C">
        <w:rPr>
          <w:rFonts w:cs="Times New Roman"/>
        </w:rPr>
        <w:t>3.</w:t>
      </w:r>
      <w:r w:rsidRPr="00943E1C">
        <w:rPr>
          <w:rFonts w:cs="Times New Roman"/>
        </w:rPr>
        <w:tab/>
        <w:t xml:space="preserve">In re </w:t>
      </w:r>
      <w:r w:rsidRPr="00943E1C">
        <w:rPr>
          <w:rFonts w:cs="Times New Roman"/>
          <w:i w:val="0"/>
          <w:iCs/>
        </w:rPr>
        <w:t xml:space="preserve">Yardley </w:t>
      </w:r>
    </w:p>
    <w:p w14:paraId="43CDB906" w14:textId="77777777" w:rsidR="00943E1C" w:rsidRPr="00943E1C" w:rsidRDefault="00943E1C" w:rsidP="00943E1C">
      <w:pPr>
        <w:pStyle w:val="text"/>
        <w:rPr>
          <w:rFonts w:cs="Times New Roman"/>
        </w:rPr>
      </w:pPr>
      <w:r w:rsidRPr="00943E1C">
        <w:rPr>
          <w:rFonts w:cs="Times New Roman"/>
        </w:rPr>
        <w:t xml:space="preserve">Twenty years after the decision of </w:t>
      </w:r>
      <w:r w:rsidRPr="00943E1C">
        <w:rPr>
          <w:rFonts w:cs="Times New Roman"/>
          <w:i/>
          <w:iCs/>
        </w:rPr>
        <w:t>Mazer v</w:t>
      </w:r>
      <w:r w:rsidRPr="00943E1C">
        <w:rPr>
          <w:rFonts w:cs="Times New Roman"/>
        </w:rPr>
        <w:t>.</w:t>
      </w:r>
      <w:r w:rsidRPr="00943E1C">
        <w:rPr>
          <w:rFonts w:cs="Times New Roman"/>
          <w:i/>
          <w:iCs/>
        </w:rPr>
        <w:t xml:space="preserve"> Stein</w:t>
      </w:r>
      <w:r w:rsidRPr="00943E1C">
        <w:rPr>
          <w:rFonts w:cs="Times New Roman"/>
        </w:rPr>
        <w:t xml:space="preserve">, the U.S. Court of Customs and Patent Appeals faced a similar problem in </w:t>
      </w:r>
      <w:r w:rsidRPr="00943E1C">
        <w:rPr>
          <w:rFonts w:cs="Times New Roman"/>
          <w:i/>
          <w:iCs/>
        </w:rPr>
        <w:t>In re Yardley</w:t>
      </w:r>
      <w:r w:rsidRPr="00943E1C">
        <w:rPr>
          <w:rFonts w:cs="Times New Roman"/>
        </w:rPr>
        <w:t>.</w:t>
      </w:r>
      <w:r w:rsidRPr="00943E1C">
        <w:rPr>
          <w:rFonts w:cs="Times New Roman"/>
          <w:vertAlign w:val="superscript"/>
        </w:rPr>
        <w:footnoteReference w:id="222"/>
      </w:r>
      <w:r w:rsidRPr="00943E1C">
        <w:rPr>
          <w:rFonts w:cs="Times New Roman"/>
        </w:rPr>
        <w:t xml:space="preserve"> The Patent Office rejected Yardley’s design patent application, which comprises a watch having a caricatured figure whose arms and hands served as the hour and minute hands. The rejection was based on a previously patented watch also having a figure whose arms and hands were used as the hour and minute hands.</w:t>
      </w:r>
    </w:p>
    <w:p w14:paraId="463FF11F" w14:textId="77777777" w:rsidR="00943E1C" w:rsidRPr="00943E1C" w:rsidRDefault="00943E1C" w:rsidP="00943E1C">
      <w:pPr>
        <w:pStyle w:val="text"/>
        <w:rPr>
          <w:rFonts w:cs="Times New Roman"/>
        </w:rPr>
      </w:pPr>
      <w:r w:rsidRPr="00943E1C">
        <w:rPr>
          <w:rFonts w:cs="Times New Roman"/>
        </w:rPr>
        <w:t xml:space="preserve">The court relied on the earlier </w:t>
      </w:r>
      <w:r w:rsidRPr="00943E1C">
        <w:rPr>
          <w:rFonts w:cs="Times New Roman"/>
          <w:i/>
          <w:iCs/>
        </w:rPr>
        <w:t>Mazer v</w:t>
      </w:r>
      <w:r w:rsidRPr="00943E1C">
        <w:rPr>
          <w:rFonts w:cs="Times New Roman"/>
        </w:rPr>
        <w:t>.</w:t>
      </w:r>
      <w:r w:rsidRPr="00943E1C">
        <w:rPr>
          <w:rFonts w:cs="Times New Roman"/>
          <w:i/>
          <w:iCs/>
        </w:rPr>
        <w:t xml:space="preserve"> Stein</w:t>
      </w:r>
      <w:r w:rsidRPr="00943E1C">
        <w:rPr>
          <w:rFonts w:cs="Times New Roman"/>
        </w:rPr>
        <w:t xml:space="preserve"> decision and found an area of overlapping “statutory subject matter” between copyrights and design patents.</w:t>
      </w:r>
      <w:r w:rsidRPr="00943E1C">
        <w:rPr>
          <w:rFonts w:cs="Times New Roman"/>
          <w:vertAlign w:val="superscript"/>
        </w:rPr>
        <w:footnoteReference w:id="223"/>
      </w:r>
      <w:r w:rsidRPr="00943E1C">
        <w:rPr>
          <w:rFonts w:cs="Times New Roman"/>
        </w:rPr>
        <w:t xml:space="preserve"> Because Congress enacted both the Copyright and Patent Acts without making their protection mutually exclusive, the author-inventor need not elect the protection of only one of these forms of intellectual property protection. Both avenues of protection—patents and copyright—can be obtained.</w:t>
      </w:r>
    </w:p>
    <w:p w14:paraId="1E121937" w14:textId="77777777" w:rsidR="00943E1C" w:rsidRPr="00943E1C" w:rsidRDefault="00943E1C" w:rsidP="00943E1C">
      <w:pPr>
        <w:pStyle w:val="2ndlevelheadBbi"/>
        <w:rPr>
          <w:rFonts w:cs="Times New Roman"/>
        </w:rPr>
      </w:pPr>
      <w:r w:rsidRPr="00943E1C">
        <w:rPr>
          <w:rFonts w:cs="Times New Roman"/>
        </w:rPr>
        <w:t>D.</w:t>
      </w:r>
      <w:r w:rsidRPr="00943E1C">
        <w:rPr>
          <w:rFonts w:cs="Times New Roman"/>
        </w:rPr>
        <w:tab/>
        <w:t xml:space="preserve">Computer Software Copyright Cases </w:t>
      </w:r>
    </w:p>
    <w:p w14:paraId="375E1C7C" w14:textId="77777777" w:rsidR="00943E1C" w:rsidRPr="00943E1C" w:rsidRDefault="00943E1C" w:rsidP="00943E1C">
      <w:pPr>
        <w:pStyle w:val="3rdlevelheadnospacei"/>
        <w:rPr>
          <w:rFonts w:cs="Times New Roman"/>
        </w:rPr>
      </w:pPr>
      <w:r w:rsidRPr="00943E1C">
        <w:rPr>
          <w:rFonts w:cs="Times New Roman"/>
        </w:rPr>
        <w:t>1.</w:t>
      </w:r>
      <w:r w:rsidRPr="00943E1C">
        <w:rPr>
          <w:rFonts w:cs="Times New Roman"/>
        </w:rPr>
        <w:tab/>
      </w:r>
      <w:r w:rsidRPr="00943E1C">
        <w:rPr>
          <w:rFonts w:cs="Times New Roman"/>
          <w:i w:val="0"/>
          <w:iCs/>
        </w:rPr>
        <w:t xml:space="preserve">Whelan v. Jaslow Dental Lab. </w:t>
      </w:r>
    </w:p>
    <w:p w14:paraId="3077A228" w14:textId="77777777" w:rsidR="00943E1C" w:rsidRPr="00943E1C" w:rsidRDefault="00943E1C" w:rsidP="00943E1C">
      <w:pPr>
        <w:pStyle w:val="text"/>
        <w:rPr>
          <w:rFonts w:cs="Times New Roman"/>
        </w:rPr>
      </w:pPr>
      <w:r w:rsidRPr="00943E1C">
        <w:rPr>
          <w:rFonts w:cs="Times New Roman"/>
        </w:rPr>
        <w:t xml:space="preserve">In </w:t>
      </w:r>
      <w:r w:rsidRPr="00943E1C">
        <w:rPr>
          <w:rFonts w:cs="Times New Roman"/>
          <w:i/>
          <w:iCs/>
        </w:rPr>
        <w:t>Whelan</w:t>
      </w:r>
      <w:r w:rsidRPr="00943E1C">
        <w:rPr>
          <w:rFonts w:cs="Times New Roman"/>
        </w:rPr>
        <w:t>,</w:t>
      </w:r>
      <w:r w:rsidRPr="00943E1C">
        <w:rPr>
          <w:rFonts w:cs="Times New Roman"/>
          <w:vertAlign w:val="superscript"/>
        </w:rPr>
        <w:footnoteReference w:id="224"/>
      </w:r>
      <w:r w:rsidRPr="00943E1C">
        <w:rPr>
          <w:rFonts w:cs="Times New Roman"/>
        </w:rPr>
        <w:t xml:space="preserve"> Whelan accused Jaslow of copying the nonliteral structure of Whelan’s copyrighted dental lab management program. Jaslow’s software contained identical copies of most of Whelan’s system’s file structures, screen output, and programs. In assessing infringement, the Third Circuit devised a new test for determining the gap between idea (which cannot be protected by copyright) and expression (which can be protected by copyright). The court ruled that the purpose or function of a utilitarian work, such as a computer program, is the work’s idea, and that everything not necessary to that purpose or function is part of the expression of the idea. Where there are various means of achieving the purpose or function, the means chosen are not necessary and therefore constitute expression. With this rule, the court held that copyright in a computer program protects the nonliteral structure, sequence, and organization of that program even lacking direct source-code or object-code copying.</w:t>
      </w:r>
    </w:p>
    <w:p w14:paraId="78949B97" w14:textId="77777777" w:rsidR="00943E1C" w:rsidRPr="00943E1C" w:rsidRDefault="00943E1C" w:rsidP="00943E1C">
      <w:pPr>
        <w:pStyle w:val="text"/>
        <w:rPr>
          <w:rFonts w:cs="Times New Roman"/>
        </w:rPr>
      </w:pPr>
      <w:r w:rsidRPr="00943E1C">
        <w:rPr>
          <w:rFonts w:cs="Times New Roman"/>
        </w:rPr>
        <w:t xml:space="preserve">By application, this rule gives limited copyright protection to fact-intensive works and no protection to </w:t>
      </w:r>
      <w:proofErr w:type="spellStart"/>
      <w:r w:rsidRPr="00943E1C">
        <w:rPr>
          <w:rFonts w:cs="Times New Roman"/>
          <w:i/>
          <w:iCs/>
        </w:rPr>
        <w:t>scènes</w:t>
      </w:r>
      <w:proofErr w:type="spellEnd"/>
      <w:r w:rsidRPr="00943E1C">
        <w:rPr>
          <w:rFonts w:cs="Times New Roman"/>
          <w:i/>
          <w:iCs/>
        </w:rPr>
        <w:t xml:space="preserve"> a faire </w:t>
      </w:r>
      <w:r w:rsidRPr="00943E1C">
        <w:rPr>
          <w:rFonts w:cs="Times New Roman"/>
        </w:rPr>
        <w:t xml:space="preserve">(certain elements of a </w:t>
      </w:r>
      <w:r w:rsidRPr="00943E1C">
        <w:rPr>
          <w:rFonts w:cs="Times New Roman"/>
          <w:u w:color="0000FF"/>
        </w:rPr>
        <w:t>creative work</w:t>
      </w:r>
      <w:r w:rsidRPr="00943E1C">
        <w:rPr>
          <w:rFonts w:cs="Times New Roman"/>
        </w:rPr>
        <w:t xml:space="preserve"> that are held to be not protected because they are mandated by or customary to the </w:t>
      </w:r>
      <w:r w:rsidRPr="00943E1C">
        <w:rPr>
          <w:rFonts w:cs="Times New Roman"/>
          <w:u w:color="0000FF"/>
        </w:rPr>
        <w:t>genre</w:t>
      </w:r>
      <w:r w:rsidRPr="00943E1C">
        <w:rPr>
          <w:rFonts w:cs="Times New Roman"/>
        </w:rPr>
        <w:t xml:space="preserve">). This seems sound. However, critics of the Third Circuit’s rule point out that a computer program can have more than one idea. In fact, a program can have several ideas. Conceding that a computer program can intermix several ideas, the </w:t>
      </w:r>
      <w:r w:rsidRPr="00943E1C">
        <w:rPr>
          <w:rFonts w:cs="Times New Roman"/>
          <w:i/>
          <w:iCs/>
        </w:rPr>
        <w:t>Whelan</w:t>
      </w:r>
      <w:r w:rsidRPr="00943E1C">
        <w:rPr>
          <w:rFonts w:cs="Times New Roman"/>
        </w:rPr>
        <w:t xml:space="preserve"> rule becomes less manageable.</w:t>
      </w:r>
    </w:p>
    <w:p w14:paraId="7821DF7F" w14:textId="77777777" w:rsidR="00943E1C" w:rsidRPr="00943E1C" w:rsidRDefault="00943E1C" w:rsidP="00943E1C">
      <w:pPr>
        <w:pStyle w:val="3rdlevelhead1i"/>
        <w:rPr>
          <w:rFonts w:cs="Times New Roman"/>
        </w:rPr>
      </w:pPr>
      <w:r w:rsidRPr="00943E1C">
        <w:rPr>
          <w:rFonts w:cs="Times New Roman"/>
        </w:rPr>
        <w:t>2.</w:t>
      </w:r>
      <w:r w:rsidRPr="00943E1C">
        <w:rPr>
          <w:rFonts w:cs="Times New Roman"/>
        </w:rPr>
        <w:tab/>
      </w:r>
      <w:r w:rsidRPr="00943E1C">
        <w:rPr>
          <w:rFonts w:cs="Times New Roman"/>
          <w:i w:val="0"/>
          <w:iCs/>
        </w:rPr>
        <w:t>Computer Associates v. Altai</w:t>
      </w:r>
      <w:r w:rsidRPr="00943E1C">
        <w:rPr>
          <w:rFonts w:cs="Times New Roman"/>
        </w:rPr>
        <w:t>’s Abstraction-Filtration-Comparison Test</w:t>
      </w:r>
    </w:p>
    <w:p w14:paraId="4687FDDA" w14:textId="77777777" w:rsidR="00943E1C" w:rsidRPr="00943E1C" w:rsidRDefault="00943E1C" w:rsidP="00943E1C">
      <w:pPr>
        <w:pStyle w:val="text"/>
        <w:rPr>
          <w:rFonts w:cs="Times New Roman"/>
        </w:rPr>
      </w:pPr>
      <w:r w:rsidRPr="00943E1C">
        <w:rPr>
          <w:rFonts w:cs="Times New Roman"/>
        </w:rPr>
        <w:t>Computer Associates International, Inc. and Altai, Inc. were both developers of job scheduling software systems.</w:t>
      </w:r>
      <w:r w:rsidRPr="00943E1C">
        <w:rPr>
          <w:rFonts w:cs="Times New Roman"/>
          <w:vertAlign w:val="superscript"/>
        </w:rPr>
        <w:footnoteReference w:id="225"/>
      </w:r>
      <w:r w:rsidRPr="00943E1C">
        <w:rPr>
          <w:rFonts w:cs="Times New Roman"/>
        </w:rPr>
        <w:t xml:space="preserve"> In determining whether copyright infringement existed, the Second Circuit introduced the abstraction-filtration-comparison (AFC) test. The AFC test begins by breaking down the copyrighted software into its structural parts. The portions in the public domain, incorporated ideas, and expression necessary to those ideas are filtered out. Finally, the court compares the kernels of remaining creative expression to see if the protected elements are substantially similar.</w:t>
      </w:r>
    </w:p>
    <w:p w14:paraId="6A2271A1" w14:textId="77777777" w:rsidR="00943E1C" w:rsidRPr="00943E1C" w:rsidRDefault="00943E1C" w:rsidP="00943E1C">
      <w:pPr>
        <w:pStyle w:val="text"/>
        <w:rPr>
          <w:rFonts w:cs="Times New Roman"/>
        </w:rPr>
      </w:pPr>
      <w:r w:rsidRPr="00943E1C">
        <w:rPr>
          <w:rFonts w:cs="Times New Roman"/>
        </w:rPr>
        <w:t>The court applied its new AFC test to the two programs and held that the nonliteral elements of Altai’s program were not substantially similar to the program copyrighted by Computer Associates. Therefore, infringement was not found.</w:t>
      </w:r>
    </w:p>
    <w:p w14:paraId="466E1ABC" w14:textId="77777777" w:rsidR="00943E1C" w:rsidRPr="00943E1C" w:rsidRDefault="00943E1C" w:rsidP="00943E1C">
      <w:pPr>
        <w:pStyle w:val="3rdlevelhead1i"/>
        <w:rPr>
          <w:rFonts w:cs="Times New Roman"/>
        </w:rPr>
      </w:pPr>
      <w:r w:rsidRPr="00943E1C">
        <w:rPr>
          <w:rFonts w:cs="Times New Roman"/>
        </w:rPr>
        <w:t>3.</w:t>
      </w:r>
      <w:r w:rsidRPr="00943E1C">
        <w:rPr>
          <w:rFonts w:cs="Times New Roman"/>
        </w:rPr>
        <w:tab/>
      </w:r>
      <w:r w:rsidRPr="00943E1C">
        <w:rPr>
          <w:rFonts w:cs="Times New Roman"/>
          <w:i w:val="0"/>
          <w:iCs/>
        </w:rPr>
        <w:t>Sega v. Accolade</w:t>
      </w:r>
      <w:r w:rsidRPr="00943E1C">
        <w:rPr>
          <w:rFonts w:cs="Times New Roman"/>
        </w:rPr>
        <w:t xml:space="preserve">’s Reverse Engineering as Fair Use </w:t>
      </w:r>
    </w:p>
    <w:p w14:paraId="090471B2" w14:textId="77777777" w:rsidR="00943E1C" w:rsidRPr="00943E1C" w:rsidRDefault="00943E1C" w:rsidP="00943E1C">
      <w:pPr>
        <w:pStyle w:val="text"/>
        <w:rPr>
          <w:rFonts w:cs="Times New Roman"/>
        </w:rPr>
      </w:pPr>
      <w:r w:rsidRPr="00943E1C">
        <w:rPr>
          <w:rFonts w:cs="Times New Roman"/>
        </w:rPr>
        <w:t>Sega Enterprises, Ltd. manufactured the Genesis Video Game System and sold video games to be played on this system. Accolade, Inc., a competitor in the video game industry, wished to make games for the Genesis system. To do this, Accolade needed to know the interface component of Sega’s Genesis system, particularly the password that needed to be incorporated on any video game played on the Genesis system.</w:t>
      </w:r>
    </w:p>
    <w:p w14:paraId="0A8A7383" w14:textId="77777777" w:rsidR="00943E1C" w:rsidRPr="00943E1C" w:rsidRDefault="00943E1C" w:rsidP="00943E1C">
      <w:pPr>
        <w:pStyle w:val="text"/>
        <w:rPr>
          <w:rFonts w:cs="Times New Roman"/>
        </w:rPr>
      </w:pPr>
      <w:r w:rsidRPr="00943E1C">
        <w:rPr>
          <w:rFonts w:cs="Times New Roman"/>
        </w:rPr>
        <w:t>Because the singular method of determining the password was by decompiling the object code of one of Sega’s video games to produce a translation of the source code, Accolade copied the Sega object code in a step of this reverse engineering procedure. Sega sued for copyright infringement.</w:t>
      </w:r>
      <w:r w:rsidRPr="00943E1C">
        <w:rPr>
          <w:rFonts w:cs="Times New Roman"/>
          <w:vertAlign w:val="superscript"/>
        </w:rPr>
        <w:footnoteReference w:id="226"/>
      </w:r>
    </w:p>
    <w:p w14:paraId="7C7E24C1" w14:textId="77777777" w:rsidR="00943E1C" w:rsidRPr="00943E1C" w:rsidRDefault="00943E1C" w:rsidP="00943E1C">
      <w:pPr>
        <w:pStyle w:val="text"/>
        <w:rPr>
          <w:rFonts w:cs="Times New Roman"/>
        </w:rPr>
      </w:pPr>
      <w:r w:rsidRPr="00943E1C">
        <w:rPr>
          <w:rFonts w:cs="Times New Roman"/>
        </w:rPr>
        <w:t>Accolade argued that its copying was a fair use as allowed by the Copyright Act. Section 107 allows copies of a copyrighted work to be made for purposes such as criticism, comment, or research. To decide whether a use is fair, the Copyright Act requires a court to consider four factors: (1) the purpose and character of the use; (2) the nature of the copyrighted work; (3) the amount and substantiality of the portion copied; and (4) the effect of the use on the market.</w:t>
      </w:r>
      <w:r w:rsidRPr="00943E1C">
        <w:rPr>
          <w:rFonts w:cs="Times New Roman"/>
          <w:vertAlign w:val="superscript"/>
        </w:rPr>
        <w:footnoteReference w:id="227"/>
      </w:r>
    </w:p>
    <w:p w14:paraId="0E54FAD9" w14:textId="77777777" w:rsidR="00943E1C" w:rsidRPr="00943E1C" w:rsidRDefault="00943E1C" w:rsidP="00943E1C">
      <w:pPr>
        <w:pStyle w:val="text"/>
        <w:rPr>
          <w:rFonts w:cs="Times New Roman"/>
        </w:rPr>
      </w:pPr>
      <w:r w:rsidRPr="00943E1C">
        <w:rPr>
          <w:rFonts w:cs="Times New Roman"/>
        </w:rPr>
        <w:t xml:space="preserve">Because Accolade needed to copy and disassemble Sega’s copyrighted video game to obtain the necessary interface requirements, the court held that where reverse engineering copies a work as the only way to access the ideas and the functional elements of the work, such copying is a fair use if a legitimate reason for the use exists. The </w:t>
      </w:r>
      <w:r w:rsidRPr="00943E1C">
        <w:rPr>
          <w:rFonts w:cs="Times New Roman"/>
          <w:i/>
          <w:iCs/>
        </w:rPr>
        <w:t>Sega</w:t>
      </w:r>
      <w:r w:rsidRPr="00943E1C">
        <w:rPr>
          <w:rFonts w:cs="Times New Roman"/>
        </w:rPr>
        <w:t xml:space="preserve"> court thus held that a copyright in a work cannot protect uncopyrightable ideas and functional elements within that work.</w:t>
      </w:r>
    </w:p>
    <w:p w14:paraId="6D281EB0" w14:textId="77777777" w:rsidR="00943E1C" w:rsidRPr="00943E1C" w:rsidRDefault="00943E1C" w:rsidP="00943E1C">
      <w:pPr>
        <w:pStyle w:val="2ndlevelheadBbi"/>
        <w:rPr>
          <w:rFonts w:cs="Times New Roman"/>
        </w:rPr>
      </w:pPr>
      <w:r w:rsidRPr="00943E1C">
        <w:rPr>
          <w:rFonts w:cs="Times New Roman"/>
        </w:rPr>
        <w:t>E.</w:t>
      </w:r>
      <w:r w:rsidRPr="00943E1C">
        <w:rPr>
          <w:rFonts w:cs="Times New Roman"/>
        </w:rPr>
        <w:tab/>
        <w:t xml:space="preserve">Patent/Copyright Interface </w:t>
      </w:r>
    </w:p>
    <w:p w14:paraId="372E2732" w14:textId="77777777" w:rsidR="00943E1C" w:rsidRPr="00943E1C" w:rsidRDefault="00943E1C" w:rsidP="00943E1C">
      <w:pPr>
        <w:pStyle w:val="3rdlevelheadnospacei"/>
        <w:rPr>
          <w:rFonts w:cs="Times New Roman"/>
        </w:rPr>
      </w:pPr>
      <w:r w:rsidRPr="00943E1C">
        <w:rPr>
          <w:rFonts w:cs="Times New Roman"/>
        </w:rPr>
        <w:t>1.</w:t>
      </w:r>
      <w:r w:rsidRPr="00943E1C">
        <w:rPr>
          <w:rFonts w:cs="Times New Roman"/>
        </w:rPr>
        <w:tab/>
      </w:r>
      <w:r w:rsidRPr="00943E1C">
        <w:rPr>
          <w:rFonts w:cs="Times New Roman"/>
          <w:i w:val="0"/>
          <w:iCs/>
        </w:rPr>
        <w:t xml:space="preserve">Lotus v. Borland </w:t>
      </w:r>
    </w:p>
    <w:p w14:paraId="00A27A51" w14:textId="77777777" w:rsidR="00943E1C" w:rsidRPr="00943E1C" w:rsidRDefault="00943E1C" w:rsidP="00943E1C">
      <w:pPr>
        <w:pStyle w:val="text"/>
        <w:rPr>
          <w:rFonts w:cs="Times New Roman"/>
        </w:rPr>
      </w:pPr>
      <w:r w:rsidRPr="00943E1C">
        <w:rPr>
          <w:rFonts w:cs="Times New Roman"/>
        </w:rPr>
        <w:t xml:space="preserve">In 1996, the Supreme Court affirmed without comment the First Circuit’s decision in </w:t>
      </w:r>
      <w:r w:rsidRPr="00943E1C">
        <w:rPr>
          <w:rFonts w:cs="Times New Roman"/>
          <w:i/>
          <w:iCs/>
        </w:rPr>
        <w:t>Lotus Development Corp. v</w:t>
      </w:r>
      <w:r w:rsidRPr="00943E1C">
        <w:rPr>
          <w:rFonts w:cs="Times New Roman"/>
        </w:rPr>
        <w:t>.</w:t>
      </w:r>
      <w:r w:rsidRPr="00943E1C">
        <w:rPr>
          <w:rFonts w:cs="Times New Roman"/>
          <w:i/>
          <w:iCs/>
        </w:rPr>
        <w:t xml:space="preserve"> Borland International, Inc</w:t>
      </w:r>
      <w:r w:rsidRPr="00943E1C">
        <w:rPr>
          <w:rFonts w:cs="Times New Roman"/>
        </w:rPr>
        <w:t>.</w:t>
      </w:r>
      <w:r w:rsidRPr="00943E1C">
        <w:rPr>
          <w:rFonts w:cs="Times New Roman"/>
          <w:vertAlign w:val="superscript"/>
        </w:rPr>
        <w:footnoteReference w:id="228"/>
      </w:r>
      <w:r w:rsidRPr="00943E1C">
        <w:rPr>
          <w:rFonts w:cs="Times New Roman"/>
        </w:rPr>
        <w:t xml:space="preserve"> The case caused an avalanche of amicus curiae briefs filed by those concerned with the state of copyright law for computer software. Although those involved hoped that the Supreme Court would issue a definitive opinion for this case stating the position of software copyrights, the per </w:t>
      </w:r>
      <w:proofErr w:type="spellStart"/>
      <w:r w:rsidRPr="00943E1C">
        <w:rPr>
          <w:rFonts w:cs="Times New Roman"/>
        </w:rPr>
        <w:t>curiam</w:t>
      </w:r>
      <w:proofErr w:type="spellEnd"/>
      <w:r w:rsidRPr="00943E1C">
        <w:rPr>
          <w:rFonts w:cs="Times New Roman"/>
        </w:rPr>
        <w:t xml:space="preserve"> decision failed to do so.</w:t>
      </w:r>
    </w:p>
    <w:p w14:paraId="743B1E09" w14:textId="77777777" w:rsidR="00943E1C" w:rsidRPr="00943E1C" w:rsidRDefault="00943E1C" w:rsidP="00943E1C">
      <w:pPr>
        <w:pStyle w:val="text"/>
        <w:rPr>
          <w:rFonts w:cs="Times New Roman"/>
        </w:rPr>
      </w:pPr>
      <w:r w:rsidRPr="00943E1C">
        <w:rPr>
          <w:rFonts w:cs="Times New Roman"/>
        </w:rPr>
        <w:t>Lotus was a software developer that created the Lotus 1-2-3 spreadsheet program, which captured a large share of the software market. Lotus brought a copyright infringement action against Borland, which developed the competing Quattro Pro spreadsheet system. At issue was the Lotus 1-2-3 command hierarchy. Quattro Pro included 469 commands identical to those found in Lotus 1-2-3. Quattro Pro’s developers arranged these commands in the same hierarchical fashion, using more than 50 menus and submenus, as the hierarchy found in the Lotus program.</w:t>
      </w:r>
    </w:p>
    <w:p w14:paraId="1AFC2A59" w14:textId="77777777" w:rsidR="00943E1C" w:rsidRPr="00943E1C" w:rsidRDefault="00943E1C" w:rsidP="00943E1C">
      <w:pPr>
        <w:pStyle w:val="text"/>
        <w:rPr>
          <w:rFonts w:cs="Times New Roman"/>
        </w:rPr>
      </w:pPr>
      <w:r w:rsidRPr="00943E1C">
        <w:rPr>
          <w:rFonts w:cs="Times New Roman"/>
        </w:rPr>
        <w:t xml:space="preserve">The commands, and their hierarchical ordering, are the </w:t>
      </w:r>
      <w:r w:rsidRPr="00943E1C">
        <w:rPr>
          <w:rFonts w:cs="Times New Roman"/>
          <w:i/>
          <w:iCs/>
        </w:rPr>
        <w:t>electronic operation</w:t>
      </w:r>
      <w:r w:rsidRPr="00943E1C">
        <w:rPr>
          <w:rFonts w:cs="Times New Roman"/>
        </w:rPr>
        <w:t xml:space="preserve"> of the software programs. The electronic operation is a method by which the computer is operated. Because the Copyright Act excludes protection to procedures or methods of operation,</w:t>
      </w:r>
      <w:r w:rsidRPr="00943E1C">
        <w:rPr>
          <w:rFonts w:cs="Times New Roman"/>
          <w:vertAlign w:val="superscript"/>
        </w:rPr>
        <w:footnoteReference w:id="229"/>
      </w:r>
      <w:r w:rsidRPr="00943E1C">
        <w:rPr>
          <w:rFonts w:cs="Times New Roman"/>
        </w:rPr>
        <w:t xml:space="preserve"> the use of the software’s commands to operate the computer software itself is not protectable by copyright.</w:t>
      </w:r>
      <w:r w:rsidRPr="00943E1C">
        <w:rPr>
          <w:rFonts w:cs="Times New Roman"/>
          <w:vertAlign w:val="superscript"/>
        </w:rPr>
        <w:footnoteReference w:id="230"/>
      </w:r>
    </w:p>
    <w:p w14:paraId="56F146B6" w14:textId="77777777" w:rsidR="00943E1C" w:rsidRPr="00943E1C" w:rsidRDefault="00943E1C" w:rsidP="00943E1C">
      <w:pPr>
        <w:pStyle w:val="text"/>
        <w:rPr>
          <w:rFonts w:cs="Times New Roman"/>
        </w:rPr>
      </w:pPr>
      <w:r w:rsidRPr="00943E1C">
        <w:rPr>
          <w:rFonts w:cs="Times New Roman"/>
        </w:rPr>
        <w:t>Excluding electronic operation from copyright protection can be traced to legislative intent. While revising the Copyright Act in 1976, Congress stated that “Section 102(b) is intended, among other things, to make clear that the expression adopted by the [computer] programmer is the copyrightable element in a computer program, and that the actual processes or methods embodied within the program are not within the scope of copyright law.”</w:t>
      </w:r>
      <w:r w:rsidRPr="00943E1C">
        <w:rPr>
          <w:rFonts w:cs="Times New Roman"/>
          <w:vertAlign w:val="superscript"/>
        </w:rPr>
        <w:footnoteReference w:id="231"/>
      </w:r>
      <w:r w:rsidRPr="00943E1C">
        <w:rPr>
          <w:rFonts w:cs="Times New Roman"/>
        </w:rPr>
        <w:t xml:space="preserve"> In other words, Congress limited the definition of copyright protection available to a computer program to its literary form (i.e., its statements and instructions) and excluded from protection the program’s electronic operation. Thus, provided that one does not copy the literal code; the look and feel; the sequence, structure, and organization; or the filtered protectable elements of a preexisting copyrighted computer program, one is free to duplicate the electronic operation realized by running the program on a computer.</w:t>
      </w:r>
      <w:r w:rsidRPr="00943E1C">
        <w:rPr>
          <w:rFonts w:cs="Times New Roman"/>
          <w:vertAlign w:val="superscript"/>
        </w:rPr>
        <w:footnoteReference w:id="232"/>
      </w:r>
      <w:r w:rsidRPr="00943E1C">
        <w:rPr>
          <w:rFonts w:cs="Times New Roman"/>
        </w:rPr>
        <w:t xml:space="preserve"> </w:t>
      </w:r>
    </w:p>
    <w:p w14:paraId="01329EAB" w14:textId="77777777" w:rsidR="00943E1C" w:rsidRPr="00943E1C" w:rsidRDefault="00943E1C" w:rsidP="00943E1C">
      <w:pPr>
        <w:pStyle w:val="3rdlevelhead1i"/>
        <w:rPr>
          <w:rFonts w:cs="Times New Roman"/>
        </w:rPr>
      </w:pPr>
      <w:r w:rsidRPr="00943E1C">
        <w:rPr>
          <w:rFonts w:cs="Times New Roman"/>
        </w:rPr>
        <w:t>2.</w:t>
      </w:r>
      <w:r w:rsidRPr="00943E1C">
        <w:rPr>
          <w:rFonts w:cs="Times New Roman"/>
        </w:rPr>
        <w:tab/>
        <w:t>Secondary Liability</w:t>
      </w:r>
    </w:p>
    <w:p w14:paraId="0DFDC4D7" w14:textId="77777777" w:rsidR="00943E1C" w:rsidRPr="00943E1C" w:rsidRDefault="00943E1C" w:rsidP="00943E1C">
      <w:pPr>
        <w:pStyle w:val="text"/>
        <w:rPr>
          <w:rFonts w:cs="Times New Roman"/>
        </w:rPr>
      </w:pPr>
      <w:r w:rsidRPr="00943E1C">
        <w:rPr>
          <w:rFonts w:cs="Times New Roman"/>
        </w:rPr>
        <w:t>The Copyright Act does not include statutory language regarding indirect infringement or vicarious liability. Under the common law, one infringes contributorily by intentionally inducing or encouraging direct infringement</w:t>
      </w:r>
      <w:r w:rsidRPr="00943E1C">
        <w:rPr>
          <w:rFonts w:cs="Times New Roman"/>
          <w:vertAlign w:val="superscript"/>
        </w:rPr>
        <w:footnoteReference w:id="233"/>
      </w:r>
      <w:r w:rsidRPr="00943E1C">
        <w:rPr>
          <w:rFonts w:cs="Times New Roman"/>
        </w:rPr>
        <w:t xml:space="preserve"> and infringes vicariously by profiting from direct infringement while declining to exercise a right to stop or limit the infringement.</w:t>
      </w:r>
      <w:r w:rsidRPr="00943E1C">
        <w:rPr>
          <w:rFonts w:cs="Times New Roman"/>
          <w:vertAlign w:val="superscript"/>
        </w:rPr>
        <w:footnoteReference w:id="234"/>
      </w:r>
      <w:r w:rsidRPr="00943E1C">
        <w:rPr>
          <w:rFonts w:cs="Times New Roman"/>
        </w:rPr>
        <w:t xml:space="preserve"> The courts in copyright cases have borrowed and developed the concepts of indirect infringement from the Patent Act, which does include language on secondary liability. The Patent Act addresses secondary liability with provisions regarding inducement to infringe</w:t>
      </w:r>
      <w:r w:rsidRPr="00943E1C">
        <w:rPr>
          <w:rFonts w:cs="Times New Roman"/>
          <w:vertAlign w:val="superscript"/>
        </w:rPr>
        <w:footnoteReference w:id="235"/>
      </w:r>
      <w:r w:rsidRPr="00943E1C">
        <w:rPr>
          <w:rFonts w:cs="Times New Roman"/>
        </w:rPr>
        <w:t xml:space="preserve"> and contributory infringement.</w:t>
      </w:r>
      <w:r w:rsidRPr="00943E1C">
        <w:rPr>
          <w:rFonts w:cs="Times New Roman"/>
          <w:vertAlign w:val="superscript"/>
        </w:rPr>
        <w:footnoteReference w:id="236"/>
      </w:r>
      <w:r w:rsidRPr="00943E1C">
        <w:rPr>
          <w:rFonts w:cs="Times New Roman"/>
        </w:rPr>
        <w:t xml:space="preserve"> </w:t>
      </w:r>
    </w:p>
    <w:p w14:paraId="5B7520DB" w14:textId="77777777" w:rsidR="00943E1C" w:rsidRPr="00943E1C" w:rsidRDefault="00943E1C" w:rsidP="00943E1C">
      <w:pPr>
        <w:pStyle w:val="text"/>
        <w:rPr>
          <w:rFonts w:cs="Times New Roman"/>
          <w:vertAlign w:val="superscript"/>
        </w:rPr>
      </w:pPr>
      <w:r w:rsidRPr="00943E1C">
        <w:rPr>
          <w:rFonts w:cs="Times New Roman"/>
        </w:rPr>
        <w:t>Before being codified in the Patent Act of 1952, the provisions on secondary liability were also developed in the common law.</w:t>
      </w:r>
      <w:r w:rsidRPr="00943E1C">
        <w:rPr>
          <w:rFonts w:cs="Times New Roman"/>
          <w:vertAlign w:val="superscript"/>
        </w:rPr>
        <w:footnoteReference w:id="237"/>
      </w:r>
      <w:r w:rsidRPr="00943E1C">
        <w:rPr>
          <w:rFonts w:cs="Times New Roman"/>
        </w:rPr>
        <w:t xml:space="preserve"> The courts recognized that limiting liability to direct infringement might absolve others of greater culpability. The doctrine of contributory infringement was developed to hold liable those who did not directly infringe but still helped others to infringe by providing a component part specially configured for an infringing device. This later was codified as contributory infringement. Additionally, another line of cases were directed to those whose products had both infringing and </w:t>
      </w:r>
      <w:proofErr w:type="spellStart"/>
      <w:r w:rsidRPr="00943E1C">
        <w:rPr>
          <w:rFonts w:cs="Times New Roman"/>
        </w:rPr>
        <w:t>noninfringing</w:t>
      </w:r>
      <w:proofErr w:type="spellEnd"/>
      <w:r w:rsidRPr="00943E1C">
        <w:rPr>
          <w:rFonts w:cs="Times New Roman"/>
        </w:rPr>
        <w:t xml:space="preserve"> uses but encouraged others to use the products in way that directly infringed. Induced infringement was not considered a separate theory of indirect liability in the pre-1952 case law. Instead, inducement to infringe was treated as evidence of contributory infringement, or the aiding and abetting of direct infringement by another party. This later was codified as inducement to infringe.</w:t>
      </w:r>
      <w:r w:rsidRPr="00943E1C">
        <w:rPr>
          <w:rFonts w:cs="Times New Roman"/>
          <w:vertAlign w:val="superscript"/>
        </w:rPr>
        <w:footnoteReference w:id="238"/>
      </w:r>
    </w:p>
    <w:p w14:paraId="377A521B" w14:textId="77777777" w:rsidR="00943E1C" w:rsidRPr="00943E1C" w:rsidRDefault="00943E1C" w:rsidP="00943E1C">
      <w:pPr>
        <w:pStyle w:val="text"/>
        <w:rPr>
          <w:rFonts w:cs="Times New Roman"/>
        </w:rPr>
      </w:pPr>
      <w:r w:rsidRPr="00943E1C">
        <w:rPr>
          <w:rFonts w:cs="Times New Roman"/>
        </w:rPr>
        <w:t>The major copyright cases that borrowed the doctrines of secondary liability from the Patent Act involved striking a balance between the respective values of supporting creative activities through copyright protection and encouraging innovation in new technologies by limiting the incidence of liability for copyright infringement.</w:t>
      </w:r>
      <w:r w:rsidRPr="00943E1C">
        <w:rPr>
          <w:rFonts w:cs="Times New Roman"/>
          <w:vertAlign w:val="superscript"/>
        </w:rPr>
        <w:footnoteReference w:id="239"/>
      </w:r>
      <w:r w:rsidRPr="00943E1C">
        <w:rPr>
          <w:rFonts w:cs="Times New Roman"/>
        </w:rPr>
        <w:t xml:space="preserve"> The more artistic protection is favored, the more technological innovation may be discouraged, and secondary liability in copyright law is an exercise in managing the balance. The copyright cases also involved many direct infringers, often individuals, whose infringement might be difficult to detect and tedious to litigate, but only a few inducers who, without the notion of secondary liability, would escape the blame for the aggregate infringement.</w:t>
      </w:r>
      <w:r w:rsidRPr="00943E1C">
        <w:rPr>
          <w:rFonts w:cs="Times New Roman"/>
          <w:vertAlign w:val="superscript"/>
        </w:rPr>
        <w:footnoteReference w:id="240"/>
      </w:r>
      <w:r w:rsidRPr="00943E1C">
        <w:rPr>
          <w:rFonts w:cs="Times New Roman"/>
        </w:rPr>
        <w:t xml:space="preserve"> </w:t>
      </w:r>
    </w:p>
    <w:p w14:paraId="6AAC9E30" w14:textId="77777777" w:rsidR="00943E1C" w:rsidRPr="00943E1C" w:rsidRDefault="00943E1C" w:rsidP="00943E1C">
      <w:pPr>
        <w:pStyle w:val="4thlevelheadai"/>
        <w:rPr>
          <w:rFonts w:cs="Times New Roman"/>
        </w:rPr>
      </w:pPr>
      <w:r w:rsidRPr="00943E1C">
        <w:rPr>
          <w:rFonts w:cs="Times New Roman"/>
        </w:rPr>
        <w:t>a.</w:t>
      </w:r>
      <w:r w:rsidRPr="00943E1C">
        <w:rPr>
          <w:rFonts w:cs="Times New Roman"/>
        </w:rPr>
        <w:tab/>
        <w:t xml:space="preserve">Vicarious Liability and the Doctrine of </w:t>
      </w:r>
      <w:proofErr w:type="spellStart"/>
      <w:r w:rsidRPr="00943E1C">
        <w:rPr>
          <w:rFonts w:cs="Times New Roman"/>
        </w:rPr>
        <w:t>Noninfringing</w:t>
      </w:r>
      <w:proofErr w:type="spellEnd"/>
      <w:r w:rsidRPr="00943E1C">
        <w:rPr>
          <w:rFonts w:cs="Times New Roman"/>
        </w:rPr>
        <w:t xml:space="preserve"> Use</w:t>
      </w:r>
    </w:p>
    <w:p w14:paraId="7B3D831B" w14:textId="77777777" w:rsidR="00943E1C" w:rsidRPr="00943E1C" w:rsidRDefault="00943E1C" w:rsidP="00943E1C">
      <w:pPr>
        <w:pStyle w:val="text"/>
        <w:rPr>
          <w:rFonts w:cs="Times New Roman"/>
        </w:rPr>
      </w:pPr>
      <w:r w:rsidRPr="00943E1C">
        <w:rPr>
          <w:rFonts w:cs="Times New Roman"/>
        </w:rPr>
        <w:t xml:space="preserve">The Supreme Court first dealt with secondary copyright infringement in </w:t>
      </w:r>
      <w:r w:rsidRPr="00943E1C">
        <w:rPr>
          <w:rFonts w:cs="Times New Roman"/>
          <w:i/>
          <w:iCs/>
        </w:rPr>
        <w:t>Sony Corp</w:t>
      </w:r>
      <w:r w:rsidRPr="00943E1C">
        <w:rPr>
          <w:rFonts w:cs="Times New Roman"/>
        </w:rPr>
        <w:t>.</w:t>
      </w:r>
      <w:r w:rsidRPr="00943E1C">
        <w:rPr>
          <w:rFonts w:cs="Times New Roman"/>
          <w:i/>
          <w:iCs/>
        </w:rPr>
        <w:t xml:space="preserve"> v</w:t>
      </w:r>
      <w:r w:rsidRPr="00943E1C">
        <w:rPr>
          <w:rFonts w:cs="Times New Roman"/>
        </w:rPr>
        <w:t>.</w:t>
      </w:r>
      <w:r w:rsidRPr="00943E1C">
        <w:rPr>
          <w:rFonts w:cs="Times New Roman"/>
          <w:i/>
          <w:iCs/>
        </w:rPr>
        <w:t xml:space="preserve"> Universal City Studios</w:t>
      </w:r>
      <w:r w:rsidRPr="00943E1C">
        <w:rPr>
          <w:rFonts w:cs="Times New Roman"/>
        </w:rPr>
        <w:t>,</w:t>
      </w:r>
      <w:r w:rsidRPr="00943E1C">
        <w:rPr>
          <w:rFonts w:cs="Times New Roman"/>
          <w:vertAlign w:val="superscript"/>
        </w:rPr>
        <w:footnoteReference w:id="241"/>
      </w:r>
      <w:r w:rsidRPr="00943E1C">
        <w:rPr>
          <w:rFonts w:cs="Times New Roman"/>
        </w:rPr>
        <w:t xml:space="preserve"> which is commonly known as the Betamax case. The Court addressed a claim that secondary liability for infringement can arise from the distribution of a commercial product. The product in question, novel at the time, was the videocassette recorder (VCR). Copyright holders sued Sony as the manufacturer of the VCR, claiming it was contributorily liable for infringement that occurred when VCR owners taped copyrighted programs because Sony supplied the means used to infringe, and Sony had constructive knowledge that infringement would occur. The evidence at trial showed that the principal use of the VCR was for time shifting or taping a program for later viewing at a more convenient time, which the Court found to be a </w:t>
      </w:r>
      <w:proofErr w:type="spellStart"/>
      <w:r w:rsidRPr="00943E1C">
        <w:rPr>
          <w:rFonts w:cs="Times New Roman"/>
        </w:rPr>
        <w:t>noninfringing</w:t>
      </w:r>
      <w:proofErr w:type="spellEnd"/>
      <w:r w:rsidRPr="00943E1C">
        <w:rPr>
          <w:rFonts w:cs="Times New Roman"/>
        </w:rPr>
        <w:t xml:space="preserve"> use. Although Sony’s advertisements urged consumers to buy the VCR to record their favorite shows or build a library of recorded programs, neither of these uses was necessarily infringing.</w:t>
      </w:r>
    </w:p>
    <w:p w14:paraId="01DBA3B0" w14:textId="77777777" w:rsidR="00943E1C" w:rsidRPr="00943E1C" w:rsidRDefault="00943E1C" w:rsidP="00943E1C">
      <w:pPr>
        <w:pStyle w:val="text"/>
        <w:rPr>
          <w:rFonts w:cs="Times New Roman"/>
        </w:rPr>
      </w:pPr>
      <w:r w:rsidRPr="00943E1C">
        <w:rPr>
          <w:rFonts w:cs="Times New Roman"/>
        </w:rPr>
        <w:t>The Court determined that if vicarious liability were to be imposed on Sony in this case, liability would rest on whether Sony had sold equipment with constructive knowledge that its customers might use that equipment to make unauthorized copies of copyrighted material. There was no precedent in copyright law for such a theory of vicarious liability, and the “closest analogy is provided by the patent law cases to which it is appropriate to refer because of the historic kinship between patent law and copyright law.”</w:t>
      </w:r>
      <w:r w:rsidRPr="00943E1C">
        <w:rPr>
          <w:rFonts w:cs="Times New Roman"/>
          <w:vertAlign w:val="superscript"/>
        </w:rPr>
        <w:footnoteReference w:id="242"/>
      </w:r>
      <w:r w:rsidRPr="00943E1C">
        <w:rPr>
          <w:rFonts w:cs="Times New Roman"/>
        </w:rPr>
        <w:t xml:space="preserve"> The Court cited 35 U.S.C. §271(c) for the provision on contributory infringement when it held that a product capable of commercially significant </w:t>
      </w:r>
      <w:proofErr w:type="spellStart"/>
      <w:r w:rsidRPr="00943E1C">
        <w:rPr>
          <w:rFonts w:cs="Times New Roman"/>
        </w:rPr>
        <w:t>noninfringing</w:t>
      </w:r>
      <w:proofErr w:type="spellEnd"/>
      <w:r w:rsidRPr="00943E1C">
        <w:rPr>
          <w:rFonts w:cs="Times New Roman"/>
        </w:rPr>
        <w:t xml:space="preserve"> uses could not be faulted solely on the basis of its distribution. </w:t>
      </w:r>
    </w:p>
    <w:p w14:paraId="62235A99" w14:textId="77777777" w:rsidR="00943E1C" w:rsidRPr="00943E1C" w:rsidRDefault="00943E1C" w:rsidP="00943E1C">
      <w:pPr>
        <w:pStyle w:val="4thlevelheadai"/>
        <w:rPr>
          <w:rFonts w:cs="Times New Roman"/>
        </w:rPr>
      </w:pPr>
      <w:r w:rsidRPr="00943E1C">
        <w:rPr>
          <w:rFonts w:cs="Times New Roman"/>
        </w:rPr>
        <w:t>b.</w:t>
      </w:r>
      <w:r w:rsidRPr="00943E1C">
        <w:rPr>
          <w:rFonts w:cs="Times New Roman"/>
        </w:rPr>
        <w:tab/>
        <w:t xml:space="preserve">Inducement to Infringe in the Copyright Law and the Patent Act </w:t>
      </w:r>
    </w:p>
    <w:p w14:paraId="01577A40" w14:textId="77777777" w:rsidR="00943E1C" w:rsidRPr="00943E1C" w:rsidRDefault="00943E1C" w:rsidP="00943E1C">
      <w:pPr>
        <w:pStyle w:val="text"/>
        <w:rPr>
          <w:rFonts w:cs="Times New Roman"/>
        </w:rPr>
      </w:pPr>
      <w:r w:rsidRPr="00943E1C">
        <w:rPr>
          <w:rFonts w:cs="Times New Roman"/>
        </w:rPr>
        <w:t xml:space="preserve">The Supreme Court revisited this doctrine of vicarious liability in </w:t>
      </w:r>
      <w:r w:rsidRPr="00943E1C">
        <w:rPr>
          <w:rFonts w:cs="Times New Roman"/>
          <w:i/>
          <w:iCs/>
        </w:rPr>
        <w:t>MGM Studios, Inc</w:t>
      </w:r>
      <w:r w:rsidRPr="00943E1C">
        <w:rPr>
          <w:rFonts w:cs="Times New Roman"/>
        </w:rPr>
        <w:t>.</w:t>
      </w:r>
      <w:r w:rsidRPr="00943E1C">
        <w:rPr>
          <w:rFonts w:cs="Times New Roman"/>
          <w:i/>
          <w:iCs/>
        </w:rPr>
        <w:t xml:space="preserve"> v</w:t>
      </w:r>
      <w:r w:rsidRPr="00943E1C">
        <w:rPr>
          <w:rFonts w:cs="Times New Roman"/>
        </w:rPr>
        <w:t>.</w:t>
      </w:r>
      <w:r w:rsidRPr="00943E1C">
        <w:rPr>
          <w:rFonts w:cs="Times New Roman"/>
          <w:i/>
          <w:iCs/>
        </w:rPr>
        <w:t xml:space="preserve"> </w:t>
      </w:r>
      <w:proofErr w:type="spellStart"/>
      <w:r w:rsidRPr="00943E1C">
        <w:rPr>
          <w:rFonts w:cs="Times New Roman"/>
          <w:i/>
          <w:iCs/>
        </w:rPr>
        <w:t>Grokster</w:t>
      </w:r>
      <w:proofErr w:type="spellEnd"/>
      <w:r w:rsidRPr="00943E1C">
        <w:rPr>
          <w:rFonts w:cs="Times New Roman"/>
          <w:i/>
          <w:iCs/>
        </w:rPr>
        <w:t>, Ltd</w:t>
      </w:r>
      <w:r w:rsidRPr="00943E1C">
        <w:rPr>
          <w:rFonts w:cs="Times New Roman"/>
        </w:rPr>
        <w:t>.</w:t>
      </w:r>
      <w:r w:rsidRPr="00943E1C">
        <w:rPr>
          <w:rFonts w:cs="Times New Roman"/>
          <w:vertAlign w:val="superscript"/>
        </w:rPr>
        <w:footnoteReference w:id="243"/>
      </w:r>
      <w:r w:rsidRPr="00943E1C">
        <w:rPr>
          <w:rFonts w:cs="Times New Roman"/>
        </w:rPr>
        <w:t xml:space="preserve"> The issue before the Court was under what circumstances the distributor of a product capable of both lawful and unlawful use is liable for acts of copyright infringement by third parties using the product. </w:t>
      </w:r>
    </w:p>
    <w:p w14:paraId="13F9AB7D" w14:textId="77777777" w:rsidR="00943E1C" w:rsidRPr="00943E1C" w:rsidRDefault="00943E1C" w:rsidP="00943E1C">
      <w:pPr>
        <w:pStyle w:val="text"/>
        <w:rPr>
          <w:rFonts w:cs="Times New Roman"/>
        </w:rPr>
      </w:pPr>
      <w:r w:rsidRPr="00943E1C">
        <w:rPr>
          <w:rFonts w:cs="Times New Roman"/>
        </w:rPr>
        <w:t>This case involved the distribution of a free software product that enabled users to share electronic files through peer-to-peer networks, which allow users to communicate directly with each other instead of through a central server. Universities, government agencies, corporations, libraries, and many others use peer-to-peer networks to store and distribute electronic files. The distributed software in this case, however, was particularly used to share copyrighted music and videos without authorization. The case record included evidence of express promotion, marketing, business models, and intent to promote the ability to provide particular, popular copyrighted files. The Court found the unlawful objective to be unmistakable.</w:t>
      </w:r>
    </w:p>
    <w:p w14:paraId="6C34A3C4" w14:textId="77777777" w:rsidR="00943E1C" w:rsidRPr="00943E1C" w:rsidRDefault="00943E1C" w:rsidP="00943E1C">
      <w:pPr>
        <w:pStyle w:val="text"/>
        <w:rPr>
          <w:rFonts w:cs="Times New Roman"/>
          <w:vertAlign w:val="superscript"/>
        </w:rPr>
      </w:pPr>
      <w:r w:rsidRPr="00943E1C">
        <w:rPr>
          <w:rFonts w:cs="Times New Roman"/>
        </w:rPr>
        <w:t xml:space="preserve">The Court distinguished </w:t>
      </w:r>
      <w:proofErr w:type="spellStart"/>
      <w:r w:rsidRPr="00943E1C">
        <w:rPr>
          <w:rFonts w:cs="Times New Roman"/>
          <w:i/>
          <w:iCs/>
        </w:rPr>
        <w:t>Grokster</w:t>
      </w:r>
      <w:proofErr w:type="spellEnd"/>
      <w:r w:rsidRPr="00943E1C">
        <w:rPr>
          <w:rFonts w:cs="Times New Roman"/>
        </w:rPr>
        <w:t xml:space="preserve"> from </w:t>
      </w:r>
      <w:r w:rsidRPr="00943E1C">
        <w:rPr>
          <w:rFonts w:cs="Times New Roman"/>
          <w:i/>
          <w:iCs/>
        </w:rPr>
        <w:t>Sony</w:t>
      </w:r>
      <w:r w:rsidRPr="00943E1C">
        <w:rPr>
          <w:rFonts w:cs="Times New Roman"/>
        </w:rPr>
        <w:t xml:space="preserve"> and stated that </w:t>
      </w:r>
      <w:r w:rsidRPr="00943E1C">
        <w:rPr>
          <w:rFonts w:cs="Times New Roman"/>
          <w:i/>
          <w:iCs/>
        </w:rPr>
        <w:t>Sony</w:t>
      </w:r>
      <w:r w:rsidRPr="00943E1C">
        <w:rPr>
          <w:rFonts w:cs="Times New Roman"/>
        </w:rPr>
        <w:t xml:space="preserve"> dealt with a claim of liability based on distributing a product with both lawful and unlawful uses with knowledge that some users would follow the unlawful course. The evidence in </w:t>
      </w:r>
      <w:proofErr w:type="spellStart"/>
      <w:r w:rsidRPr="00943E1C">
        <w:rPr>
          <w:rFonts w:cs="Times New Roman"/>
          <w:i/>
          <w:iCs/>
        </w:rPr>
        <w:t>Grokster</w:t>
      </w:r>
      <w:proofErr w:type="spellEnd"/>
      <w:r w:rsidRPr="00943E1C">
        <w:rPr>
          <w:rFonts w:cs="Times New Roman"/>
        </w:rPr>
        <w:t xml:space="preserve"> addressed a different basis of liability for distributing a product open to alternative uses. Here, evidence of the distributors’ words and deeds showed a purpose to cause and profit from third-party acts of infringement. Liability for infringement was not on the basis of presuming or imputing fault, but from inferring an illegal objective from statements and actions.</w:t>
      </w:r>
      <w:r w:rsidRPr="00943E1C">
        <w:rPr>
          <w:rFonts w:cs="Times New Roman"/>
          <w:vertAlign w:val="superscript"/>
        </w:rPr>
        <w:footnoteReference w:id="244"/>
      </w:r>
    </w:p>
    <w:p w14:paraId="3A7B74E0" w14:textId="77777777" w:rsidR="00943E1C" w:rsidRPr="00943E1C" w:rsidRDefault="00943E1C" w:rsidP="00943E1C">
      <w:pPr>
        <w:pStyle w:val="text"/>
        <w:rPr>
          <w:rFonts w:cs="Times New Roman"/>
          <w:vertAlign w:val="superscript"/>
        </w:rPr>
      </w:pPr>
      <w:r w:rsidRPr="00943E1C">
        <w:rPr>
          <w:rFonts w:cs="Times New Roman"/>
        </w:rPr>
        <w:t xml:space="preserve">The Court adopted the inducement rule in patent law, holding that one who distributes a device with the object of promoting its use to infringe copyright, as shown by clear expression or other affirmative steps taken to foster infringement, is liable for the resulting acts of direct infringement by third parties. The </w:t>
      </w:r>
      <w:proofErr w:type="spellStart"/>
      <w:r w:rsidRPr="00943E1C">
        <w:rPr>
          <w:rFonts w:cs="Times New Roman"/>
          <w:i/>
          <w:iCs/>
        </w:rPr>
        <w:t>Grokster</w:t>
      </w:r>
      <w:proofErr w:type="spellEnd"/>
      <w:r w:rsidRPr="00943E1C">
        <w:rPr>
          <w:rFonts w:cs="Times New Roman"/>
        </w:rPr>
        <w:t xml:space="preserve"> Court reasoned that the inducement rule of patent law was sensible for copyright for the same reasons that the </w:t>
      </w:r>
      <w:r w:rsidRPr="00943E1C">
        <w:rPr>
          <w:rFonts w:cs="Times New Roman"/>
          <w:i/>
          <w:iCs/>
        </w:rPr>
        <w:t>Sony</w:t>
      </w:r>
      <w:r w:rsidRPr="00943E1C">
        <w:rPr>
          <w:rFonts w:cs="Times New Roman"/>
        </w:rPr>
        <w:t xml:space="preserve"> Court took the staple-article doctrine of patent law as a model for its copyright safe-harbor rule.</w:t>
      </w:r>
      <w:r w:rsidRPr="00943E1C">
        <w:rPr>
          <w:rFonts w:cs="Times New Roman"/>
          <w:vertAlign w:val="superscript"/>
        </w:rPr>
        <w:footnoteReference w:id="245"/>
      </w:r>
    </w:p>
    <w:p w14:paraId="2D3F8F5E" w14:textId="77777777" w:rsidR="00943E1C" w:rsidRPr="00943E1C" w:rsidRDefault="00943E1C" w:rsidP="00943E1C">
      <w:pPr>
        <w:pStyle w:val="text"/>
        <w:rPr>
          <w:rFonts w:cs="Times New Roman"/>
          <w:vertAlign w:val="superscript"/>
        </w:rPr>
      </w:pPr>
      <w:r w:rsidRPr="00943E1C">
        <w:rPr>
          <w:rFonts w:cs="Times New Roman"/>
        </w:rPr>
        <w:t>Mindful of the need to keep from affecting regular commerce or discouraging the development of new technologies having lawful and unlawful potential, the Court wrote that mere knowledge of infringing potential or of actual infringing uses is not enough to subject a distributor to liability.</w:t>
      </w:r>
      <w:r w:rsidRPr="00943E1C">
        <w:rPr>
          <w:rFonts w:cs="Times New Roman"/>
          <w:vertAlign w:val="superscript"/>
        </w:rPr>
        <w:footnoteReference w:id="246"/>
      </w:r>
      <w:r w:rsidRPr="00943E1C">
        <w:rPr>
          <w:rFonts w:cs="Times New Roman"/>
        </w:rPr>
        <w:t xml:space="preserve"> Also, ordinary acts incident to product distribution, such as offering customers technical support or product updates, is not enough to support liability. The inducement rule in copyright law, instead, premises liability on purposeful, culpable expression and conduct so as not to compromise legitimate commerce or discourage innovation having a lawful purpose.</w:t>
      </w:r>
      <w:r w:rsidRPr="00943E1C">
        <w:rPr>
          <w:rFonts w:cs="Times New Roman"/>
          <w:vertAlign w:val="superscript"/>
        </w:rPr>
        <w:footnoteReference w:id="247"/>
      </w:r>
    </w:p>
    <w:p w14:paraId="7A6BC264" w14:textId="77777777" w:rsidR="00943E1C" w:rsidRPr="00943E1C" w:rsidRDefault="00943E1C" w:rsidP="00943E1C">
      <w:pPr>
        <w:pStyle w:val="4thlevelheadai"/>
        <w:rPr>
          <w:rFonts w:cs="Times New Roman"/>
        </w:rPr>
      </w:pPr>
      <w:r w:rsidRPr="00943E1C">
        <w:rPr>
          <w:rFonts w:cs="Times New Roman"/>
        </w:rPr>
        <w:t>c.</w:t>
      </w:r>
      <w:r w:rsidRPr="00943E1C">
        <w:rPr>
          <w:rFonts w:cs="Times New Roman"/>
        </w:rPr>
        <w:tab/>
        <w:t>Copyright Law Implications for Secondary Liability Under the</w:t>
      </w:r>
      <w:r w:rsidRPr="00943E1C">
        <w:rPr>
          <w:rFonts w:cs="Times New Roman"/>
        </w:rPr>
        <w:br/>
        <w:t xml:space="preserve">Patent Act </w:t>
      </w:r>
    </w:p>
    <w:p w14:paraId="130D6DD8" w14:textId="77777777" w:rsidR="00943E1C" w:rsidRPr="00943E1C" w:rsidRDefault="00943E1C" w:rsidP="00943E1C">
      <w:pPr>
        <w:pStyle w:val="text"/>
        <w:rPr>
          <w:rFonts w:cs="Times New Roman"/>
        </w:rPr>
      </w:pPr>
      <w:r w:rsidRPr="00943E1C">
        <w:rPr>
          <w:rFonts w:cs="Times New Roman"/>
        </w:rPr>
        <w:t xml:space="preserve">The Court considered its pronouncement in copyright law when it decided issues related to induced infringement in the patent case of </w:t>
      </w:r>
      <w:r w:rsidRPr="00943E1C">
        <w:rPr>
          <w:rFonts w:cs="Times New Roman"/>
          <w:i/>
          <w:iCs/>
        </w:rPr>
        <w:t>Global-Tech Appliances, Inc</w:t>
      </w:r>
      <w:r w:rsidRPr="00943E1C">
        <w:rPr>
          <w:rFonts w:cs="Times New Roman"/>
        </w:rPr>
        <w:t>.</w:t>
      </w:r>
      <w:r w:rsidRPr="00943E1C">
        <w:rPr>
          <w:rFonts w:cs="Times New Roman"/>
          <w:i/>
          <w:iCs/>
        </w:rPr>
        <w:t xml:space="preserve"> v</w:t>
      </w:r>
      <w:r w:rsidRPr="00943E1C">
        <w:rPr>
          <w:rFonts w:cs="Times New Roman"/>
        </w:rPr>
        <w:t>.</w:t>
      </w:r>
      <w:r w:rsidRPr="00943E1C">
        <w:rPr>
          <w:rFonts w:cs="Times New Roman"/>
          <w:i/>
          <w:iCs/>
        </w:rPr>
        <w:t xml:space="preserve"> SEB S</w:t>
      </w:r>
      <w:r w:rsidRPr="00943E1C">
        <w:rPr>
          <w:rFonts w:cs="Times New Roman"/>
        </w:rPr>
        <w:t>.</w:t>
      </w:r>
      <w:r w:rsidRPr="00943E1C">
        <w:rPr>
          <w:rFonts w:cs="Times New Roman"/>
          <w:i/>
          <w:iCs/>
        </w:rPr>
        <w:t>A</w:t>
      </w:r>
      <w:r w:rsidRPr="00943E1C">
        <w:rPr>
          <w:rFonts w:cs="Times New Roman"/>
        </w:rPr>
        <w:t>.</w:t>
      </w:r>
      <w:r w:rsidRPr="00943E1C">
        <w:rPr>
          <w:rFonts w:cs="Times New Roman"/>
          <w:vertAlign w:val="superscript"/>
        </w:rPr>
        <w:footnoteReference w:id="248"/>
      </w:r>
      <w:r w:rsidRPr="00943E1C">
        <w:rPr>
          <w:rFonts w:cs="Times New Roman"/>
        </w:rPr>
        <w:t xml:space="preserve"> The question before the Court was whether a party who actively induces infringement of a patent under 35 U.S.C. §271(b) must know that the induced acts constitute patent infringement. In making its determination of induced infringement under the patent law, the Court borrowed principles from </w:t>
      </w:r>
      <w:proofErr w:type="spellStart"/>
      <w:r w:rsidRPr="00943E1C">
        <w:rPr>
          <w:rFonts w:cs="Times New Roman"/>
          <w:i/>
          <w:iCs/>
        </w:rPr>
        <w:t>Grokster</w:t>
      </w:r>
      <w:proofErr w:type="spellEnd"/>
      <w:r w:rsidRPr="00943E1C">
        <w:rPr>
          <w:rFonts w:cs="Times New Roman"/>
        </w:rPr>
        <w:t xml:space="preserve"> and also explained the holding by distinguishing the facts in </w:t>
      </w:r>
      <w:proofErr w:type="spellStart"/>
      <w:r w:rsidRPr="00943E1C">
        <w:rPr>
          <w:rFonts w:cs="Times New Roman"/>
          <w:i/>
          <w:iCs/>
        </w:rPr>
        <w:t>Grokster</w:t>
      </w:r>
      <w:proofErr w:type="spellEnd"/>
      <w:r w:rsidRPr="00943E1C">
        <w:rPr>
          <w:rFonts w:cs="Times New Roman"/>
        </w:rPr>
        <w:t>.</w:t>
      </w:r>
    </w:p>
    <w:p w14:paraId="053BA029" w14:textId="77777777" w:rsidR="00943E1C" w:rsidRPr="00943E1C" w:rsidRDefault="00943E1C" w:rsidP="00943E1C">
      <w:pPr>
        <w:pStyle w:val="text"/>
        <w:rPr>
          <w:rFonts w:cs="Times New Roman"/>
        </w:rPr>
      </w:pPr>
      <w:r w:rsidRPr="00943E1C">
        <w:rPr>
          <w:rFonts w:cs="Times New Roman"/>
        </w:rPr>
        <w:t xml:space="preserve">The case involved a manufacturer that copied all but the cosmetic features of a patented device to create its own product. The manufacturer asked an attorney to prepare a right-to-use opinion on its product but did not tell the attorney that the product was a copy of the device, and the attorney did not find the patent that covered the device. The manufacturer sold the product to a distributor, which resold the product under its trademark in the United States. </w:t>
      </w:r>
    </w:p>
    <w:p w14:paraId="5B7BEA35" w14:textId="77777777" w:rsidR="00943E1C" w:rsidRPr="00943E1C" w:rsidRDefault="00943E1C" w:rsidP="00943E1C">
      <w:pPr>
        <w:pStyle w:val="text"/>
        <w:rPr>
          <w:rFonts w:cs="Times New Roman"/>
        </w:rPr>
      </w:pPr>
      <w:r w:rsidRPr="00943E1C">
        <w:rPr>
          <w:rFonts w:cs="Times New Roman"/>
        </w:rPr>
        <w:t>The patentee prevailed under the theories of direct infringement and induced infringement. The manufacturer moved to set aside the judgment as a matter of law and argued that there was insufficient evidence to support the jury’s finding of induced infringement under Section 271(b) because the manufacturer did not actually know of the patent until it received the notice of the lawsuit.</w:t>
      </w:r>
    </w:p>
    <w:p w14:paraId="3BD4DEA0" w14:textId="77777777" w:rsidR="00943E1C" w:rsidRPr="00943E1C" w:rsidRDefault="00943E1C" w:rsidP="00943E1C">
      <w:pPr>
        <w:pStyle w:val="text"/>
        <w:rPr>
          <w:rFonts w:cs="Times New Roman"/>
          <w:vertAlign w:val="superscript"/>
        </w:rPr>
      </w:pPr>
      <w:r w:rsidRPr="00943E1C">
        <w:rPr>
          <w:rFonts w:cs="Times New Roman"/>
        </w:rPr>
        <w:t xml:space="preserve">Section 271(b) states, “Whoever actively induces infringement of a patent shall be liable as an infringer.” The Court inferred that, although 35 U.S.C. §271(b) makes no mention of intent, at least some intent is required. The Court pointed to </w:t>
      </w:r>
      <w:proofErr w:type="spellStart"/>
      <w:r w:rsidRPr="00943E1C">
        <w:rPr>
          <w:rFonts w:cs="Times New Roman"/>
          <w:i/>
          <w:iCs/>
        </w:rPr>
        <w:t>Grokster</w:t>
      </w:r>
      <w:proofErr w:type="spellEnd"/>
      <w:r w:rsidRPr="00943E1C">
        <w:rPr>
          <w:rFonts w:cs="Times New Roman"/>
        </w:rPr>
        <w:t>, which held that the inducement rule in copyright law premises liability on purposeful, culpable expression, and conduct. The Court held that induced infringement under Section 271(b) requires knowledge that the induced acts constitute patent infringement. Induced infringement was affirmed because the evidence was sufficient to support a finding of the manufacturer’s knowledge under the doctrine of willful blindness, which is borrowed from the criminal law.</w:t>
      </w:r>
      <w:r w:rsidRPr="00943E1C">
        <w:rPr>
          <w:rFonts w:cs="Times New Roman"/>
          <w:vertAlign w:val="superscript"/>
        </w:rPr>
        <w:footnoteReference w:id="249"/>
      </w:r>
    </w:p>
    <w:p w14:paraId="706D8520" w14:textId="77777777" w:rsidR="00943E1C" w:rsidRPr="00943E1C" w:rsidRDefault="00943E1C" w:rsidP="00943E1C">
      <w:pPr>
        <w:pStyle w:val="text"/>
        <w:rPr>
          <w:rFonts w:cs="Times New Roman"/>
          <w:vertAlign w:val="superscript"/>
        </w:rPr>
      </w:pPr>
      <w:r w:rsidRPr="00943E1C">
        <w:rPr>
          <w:rFonts w:cs="Times New Roman"/>
        </w:rPr>
        <w:t xml:space="preserve">In its brief before the Court against willful blindness, the manufacturer contended that the </w:t>
      </w:r>
      <w:proofErr w:type="spellStart"/>
      <w:r w:rsidRPr="00943E1C">
        <w:rPr>
          <w:rFonts w:cs="Times New Roman"/>
          <w:i/>
          <w:iCs/>
        </w:rPr>
        <w:t>Grokster</w:t>
      </w:r>
      <w:proofErr w:type="spellEnd"/>
      <w:r w:rsidRPr="00943E1C">
        <w:rPr>
          <w:rFonts w:cs="Times New Roman"/>
        </w:rPr>
        <w:t xml:space="preserve"> Court did not accept the Solicitor General’s suggestion to apply the doctrine of willful blindness to induced infringement of copyrights. The Court pointed out that it had no need to consider the doctrine of willful blindness in </w:t>
      </w:r>
      <w:proofErr w:type="spellStart"/>
      <w:r w:rsidRPr="00943E1C">
        <w:rPr>
          <w:rFonts w:cs="Times New Roman"/>
          <w:i/>
          <w:iCs/>
        </w:rPr>
        <w:t>Grokster</w:t>
      </w:r>
      <w:proofErr w:type="spellEnd"/>
      <w:r w:rsidRPr="00943E1C">
        <w:rPr>
          <w:rFonts w:cs="Times New Roman"/>
        </w:rPr>
        <w:t xml:space="preserve"> because there was ample evidence that the accused infringers were fully aware that the file-sharing software was routinely used for unauthorized sharing of copyrighted works and that this violated the rights of copyright holders.</w:t>
      </w:r>
      <w:r w:rsidRPr="00943E1C">
        <w:rPr>
          <w:rFonts w:cs="Times New Roman"/>
          <w:vertAlign w:val="superscript"/>
        </w:rPr>
        <w:footnoteReference w:id="250"/>
      </w:r>
    </w:p>
    <w:p w14:paraId="34991722" w14:textId="77777777" w:rsidR="00943E1C" w:rsidRPr="00943E1C" w:rsidRDefault="00943E1C" w:rsidP="00943E1C">
      <w:pPr>
        <w:pStyle w:val="1stlevelheadIrb"/>
        <w:rPr>
          <w:rFonts w:ascii="Times New Roman" w:hAnsi="Times New Roman" w:cs="Times New Roman"/>
        </w:rPr>
      </w:pPr>
      <w:r w:rsidRPr="00943E1C">
        <w:rPr>
          <w:rFonts w:ascii="Times New Roman" w:hAnsi="Times New Roman" w:cs="Times New Roman"/>
        </w:rPr>
        <w:t>§2.05</w:t>
      </w:r>
      <w:r w:rsidRPr="00943E1C">
        <w:rPr>
          <w:rFonts w:ascii="Times New Roman" w:hAnsi="Times New Roman" w:cs="Times New Roman"/>
        </w:rPr>
        <w:tab/>
        <w:t>Combining Patent, Copyright, and Trade Secret</w:t>
      </w:r>
      <w:r w:rsidRPr="00943E1C">
        <w:rPr>
          <w:rFonts w:ascii="Times New Roman" w:hAnsi="Times New Roman" w:cs="Times New Roman"/>
        </w:rPr>
        <w:br/>
        <w:t>Protection</w:t>
      </w:r>
    </w:p>
    <w:p w14:paraId="70194C97" w14:textId="77777777" w:rsidR="00943E1C" w:rsidRPr="00943E1C" w:rsidRDefault="00943E1C" w:rsidP="00943E1C">
      <w:pPr>
        <w:pStyle w:val="2ndlevelheadnospacebi"/>
        <w:rPr>
          <w:rFonts w:ascii="Times New Roman" w:hAnsi="Times New Roman" w:cs="Times New Roman"/>
        </w:rPr>
      </w:pPr>
      <w:r w:rsidRPr="00943E1C">
        <w:rPr>
          <w:rFonts w:ascii="Times New Roman" w:hAnsi="Times New Roman" w:cs="Times New Roman"/>
        </w:rPr>
        <w:t>A.</w:t>
      </w:r>
      <w:r w:rsidRPr="00943E1C">
        <w:rPr>
          <w:rFonts w:ascii="Times New Roman" w:hAnsi="Times New Roman" w:cs="Times New Roman"/>
        </w:rPr>
        <w:tab/>
        <w:t xml:space="preserve">Patent and Copyright Not Mutually Exclusive </w:t>
      </w:r>
    </w:p>
    <w:p w14:paraId="159C2383" w14:textId="77777777" w:rsidR="00943E1C" w:rsidRPr="00943E1C" w:rsidRDefault="00943E1C" w:rsidP="00943E1C">
      <w:pPr>
        <w:pStyle w:val="text"/>
        <w:rPr>
          <w:rFonts w:cs="Times New Roman"/>
        </w:rPr>
      </w:pPr>
      <w:r w:rsidRPr="00943E1C">
        <w:rPr>
          <w:rFonts w:cs="Times New Roman"/>
        </w:rPr>
        <w:t xml:space="preserve">As previously stated, different </w:t>
      </w:r>
      <w:r w:rsidRPr="00943E1C">
        <w:rPr>
          <w:rFonts w:cs="Times New Roman"/>
          <w:i/>
          <w:iCs/>
        </w:rPr>
        <w:t>aspects</w:t>
      </w:r>
      <w:r w:rsidRPr="00943E1C">
        <w:rPr>
          <w:rFonts w:cs="Times New Roman"/>
        </w:rPr>
        <w:t xml:space="preserve"> of computer software are protected by employing different intellectual property laws: Whereas patent law protects the inventive process, copyright law protects the expressive process. A software developer can invent both a new method of accomplishing a task and a computer program that, when executed by a computer, accomplishes the task. If the hurdles of novelty and </w:t>
      </w:r>
      <w:proofErr w:type="spellStart"/>
      <w:r w:rsidRPr="00943E1C">
        <w:rPr>
          <w:rFonts w:cs="Times New Roman"/>
        </w:rPr>
        <w:t>nonobviousness</w:t>
      </w:r>
      <w:proofErr w:type="spellEnd"/>
      <w:r w:rsidRPr="00943E1C">
        <w:rPr>
          <w:rFonts w:cs="Times New Roman"/>
        </w:rPr>
        <w:t xml:space="preserve"> are surmounted, the developer/inventor may seek patent protection in the newly discovered method, a newly created computer system for implementing the method, and a computer readable storage medium storing instructions for controlling a computer to perform the newly discovered method.</w:t>
      </w:r>
    </w:p>
    <w:p w14:paraId="220B0660" w14:textId="77777777" w:rsidR="00943E1C" w:rsidRPr="00943E1C" w:rsidRDefault="00943E1C" w:rsidP="00943E1C">
      <w:pPr>
        <w:pStyle w:val="text"/>
        <w:rPr>
          <w:rFonts w:cs="Times New Roman"/>
        </w:rPr>
      </w:pPr>
      <w:r w:rsidRPr="00943E1C">
        <w:rPr>
          <w:rFonts w:cs="Times New Roman"/>
        </w:rPr>
        <w:t>A computer program that performs a series of tasks can be written in numerous ways. The program can be written in different languages, such as C#, Visual Basic, or Java. Within a single computer language, a task can be coded in several ways. For example, a repetitive set of instructions can be placed within a do-while loop, a do-until loop, or a for-next loop. These loops perform the same function in different manners. Because many computer programs, using different languages, different programming structures, and different logical approaches, can perform the same task, each resulting computer program is an individual, creative expression, and each may enjoy copyright protection.</w:t>
      </w:r>
    </w:p>
    <w:p w14:paraId="1C0043AE" w14:textId="77777777" w:rsidR="00943E1C" w:rsidRPr="00943E1C" w:rsidRDefault="00943E1C" w:rsidP="00943E1C">
      <w:pPr>
        <w:pStyle w:val="text"/>
        <w:rPr>
          <w:rFonts w:cs="Times New Roman"/>
        </w:rPr>
      </w:pPr>
      <w:r w:rsidRPr="00943E1C">
        <w:rPr>
          <w:rFonts w:cs="Times New Roman"/>
        </w:rPr>
        <w:t>Because copyright and patent protection are not mutually exclusive, either (or both) can be the basis of an infringement action. However, one may be preferred over the other. For example, narrow claims in a patent can be used to cover exact or similar copies of various portions or all of a software program. Suing for infringement based on the narrow patent claims may be less difficult than proving copyright infringement. Moreover, if the actual damages resulting from the infringement are significant, the treble damages offered by the patent statute</w:t>
      </w:r>
      <w:r w:rsidRPr="00943E1C">
        <w:rPr>
          <w:rFonts w:cs="Times New Roman"/>
          <w:vertAlign w:val="superscript"/>
        </w:rPr>
        <w:footnoteReference w:id="251"/>
      </w:r>
      <w:r w:rsidRPr="00943E1C">
        <w:rPr>
          <w:rFonts w:cs="Times New Roman"/>
        </w:rPr>
        <w:t xml:space="preserve"> for willful infringement can be significantly higher than the statutory damages available through the copyright statute.</w:t>
      </w:r>
      <w:r w:rsidRPr="00943E1C">
        <w:rPr>
          <w:rFonts w:cs="Times New Roman"/>
          <w:vertAlign w:val="superscript"/>
        </w:rPr>
        <w:footnoteReference w:id="252"/>
      </w:r>
      <w:r w:rsidRPr="00943E1C">
        <w:rPr>
          <w:rFonts w:cs="Times New Roman"/>
        </w:rPr>
        <w:t xml:space="preserve"> </w:t>
      </w:r>
    </w:p>
    <w:p w14:paraId="51312388" w14:textId="77777777" w:rsidR="00943E1C" w:rsidRPr="00943E1C" w:rsidRDefault="00943E1C" w:rsidP="00943E1C">
      <w:pPr>
        <w:pStyle w:val="text"/>
        <w:rPr>
          <w:rFonts w:cs="Times New Roman"/>
        </w:rPr>
      </w:pPr>
      <w:r w:rsidRPr="00943E1C">
        <w:rPr>
          <w:rFonts w:cs="Times New Roman"/>
        </w:rPr>
        <w:t xml:space="preserve">In 2003, a federal district court in Kentucky held in </w:t>
      </w:r>
      <w:r w:rsidRPr="00943E1C">
        <w:rPr>
          <w:rFonts w:cs="Times New Roman"/>
          <w:i/>
          <w:iCs/>
        </w:rPr>
        <w:t>Lexmark International, Inc</w:t>
      </w:r>
      <w:r w:rsidRPr="00943E1C">
        <w:rPr>
          <w:rFonts w:cs="Times New Roman"/>
        </w:rPr>
        <w:t>.</w:t>
      </w:r>
      <w:r w:rsidRPr="00943E1C">
        <w:rPr>
          <w:rFonts w:cs="Times New Roman"/>
          <w:i/>
          <w:iCs/>
        </w:rPr>
        <w:t xml:space="preserve"> v</w:t>
      </w:r>
      <w:r w:rsidRPr="00943E1C">
        <w:rPr>
          <w:rFonts w:cs="Times New Roman"/>
        </w:rPr>
        <w:t>.</w:t>
      </w:r>
      <w:r w:rsidRPr="00943E1C">
        <w:rPr>
          <w:rFonts w:cs="Times New Roman"/>
          <w:i/>
          <w:iCs/>
        </w:rPr>
        <w:t xml:space="preserve"> Static Control Components, Inc</w:t>
      </w:r>
      <w:r w:rsidRPr="00943E1C">
        <w:rPr>
          <w:rFonts w:cs="Times New Roman"/>
        </w:rPr>
        <w:t>. that the DMCA applied to computer code placed on microchips to control various operational functions of laser printer cartridges.</w:t>
      </w:r>
      <w:r w:rsidRPr="00943E1C">
        <w:rPr>
          <w:rFonts w:cs="Times New Roman"/>
          <w:vertAlign w:val="superscript"/>
        </w:rPr>
        <w:footnoteReference w:id="253"/>
      </w:r>
      <w:r w:rsidRPr="00943E1C">
        <w:rPr>
          <w:rFonts w:cs="Times New Roman"/>
        </w:rPr>
        <w:t xml:space="preserve"> However, the use of copyright law in lieu of patent law to protect computer code was significantly circumscribed in 2004, when the Sixth Circuit reversed the district court decision.</w:t>
      </w:r>
      <w:r w:rsidRPr="00943E1C">
        <w:rPr>
          <w:rFonts w:cs="Times New Roman"/>
          <w:vertAlign w:val="superscript"/>
        </w:rPr>
        <w:footnoteReference w:id="254"/>
      </w:r>
      <w:r w:rsidRPr="00943E1C">
        <w:rPr>
          <w:rFonts w:cs="Times New Roman"/>
        </w:rPr>
        <w:t xml:space="preserve"> If not reversed, the net result of the district court’s interpretation would be that parties would be able to obtain an indefinite, albeit a thin, monopoly on nonpatentable technology via copyright law.</w:t>
      </w:r>
    </w:p>
    <w:p w14:paraId="652CF085" w14:textId="77777777" w:rsidR="00943E1C" w:rsidRPr="00943E1C" w:rsidRDefault="00943E1C" w:rsidP="00943E1C">
      <w:pPr>
        <w:pStyle w:val="text"/>
        <w:rPr>
          <w:rFonts w:cs="Times New Roman"/>
        </w:rPr>
      </w:pPr>
      <w:r w:rsidRPr="00943E1C">
        <w:rPr>
          <w:rFonts w:cs="Times New Roman"/>
        </w:rPr>
        <w:t>Lexmark International, Inc. manufactured laser printers and toner cartridges that included microchips with computer programs designed to control various operations of the printer, such as paper feed, paper movement, and motor control. Consumers could purchase special “</w:t>
      </w:r>
      <w:proofErr w:type="spellStart"/>
      <w:r w:rsidRPr="00943E1C">
        <w:rPr>
          <w:rFonts w:cs="Times New Roman"/>
        </w:rPr>
        <w:t>Prebate</w:t>
      </w:r>
      <w:proofErr w:type="spellEnd"/>
      <w:r w:rsidRPr="00943E1C">
        <w:rPr>
          <w:rFonts w:cs="Times New Roman"/>
        </w:rPr>
        <w:t xml:space="preserve">” toner cartridges at an up-front discount in exchange for agreeing to use the </w:t>
      </w:r>
      <w:proofErr w:type="spellStart"/>
      <w:r w:rsidRPr="00943E1C">
        <w:rPr>
          <w:rFonts w:cs="Times New Roman"/>
        </w:rPr>
        <w:t>Prebate</w:t>
      </w:r>
      <w:proofErr w:type="spellEnd"/>
      <w:r w:rsidRPr="00943E1C">
        <w:rPr>
          <w:rFonts w:cs="Times New Roman"/>
        </w:rPr>
        <w:t xml:space="preserve"> toner cartridge only once and returning it to Lexmark to be remanufactured and recycled. Consumers could also choose to purchase regular cartridges and refill the cartridges themselves or have a third party remanufacturer refill them. Static Control Components, Inc. (SCC), a remanufacturer and seller of ­components for remanufactured toner cartridges, wished to sell its ­SMARTEK microchip for use in replacement toner cartridges manufactured by Lexmark. To create the SMARTEK microchip, SCC admittedly copied the computer code on Lexmark’s microchips. Because SCC copied Lexmark’s computer code in its entirety, Lexmark sued for copyright infringement and violations of the DMCA.</w:t>
      </w:r>
    </w:p>
    <w:p w14:paraId="08140F89" w14:textId="77777777" w:rsidR="00943E1C" w:rsidRPr="00943E1C" w:rsidRDefault="00943E1C" w:rsidP="00943E1C">
      <w:pPr>
        <w:pStyle w:val="text"/>
        <w:rPr>
          <w:rFonts w:cs="Times New Roman"/>
        </w:rPr>
      </w:pPr>
      <w:r w:rsidRPr="00943E1C">
        <w:rPr>
          <w:rFonts w:cs="Times New Roman"/>
        </w:rPr>
        <w:t>The district court determined that Lexmark’s computer code was copyrightable because it “contained a sufficient amount of original expression,” which did not “merge with the ideas, procedures, processes, systems, or methods of operations that it . . . expressed.”</w:t>
      </w:r>
      <w:r w:rsidRPr="00943E1C">
        <w:rPr>
          <w:rFonts w:cs="Times New Roman"/>
          <w:vertAlign w:val="superscript"/>
        </w:rPr>
        <w:footnoteReference w:id="255"/>
      </w:r>
      <w:r w:rsidRPr="00943E1C">
        <w:rPr>
          <w:rFonts w:cs="Times New Roman"/>
        </w:rPr>
        <w:t xml:space="preserve"> In addition, the court pointed to the fact that other programs could have been written to perform the same function as Lexmark’s program as evidence of copyrightability.</w:t>
      </w:r>
      <w:r w:rsidRPr="00943E1C">
        <w:rPr>
          <w:rFonts w:cs="Times New Roman"/>
          <w:vertAlign w:val="superscript"/>
        </w:rPr>
        <w:footnoteReference w:id="256"/>
      </w:r>
    </w:p>
    <w:p w14:paraId="04A4BFDB" w14:textId="77777777" w:rsidR="00943E1C" w:rsidRPr="00943E1C" w:rsidRDefault="00943E1C" w:rsidP="00943E1C">
      <w:pPr>
        <w:pStyle w:val="text"/>
        <w:rPr>
          <w:rFonts w:cs="Times New Roman"/>
        </w:rPr>
      </w:pPr>
      <w:r w:rsidRPr="00943E1C">
        <w:rPr>
          <w:rFonts w:cs="Times New Roman"/>
        </w:rPr>
        <w:t xml:space="preserve">In response to Lexmark’s copyright infringement claim, SCC argued that the computer code contained on Lexmark’s microchips functioned as lock-out code because it would have been extraordinarily difficult for another manufacturer to know that Lexmark’s exact code was in fact not necessary for the authentication sequence. SCC essentially asserted a reverse engineering fair use defense similar to that discussed in </w:t>
      </w:r>
      <w:r w:rsidRPr="00943E1C">
        <w:rPr>
          <w:rFonts w:cs="Times New Roman"/>
          <w:i/>
          <w:iCs/>
        </w:rPr>
        <w:t>Sega Enterprises v</w:t>
      </w:r>
      <w:r w:rsidRPr="00943E1C">
        <w:rPr>
          <w:rFonts w:cs="Times New Roman"/>
        </w:rPr>
        <w:t>.</w:t>
      </w:r>
      <w:r w:rsidRPr="00943E1C">
        <w:rPr>
          <w:rFonts w:cs="Times New Roman"/>
          <w:i/>
          <w:iCs/>
        </w:rPr>
        <w:t xml:space="preserve"> Accolade, Inc</w:t>
      </w:r>
      <w:r w:rsidRPr="00943E1C">
        <w:rPr>
          <w:rFonts w:cs="Times New Roman"/>
        </w:rPr>
        <w:t>.</w:t>
      </w:r>
      <w:r w:rsidRPr="00943E1C">
        <w:rPr>
          <w:rFonts w:cs="Times New Roman"/>
          <w:vertAlign w:val="superscript"/>
        </w:rPr>
        <w:footnoteReference w:id="257"/>
      </w:r>
      <w:r w:rsidRPr="00943E1C">
        <w:rPr>
          <w:rFonts w:cs="Times New Roman"/>
        </w:rPr>
        <w:t xml:space="preserve"> However, the court determined that the reasoning applied in </w:t>
      </w:r>
      <w:r w:rsidRPr="00943E1C">
        <w:rPr>
          <w:rFonts w:cs="Times New Roman"/>
          <w:i/>
          <w:iCs/>
        </w:rPr>
        <w:t xml:space="preserve">Sega </w:t>
      </w:r>
      <w:r w:rsidRPr="00943E1C">
        <w:rPr>
          <w:rFonts w:cs="Times New Roman"/>
        </w:rPr>
        <w:t>was not applicable in this case because the microchips in Lexmark’s toner cartridges are not used in Lexmark’s authentication sequence and so do not function as lock-out code.</w:t>
      </w:r>
    </w:p>
    <w:p w14:paraId="3F60FA2B" w14:textId="77777777" w:rsidR="00943E1C" w:rsidRPr="00943E1C" w:rsidRDefault="00943E1C" w:rsidP="00943E1C">
      <w:pPr>
        <w:pStyle w:val="text"/>
        <w:rPr>
          <w:rFonts w:cs="Times New Roman"/>
        </w:rPr>
      </w:pPr>
      <w:r w:rsidRPr="00943E1C">
        <w:rPr>
          <w:rFonts w:cs="Times New Roman"/>
        </w:rPr>
        <w:t xml:space="preserve">The district court held that the authentication sequence between Lexmark’s printers and the microchips on the </w:t>
      </w:r>
      <w:proofErr w:type="spellStart"/>
      <w:r w:rsidRPr="00943E1C">
        <w:rPr>
          <w:rFonts w:cs="Times New Roman"/>
        </w:rPr>
        <w:t>Prebate</w:t>
      </w:r>
      <w:proofErr w:type="spellEnd"/>
      <w:r w:rsidRPr="00943E1C">
        <w:rPr>
          <w:rFonts w:cs="Times New Roman"/>
        </w:rPr>
        <w:t xml:space="preserve"> toner cartridges was a “technological measure” that “controls access” to a copyrighted work, because the authentication sequence required the application of information and a process to gain access to specific Lexmark computer code that controlled the toner and engine functions of the printer. Because SCC admitted that the purpose behind the SMARTEK chip was to circumvent Lexmark’s authentication sequence, the district court determined that SCC was in violation of the DMCA and enjoined it from making, selling, distributing, offering for sale, or otherwise trafficking SMARTEK microchips for Lexmark toner cartridges. </w:t>
      </w:r>
    </w:p>
    <w:p w14:paraId="066A13A6" w14:textId="77777777" w:rsidR="00943E1C" w:rsidRPr="00943E1C" w:rsidRDefault="00943E1C" w:rsidP="00943E1C">
      <w:pPr>
        <w:pStyle w:val="text"/>
        <w:rPr>
          <w:rFonts w:cs="Times New Roman"/>
        </w:rPr>
      </w:pPr>
      <w:r w:rsidRPr="00943E1C">
        <w:rPr>
          <w:rFonts w:cs="Times New Roman"/>
        </w:rPr>
        <w:t xml:space="preserve">As illustrated by the </w:t>
      </w:r>
      <w:r w:rsidRPr="00943E1C">
        <w:rPr>
          <w:rFonts w:cs="Times New Roman"/>
          <w:i/>
          <w:iCs/>
        </w:rPr>
        <w:t>Lexmark</w:t>
      </w:r>
      <w:r w:rsidRPr="00943E1C">
        <w:rPr>
          <w:rFonts w:cs="Times New Roman"/>
        </w:rPr>
        <w:t xml:space="preserve"> case, patents and copyrights are not mutually exclusive, and both can be used alone or in combination to protect software and products containing software. The Lexmark computer code contained on Lexmark’s microchips potentially could have been protected by patenting certain novel and nonobvious ­features of the code with method claims, printer system claims, ­microchip/apparatus claims, computer readable medium claims, or other suitable claims. Whether or not such patentable features of the Lexmark computer code existed, Lexmark obtained copyright protection for the “expression” of the code on the microchip despite SCC’s argument that it would have been extraordinarily difficult for another manufacturer to know that Lexmark’s exact code was not necessary for the function it performed.</w:t>
      </w:r>
    </w:p>
    <w:p w14:paraId="2E807A7B" w14:textId="77777777" w:rsidR="00943E1C" w:rsidRPr="00943E1C" w:rsidRDefault="00943E1C" w:rsidP="00943E1C">
      <w:pPr>
        <w:pStyle w:val="text"/>
        <w:rPr>
          <w:rFonts w:cs="Times New Roman"/>
        </w:rPr>
      </w:pPr>
      <w:r w:rsidRPr="00943E1C">
        <w:rPr>
          <w:rFonts w:cs="Times New Roman"/>
        </w:rPr>
        <w:t>The Sixth Circuit, however, held that Lexmark had failed to establish a likelihood of success on claims under the general copyright statute or the DMCA, vacated the district court’s award of a preliminary injunction to Lexmark, and remanded the case for further proceedings.</w:t>
      </w:r>
      <w:r w:rsidRPr="00943E1C">
        <w:rPr>
          <w:rFonts w:cs="Times New Roman"/>
          <w:vertAlign w:val="superscript"/>
        </w:rPr>
        <w:footnoteReference w:id="258"/>
      </w:r>
    </w:p>
    <w:p w14:paraId="11E79CD9" w14:textId="77777777" w:rsidR="00943E1C" w:rsidRPr="00943E1C" w:rsidRDefault="00943E1C" w:rsidP="00943E1C">
      <w:pPr>
        <w:pStyle w:val="text"/>
        <w:rPr>
          <w:rFonts w:cs="Times New Roman"/>
        </w:rPr>
      </w:pPr>
      <w:r w:rsidRPr="00943E1C">
        <w:rPr>
          <w:rFonts w:cs="Times New Roman"/>
        </w:rPr>
        <w:t>In view of the preliminary injunction record, the Sixth Circuit reversed the district court and found that Lexmark’s toner loading program was not copyrightable. The appellate court found that the constraints of programming efficiency forced a single type of program, and that the underlying code for the toner loading program lacked the requisite originality of expression to support a preliminary injunction ruling.</w:t>
      </w:r>
      <w:r w:rsidRPr="00943E1C">
        <w:rPr>
          <w:rFonts w:cs="Times New Roman"/>
          <w:vertAlign w:val="superscript"/>
        </w:rPr>
        <w:footnoteReference w:id="259"/>
      </w:r>
      <w:r w:rsidRPr="00943E1C">
        <w:rPr>
          <w:rFonts w:cs="Times New Roman"/>
        </w:rPr>
        <w:t xml:space="preserve"> The Sixth Circuit also held that, because the Lexmark code acted as lock-out code (i.e., its inclusion was necessary to the compatibility of the printer and the cartridge), it was a functional idea, and not a copyrightable original expression.</w:t>
      </w:r>
      <w:r w:rsidRPr="00943E1C">
        <w:rPr>
          <w:rFonts w:cs="Times New Roman"/>
          <w:vertAlign w:val="superscript"/>
        </w:rPr>
        <w:footnoteReference w:id="260"/>
      </w:r>
      <w:r w:rsidRPr="00943E1C">
        <w:rPr>
          <w:rFonts w:cs="Times New Roman"/>
        </w:rPr>
        <w:t xml:space="preserve"> Due to the compatibility restraints imposed, the court held that SCC would have been justified in copying the program code.</w:t>
      </w:r>
      <w:r w:rsidRPr="00943E1C">
        <w:rPr>
          <w:rFonts w:cs="Times New Roman"/>
          <w:vertAlign w:val="superscript"/>
        </w:rPr>
        <w:footnoteReference w:id="261"/>
      </w:r>
    </w:p>
    <w:p w14:paraId="7D78F457" w14:textId="77777777" w:rsidR="00943E1C" w:rsidRPr="00943E1C" w:rsidRDefault="00943E1C" w:rsidP="00943E1C">
      <w:pPr>
        <w:pStyle w:val="text"/>
        <w:rPr>
          <w:rFonts w:cs="Times New Roman"/>
        </w:rPr>
      </w:pPr>
      <w:r w:rsidRPr="00943E1C">
        <w:rPr>
          <w:rFonts w:cs="Times New Roman"/>
        </w:rPr>
        <w:t xml:space="preserve">In addition to its rejection of Lexmark’s copyright infringement claim, the Sixth Circuit also held that Lexmark could not claim the protection of the DMCA. The Sixth Circuit rejected the assertion that the authentication sequence between Lexmark’s printers and the microchips on the </w:t>
      </w:r>
      <w:proofErr w:type="spellStart"/>
      <w:r w:rsidRPr="00943E1C">
        <w:rPr>
          <w:rFonts w:cs="Times New Roman"/>
        </w:rPr>
        <w:t>Prebate</w:t>
      </w:r>
      <w:proofErr w:type="spellEnd"/>
      <w:r w:rsidRPr="00943E1C">
        <w:rPr>
          <w:rFonts w:cs="Times New Roman"/>
        </w:rPr>
        <w:t xml:space="preserve"> toner cartridges “controls access” to a copyrighted computer program, because anyone purchasing a Lexmark printer could read the code of the program without needing to use the authentication sequence.</w:t>
      </w:r>
      <w:r w:rsidRPr="00943E1C">
        <w:rPr>
          <w:rFonts w:cs="Times New Roman"/>
          <w:vertAlign w:val="superscript"/>
        </w:rPr>
        <w:footnoteReference w:id="262"/>
      </w:r>
      <w:r w:rsidRPr="00943E1C">
        <w:rPr>
          <w:rFonts w:cs="Times New Roman"/>
        </w:rPr>
        <w:t xml:space="preserve"> Because the DMCA requires a “technological measure” that “controls access” to the copyrighted work, the fact that the data was freely readable, and thus required no circumvention on the part of SCC, rendered the DMCA inapplicable to the programs included on the Lexmark microchips.</w:t>
      </w:r>
      <w:r w:rsidRPr="00943E1C">
        <w:rPr>
          <w:rFonts w:cs="Times New Roman"/>
          <w:vertAlign w:val="superscript"/>
        </w:rPr>
        <w:footnoteReference w:id="263"/>
      </w:r>
    </w:p>
    <w:p w14:paraId="2442A0B3" w14:textId="77777777" w:rsidR="00943E1C" w:rsidRPr="00943E1C" w:rsidRDefault="00943E1C" w:rsidP="00943E1C">
      <w:pPr>
        <w:pStyle w:val="text"/>
        <w:rPr>
          <w:rFonts w:cs="Times New Roman"/>
        </w:rPr>
      </w:pPr>
      <w:r w:rsidRPr="00943E1C">
        <w:rPr>
          <w:rFonts w:cs="Times New Roman"/>
        </w:rPr>
        <w:t xml:space="preserve">The </w:t>
      </w:r>
      <w:r w:rsidRPr="00943E1C">
        <w:rPr>
          <w:rFonts w:cs="Times New Roman"/>
          <w:i/>
          <w:iCs/>
        </w:rPr>
        <w:t>Lexmark</w:t>
      </w:r>
      <w:r w:rsidRPr="00943E1C">
        <w:rPr>
          <w:rFonts w:cs="Times New Roman"/>
        </w:rPr>
        <w:t xml:space="preserve"> reversal, and the decision of the Federal Circuit in </w:t>
      </w:r>
      <w:r w:rsidRPr="00943E1C">
        <w:rPr>
          <w:rFonts w:cs="Times New Roman"/>
          <w:i/>
          <w:iCs/>
        </w:rPr>
        <w:t>Chamberlain Group, Inc</w:t>
      </w:r>
      <w:r w:rsidRPr="00943E1C">
        <w:rPr>
          <w:rFonts w:cs="Times New Roman"/>
        </w:rPr>
        <w:t>.</w:t>
      </w:r>
      <w:r w:rsidRPr="00943E1C">
        <w:rPr>
          <w:rFonts w:cs="Times New Roman"/>
          <w:i/>
          <w:iCs/>
        </w:rPr>
        <w:t xml:space="preserve"> v</w:t>
      </w:r>
      <w:r w:rsidRPr="00943E1C">
        <w:rPr>
          <w:rFonts w:cs="Times New Roman"/>
        </w:rPr>
        <w:t>.</w:t>
      </w:r>
      <w:r w:rsidRPr="00943E1C">
        <w:rPr>
          <w:rFonts w:cs="Times New Roman"/>
          <w:i/>
          <w:iCs/>
        </w:rPr>
        <w:t xml:space="preserve"> </w:t>
      </w:r>
      <w:proofErr w:type="spellStart"/>
      <w:r w:rsidRPr="00943E1C">
        <w:rPr>
          <w:rFonts w:cs="Times New Roman"/>
          <w:i/>
          <w:iCs/>
        </w:rPr>
        <w:t>Skylink</w:t>
      </w:r>
      <w:proofErr w:type="spellEnd"/>
      <w:r w:rsidRPr="00943E1C">
        <w:rPr>
          <w:rFonts w:cs="Times New Roman"/>
          <w:i/>
          <w:iCs/>
        </w:rPr>
        <w:t xml:space="preserve"> Technologies, Inc</w:t>
      </w:r>
      <w:r w:rsidRPr="00943E1C">
        <w:rPr>
          <w:rFonts w:cs="Times New Roman"/>
        </w:rPr>
        <w:t>.,</w:t>
      </w:r>
      <w:r w:rsidRPr="00943E1C">
        <w:rPr>
          <w:rFonts w:cs="Times New Roman"/>
          <w:vertAlign w:val="superscript"/>
        </w:rPr>
        <w:footnoteReference w:id="264"/>
      </w:r>
      <w:r w:rsidRPr="00943E1C">
        <w:rPr>
          <w:rFonts w:cs="Times New Roman"/>
        </w:rPr>
        <w:t xml:space="preserve"> may signal a reevaluation of the courts’ treatment of DMCA claims. In light of the fact that Congress’ intent in passing the DMCA was primarily “to prohibit the pirating of copyright-protected works such as movies, music, and computer programs,”</w:t>
      </w:r>
      <w:r w:rsidRPr="00943E1C">
        <w:rPr>
          <w:rFonts w:cs="Times New Roman"/>
          <w:vertAlign w:val="superscript"/>
        </w:rPr>
        <w:footnoteReference w:id="265"/>
      </w:r>
      <w:r w:rsidRPr="00943E1C">
        <w:rPr>
          <w:rFonts w:cs="Times New Roman"/>
        </w:rPr>
        <w:t xml:space="preserve"> it appears that courts are becoming less likely to expand the scope of the DMCA in ways that would permit the </w:t>
      </w:r>
      <w:proofErr w:type="spellStart"/>
      <w:r w:rsidRPr="00943E1C">
        <w:rPr>
          <w:rFonts w:cs="Times New Roman"/>
        </w:rPr>
        <w:t>Lexmarks</w:t>
      </w:r>
      <w:proofErr w:type="spellEnd"/>
      <w:r w:rsidRPr="00943E1C">
        <w:rPr>
          <w:rFonts w:cs="Times New Roman"/>
        </w:rPr>
        <w:t xml:space="preserve"> of the world to wield a DMCA cause of action as an offensive measure against competitors, rather than as only a defensive measure against parties seeking to pirate copyrighted works.</w:t>
      </w:r>
      <w:r w:rsidRPr="00943E1C">
        <w:rPr>
          <w:rFonts w:cs="Times New Roman"/>
          <w:vertAlign w:val="superscript"/>
        </w:rPr>
        <w:footnoteReference w:id="266"/>
      </w:r>
      <w:r w:rsidRPr="00943E1C">
        <w:rPr>
          <w:rFonts w:cs="Times New Roman"/>
        </w:rPr>
        <w:t xml:space="preserve"> Continued adoption of this interpretation of the DMCA is likely to force parties seeking protection for their technology to do so under more traditional avenues of copyright and patent law, rather than via means such as the DMCA.</w:t>
      </w:r>
    </w:p>
    <w:p w14:paraId="2B1BA681" w14:textId="77777777" w:rsidR="00943E1C" w:rsidRPr="00943E1C" w:rsidRDefault="00943E1C" w:rsidP="00943E1C">
      <w:pPr>
        <w:pStyle w:val="2ndlevelheadBbi"/>
        <w:rPr>
          <w:rFonts w:cs="Times New Roman"/>
        </w:rPr>
      </w:pPr>
      <w:r w:rsidRPr="00943E1C">
        <w:rPr>
          <w:rFonts w:cs="Times New Roman"/>
        </w:rPr>
        <w:t>B.</w:t>
      </w:r>
      <w:r w:rsidRPr="00943E1C">
        <w:rPr>
          <w:rFonts w:cs="Times New Roman"/>
        </w:rPr>
        <w:tab/>
        <w:t xml:space="preserve">Withholding Code as Trade Secret While Patenting Corresponding Method or Apparatus </w:t>
      </w:r>
    </w:p>
    <w:p w14:paraId="5ECF7489" w14:textId="77777777" w:rsidR="00943E1C" w:rsidRPr="00943E1C" w:rsidRDefault="00943E1C" w:rsidP="00943E1C">
      <w:pPr>
        <w:pStyle w:val="text"/>
        <w:rPr>
          <w:rFonts w:cs="Times New Roman"/>
        </w:rPr>
      </w:pPr>
      <w:r w:rsidRPr="00943E1C">
        <w:rPr>
          <w:rFonts w:cs="Times New Roman"/>
        </w:rPr>
        <w:t>A patent application must “set forth the best mode contemplated by the inventor of carrying out [the] invention.”</w:t>
      </w:r>
      <w:r w:rsidRPr="00943E1C">
        <w:rPr>
          <w:rFonts w:cs="Times New Roman"/>
          <w:vertAlign w:val="superscript"/>
        </w:rPr>
        <w:footnoteReference w:id="267"/>
      </w:r>
      <w:r w:rsidRPr="00943E1C">
        <w:rPr>
          <w:rFonts w:cs="Times New Roman"/>
        </w:rPr>
        <w:t xml:space="preserve"> Along with this best mode requirement is the enablement requirement. The enablement requirement states that the patent application must disclose the invention in sufficient detail so that one skilled in the art can practice or use the invention.</w:t>
      </w:r>
      <w:r w:rsidRPr="00943E1C">
        <w:rPr>
          <w:rFonts w:cs="Times New Roman"/>
          <w:vertAlign w:val="superscript"/>
        </w:rPr>
        <w:footnoteReference w:id="268"/>
      </w:r>
      <w:r w:rsidRPr="00943E1C">
        <w:rPr>
          <w:rFonts w:cs="Times New Roman"/>
        </w:rPr>
        <w:t xml:space="preserve"> These requirements are directed at ensuring that inventors cannot apply for patents while simultaneously concealing from the public the preferred embodiments of their inventions.</w:t>
      </w:r>
      <w:r w:rsidRPr="00943E1C">
        <w:rPr>
          <w:rFonts w:cs="Times New Roman"/>
          <w:vertAlign w:val="superscript"/>
        </w:rPr>
        <w:footnoteReference w:id="269"/>
      </w:r>
    </w:p>
    <w:p w14:paraId="57B68528" w14:textId="77777777" w:rsidR="00943E1C" w:rsidRPr="00943E1C" w:rsidRDefault="00943E1C" w:rsidP="00943E1C">
      <w:pPr>
        <w:pStyle w:val="text"/>
        <w:rPr>
          <w:rFonts w:cs="Times New Roman"/>
        </w:rPr>
      </w:pPr>
      <w:r w:rsidRPr="00943E1C">
        <w:rPr>
          <w:rFonts w:cs="Times New Roman"/>
        </w:rPr>
        <w:t>To meet the best mode requirement, some patent applicants include the source code of their computer-implemented inventions as part of the patent application. Other patent applicants include flow­charts for this same purpose. However, neither source code nor flow­charts are a required element of a software patent application.</w:t>
      </w:r>
    </w:p>
    <w:p w14:paraId="101F441F" w14:textId="77777777" w:rsidR="00943E1C" w:rsidRPr="00943E1C" w:rsidRDefault="00943E1C" w:rsidP="00943E1C">
      <w:pPr>
        <w:pStyle w:val="text"/>
        <w:rPr>
          <w:rFonts w:cs="Times New Roman"/>
        </w:rPr>
      </w:pPr>
      <w:r w:rsidRPr="00943E1C">
        <w:rPr>
          <w:rFonts w:cs="Times New Roman"/>
        </w:rPr>
        <w:t>Generally, a description of the functions of the software satisfies the best mode requirement.</w:t>
      </w:r>
      <w:r w:rsidRPr="00943E1C">
        <w:rPr>
          <w:rFonts w:cs="Times New Roman"/>
          <w:vertAlign w:val="superscript"/>
        </w:rPr>
        <w:footnoteReference w:id="270"/>
      </w:r>
      <w:r w:rsidRPr="00943E1C">
        <w:rPr>
          <w:rFonts w:cs="Times New Roman"/>
        </w:rPr>
        <w:t xml:space="preserve"> This is because, normally, writing code for such software is within the skill of the art, not requiring undue experimentation, once the software’s functions have been disclosed.</w:t>
      </w:r>
      <w:r w:rsidRPr="00943E1C">
        <w:rPr>
          <w:rFonts w:cs="Times New Roman"/>
          <w:vertAlign w:val="superscript"/>
        </w:rPr>
        <w:footnoteReference w:id="271"/>
      </w:r>
      <w:r w:rsidRPr="00943E1C">
        <w:rPr>
          <w:rFonts w:cs="Times New Roman"/>
        </w:rPr>
        <w:t xml:space="preserve"> “Thus, flow charts or source code listings are not a requirement for adequately disclosing the functions of software.”</w:t>
      </w:r>
      <w:r w:rsidRPr="00943E1C">
        <w:rPr>
          <w:rFonts w:cs="Times New Roman"/>
          <w:vertAlign w:val="superscript"/>
        </w:rPr>
        <w:footnoteReference w:id="272"/>
      </w:r>
      <w:r w:rsidRPr="00943E1C">
        <w:rPr>
          <w:rFonts w:cs="Times New Roman"/>
        </w:rPr>
        <w:t xml:space="preserve"> Because flow­charts and source-code listings are not required, the source code can remain undisclosed and can be protected by trade secret law. At the same time, the invention’s method or apparatus can be patented. In this way, trade secret law and patent law are combined to protect the computer-implemented invention more fully.</w:t>
      </w:r>
    </w:p>
    <w:p w14:paraId="1A852504" w14:textId="77777777" w:rsidR="00943E1C" w:rsidRPr="00943E1C" w:rsidRDefault="00943E1C" w:rsidP="00943E1C">
      <w:pPr>
        <w:pStyle w:val="2ndlevelheadBbi"/>
        <w:rPr>
          <w:rFonts w:cs="Times New Roman"/>
        </w:rPr>
      </w:pPr>
      <w:r w:rsidRPr="00943E1C">
        <w:rPr>
          <w:rFonts w:cs="Times New Roman"/>
        </w:rPr>
        <w:t>C.</w:t>
      </w:r>
      <w:r w:rsidRPr="00943E1C">
        <w:rPr>
          <w:rFonts w:cs="Times New Roman"/>
        </w:rPr>
        <w:tab/>
        <w:t xml:space="preserve">Use of Copyright Notices in Specification and Drawing </w:t>
      </w:r>
    </w:p>
    <w:p w14:paraId="00E9D66F" w14:textId="77777777" w:rsidR="00943E1C" w:rsidRPr="00943E1C" w:rsidRDefault="00943E1C" w:rsidP="00943E1C">
      <w:pPr>
        <w:pStyle w:val="text"/>
        <w:rPr>
          <w:rFonts w:cs="Times New Roman"/>
        </w:rPr>
      </w:pPr>
      <w:r w:rsidRPr="00943E1C">
        <w:rPr>
          <w:rFonts w:cs="Times New Roman"/>
        </w:rPr>
        <w:t>A patent application for an invention must include a detailed description of the invention and the best mode for carrying it out.</w:t>
      </w:r>
      <w:r w:rsidRPr="00943E1C">
        <w:rPr>
          <w:rFonts w:cs="Times New Roman"/>
          <w:vertAlign w:val="superscript"/>
        </w:rPr>
        <w:footnoteReference w:id="273"/>
      </w:r>
      <w:r w:rsidRPr="00943E1C">
        <w:rPr>
          <w:rFonts w:cs="Times New Roman"/>
        </w:rPr>
        <w:t xml:space="preserve"> Source code is one method of viewing a computer program. The source code is compiled to object code and is executed by the computer. Source code can be included in the patent application to ensure that the invention is fully described.</w:t>
      </w:r>
    </w:p>
    <w:p w14:paraId="25D41AD8" w14:textId="77777777" w:rsidR="00943E1C" w:rsidRPr="00943E1C" w:rsidRDefault="00943E1C" w:rsidP="00943E1C">
      <w:pPr>
        <w:pStyle w:val="text"/>
        <w:rPr>
          <w:rFonts w:cs="Times New Roman"/>
        </w:rPr>
      </w:pPr>
      <w:r w:rsidRPr="00943E1C">
        <w:rPr>
          <w:rFonts w:cs="Times New Roman"/>
        </w:rPr>
        <w:t>Source code enjoys copyright protection. To comply with the copyright notice allowed under copyright law,</w:t>
      </w:r>
      <w:r w:rsidRPr="00943E1C">
        <w:rPr>
          <w:rFonts w:cs="Times New Roman"/>
          <w:vertAlign w:val="superscript"/>
        </w:rPr>
        <w:footnoteReference w:id="274"/>
      </w:r>
      <w:r w:rsidRPr="00943E1C">
        <w:rPr>
          <w:rFonts w:cs="Times New Roman"/>
        </w:rPr>
        <w:t xml:space="preserve"> a patent application containing source code or other copyrighted material may include a notice of the copyright.</w:t>
      </w:r>
      <w:r w:rsidRPr="00943E1C">
        <w:rPr>
          <w:rFonts w:cs="Times New Roman"/>
          <w:vertAlign w:val="superscript"/>
        </w:rPr>
        <w:footnoteReference w:id="275"/>
      </w:r>
      <w:r w:rsidRPr="00943E1C">
        <w:rPr>
          <w:rFonts w:cs="Times New Roman"/>
        </w:rPr>
        <w:t xml:space="preserve"> The notice should consist of (1) the symbol ©, the word “Copyright,” or the abbreviation “</w:t>
      </w:r>
      <w:proofErr w:type="spellStart"/>
      <w:r w:rsidRPr="00943E1C">
        <w:rPr>
          <w:rFonts w:cs="Times New Roman"/>
        </w:rPr>
        <w:t>Copr</w:t>
      </w:r>
      <w:proofErr w:type="spellEnd"/>
      <w:r w:rsidRPr="00943E1C">
        <w:rPr>
          <w:rFonts w:cs="Times New Roman"/>
        </w:rPr>
        <w:t>.”; (2) the year of first publication; and (3) the name of the copyright owner.</w:t>
      </w:r>
      <w:r w:rsidRPr="00943E1C">
        <w:rPr>
          <w:rFonts w:cs="Times New Roman"/>
          <w:vertAlign w:val="superscript"/>
        </w:rPr>
        <w:footnoteReference w:id="276"/>
      </w:r>
      <w:r w:rsidRPr="00943E1C">
        <w:rPr>
          <w:rFonts w:cs="Times New Roman"/>
        </w:rPr>
        <w:t xml:space="preserve"> For example, a proper notice would be “© 2006 XYZ Company.” The inclusion of the copyright notice in the patent application alerts the public that copyright in the accompanying source code is claimed.</w:t>
      </w:r>
    </w:p>
    <w:p w14:paraId="5516A4FD" w14:textId="77777777" w:rsidR="00943E1C" w:rsidRPr="00943E1C" w:rsidRDefault="00943E1C" w:rsidP="00943E1C">
      <w:pPr>
        <w:pStyle w:val="text"/>
        <w:rPr>
          <w:rFonts w:cs="Times New Roman"/>
        </w:rPr>
      </w:pPr>
      <w:r w:rsidRPr="00943E1C">
        <w:rPr>
          <w:rFonts w:cs="Times New Roman"/>
        </w:rPr>
        <w:t xml:space="preserve">If a copyright notice is included in the patent application, an authorization </w:t>
      </w:r>
      <w:r w:rsidRPr="00943E1C">
        <w:rPr>
          <w:rFonts w:cs="Times New Roman"/>
          <w:i/>
          <w:iCs/>
        </w:rPr>
        <w:t>must</w:t>
      </w:r>
      <w:r w:rsidRPr="00943E1C">
        <w:rPr>
          <w:rFonts w:cs="Times New Roman"/>
        </w:rPr>
        <w:t xml:space="preserve"> be inserted in the application as well (preferably as the first paragraph).</w:t>
      </w:r>
      <w:r w:rsidRPr="00943E1C">
        <w:rPr>
          <w:rFonts w:cs="Times New Roman"/>
          <w:vertAlign w:val="superscript"/>
        </w:rPr>
        <w:footnoteReference w:id="277"/>
      </w:r>
      <w:r w:rsidRPr="00943E1C">
        <w:rPr>
          <w:rFonts w:cs="Times New Roman"/>
        </w:rPr>
        <w:t xml:space="preserve"> The authorization must read as follows: </w:t>
      </w:r>
    </w:p>
    <w:p w14:paraId="60C45F0E" w14:textId="77777777" w:rsidR="00943E1C" w:rsidRPr="00943E1C" w:rsidRDefault="00943E1C" w:rsidP="00943E1C">
      <w:pPr>
        <w:pStyle w:val="block-f0"/>
        <w:rPr>
          <w:rFonts w:cs="Times New Roman"/>
        </w:rPr>
      </w:pPr>
      <w:r w:rsidRPr="00943E1C">
        <w:rPr>
          <w:rFonts w:cs="Times New Roman"/>
        </w:rPr>
        <w:t>A portion of the disclosure of this patent document contains material which is subject to copyright protection. The copyright owner has no objection to the facsimile reproduction by anyone of the patent document or the patent disclosure, as it appears in the Patent and Trademark Office patent file or records, but otherwise reserves all copyright rights whatsoever.</w:t>
      </w:r>
      <w:r w:rsidRPr="00943E1C">
        <w:rPr>
          <w:rFonts w:cs="Times New Roman"/>
          <w:vertAlign w:val="superscript"/>
        </w:rPr>
        <w:footnoteReference w:id="278"/>
      </w:r>
    </w:p>
    <w:p w14:paraId="687F75D9" w14:textId="77777777" w:rsidR="00943E1C" w:rsidRPr="00943E1C" w:rsidRDefault="00943E1C" w:rsidP="00943E1C">
      <w:pPr>
        <w:pStyle w:val="textflush"/>
        <w:rPr>
          <w:rFonts w:cs="Times New Roman"/>
        </w:rPr>
      </w:pPr>
      <w:r w:rsidRPr="00943E1C">
        <w:rPr>
          <w:rFonts w:cs="Times New Roman"/>
        </w:rPr>
        <w:t>The authorization paragraph extends a license to anyone who wishes to reproduce the patent document.</w:t>
      </w:r>
    </w:p>
    <w:p w14:paraId="7CD8F6E5" w14:textId="77777777" w:rsidR="00943E1C" w:rsidRPr="00943E1C" w:rsidRDefault="00943E1C" w:rsidP="00943E1C">
      <w:pPr>
        <w:pStyle w:val="1stlevelheadIrb"/>
        <w:rPr>
          <w:rFonts w:ascii="Times New Roman" w:hAnsi="Times New Roman" w:cs="Times New Roman"/>
        </w:rPr>
      </w:pPr>
      <w:r w:rsidRPr="00943E1C">
        <w:rPr>
          <w:rFonts w:ascii="Times New Roman" w:hAnsi="Times New Roman" w:cs="Times New Roman"/>
        </w:rPr>
        <w:t>§2.06</w:t>
      </w:r>
      <w:r w:rsidRPr="00943E1C">
        <w:rPr>
          <w:rFonts w:ascii="Times New Roman" w:hAnsi="Times New Roman" w:cs="Times New Roman"/>
        </w:rPr>
        <w:tab/>
        <w:t>Further Studies in Other Intellectual Property Areas</w:t>
      </w:r>
    </w:p>
    <w:p w14:paraId="2A84B311" w14:textId="77777777" w:rsidR="00943E1C" w:rsidRPr="00943E1C" w:rsidRDefault="00943E1C" w:rsidP="00943E1C">
      <w:pPr>
        <w:pStyle w:val="text"/>
        <w:rPr>
          <w:rFonts w:cs="Times New Roman"/>
        </w:rPr>
      </w:pPr>
      <w:r w:rsidRPr="00943E1C">
        <w:rPr>
          <w:rFonts w:cs="Times New Roman"/>
        </w:rPr>
        <w:t xml:space="preserve">This chapter points out key differences between patent law and the other forms of intellectual property law. The other forms of intellectual property law (e.g., trade secrets, trademarks, and copyrights) are in themselves quite detailed in scope. Therefore, one must look to other treatises for more specific coverage of these other areas of law. For example, </w:t>
      </w:r>
      <w:r w:rsidRPr="00943E1C">
        <w:rPr>
          <w:rFonts w:cs="Times New Roman"/>
          <w:i/>
          <w:iCs/>
        </w:rPr>
        <w:t>Trade Secrets Protection and Exploitation</w:t>
      </w:r>
      <w:r w:rsidRPr="00943E1C">
        <w:rPr>
          <w:rFonts w:cs="Times New Roman"/>
          <w:vertAlign w:val="superscript"/>
        </w:rPr>
        <w:footnoteReference w:id="279"/>
      </w:r>
      <w:r w:rsidRPr="00943E1C">
        <w:rPr>
          <w:rFonts w:cs="Times New Roman"/>
        </w:rPr>
        <w:t xml:space="preserve"> by Jerry Cohen and Alan </w:t>
      </w:r>
      <w:proofErr w:type="spellStart"/>
      <w:r w:rsidRPr="00943E1C">
        <w:rPr>
          <w:rFonts w:cs="Times New Roman"/>
        </w:rPr>
        <w:t>Gutterman</w:t>
      </w:r>
      <w:proofErr w:type="spellEnd"/>
      <w:r w:rsidRPr="00943E1C">
        <w:rPr>
          <w:rFonts w:cs="Times New Roman"/>
        </w:rPr>
        <w:t xml:space="preserve">, as well as </w:t>
      </w:r>
      <w:r w:rsidRPr="00943E1C">
        <w:rPr>
          <w:rFonts w:cs="Times New Roman"/>
          <w:i/>
          <w:iCs/>
        </w:rPr>
        <w:t>Trade Secrets: A State-by-State Survey</w:t>
      </w:r>
      <w:r w:rsidRPr="00943E1C">
        <w:rPr>
          <w:rFonts w:cs="Times New Roman"/>
          <w:vertAlign w:val="superscript"/>
        </w:rPr>
        <w:footnoteReference w:id="280"/>
      </w:r>
      <w:r w:rsidRPr="00943E1C">
        <w:rPr>
          <w:rFonts w:cs="Times New Roman"/>
        </w:rPr>
        <w:t xml:space="preserve"> by Arnold Pedowitz and Robert </w:t>
      </w:r>
      <w:proofErr w:type="spellStart"/>
      <w:r w:rsidRPr="00943E1C">
        <w:rPr>
          <w:rFonts w:cs="Times New Roman"/>
        </w:rPr>
        <w:t>Sikkel</w:t>
      </w:r>
      <w:proofErr w:type="spellEnd"/>
      <w:r w:rsidRPr="00943E1C">
        <w:rPr>
          <w:rFonts w:cs="Times New Roman"/>
        </w:rPr>
        <w:t xml:space="preserve">, are comprehensive and up-to-date resources. Roger </w:t>
      </w:r>
      <w:proofErr w:type="spellStart"/>
      <w:r w:rsidRPr="00943E1C">
        <w:rPr>
          <w:rFonts w:cs="Times New Roman"/>
        </w:rPr>
        <w:t>Milgrim</w:t>
      </w:r>
      <w:proofErr w:type="spellEnd"/>
      <w:r w:rsidRPr="00943E1C">
        <w:rPr>
          <w:rFonts w:cs="Times New Roman"/>
        </w:rPr>
        <w:t xml:space="preserve"> covers trade secret law thoroughly in his treatise.</w:t>
      </w:r>
      <w:r w:rsidRPr="00943E1C">
        <w:rPr>
          <w:rFonts w:cs="Times New Roman"/>
          <w:vertAlign w:val="superscript"/>
        </w:rPr>
        <w:footnoteReference w:id="281"/>
      </w:r>
      <w:r w:rsidRPr="00943E1C">
        <w:rPr>
          <w:rFonts w:cs="Times New Roman"/>
        </w:rPr>
        <w:t xml:space="preserve"> Doris Long’s concise </w:t>
      </w:r>
      <w:r w:rsidRPr="00943E1C">
        <w:rPr>
          <w:rFonts w:cs="Times New Roman"/>
          <w:i/>
          <w:iCs/>
        </w:rPr>
        <w:t>Unfair Competition and the Lanham Act </w:t>
      </w:r>
      <w:r w:rsidRPr="00943E1C">
        <w:rPr>
          <w:rFonts w:cs="Times New Roman"/>
          <w:vertAlign w:val="superscript"/>
        </w:rPr>
        <w:footnoteReference w:id="282"/>
      </w:r>
      <w:r w:rsidRPr="00943E1C">
        <w:rPr>
          <w:rFonts w:cs="Times New Roman"/>
        </w:rPr>
        <w:t xml:space="preserve"> compares key decisions across the circuits and examines proven strategies for both plaintiff and defense. J. Thomas McCarthy’s treatise, </w:t>
      </w:r>
      <w:r w:rsidRPr="00943E1C">
        <w:rPr>
          <w:rFonts w:cs="Times New Roman"/>
          <w:i/>
          <w:iCs/>
        </w:rPr>
        <w:t>McCarthy on Trademarks and Unfair Competition</w:t>
      </w:r>
      <w:r w:rsidRPr="00943E1C">
        <w:rPr>
          <w:rFonts w:cs="Times New Roman"/>
        </w:rPr>
        <w:t>,</w:t>
      </w:r>
      <w:r w:rsidRPr="00943E1C">
        <w:rPr>
          <w:rFonts w:cs="Times New Roman"/>
          <w:vertAlign w:val="superscript"/>
        </w:rPr>
        <w:footnoteReference w:id="283"/>
      </w:r>
      <w:r w:rsidRPr="00943E1C">
        <w:rPr>
          <w:rFonts w:cs="Times New Roman"/>
        </w:rPr>
        <w:t xml:space="preserve"> is a comprehensive reference. </w:t>
      </w:r>
      <w:r w:rsidRPr="00943E1C">
        <w:rPr>
          <w:rFonts w:cs="Times New Roman"/>
          <w:i/>
          <w:iCs/>
        </w:rPr>
        <w:t>Copyright Law &amp; Practice</w:t>
      </w:r>
      <w:r w:rsidRPr="00943E1C">
        <w:rPr>
          <w:rFonts w:cs="Times New Roman"/>
          <w:vertAlign w:val="superscript"/>
        </w:rPr>
        <w:footnoteReference w:id="284"/>
      </w:r>
      <w:r w:rsidRPr="00943E1C">
        <w:rPr>
          <w:rFonts w:cs="Times New Roman"/>
        </w:rPr>
        <w:t xml:space="preserve"> by William </w:t>
      </w:r>
      <w:proofErr w:type="spellStart"/>
      <w:r w:rsidRPr="00943E1C">
        <w:rPr>
          <w:rFonts w:cs="Times New Roman"/>
        </w:rPr>
        <w:t>Patry</w:t>
      </w:r>
      <w:proofErr w:type="spellEnd"/>
      <w:r w:rsidRPr="00943E1C">
        <w:rPr>
          <w:rFonts w:cs="Times New Roman"/>
        </w:rPr>
        <w:t>, former counsel to the Intellectual Property subcommittee of the House Judiciary Committee, offers a unique insider’s view of the statutes and developing case law.</w:t>
      </w:r>
    </w:p>
    <w:p w14:paraId="3FD66107" w14:textId="77777777" w:rsidR="00FF1518" w:rsidRPr="00943E1C" w:rsidRDefault="00FF1518">
      <w:pPr>
        <w:rPr>
          <w:rFonts w:ascii="Times New Roman" w:hAnsi="Times New Roman" w:cs="Times New Roman"/>
        </w:rPr>
      </w:pPr>
    </w:p>
    <w:sectPr w:rsidR="00FF1518" w:rsidRPr="00943E1C" w:rsidSect="00943E1C">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1B42B" w14:textId="77777777" w:rsidR="007F4378" w:rsidRDefault="007F4378" w:rsidP="00943E1C">
      <w:pPr>
        <w:spacing w:after="0" w:line="240" w:lineRule="auto"/>
      </w:pPr>
      <w:r>
        <w:separator/>
      </w:r>
    </w:p>
  </w:endnote>
  <w:endnote w:type="continuationSeparator" w:id="0">
    <w:p w14:paraId="2C5B282D" w14:textId="77777777" w:rsidR="007F4378" w:rsidRDefault="007F4378" w:rsidP="00943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ITC New Baskerville Std">
    <w:panose1 w:val="00000000000000000000"/>
    <w:charset w:val="00"/>
    <w:family w:val="roman"/>
    <w:notTrueType/>
    <w:pitch w:val="variable"/>
    <w:sig w:usb0="800000AF" w:usb1="5000204A" w:usb2="00000000" w:usb3="00000000" w:csb0="00000001" w:csb1="00000000"/>
  </w:font>
  <w:font w:name="Times LT Std">
    <w:panose1 w:val="00000000000000000000"/>
    <w:charset w:val="00"/>
    <w:family w:val="roman"/>
    <w:notTrueType/>
    <w:pitch w:val="variable"/>
    <w:sig w:usb0="00000003" w:usb1="00000000" w:usb2="00000000" w:usb3="00000000" w:csb0="00000001" w:csb1="00000000"/>
  </w:font>
  <w:font w:name="NewCenturySchlbk">
    <w:panose1 w:val="00000000000000000000"/>
    <w:charset w:val="00"/>
    <w:family w:val="roman"/>
    <w:notTrueType/>
    <w:pitch w:val="variable"/>
    <w:sig w:usb0="00000003" w:usb1="00000000" w:usb2="00000000" w:usb3="00000000" w:csb0="00000001" w:csb1="00000000"/>
  </w:font>
  <w:font w:name="Times SC">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CenturySchlbk LT Std">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2F3C3" w14:textId="77777777" w:rsidR="007F4378" w:rsidRDefault="007F4378" w:rsidP="00943E1C">
      <w:pPr>
        <w:spacing w:after="0" w:line="240" w:lineRule="auto"/>
      </w:pPr>
      <w:r>
        <w:separator/>
      </w:r>
    </w:p>
  </w:footnote>
  <w:footnote w:type="continuationSeparator" w:id="0">
    <w:p w14:paraId="409F760F" w14:textId="77777777" w:rsidR="007F4378" w:rsidRDefault="007F4378" w:rsidP="00943E1C">
      <w:pPr>
        <w:spacing w:after="0" w:line="240" w:lineRule="auto"/>
      </w:pPr>
      <w:r>
        <w:continuationSeparator/>
      </w:r>
    </w:p>
  </w:footnote>
  <w:footnote w:id="1">
    <w:p w14:paraId="696EA0DA" w14:textId="77777777" w:rsidR="007F4378" w:rsidRDefault="007F4378" w:rsidP="00943E1C">
      <w:pPr>
        <w:pStyle w:val="footnote"/>
      </w:pPr>
      <w:r>
        <w:rPr>
          <w:vertAlign w:val="superscript"/>
        </w:rPr>
        <w:footnoteRef/>
      </w:r>
      <w:r>
        <w:t>R</w:t>
      </w:r>
      <w:r>
        <w:rPr>
          <w:smallCaps/>
        </w:rPr>
        <w:t xml:space="preserve">estatement </w:t>
      </w:r>
      <w:r>
        <w:t>(T</w:t>
      </w:r>
      <w:r>
        <w:rPr>
          <w:smallCaps/>
        </w:rPr>
        <w:t>hird</w:t>
      </w:r>
      <w:r>
        <w:t>)</w:t>
      </w:r>
      <w:r>
        <w:rPr>
          <w:smallCaps/>
        </w:rPr>
        <w:t xml:space="preserve"> of </w:t>
      </w:r>
      <w:r>
        <w:t>U</w:t>
      </w:r>
      <w:r>
        <w:rPr>
          <w:smallCaps/>
        </w:rPr>
        <w:t xml:space="preserve">nfair </w:t>
      </w:r>
      <w:r>
        <w:t>C</w:t>
      </w:r>
      <w:r>
        <w:rPr>
          <w:smallCaps/>
        </w:rPr>
        <w:t>ompetition</w:t>
      </w:r>
      <w:r>
        <w:t xml:space="preserve"> §39 </w:t>
      </w:r>
      <w:proofErr w:type="spellStart"/>
      <w:r>
        <w:t>cmt</w:t>
      </w:r>
      <w:proofErr w:type="spellEnd"/>
      <w:r>
        <w:t xml:space="preserve">. a (1993). Under Roman law, a master could seek “relief against a person who induced [an] employee to divulge secrets relating to the master’s commercial affairs.” </w:t>
      </w:r>
      <w:r>
        <w:rPr>
          <w:i/>
          <w:iCs/>
        </w:rPr>
        <w:t>Id</w:t>
      </w:r>
      <w:r>
        <w:t xml:space="preserve">. </w:t>
      </w:r>
    </w:p>
  </w:footnote>
  <w:footnote w:id="2">
    <w:p w14:paraId="541DAE53" w14:textId="77777777" w:rsidR="007F4378" w:rsidRDefault="007F4378" w:rsidP="00943E1C">
      <w:pPr>
        <w:pStyle w:val="footnote"/>
      </w:pPr>
      <w:r>
        <w:rPr>
          <w:vertAlign w:val="superscript"/>
        </w:rPr>
        <w:footnoteRef/>
      </w:r>
      <w:r>
        <w:rPr>
          <w:i/>
          <w:iCs/>
        </w:rPr>
        <w:t xml:space="preserve">See </w:t>
      </w:r>
      <w:r>
        <w:t xml:space="preserve">Vickery v. Welch, 36 Mass. 523 (1837) (regarding a secret chocolate-making process). </w:t>
      </w:r>
    </w:p>
  </w:footnote>
  <w:footnote w:id="3">
    <w:p w14:paraId="11B58BE8" w14:textId="77777777" w:rsidR="007F4378" w:rsidRDefault="007F4378" w:rsidP="00943E1C">
      <w:pPr>
        <w:pStyle w:val="footnote"/>
      </w:pPr>
      <w:r>
        <w:rPr>
          <w:vertAlign w:val="superscript"/>
        </w:rPr>
        <w:footnoteRef/>
      </w:r>
      <w:r>
        <w:t xml:space="preserve">18 U.S.C. §1030. </w:t>
      </w:r>
    </w:p>
  </w:footnote>
  <w:footnote w:id="4">
    <w:p w14:paraId="7CC51061" w14:textId="77777777" w:rsidR="007F4378" w:rsidRDefault="007F4378" w:rsidP="00943E1C">
      <w:pPr>
        <w:pStyle w:val="footnote"/>
      </w:pPr>
      <w:r>
        <w:rPr>
          <w:vertAlign w:val="superscript"/>
        </w:rPr>
        <w:footnoteRef/>
      </w:r>
      <w:r>
        <w:t xml:space="preserve">Congress attempted to strike an “appropriate balance between the Federal Government’s interest in computer crime and the interests and abilities of the States to proscribe and punish such offenses.” S. </w:t>
      </w:r>
      <w:r>
        <w:rPr>
          <w:smallCaps/>
        </w:rPr>
        <w:t>Rep. No</w:t>
      </w:r>
      <w:r>
        <w:t xml:space="preserve">. 99-432, at 4 (1986), </w:t>
      </w:r>
      <w:r>
        <w:rPr>
          <w:i/>
          <w:iCs/>
        </w:rPr>
        <w:t>reprinted in</w:t>
      </w:r>
      <w:r>
        <w:t xml:space="preserve"> 1986 U.S.C.C.A.N. 2479, 2482.</w:t>
      </w:r>
    </w:p>
    <w:p w14:paraId="2F1255EC" w14:textId="77777777" w:rsidR="007F4378" w:rsidRDefault="007F4378" w:rsidP="00943E1C">
      <w:pPr>
        <w:pStyle w:val="footnoteregwpara"/>
      </w:pPr>
      <w:r>
        <w:t xml:space="preserve">Recently, the Ninth Circuit held 9–2 that the CFAA is limited to computer hacking cases rather than trade secret misappropriation cases. United States v. </w:t>
      </w:r>
      <w:proofErr w:type="spellStart"/>
      <w:r>
        <w:t>Nosal</w:t>
      </w:r>
      <w:proofErr w:type="spellEnd"/>
      <w:r>
        <w:t>, 676 F.3d. 854, 863–64 (9th Cir. 2012) (</w:t>
      </w:r>
      <w:proofErr w:type="spellStart"/>
      <w:r>
        <w:t>en</w:t>
      </w:r>
      <w:proofErr w:type="spellEnd"/>
      <w:r>
        <w:t xml:space="preserve"> banc), </w:t>
      </w:r>
      <w:r>
        <w:rPr>
          <w:i/>
          <w:iCs/>
        </w:rPr>
        <w:t>accord</w:t>
      </w:r>
      <w:r>
        <w:t xml:space="preserve"> WEC Carolina Energy Solutions LLC v. Miller, 687 F.3d. 199 (4th Cir. 2012), </w:t>
      </w:r>
      <w:r>
        <w:rPr>
          <w:i/>
          <w:iCs/>
        </w:rPr>
        <w:t>cert</w:t>
      </w:r>
      <w:r>
        <w:t>.</w:t>
      </w:r>
      <w:r>
        <w:rPr>
          <w:i/>
          <w:iCs/>
        </w:rPr>
        <w:t xml:space="preserve"> dismissed</w:t>
      </w:r>
      <w:r>
        <w:t xml:space="preserve">, __ U.S. __, 133 S. Ct. 831 (2013). The Solicitor General has decided not to appeal </w:t>
      </w:r>
      <w:proofErr w:type="spellStart"/>
      <w:r>
        <w:rPr>
          <w:i/>
          <w:iCs/>
        </w:rPr>
        <w:t>Nosal</w:t>
      </w:r>
      <w:proofErr w:type="spellEnd"/>
      <w:r>
        <w:t xml:space="preserve"> and declined to file a writ of certiorari. The recent holdings in the Fourth and Ninth Circuits are distinguishable from holdings in the First, Fifth, Seventh, and Eleventh Circuits, which interpret an employer’s computer use policies to fall under the CFAA. </w:t>
      </w:r>
    </w:p>
  </w:footnote>
  <w:footnote w:id="5">
    <w:p w14:paraId="6D76FBCC" w14:textId="77777777" w:rsidR="007F4378" w:rsidRDefault="007F4378" w:rsidP="00943E1C">
      <w:pPr>
        <w:pStyle w:val="footnote"/>
      </w:pPr>
      <w:r>
        <w:rPr>
          <w:vertAlign w:val="superscript"/>
        </w:rPr>
        <w:footnoteRef/>
      </w:r>
      <w:r>
        <w:t>18 U.S.C. §§1831–1839.</w:t>
      </w:r>
      <w:r w:rsidRPr="007F4378">
        <w:rPr>
          <w:rFonts w:cs="Times New Roman"/>
        </w:rPr>
        <w:t xml:space="preserve"> </w:t>
      </w:r>
      <w:r w:rsidRPr="0030006E">
        <w:rPr>
          <w:rFonts w:cs="Times New Roman"/>
        </w:rPr>
        <w:t>The EEA became law in October 1996 against a backdrop of increasing threats to corporate security and a rising tide of international and domestic economic espionage. United States v. Hsu, 155 F.3d 189, 194 (3d Cir. 1998).</w:t>
      </w:r>
      <w:r>
        <w:t xml:space="preserve"> Prior to the EEA, trade secrets typically fell under the purview of state law such as the implemented version of the Uniform Trade Secrets Act (UTSA), 14 U.L.A. 437 (1985). The UTSA was approved in 1979 and amended in 1985. Federal jurisdiction of trade secret matters fell under diversity jurisdiction or when charges could be brought under federal criminal statutes to cover trade secret misappropriation. </w:t>
      </w:r>
    </w:p>
  </w:footnote>
  <w:footnote w:id="6">
    <w:p w14:paraId="08A6C2BD" w14:textId="77777777" w:rsidR="00CC1999" w:rsidRDefault="00CC1999">
      <w:pPr>
        <w:pStyle w:val="FootnoteText"/>
      </w:pPr>
      <w:r>
        <w:rPr>
          <w:rStyle w:val="FootnoteReference"/>
        </w:rPr>
        <w:footnoteRef/>
      </w:r>
      <w:r>
        <w:t xml:space="preserve"> </w:t>
      </w:r>
      <w:r w:rsidRPr="0030006E">
        <w:rPr>
          <w:rFonts w:cs="Times New Roman"/>
        </w:rPr>
        <w:t xml:space="preserve">In at least one case, </w:t>
      </w:r>
      <w:r w:rsidRPr="0030006E">
        <w:rPr>
          <w:rFonts w:cs="Times New Roman"/>
          <w:i/>
          <w:iCs/>
        </w:rPr>
        <w:t xml:space="preserve">Avago Technologies U.S. Inc. v. </w:t>
      </w:r>
      <w:proofErr w:type="spellStart"/>
      <w:r w:rsidRPr="0030006E">
        <w:rPr>
          <w:rFonts w:cs="Times New Roman"/>
          <w:i/>
          <w:iCs/>
        </w:rPr>
        <w:t>NanoPrecision</w:t>
      </w:r>
      <w:proofErr w:type="spellEnd"/>
      <w:r w:rsidRPr="0030006E">
        <w:rPr>
          <w:rFonts w:cs="Times New Roman"/>
          <w:i/>
          <w:iCs/>
        </w:rPr>
        <w:t xml:space="preserve"> Products</w:t>
      </w:r>
      <w:r w:rsidRPr="0030006E">
        <w:rPr>
          <w:rFonts w:cs="Times New Roman"/>
        </w:rPr>
        <w:t>, No. 16-cv-03737-JCS (N.D. Cal. Jan. 31, 2017), the federal district court dismissed a DTSA claim because alleged trade secrets were disclosed before the DTSA came into effect</w:t>
      </w:r>
      <w:r>
        <w:rPr>
          <w:rFonts w:cs="Times New Roman"/>
        </w:rPr>
        <w:t>.</w:t>
      </w:r>
    </w:p>
  </w:footnote>
  <w:footnote w:id="7">
    <w:p w14:paraId="0089896E" w14:textId="77777777" w:rsidR="007F4378" w:rsidRDefault="007F4378" w:rsidP="00943E1C">
      <w:pPr>
        <w:pStyle w:val="footnote"/>
      </w:pPr>
      <w:r>
        <w:rPr>
          <w:vertAlign w:val="superscript"/>
        </w:rPr>
        <w:footnoteRef/>
      </w:r>
      <w:r>
        <w:t xml:space="preserve">18 U.S.C. §1832(a). </w:t>
      </w:r>
    </w:p>
  </w:footnote>
  <w:footnote w:id="8">
    <w:p w14:paraId="376A005A" w14:textId="77777777" w:rsidR="007F4378" w:rsidRDefault="007F4378" w:rsidP="00943E1C">
      <w:pPr>
        <w:pStyle w:val="footnote"/>
      </w:pPr>
      <w:r>
        <w:rPr>
          <w:vertAlign w:val="superscript"/>
        </w:rPr>
        <w:footnoteRef/>
      </w:r>
      <w:r>
        <w:rPr>
          <w:i/>
          <w:iCs/>
        </w:rPr>
        <w:t>Id</w:t>
      </w:r>
      <w:r>
        <w:t xml:space="preserve">. §1836. </w:t>
      </w:r>
    </w:p>
  </w:footnote>
  <w:footnote w:id="9">
    <w:p w14:paraId="789C49CB" w14:textId="77777777" w:rsidR="007F4378" w:rsidRDefault="007F4378" w:rsidP="00943E1C">
      <w:pPr>
        <w:pStyle w:val="footnote"/>
      </w:pPr>
      <w:r>
        <w:rPr>
          <w:vertAlign w:val="superscript"/>
        </w:rPr>
        <w:footnoteRef/>
      </w:r>
      <w:r>
        <w:t xml:space="preserve">Pub. L. No. 112-269, 126 Stat. 2442 (2013). </w:t>
      </w:r>
    </w:p>
  </w:footnote>
  <w:footnote w:id="10">
    <w:p w14:paraId="1EC7F8E5" w14:textId="77777777" w:rsidR="007F4378" w:rsidRDefault="007F4378" w:rsidP="00943E1C">
      <w:pPr>
        <w:pStyle w:val="footnote"/>
      </w:pPr>
      <w:r>
        <w:rPr>
          <w:vertAlign w:val="superscript"/>
        </w:rPr>
        <w:footnoteRef/>
      </w:r>
      <w:r>
        <w:t xml:space="preserve">Fines for offenses committed by individuals were increased from $500,000 to $5,000,000, 18 U.S.C. §1831(a)(5), and fines for offenses committed by organizations were increased from $10 million to “not more than the greater of $10,000,000 or 3 times the value of the stolen trade secret to the organization, including expenses for research and design and other costs of reproducing the trade secret that the organization has thereby avoided,” 18 U.S.C. §1831(b). </w:t>
      </w:r>
    </w:p>
  </w:footnote>
  <w:footnote w:id="11">
    <w:p w14:paraId="78A41E50" w14:textId="77777777" w:rsidR="007F4378" w:rsidRDefault="007F4378" w:rsidP="00943E1C">
      <w:pPr>
        <w:pStyle w:val="footnote"/>
      </w:pPr>
      <w:r>
        <w:rPr>
          <w:vertAlign w:val="superscript"/>
        </w:rPr>
        <w:footnoteRef/>
      </w:r>
      <w:r>
        <w:t xml:space="preserve">Pub. L. No. 112-236, 126 Stat. 1627 (2012). </w:t>
      </w:r>
    </w:p>
  </w:footnote>
  <w:footnote w:id="12">
    <w:p w14:paraId="4B2BDAF3" w14:textId="77777777" w:rsidR="007F4378" w:rsidRDefault="007F4378" w:rsidP="00943E1C">
      <w:pPr>
        <w:pStyle w:val="footnote"/>
      </w:pPr>
      <w:r>
        <w:rPr>
          <w:vertAlign w:val="superscript"/>
        </w:rPr>
        <w:footnoteRef/>
      </w:r>
      <w:r>
        <w:t xml:space="preserve">United States v. Aleynikov, 676 F.3d 71 (2d Cir. 2012), </w:t>
      </w:r>
      <w:proofErr w:type="spellStart"/>
      <w:r>
        <w:rPr>
          <w:i/>
          <w:iCs/>
        </w:rPr>
        <w:t>rev’g</w:t>
      </w:r>
      <w:proofErr w:type="spellEnd"/>
      <w:r>
        <w:t xml:space="preserve"> United States v. Aleynikov, 737 F. Supp. 2d 173 (S.D.N.Y. 2010) (holding that the language “a product that is produced for or placed in interstate or foreign commerce” under the contemporaneous version of 18 U.S.C. §1832(a) only applies where a trade secret relates to products that a company </w:t>
      </w:r>
      <w:r>
        <w:rPr>
          <w:i/>
          <w:iCs/>
        </w:rPr>
        <w:t>sells</w:t>
      </w:r>
      <w:r>
        <w:t xml:space="preserve">, and not to products that a company </w:t>
      </w:r>
      <w:r>
        <w:rPr>
          <w:i/>
          <w:iCs/>
        </w:rPr>
        <w:t>uses,</w:t>
      </w:r>
      <w:r>
        <w:t xml:space="preserve"> such as those used internally). The Second Circuit reversed the conviction of a former Goldman Sachs programmer, Sergey Aleynikov, under the EEA for stealing source code used in Goldman Sachs’ proprietary trading system because Goldman’s proprietary trading system was only used internally and was never produced for or placed in interstate or foreign commerce. </w:t>
      </w:r>
      <w:r>
        <w:rPr>
          <w:i/>
          <w:iCs/>
        </w:rPr>
        <w:t>See Aleynikov</w:t>
      </w:r>
      <w:r>
        <w:t xml:space="preserve">, 676 F.3d at 73. </w:t>
      </w:r>
    </w:p>
  </w:footnote>
  <w:footnote w:id="13">
    <w:p w14:paraId="6C7B67BA" w14:textId="77777777" w:rsidR="007F4378" w:rsidRDefault="007F4378" w:rsidP="00943E1C">
      <w:pPr>
        <w:pStyle w:val="footnote"/>
      </w:pPr>
      <w:r>
        <w:rPr>
          <w:vertAlign w:val="superscript"/>
        </w:rPr>
        <w:footnoteRef/>
      </w:r>
      <w:r>
        <w:t xml:space="preserve">18 U.S.C. §1832(a). </w:t>
      </w:r>
    </w:p>
  </w:footnote>
  <w:footnote w:id="14">
    <w:p w14:paraId="55474766" w14:textId="77777777" w:rsidR="00CC1999" w:rsidRDefault="00CC1999" w:rsidP="00CC1999">
      <w:pPr>
        <w:pStyle w:val="footnote"/>
      </w:pPr>
      <w:r>
        <w:rPr>
          <w:vertAlign w:val="superscript"/>
        </w:rPr>
        <w:footnoteRef/>
      </w:r>
      <w:r>
        <w:t xml:space="preserve">18 U.S.C. §1839(3) (2016); Defend Trade Secrets Act of 2016, Pub. L. No. 114-153, §2(b)(1)(A), 130 Stat. 376, 380 (2016). </w:t>
      </w:r>
    </w:p>
  </w:footnote>
  <w:footnote w:id="15">
    <w:p w14:paraId="2A8B0593" w14:textId="77777777" w:rsidR="00CC1999" w:rsidRDefault="00CC1999" w:rsidP="00CC1999">
      <w:pPr>
        <w:pStyle w:val="footnote"/>
      </w:pPr>
      <w:r>
        <w:rPr>
          <w:vertAlign w:val="superscript"/>
        </w:rPr>
        <w:footnoteRef/>
      </w:r>
      <w:r>
        <w:t xml:space="preserve">18 U.S.C. §1836(b)(2). </w:t>
      </w:r>
    </w:p>
  </w:footnote>
  <w:footnote w:id="16">
    <w:p w14:paraId="326192FF" w14:textId="77777777" w:rsidR="00CC1999" w:rsidRDefault="00CC1999" w:rsidP="00CC1999">
      <w:pPr>
        <w:pStyle w:val="footnote"/>
      </w:pPr>
      <w:r>
        <w:rPr>
          <w:vertAlign w:val="superscript"/>
        </w:rPr>
        <w:footnoteRef/>
      </w:r>
      <w:r>
        <w:rPr>
          <w:i/>
          <w:iCs/>
        </w:rPr>
        <w:t>Id.</w:t>
      </w:r>
      <w:r>
        <w:t xml:space="preserve"> §1836(b)(3). </w:t>
      </w:r>
    </w:p>
  </w:footnote>
  <w:footnote w:id="17">
    <w:p w14:paraId="64511C1F" w14:textId="77777777" w:rsidR="007F4378" w:rsidRDefault="007F4378" w:rsidP="00943E1C">
      <w:pPr>
        <w:pStyle w:val="footnote"/>
      </w:pPr>
      <w:r>
        <w:rPr>
          <w:vertAlign w:val="superscript"/>
        </w:rPr>
        <w:footnoteRef/>
      </w:r>
      <w:r>
        <w:t xml:space="preserve">The Texas Uniform Trade Secrets Act (TUTSA) was signed into law and became effective on September 1, 2013. North Carolina has a trade secret statute largely based on the UTSA with minor changes. </w:t>
      </w:r>
    </w:p>
  </w:footnote>
  <w:footnote w:id="18">
    <w:p w14:paraId="16B0C926" w14:textId="77777777" w:rsidR="007F4378" w:rsidRDefault="007F4378" w:rsidP="00943E1C">
      <w:pPr>
        <w:pStyle w:val="footnote"/>
      </w:pPr>
      <w:r>
        <w:rPr>
          <w:vertAlign w:val="superscript"/>
        </w:rPr>
        <w:footnoteRef/>
      </w:r>
      <w:r>
        <w:t xml:space="preserve">The UTSA (14 U.L.A. 437 (1985)) was approved in 1979 and amended in 1985. </w:t>
      </w:r>
      <w:r>
        <w:rPr>
          <w:i/>
          <w:iCs/>
        </w:rPr>
        <w:t xml:space="preserve">See also </w:t>
      </w:r>
      <w:r>
        <w:t xml:space="preserve">state statute citations at 14 U.L.A. 433 (1985). </w:t>
      </w:r>
    </w:p>
  </w:footnote>
  <w:footnote w:id="19">
    <w:p w14:paraId="17218243" w14:textId="5251E3B7" w:rsidR="007F4378" w:rsidRDefault="007F4378" w:rsidP="00943E1C">
      <w:pPr>
        <w:pStyle w:val="footnote"/>
      </w:pPr>
      <w:r>
        <w:rPr>
          <w:vertAlign w:val="superscript"/>
        </w:rPr>
        <w:footnoteRef/>
      </w:r>
      <w:r w:rsidR="00CC1999" w:rsidRPr="0030006E">
        <w:rPr>
          <w:rFonts w:cs="Times New Roman"/>
        </w:rPr>
        <w:t>New York protects trade secrets under common law and has introduced bills in 2018 to implement the USTA.</w:t>
      </w:r>
    </w:p>
  </w:footnote>
  <w:footnote w:id="20">
    <w:p w14:paraId="7B8EF471" w14:textId="2A99C989" w:rsidR="007F4378" w:rsidRDefault="007F4378" w:rsidP="00943E1C">
      <w:pPr>
        <w:pStyle w:val="footnote"/>
      </w:pPr>
      <w:r>
        <w:rPr>
          <w:vertAlign w:val="superscript"/>
        </w:rPr>
        <w:footnoteRef/>
      </w:r>
      <w:r w:rsidR="00CC1999" w:rsidRPr="0030006E">
        <w:t xml:space="preserve">Massachusetts has a nonuniform trade secret statute. The </w:t>
      </w:r>
      <w:r w:rsidR="00CC1999" w:rsidRPr="00063F1E">
        <w:t>Massachusetts</w:t>
      </w:r>
      <w:r w:rsidR="00CC1999" w:rsidRPr="0030006E">
        <w:t xml:space="preserve"> state legislature has repeatedly attempted to enact the UTSA and has introduced bills in 2018 to implement the USTA.</w:t>
      </w:r>
    </w:p>
  </w:footnote>
  <w:footnote w:id="21">
    <w:p w14:paraId="3644846B" w14:textId="77777777" w:rsidR="007F4378" w:rsidRDefault="007F4378" w:rsidP="00943E1C">
      <w:pPr>
        <w:pStyle w:val="footnote"/>
      </w:pPr>
      <w:r>
        <w:rPr>
          <w:vertAlign w:val="superscript"/>
        </w:rPr>
        <w:footnoteRef/>
      </w:r>
      <w:r>
        <w:t xml:space="preserve">“The majority interpretation [of courts having considered the issue] appears to be that the UTSA preempts all common law tort claims based on misappropriation of information, whether or not it meets the statutory definition of a trade secret.” </w:t>
      </w:r>
      <w:proofErr w:type="spellStart"/>
      <w:r>
        <w:t>Firetrace</w:t>
      </w:r>
      <w:proofErr w:type="spellEnd"/>
      <w:r>
        <w:t xml:space="preserve"> USA, LLC v. </w:t>
      </w:r>
      <w:proofErr w:type="spellStart"/>
      <w:r>
        <w:t>Jesclard</w:t>
      </w:r>
      <w:proofErr w:type="spellEnd"/>
      <w:r>
        <w:t xml:space="preserve">, 800 F. Supp. 2d 1042, 1048 (D. Ariz. 2011); </w:t>
      </w:r>
      <w:r>
        <w:rPr>
          <w:i/>
          <w:iCs/>
        </w:rPr>
        <w:t>see</w:t>
      </w:r>
      <w:r>
        <w:t xml:space="preserve"> Hauk Mfg. v. </w:t>
      </w:r>
      <w:proofErr w:type="spellStart"/>
      <w:r>
        <w:t>Astec</w:t>
      </w:r>
      <w:proofErr w:type="spellEnd"/>
      <w:r>
        <w:t xml:space="preserve"> Indus., Inc., 375 F. Supp. 2d 649, 654 (E.D. Tenn. 2004) (“[T]he UTSA’s preemption provision has generally been interpreted to abolish all free-standing alternative causes of action for theft or misuse of confidential, proprietary, or otherwise secret information falling short of trade secret status. . . .”). </w:t>
      </w:r>
    </w:p>
  </w:footnote>
  <w:footnote w:id="22">
    <w:p w14:paraId="7D98CFF7" w14:textId="77777777" w:rsidR="00CC1999" w:rsidRDefault="00CC1999">
      <w:pPr>
        <w:pStyle w:val="FootnoteText"/>
      </w:pPr>
      <w:r>
        <w:rPr>
          <w:rStyle w:val="FootnoteReference"/>
        </w:rPr>
        <w:footnoteRef/>
      </w:r>
      <w:r w:rsidRPr="0030006E">
        <w:rPr>
          <w:rFonts w:cs="Times New Roman"/>
        </w:rPr>
        <w:t xml:space="preserve">For example, relatively few courts have addressed the ex </w:t>
      </w:r>
      <w:proofErr w:type="spellStart"/>
      <w:r w:rsidRPr="0030006E">
        <w:rPr>
          <w:rFonts w:cs="Times New Roman"/>
        </w:rPr>
        <w:t>parte</w:t>
      </w:r>
      <w:proofErr w:type="spellEnd"/>
      <w:r w:rsidRPr="0030006E">
        <w:rPr>
          <w:rFonts w:cs="Times New Roman"/>
          <w:i/>
          <w:iCs/>
        </w:rPr>
        <w:t xml:space="preserve"> </w:t>
      </w:r>
      <w:r w:rsidRPr="0030006E">
        <w:rPr>
          <w:rFonts w:cs="Times New Roman"/>
        </w:rPr>
        <w:t xml:space="preserve">seizure provision of 18 U.S.C. §1836(b)(2), and even fewer have actually granted a seizure. This is likely due to the DTSA’s requirement that courts order property seizures only in extraordinary circumstances and that many courts would rather issue a temporary restraining order under Federal Rule of Civil Procedure 65. </w:t>
      </w:r>
      <w:r w:rsidRPr="0030006E">
        <w:rPr>
          <w:rFonts w:cs="Times New Roman"/>
          <w:i/>
          <w:iCs/>
        </w:rPr>
        <w:t>See, e.g.,</w:t>
      </w:r>
      <w:r w:rsidRPr="0030006E">
        <w:rPr>
          <w:rFonts w:cs="Times New Roman"/>
        </w:rPr>
        <w:t xml:space="preserve"> Magnesia Refractories Co. v. Mishra, No. 2:16-CV-524-PPS-JEM, 2017 WL 365619 (N.D. Ind. Jan. 25, 2017)</w:t>
      </w:r>
      <w:r>
        <w:t xml:space="preserve"> </w:t>
      </w:r>
    </w:p>
  </w:footnote>
  <w:footnote w:id="23">
    <w:p w14:paraId="6A6F216D" w14:textId="77777777" w:rsidR="007F4378" w:rsidRDefault="007F4378" w:rsidP="00943E1C">
      <w:pPr>
        <w:pStyle w:val="footnote"/>
      </w:pPr>
      <w:r>
        <w:rPr>
          <w:vertAlign w:val="superscript"/>
        </w:rPr>
        <w:footnoteRef/>
      </w:r>
      <w:r>
        <w:t xml:space="preserve">The first international standard for the protection of trade secrets was in Article 1711 of the North American Free Trade Agreement (NAFTA) in 1994. </w:t>
      </w:r>
    </w:p>
  </w:footnote>
  <w:footnote w:id="24">
    <w:p w14:paraId="4462459D" w14:textId="77777777" w:rsidR="007F4378" w:rsidRDefault="007F4378" w:rsidP="00943E1C">
      <w:pPr>
        <w:pStyle w:val="footnote"/>
      </w:pPr>
      <w:r>
        <w:rPr>
          <w:vertAlign w:val="superscript"/>
        </w:rPr>
        <w:footnoteRef/>
      </w:r>
      <w:r>
        <w:t xml:space="preserve">Agreement on Trade-Related Aspects of Intellectual Property Rights (TRIPS), Apr. 15, 1994, Marrakesh Agreement Establishing the World Trade Organization, Annex 1C, 1869 U.N.T.S. 299, 33 I.L.M. 1197 (1994). </w:t>
      </w:r>
    </w:p>
  </w:footnote>
  <w:footnote w:id="25">
    <w:p w14:paraId="09156AE9" w14:textId="77777777" w:rsidR="007F4378" w:rsidRDefault="007F4378" w:rsidP="00943E1C">
      <w:pPr>
        <w:pStyle w:val="footnote"/>
      </w:pPr>
      <w:r>
        <w:rPr>
          <w:vertAlign w:val="superscript"/>
        </w:rPr>
        <w:footnoteRef/>
      </w:r>
      <w:r>
        <w:t xml:space="preserve">TRIPS art. 39.2. TRIPS Article 39 includes three paragraphs and a footnote. Article 39.1 requires members to enable persons who lawfully are in control of trade secrets to prevent such information “from being disclosed to, acquired by, or used by others without their consent in a manner contrary to honest commercial practices” as long as the information remains a trade secret. TRIPS Article 39.2 includes a definition of the type of information included, and is modeled after the definition of “trade secret” in the UTSA. TRIPS Article 39.3 prohibits unfair commercial use of test or other data—the origination of which involved considerable effort—used in approving the marketing of pharmaceutical and agricultural chemical products employing new chemical entities. Footnote 10 of Article 39 provides a </w:t>
      </w:r>
      <w:proofErr w:type="spellStart"/>
      <w:r>
        <w:t>nonexhaustive</w:t>
      </w:r>
      <w:proofErr w:type="spellEnd"/>
      <w:r>
        <w:t xml:space="preserve"> list of practices considered “contrary to honest business practices,” and is similar to that of the definition of “misappropriation” in the UTSA. </w:t>
      </w:r>
    </w:p>
  </w:footnote>
  <w:footnote w:id="26">
    <w:p w14:paraId="15B31C14" w14:textId="77777777" w:rsidR="00CC1999" w:rsidRDefault="00CC1999" w:rsidP="00CC1999">
      <w:pPr>
        <w:pStyle w:val="footnote"/>
      </w:pPr>
      <w:r>
        <w:rPr>
          <w:vertAlign w:val="superscript"/>
        </w:rPr>
        <w:footnoteRef/>
      </w:r>
      <w:r>
        <w:t xml:space="preserve">UTSA §1, 14 U.L.A. 437 (1985). The DTSA has amended the EEA to more closely track the UTSA definition. United States v. Liew, 856 F.3d 585 (9th Cir. 2017). </w:t>
      </w:r>
    </w:p>
  </w:footnote>
  <w:footnote w:id="27">
    <w:p w14:paraId="1348DDEC" w14:textId="77777777" w:rsidR="00CC1999" w:rsidRDefault="00CC1999" w:rsidP="00CC1999">
      <w:pPr>
        <w:pStyle w:val="footnote"/>
      </w:pPr>
      <w:r>
        <w:rPr>
          <w:vertAlign w:val="superscript"/>
        </w:rPr>
        <w:footnoteRef/>
      </w:r>
      <w:r>
        <w:t xml:space="preserve">18 U.S.C. §1839(3) (2015). </w:t>
      </w:r>
    </w:p>
  </w:footnote>
  <w:footnote w:id="28">
    <w:p w14:paraId="6D76521E" w14:textId="77777777" w:rsidR="00CC1999" w:rsidRDefault="00CC1999" w:rsidP="00CC1999">
      <w:pPr>
        <w:pStyle w:val="footnote"/>
      </w:pPr>
      <w:r>
        <w:rPr>
          <w:vertAlign w:val="superscript"/>
        </w:rPr>
        <w:footnoteRef/>
      </w:r>
      <w:r>
        <w:t xml:space="preserve">18 U.S.C. §1839(3) (2016); Defend Trade Secrets Act of 2016, Pub. L. No. 114-153, §2(b)(1)(A), 130 Stat. 376, 380 (2016). </w:t>
      </w:r>
    </w:p>
  </w:footnote>
  <w:footnote w:id="29">
    <w:p w14:paraId="6F392941" w14:textId="77777777" w:rsidR="00CC1999" w:rsidRDefault="00CC1999" w:rsidP="00CC1999">
      <w:pPr>
        <w:pStyle w:val="footnote"/>
      </w:pPr>
      <w:r>
        <w:rPr>
          <w:vertAlign w:val="superscript"/>
        </w:rPr>
        <w:footnoteRef/>
      </w:r>
      <w:r>
        <w:t xml:space="preserve">United States v. Liew, 856 F.3d 585, 597 (9th Cir. 2017). </w:t>
      </w:r>
    </w:p>
  </w:footnote>
  <w:footnote w:id="30">
    <w:p w14:paraId="6E4D1892" w14:textId="77777777" w:rsidR="007F4378" w:rsidRDefault="007F4378" w:rsidP="00943E1C">
      <w:pPr>
        <w:pStyle w:val="footnote"/>
      </w:pPr>
      <w:r>
        <w:rPr>
          <w:vertAlign w:val="superscript"/>
        </w:rPr>
        <w:footnoteRef/>
      </w:r>
      <w:proofErr w:type="spellStart"/>
      <w:r>
        <w:t>Protocomm</w:t>
      </w:r>
      <w:proofErr w:type="spellEnd"/>
      <w:r>
        <w:t xml:space="preserve"> Corp. v. Fluent, Inc., No. 93-0518, 1995 U.S. Dist. LEXIS 40 (E.D. Pa. Jan. 3, 1995). </w:t>
      </w:r>
    </w:p>
  </w:footnote>
  <w:footnote w:id="31">
    <w:p w14:paraId="1EB486A9" w14:textId="77777777" w:rsidR="007F4378" w:rsidRDefault="007F4378" w:rsidP="00943E1C">
      <w:pPr>
        <w:pStyle w:val="footnote"/>
      </w:pPr>
      <w:r>
        <w:rPr>
          <w:vertAlign w:val="superscript"/>
        </w:rPr>
        <w:footnoteRef/>
      </w:r>
      <w:r>
        <w:t xml:space="preserve">35 U.S.C. §101. </w:t>
      </w:r>
    </w:p>
  </w:footnote>
  <w:footnote w:id="32">
    <w:p w14:paraId="0E9ED159" w14:textId="77777777" w:rsidR="007F4378" w:rsidRDefault="007F4378" w:rsidP="00943E1C">
      <w:pPr>
        <w:pStyle w:val="footnote"/>
      </w:pPr>
      <w:r>
        <w:rPr>
          <w:vertAlign w:val="superscript"/>
        </w:rPr>
        <w:footnoteRef/>
      </w:r>
      <w:r>
        <w:t xml:space="preserve">Warner-Lambert Pharm. Co. v. John. J. Reynolds, Inc., 178 F. Supp. 655 (S.D.N.Y. 1959), </w:t>
      </w:r>
      <w:r>
        <w:rPr>
          <w:i/>
          <w:iCs/>
        </w:rPr>
        <w:t>aff’d on opinion below</w:t>
      </w:r>
      <w:r>
        <w:t xml:space="preserve">, 280 F.2d 197 (1960) (the formula for Listerine was a trade secret in the late 1800s). </w:t>
      </w:r>
    </w:p>
  </w:footnote>
  <w:footnote w:id="33">
    <w:p w14:paraId="7DD1EF89" w14:textId="77777777" w:rsidR="007F4378" w:rsidRDefault="007F4378" w:rsidP="00943E1C">
      <w:pPr>
        <w:pStyle w:val="footnote"/>
      </w:pPr>
      <w:r>
        <w:rPr>
          <w:vertAlign w:val="superscript"/>
        </w:rPr>
        <w:footnoteRef/>
      </w:r>
      <w:r>
        <w:t xml:space="preserve">Robinson v. Jardine Ins. Brokers Int’l, Ltd., 856 F. Supp. 554 (N.D. Cal. 1994) (customer list can be a trade secret if it is unknown to others and owner of list has tried to keep it a secret). </w:t>
      </w:r>
    </w:p>
  </w:footnote>
  <w:footnote w:id="34">
    <w:p w14:paraId="79DF616A" w14:textId="77777777" w:rsidR="007F4378" w:rsidRDefault="007F4378" w:rsidP="00943E1C">
      <w:pPr>
        <w:pStyle w:val="footnote"/>
      </w:pPr>
      <w:r>
        <w:rPr>
          <w:vertAlign w:val="superscript"/>
        </w:rPr>
        <w:footnoteRef/>
      </w:r>
      <w:r>
        <w:t xml:space="preserve">E.I. du Pont de Nemours &amp; Co. v. Christopher, 431 F.2d 1012 (5th Cir. 1970) (process of producing methanol as a trade secret improperly obtained by a competitor who hired defendants to fly over plaintiff’s new methanol plant that was being constructed), </w:t>
      </w:r>
      <w:r>
        <w:rPr>
          <w:i/>
          <w:iCs/>
        </w:rPr>
        <w:t>cert</w:t>
      </w:r>
      <w:r>
        <w:t>.</w:t>
      </w:r>
      <w:r>
        <w:rPr>
          <w:i/>
          <w:iCs/>
        </w:rPr>
        <w:t xml:space="preserve"> denied</w:t>
      </w:r>
      <w:r>
        <w:t xml:space="preserve">, 400 U.S. 1024 (1970), </w:t>
      </w:r>
      <w:r>
        <w:rPr>
          <w:i/>
          <w:iCs/>
        </w:rPr>
        <w:t>reh’g denied</w:t>
      </w:r>
      <w:r>
        <w:t xml:space="preserve">, 401 U.S. 967 (1971). </w:t>
      </w:r>
    </w:p>
  </w:footnote>
  <w:footnote w:id="35">
    <w:p w14:paraId="09A90916" w14:textId="77777777" w:rsidR="007F4378" w:rsidRDefault="007F4378" w:rsidP="00943E1C">
      <w:pPr>
        <w:pStyle w:val="footnote"/>
      </w:pPr>
      <w:r>
        <w:rPr>
          <w:vertAlign w:val="superscript"/>
        </w:rPr>
        <w:footnoteRef/>
      </w:r>
      <w:r>
        <w:rPr>
          <w:i/>
          <w:iCs/>
        </w:rPr>
        <w:t>See</w:t>
      </w:r>
      <w:r>
        <w:t xml:space="preserve"> Gates Rubber Co. v. Bando Chem. Indus., 798 F. Supp. 1499, 25 USPQ2d 1161 (D. Colo. 1992), </w:t>
      </w:r>
      <w:r>
        <w:rPr>
          <w:i/>
          <w:iCs/>
        </w:rPr>
        <w:t>trade secret claim aff’d</w:t>
      </w:r>
      <w:r>
        <w:t xml:space="preserve">, 9 F.3d 823, 28 USPQ2d 1503 (10th Cir. 1993); TDS Healthcare Sys. Corp. v. Humana Hosp. Ill. Inc., 880 F. Supp. 1572 (N.D. Ga. 1995). </w:t>
      </w:r>
    </w:p>
  </w:footnote>
  <w:footnote w:id="36">
    <w:p w14:paraId="34CE41EC" w14:textId="77777777" w:rsidR="007F4378" w:rsidRDefault="007F4378" w:rsidP="00943E1C">
      <w:pPr>
        <w:pStyle w:val="footnote"/>
      </w:pPr>
      <w:r>
        <w:rPr>
          <w:vertAlign w:val="superscript"/>
        </w:rPr>
        <w:footnoteRef/>
      </w:r>
      <w:r>
        <w:t xml:space="preserve">Si Handling Sys., Inc. v. Heisley, 753 F.2d 1244, 1268, 225 USPQ 441 (3d Cir. 1985). </w:t>
      </w:r>
    </w:p>
  </w:footnote>
  <w:footnote w:id="37">
    <w:p w14:paraId="67C3C5A9" w14:textId="77777777" w:rsidR="007F4378" w:rsidRDefault="007F4378" w:rsidP="00943E1C">
      <w:pPr>
        <w:pStyle w:val="footnote"/>
      </w:pPr>
      <w:r>
        <w:rPr>
          <w:vertAlign w:val="superscript"/>
        </w:rPr>
        <w:footnoteRef/>
      </w:r>
      <w:r>
        <w:t xml:space="preserve">798 F. Supp. 1499, 25 USPQ2d 1161 (D. Colo. 1992), </w:t>
      </w:r>
      <w:r>
        <w:rPr>
          <w:i/>
          <w:iCs/>
        </w:rPr>
        <w:t>trade secret claim aff’d</w:t>
      </w:r>
      <w:r>
        <w:t xml:space="preserve">, 9 F.3d 823, 28 USPQ2d 1503 (10th Cir. 1993). </w:t>
      </w:r>
    </w:p>
  </w:footnote>
  <w:footnote w:id="38">
    <w:p w14:paraId="5C82D6CF" w14:textId="77777777" w:rsidR="007F4378" w:rsidRDefault="007F4378" w:rsidP="00943E1C">
      <w:pPr>
        <w:pStyle w:val="footnote"/>
      </w:pPr>
      <w:r>
        <w:rPr>
          <w:vertAlign w:val="superscript"/>
        </w:rPr>
        <w:footnoteRef/>
      </w:r>
      <w:r>
        <w:t>Colorado Supply Co. v. Stewart, 797 P.2d 1303, 1306 (Colo. Ct. App. 1990) (</w:t>
      </w:r>
      <w:r>
        <w:rPr>
          <w:i/>
          <w:iCs/>
        </w:rPr>
        <w:t>cited</w:t>
      </w:r>
      <w:r>
        <w:t xml:space="preserve"> </w:t>
      </w:r>
      <w:r>
        <w:rPr>
          <w:i/>
          <w:iCs/>
        </w:rPr>
        <w:t>by</w:t>
      </w:r>
      <w:r>
        <w:t xml:space="preserve"> </w:t>
      </w:r>
      <w:r>
        <w:rPr>
          <w:i/>
          <w:iCs/>
        </w:rPr>
        <w:t>Gates Rubber</w:t>
      </w:r>
      <w:r>
        <w:t xml:space="preserve">). Other jurisdictions have varying guidelines, although most are similar to these. </w:t>
      </w:r>
    </w:p>
  </w:footnote>
  <w:footnote w:id="39">
    <w:p w14:paraId="2277AB0D" w14:textId="77777777" w:rsidR="007F4378" w:rsidRDefault="007F4378" w:rsidP="00943E1C">
      <w:pPr>
        <w:pStyle w:val="footnote"/>
      </w:pPr>
      <w:r>
        <w:rPr>
          <w:vertAlign w:val="superscript"/>
        </w:rPr>
        <w:footnoteRef/>
      </w:r>
      <w:r>
        <w:rPr>
          <w:i/>
          <w:iCs/>
        </w:rPr>
        <w:t>Gates Rubber</w:t>
      </w:r>
      <w:r>
        <w:t xml:space="preserve">, 798 F. Supp. at 1502, 25 USPQ2d at 1162. </w:t>
      </w:r>
    </w:p>
  </w:footnote>
  <w:footnote w:id="40">
    <w:p w14:paraId="63E9E21E" w14:textId="77777777" w:rsidR="007F4378" w:rsidRDefault="007F4378" w:rsidP="00943E1C">
      <w:pPr>
        <w:pStyle w:val="footnote"/>
      </w:pPr>
      <w:r>
        <w:rPr>
          <w:vertAlign w:val="superscript"/>
        </w:rPr>
        <w:footnoteRef/>
      </w:r>
      <w:r>
        <w:rPr>
          <w:i/>
          <w:iCs/>
        </w:rPr>
        <w:t>Id</w:t>
      </w:r>
      <w:r>
        <w:t xml:space="preserve">. </w:t>
      </w:r>
    </w:p>
  </w:footnote>
  <w:footnote w:id="41">
    <w:p w14:paraId="1E949548" w14:textId="77777777" w:rsidR="007F4378" w:rsidRDefault="007F4378" w:rsidP="00943E1C">
      <w:pPr>
        <w:pStyle w:val="footnote"/>
      </w:pPr>
      <w:r>
        <w:rPr>
          <w:vertAlign w:val="superscript"/>
        </w:rPr>
        <w:footnoteRef/>
      </w:r>
      <w:r>
        <w:rPr>
          <w:i/>
          <w:iCs/>
        </w:rPr>
        <w:t>Id</w:t>
      </w:r>
      <w:r>
        <w:t xml:space="preserve">. at 1522, 25 USPQ2d at 1179, </w:t>
      </w:r>
      <w:r>
        <w:rPr>
          <w:i/>
          <w:iCs/>
        </w:rPr>
        <w:t>trade secret claim aff’d</w:t>
      </w:r>
      <w:r>
        <w:t xml:space="preserve">, 9 F.3d 823, 848, 28 USPQ2d 1503, 1521 (10th Cir. 1993). </w:t>
      </w:r>
    </w:p>
  </w:footnote>
  <w:footnote w:id="42">
    <w:p w14:paraId="452FB2B6" w14:textId="77777777" w:rsidR="007F4378" w:rsidRDefault="007F4378" w:rsidP="00943E1C">
      <w:pPr>
        <w:pStyle w:val="footnote"/>
      </w:pPr>
      <w:r>
        <w:rPr>
          <w:vertAlign w:val="superscript"/>
        </w:rPr>
        <w:footnoteRef/>
      </w:r>
      <w:r>
        <w:rPr>
          <w:i/>
          <w:iCs/>
        </w:rPr>
        <w:t>Gates Rubber</w:t>
      </w:r>
      <w:r>
        <w:t xml:space="preserve">, 798 F. Supp. at 1522. </w:t>
      </w:r>
    </w:p>
  </w:footnote>
  <w:footnote w:id="43">
    <w:p w14:paraId="3AFAC84E" w14:textId="77777777" w:rsidR="009A4A76" w:rsidRDefault="009A4A76" w:rsidP="009A4A76">
      <w:pPr>
        <w:pStyle w:val="footnote"/>
      </w:pPr>
      <w:r>
        <w:rPr>
          <w:vertAlign w:val="superscript"/>
        </w:rPr>
        <w:footnoteRef/>
      </w:r>
      <w:r>
        <w:t xml:space="preserve">Electro-Craft Corp. v. Controlled Motion, Inc., 332 N.W.2d 890, 897, 220 USPQ 811 (Minn. 1983). </w:t>
      </w:r>
    </w:p>
  </w:footnote>
  <w:footnote w:id="44">
    <w:p w14:paraId="46EA8EC4" w14:textId="77777777" w:rsidR="007F4378" w:rsidRDefault="007F4378" w:rsidP="00943E1C">
      <w:pPr>
        <w:pStyle w:val="footnote"/>
      </w:pPr>
      <w:r>
        <w:rPr>
          <w:vertAlign w:val="superscript"/>
        </w:rPr>
        <w:footnoteRef/>
      </w:r>
      <w:r>
        <w:t xml:space="preserve">U.T.S.A. §1(4), 14 U.L.A. 438 (1985). </w:t>
      </w:r>
    </w:p>
  </w:footnote>
  <w:footnote w:id="45">
    <w:p w14:paraId="2F73DB1B" w14:textId="77777777" w:rsidR="007F4378" w:rsidRDefault="007F4378" w:rsidP="00943E1C">
      <w:pPr>
        <w:pStyle w:val="footnote"/>
      </w:pPr>
      <w:r>
        <w:rPr>
          <w:vertAlign w:val="superscript"/>
        </w:rPr>
        <w:footnoteRef/>
      </w:r>
      <w:r>
        <w:t xml:space="preserve">U.T.S.A. §1(4)(I), 14 U.L.A. 438 (1985). </w:t>
      </w:r>
    </w:p>
  </w:footnote>
  <w:footnote w:id="46">
    <w:p w14:paraId="0AA975DA" w14:textId="77777777" w:rsidR="007F4378" w:rsidRDefault="007F4378" w:rsidP="00943E1C">
      <w:pPr>
        <w:pStyle w:val="footnote"/>
      </w:pPr>
      <w:r>
        <w:rPr>
          <w:vertAlign w:val="superscript"/>
        </w:rPr>
        <w:footnoteRef/>
      </w:r>
      <w:r>
        <w:t xml:space="preserve">Raymond T. </w:t>
      </w:r>
      <w:proofErr w:type="spellStart"/>
      <w:r>
        <w:t>Nimmer</w:t>
      </w:r>
      <w:proofErr w:type="spellEnd"/>
      <w:r>
        <w:t xml:space="preserve">, </w:t>
      </w:r>
      <w:r>
        <w:rPr>
          <w:i/>
          <w:iCs/>
        </w:rPr>
        <w:t>Trade Secrets: What Are They and How Can They Be Protected?</w:t>
      </w:r>
      <w:r>
        <w:t xml:space="preserve">, </w:t>
      </w:r>
      <w:r>
        <w:rPr>
          <w:i/>
          <w:iCs/>
        </w:rPr>
        <w:t>in</w:t>
      </w:r>
      <w:r>
        <w:t xml:space="preserve"> I</w:t>
      </w:r>
      <w:r>
        <w:rPr>
          <w:smallCaps/>
        </w:rPr>
        <w:t xml:space="preserve">ntellectual </w:t>
      </w:r>
      <w:r>
        <w:t>P</w:t>
      </w:r>
      <w:r>
        <w:rPr>
          <w:smallCaps/>
        </w:rPr>
        <w:t xml:space="preserve">roperty and </w:t>
      </w:r>
      <w:r>
        <w:t>C</w:t>
      </w:r>
      <w:r>
        <w:rPr>
          <w:smallCaps/>
        </w:rPr>
        <w:t xml:space="preserve">ommercial </w:t>
      </w:r>
      <w:r>
        <w:t>I</w:t>
      </w:r>
      <w:r>
        <w:rPr>
          <w:smallCaps/>
        </w:rPr>
        <w:t xml:space="preserve">ssues in the </w:t>
      </w:r>
      <w:r>
        <w:t>D</w:t>
      </w:r>
      <w:r>
        <w:rPr>
          <w:smallCaps/>
        </w:rPr>
        <w:t xml:space="preserve">igital </w:t>
      </w:r>
      <w:r>
        <w:t>I</w:t>
      </w:r>
      <w:r>
        <w:rPr>
          <w:smallCaps/>
        </w:rPr>
        <w:t xml:space="preserve">nformation </w:t>
      </w:r>
      <w:r>
        <w:t>A</w:t>
      </w:r>
      <w:r>
        <w:rPr>
          <w:smallCaps/>
        </w:rPr>
        <w:t>ge</w:t>
      </w:r>
      <w:r>
        <w:t xml:space="preserve"> 30 (1996). </w:t>
      </w:r>
    </w:p>
  </w:footnote>
  <w:footnote w:id="47">
    <w:p w14:paraId="221AD3E9" w14:textId="77777777" w:rsidR="007F4378" w:rsidRDefault="007F4378" w:rsidP="00943E1C">
      <w:pPr>
        <w:pStyle w:val="footnote"/>
      </w:pPr>
      <w:r>
        <w:rPr>
          <w:vertAlign w:val="superscript"/>
        </w:rPr>
        <w:footnoteRef/>
      </w:r>
      <w:r>
        <w:t xml:space="preserve">U.T.S.A. §1(I), 14 U.L.A. 437 (1985). </w:t>
      </w:r>
    </w:p>
  </w:footnote>
  <w:footnote w:id="48">
    <w:p w14:paraId="7A404F75" w14:textId="77777777" w:rsidR="007F4378" w:rsidRDefault="007F4378" w:rsidP="00943E1C">
      <w:pPr>
        <w:pStyle w:val="footnote"/>
      </w:pPr>
      <w:r>
        <w:rPr>
          <w:vertAlign w:val="superscript"/>
        </w:rPr>
        <w:footnoteRef/>
      </w:r>
      <w:proofErr w:type="spellStart"/>
      <w:r>
        <w:t>Nimmer</w:t>
      </w:r>
      <w:proofErr w:type="spellEnd"/>
      <w:r>
        <w:t xml:space="preserve">, </w:t>
      </w:r>
      <w:r>
        <w:rPr>
          <w:i/>
          <w:iCs/>
        </w:rPr>
        <w:t>Trade Secrets</w:t>
      </w:r>
      <w:r>
        <w:t xml:space="preserve"> at 13. </w:t>
      </w:r>
    </w:p>
  </w:footnote>
  <w:footnote w:id="49">
    <w:p w14:paraId="10353617" w14:textId="77777777" w:rsidR="007F4378" w:rsidRDefault="007F4378" w:rsidP="00943E1C">
      <w:pPr>
        <w:pStyle w:val="footnote"/>
      </w:pPr>
      <w:r>
        <w:rPr>
          <w:vertAlign w:val="superscript"/>
        </w:rPr>
        <w:footnoteRef/>
      </w:r>
      <w:r>
        <w:t xml:space="preserve">Two parties can own the same trade secret since each party gains economic benefit from keeping it secret. </w:t>
      </w:r>
      <w:r>
        <w:rPr>
          <w:i/>
          <w:iCs/>
        </w:rPr>
        <w:t>See</w:t>
      </w:r>
      <w:r>
        <w:t xml:space="preserve"> J</w:t>
      </w:r>
      <w:r>
        <w:rPr>
          <w:smallCaps/>
        </w:rPr>
        <w:t xml:space="preserve">erry </w:t>
      </w:r>
      <w:r>
        <w:t>C</w:t>
      </w:r>
      <w:r>
        <w:rPr>
          <w:smallCaps/>
        </w:rPr>
        <w:t xml:space="preserve">ohen </w:t>
      </w:r>
      <w:r>
        <w:t>&amp;</w:t>
      </w:r>
      <w:r>
        <w:rPr>
          <w:smallCaps/>
        </w:rPr>
        <w:t xml:space="preserve"> </w:t>
      </w:r>
      <w:r>
        <w:t>A</w:t>
      </w:r>
      <w:r>
        <w:rPr>
          <w:smallCaps/>
        </w:rPr>
        <w:t xml:space="preserve">lan </w:t>
      </w:r>
      <w:r>
        <w:t>S.</w:t>
      </w:r>
      <w:r>
        <w:rPr>
          <w:smallCaps/>
        </w:rPr>
        <w:t xml:space="preserve"> </w:t>
      </w:r>
      <w:proofErr w:type="spellStart"/>
      <w:r>
        <w:t>G</w:t>
      </w:r>
      <w:r>
        <w:rPr>
          <w:smallCaps/>
        </w:rPr>
        <w:t>utterman</w:t>
      </w:r>
      <w:proofErr w:type="spellEnd"/>
      <w:r>
        <w:t>,</w:t>
      </w:r>
      <w:r>
        <w:rPr>
          <w:smallCaps/>
        </w:rPr>
        <w:t xml:space="preserve"> </w:t>
      </w:r>
      <w:r>
        <w:t>T</w:t>
      </w:r>
      <w:r>
        <w:rPr>
          <w:smallCaps/>
        </w:rPr>
        <w:t xml:space="preserve">rade </w:t>
      </w:r>
      <w:r>
        <w:t>S</w:t>
      </w:r>
      <w:r>
        <w:rPr>
          <w:smallCaps/>
        </w:rPr>
        <w:t xml:space="preserve">ecrets </w:t>
      </w:r>
      <w:r>
        <w:t>P</w:t>
      </w:r>
      <w:r>
        <w:rPr>
          <w:smallCaps/>
        </w:rPr>
        <w:t xml:space="preserve">rotection and </w:t>
      </w:r>
      <w:r>
        <w:t>E</w:t>
      </w:r>
      <w:r>
        <w:rPr>
          <w:smallCaps/>
        </w:rPr>
        <w:t>xploitation</w:t>
      </w:r>
      <w:r>
        <w:t xml:space="preserve"> 207 (1998). </w:t>
      </w:r>
    </w:p>
  </w:footnote>
  <w:footnote w:id="50">
    <w:p w14:paraId="6468CA20" w14:textId="77777777" w:rsidR="007F4378" w:rsidRDefault="007F4378" w:rsidP="00943E1C">
      <w:pPr>
        <w:pStyle w:val="footnote"/>
      </w:pPr>
      <w:r>
        <w:rPr>
          <w:vertAlign w:val="superscript"/>
        </w:rPr>
        <w:footnoteRef/>
      </w:r>
      <w:r>
        <w:t>R</w:t>
      </w:r>
      <w:r>
        <w:rPr>
          <w:smallCaps/>
        </w:rPr>
        <w:t xml:space="preserve">oger </w:t>
      </w:r>
      <w:r>
        <w:t>M.</w:t>
      </w:r>
      <w:r>
        <w:rPr>
          <w:smallCaps/>
        </w:rPr>
        <w:t xml:space="preserve"> </w:t>
      </w:r>
      <w:proofErr w:type="spellStart"/>
      <w:r>
        <w:t>M</w:t>
      </w:r>
      <w:r>
        <w:rPr>
          <w:smallCaps/>
        </w:rPr>
        <w:t>ilgrim</w:t>
      </w:r>
      <w:proofErr w:type="spellEnd"/>
      <w:r>
        <w:t>,</w:t>
      </w:r>
      <w:r>
        <w:rPr>
          <w:smallCaps/>
        </w:rPr>
        <w:t xml:space="preserve"> </w:t>
      </w:r>
      <w:proofErr w:type="spellStart"/>
      <w:r>
        <w:t>M</w:t>
      </w:r>
      <w:r>
        <w:rPr>
          <w:smallCaps/>
        </w:rPr>
        <w:t>ilgrim</w:t>
      </w:r>
      <w:proofErr w:type="spellEnd"/>
      <w:r>
        <w:rPr>
          <w:smallCaps/>
        </w:rPr>
        <w:t xml:space="preserve"> on </w:t>
      </w:r>
      <w:r>
        <w:t>T</w:t>
      </w:r>
      <w:r>
        <w:rPr>
          <w:smallCaps/>
        </w:rPr>
        <w:t xml:space="preserve">rade </w:t>
      </w:r>
      <w:r>
        <w:t>S</w:t>
      </w:r>
      <w:r>
        <w:rPr>
          <w:smallCaps/>
        </w:rPr>
        <w:t>ecrets</w:t>
      </w:r>
      <w:r>
        <w:t xml:space="preserve"> §2.04 (1998). </w:t>
      </w:r>
    </w:p>
  </w:footnote>
  <w:footnote w:id="51">
    <w:p w14:paraId="231F0931" w14:textId="77777777" w:rsidR="007F4378" w:rsidRDefault="007F4378" w:rsidP="00943E1C">
      <w:pPr>
        <w:pStyle w:val="footnote"/>
      </w:pPr>
      <w:r>
        <w:rPr>
          <w:vertAlign w:val="superscript"/>
        </w:rPr>
        <w:footnoteRef/>
      </w:r>
      <w:r>
        <w:rPr>
          <w:i/>
          <w:iCs/>
        </w:rPr>
        <w:t>See</w:t>
      </w:r>
      <w:r>
        <w:t xml:space="preserve"> Jostens, Inc. v. National Computer Sys., Inc., 318 N.W.2d 691, 700, 214 USPQ 918 (Minn. 1982) (</w:t>
      </w:r>
      <w:r>
        <w:rPr>
          <w:i/>
          <w:iCs/>
        </w:rPr>
        <w:t>citing</w:t>
      </w:r>
      <w:r>
        <w:t xml:space="preserve"> Com-Share, Inc. v. Computer Complex, Inc., 338 F. Supp. 1229, 1234 (E.D. Mich. 1971)). </w:t>
      </w:r>
    </w:p>
  </w:footnote>
  <w:footnote w:id="52">
    <w:p w14:paraId="78B04EED" w14:textId="77777777" w:rsidR="007F4378" w:rsidRDefault="007F4378" w:rsidP="00943E1C">
      <w:pPr>
        <w:pStyle w:val="footnote"/>
      </w:pPr>
      <w:r>
        <w:rPr>
          <w:vertAlign w:val="superscript"/>
        </w:rPr>
        <w:footnoteRef/>
      </w:r>
      <w:r>
        <w:t xml:space="preserve">U.T.S.A. §1(2), 14 U.L.A. 438 (1985). </w:t>
      </w:r>
    </w:p>
  </w:footnote>
  <w:footnote w:id="53">
    <w:p w14:paraId="1ED0C7CC" w14:textId="77777777" w:rsidR="007F4378" w:rsidRDefault="007F4378" w:rsidP="00943E1C">
      <w:pPr>
        <w:pStyle w:val="footnote"/>
      </w:pPr>
      <w:r>
        <w:rPr>
          <w:vertAlign w:val="superscript"/>
        </w:rPr>
        <w:footnoteRef/>
      </w:r>
      <w:r>
        <w:t xml:space="preserve">Gates Rubber Co. v. Bando Chem. Indus., 9 F.3d 823, 847, 28 USPQ2d 1503 (10th Cir. 1993) (citing Computer Assocs. Int’l, Inc. v. Altai, Inc., 982 F.2d 693, 717 (2d Cir. 1992)). </w:t>
      </w:r>
    </w:p>
  </w:footnote>
  <w:footnote w:id="54">
    <w:p w14:paraId="4A8D8D96" w14:textId="77777777" w:rsidR="007F4378" w:rsidRDefault="007F4378" w:rsidP="00943E1C">
      <w:pPr>
        <w:pStyle w:val="footnote"/>
      </w:pPr>
      <w:r>
        <w:rPr>
          <w:vertAlign w:val="superscript"/>
        </w:rPr>
        <w:footnoteRef/>
      </w:r>
      <w:r>
        <w:t xml:space="preserve">U.T.S.A. §1(2), 14 U.L.A. 438 (1985) (emphasis added). </w:t>
      </w:r>
    </w:p>
  </w:footnote>
  <w:footnote w:id="55">
    <w:p w14:paraId="337DA157" w14:textId="77777777" w:rsidR="007F4378" w:rsidRDefault="007F4378" w:rsidP="00943E1C">
      <w:pPr>
        <w:pStyle w:val="footnote"/>
      </w:pPr>
      <w:r>
        <w:rPr>
          <w:vertAlign w:val="superscript"/>
        </w:rPr>
        <w:footnoteRef/>
      </w:r>
      <w:r>
        <w:rPr>
          <w:i/>
          <w:iCs/>
        </w:rPr>
        <w:t>Id.</w:t>
      </w:r>
      <w:r>
        <w:t xml:space="preserve"> </w:t>
      </w:r>
    </w:p>
  </w:footnote>
  <w:footnote w:id="56">
    <w:p w14:paraId="75A34505" w14:textId="77777777" w:rsidR="007F4378" w:rsidRDefault="007F4378" w:rsidP="00943E1C">
      <w:pPr>
        <w:pStyle w:val="footnote"/>
      </w:pPr>
      <w:r>
        <w:rPr>
          <w:vertAlign w:val="superscript"/>
        </w:rPr>
        <w:footnoteRef/>
      </w:r>
      <w:r>
        <w:t xml:space="preserve">U.T.S.A. §1 </w:t>
      </w:r>
      <w:proofErr w:type="spellStart"/>
      <w:r>
        <w:t>cmts</w:t>
      </w:r>
      <w:proofErr w:type="spellEnd"/>
      <w:r>
        <w:t xml:space="preserve">., 14 U.L.A. 438. </w:t>
      </w:r>
    </w:p>
  </w:footnote>
  <w:footnote w:id="57">
    <w:p w14:paraId="139BB66C" w14:textId="77777777" w:rsidR="007F4378" w:rsidRDefault="007F4378" w:rsidP="00943E1C">
      <w:pPr>
        <w:pStyle w:val="footnote"/>
      </w:pPr>
      <w:r>
        <w:rPr>
          <w:vertAlign w:val="superscript"/>
        </w:rPr>
        <w:footnoteRef/>
      </w:r>
      <w:r>
        <w:t xml:space="preserve">U.T.S.A. §§2, 3, 14 U.L.A. 449. </w:t>
      </w:r>
    </w:p>
  </w:footnote>
  <w:footnote w:id="58">
    <w:p w14:paraId="57B20C66" w14:textId="77777777" w:rsidR="007F4378" w:rsidRDefault="007F4378" w:rsidP="00943E1C">
      <w:pPr>
        <w:pStyle w:val="footnote"/>
      </w:pPr>
      <w:r>
        <w:rPr>
          <w:vertAlign w:val="superscript"/>
        </w:rPr>
        <w:footnoteRef/>
      </w:r>
      <w:r>
        <w:t xml:space="preserve">U.T.S.A. §3(b), 14 U.L.A. 455. </w:t>
      </w:r>
    </w:p>
  </w:footnote>
  <w:footnote w:id="59">
    <w:p w14:paraId="6492839D" w14:textId="77777777" w:rsidR="007F4378" w:rsidRDefault="007F4378" w:rsidP="00943E1C">
      <w:pPr>
        <w:pStyle w:val="footnote"/>
      </w:pPr>
      <w:r>
        <w:rPr>
          <w:vertAlign w:val="superscript"/>
        </w:rPr>
        <w:footnoteRef/>
      </w:r>
      <w:r>
        <w:t xml:space="preserve">U.T.S.A. §3(a), 14 U.L.A. 455. </w:t>
      </w:r>
    </w:p>
  </w:footnote>
  <w:footnote w:id="60">
    <w:p w14:paraId="63D000B7" w14:textId="77777777" w:rsidR="007F4378" w:rsidRDefault="007F4378" w:rsidP="00943E1C">
      <w:pPr>
        <w:pStyle w:val="footnote"/>
      </w:pPr>
      <w:r>
        <w:rPr>
          <w:vertAlign w:val="superscript"/>
        </w:rPr>
        <w:footnoteRef/>
      </w:r>
      <w:r>
        <w:t xml:space="preserve">U.T.S.A. §2(a), 14 U.L.A. 449. </w:t>
      </w:r>
    </w:p>
  </w:footnote>
  <w:footnote w:id="61">
    <w:p w14:paraId="3DB84EC9" w14:textId="77777777" w:rsidR="007F4378" w:rsidRDefault="007F4378" w:rsidP="00943E1C">
      <w:pPr>
        <w:pStyle w:val="footnote"/>
      </w:pPr>
      <w:r>
        <w:rPr>
          <w:vertAlign w:val="superscript"/>
        </w:rPr>
        <w:footnoteRef/>
      </w:r>
      <w:r>
        <w:rPr>
          <w:i/>
          <w:iCs/>
        </w:rPr>
        <w:t>Id</w:t>
      </w:r>
      <w:r>
        <w:t xml:space="preserve">. </w:t>
      </w:r>
    </w:p>
  </w:footnote>
  <w:footnote w:id="62">
    <w:p w14:paraId="62B35AD8" w14:textId="77777777" w:rsidR="007F4378" w:rsidRDefault="007F4378" w:rsidP="00943E1C">
      <w:pPr>
        <w:pStyle w:val="footnote"/>
      </w:pPr>
      <w:r>
        <w:rPr>
          <w:vertAlign w:val="superscript"/>
        </w:rPr>
        <w:footnoteRef/>
      </w:r>
      <w:r>
        <w:rPr>
          <w:i/>
          <w:iCs/>
        </w:rPr>
        <w:t>Id</w:t>
      </w:r>
      <w:r>
        <w:t xml:space="preserve">. </w:t>
      </w:r>
    </w:p>
  </w:footnote>
  <w:footnote w:id="63">
    <w:p w14:paraId="15B10AE8" w14:textId="77777777" w:rsidR="007F4378" w:rsidRDefault="007F4378" w:rsidP="00943E1C">
      <w:pPr>
        <w:pStyle w:val="footnote"/>
      </w:pPr>
      <w:r>
        <w:rPr>
          <w:vertAlign w:val="superscript"/>
        </w:rPr>
        <w:footnoteRef/>
      </w:r>
      <w:r>
        <w:t xml:space="preserve">18 U.S.C. §§1832, 1834. </w:t>
      </w:r>
    </w:p>
  </w:footnote>
  <w:footnote w:id="64">
    <w:p w14:paraId="43FC121D" w14:textId="77777777" w:rsidR="007F4378" w:rsidRDefault="007F4378" w:rsidP="00943E1C">
      <w:pPr>
        <w:pStyle w:val="footnote"/>
      </w:pPr>
      <w:r>
        <w:rPr>
          <w:vertAlign w:val="superscript"/>
        </w:rPr>
        <w:footnoteRef/>
      </w:r>
      <w:r>
        <w:rPr>
          <w:i/>
          <w:iCs/>
        </w:rPr>
        <w:t>Id.</w:t>
      </w:r>
      <w:r>
        <w:t xml:space="preserve"> §1832(5). </w:t>
      </w:r>
    </w:p>
  </w:footnote>
  <w:footnote w:id="65">
    <w:p w14:paraId="384FC657" w14:textId="77777777" w:rsidR="00CC1999" w:rsidRDefault="00CC1999">
      <w:pPr>
        <w:pStyle w:val="FootnoteText"/>
      </w:pPr>
      <w:r>
        <w:rPr>
          <w:rStyle w:val="FootnoteReference"/>
        </w:rPr>
        <w:footnoteRef/>
      </w:r>
      <w:r>
        <w:t xml:space="preserve"> </w:t>
      </w:r>
      <w:r w:rsidRPr="0030006E">
        <w:rPr>
          <w:rFonts w:cs="Times New Roman"/>
        </w:rPr>
        <w:t>18 U.S.C. §1836(b)(2)</w:t>
      </w:r>
    </w:p>
  </w:footnote>
  <w:footnote w:id="66">
    <w:p w14:paraId="6778CF58" w14:textId="77777777" w:rsidR="007F4378" w:rsidRDefault="007F4378" w:rsidP="00943E1C">
      <w:pPr>
        <w:pStyle w:val="footnote"/>
      </w:pPr>
      <w:r>
        <w:rPr>
          <w:vertAlign w:val="superscript"/>
        </w:rPr>
        <w:footnoteRef/>
      </w:r>
      <w:r>
        <w:t xml:space="preserve">35 U.S.C. §112. See Chapter 5, Drafting the Specification. </w:t>
      </w:r>
    </w:p>
  </w:footnote>
  <w:footnote w:id="67">
    <w:p w14:paraId="20B757B6" w14:textId="77777777" w:rsidR="007F4378" w:rsidRDefault="007F4378" w:rsidP="00943E1C">
      <w:pPr>
        <w:pStyle w:val="footnote"/>
      </w:pPr>
      <w:r>
        <w:rPr>
          <w:vertAlign w:val="superscript"/>
        </w:rPr>
        <w:footnoteRef/>
      </w:r>
      <w:r>
        <w:t>In 2000, a significant change in U.S. patent law modified the relationship between patents and trade secrets. A patent application filed prior to November 29, 2000, was kept in confidence by the U.S. Patent Office unless and until the application matured into an issued patent. 37 C.F.R. §1.14. Issuance had two primary effects: (1) the disclosure of the patented invention was made public through the publication of the patent abstract in the Official Gazette and the opening of the patent file to public inspection, 37 C.F.R. §1.11(a); and (2) the owner of the issued patent received enforceable rights to the patent, namely the rights to prevent ­others from making, using, or selling the patented invention within the United States. 35 U.S.C. §271. Thus, an inventor/owner could profit by maintaining the invention as a trade secret during the prosecution of the patent application, with the power to maintain it as a trade secret by abandoning the patent application at any time before paying an issue fee in response to receiving a Notice of Allowance or withdrawing the patent application from issue after paying the issue fee, but in sufficient time to prevent issuance of the patent. 37 C.F.R. §1.313.</w:t>
      </w:r>
    </w:p>
    <w:p w14:paraId="34AC9472" w14:textId="77777777" w:rsidR="007F4378" w:rsidRDefault="007F4378" w:rsidP="00943E1C">
      <w:pPr>
        <w:pStyle w:val="footnoteregwpara"/>
      </w:pPr>
      <w:r>
        <w:t xml:space="preserve">Except for certain exceptions listed below, a patent application filed on or after November 29, 2000, is now published 18 months after the application’s earliest priority filing date (either domestic or foreign). Because an applicant can no longer maintain an invention as a trade secret due to the new rule, inventors must decide earlier whether to proceed with patent prosecution or abandon it in favor of continued trade secret protection. To compensate inventors for losing secrecy in inventions disclosed in patent applications, patent applicants now, if certain conditions are met, have the right to reasonable royalties from the time the application is published until the time the application either is abandoned or issues as a patent. These changes in the U.S. patent law are due to the American Inventors Protection Act of 1999, Pub. L. No. 106-113. </w:t>
      </w:r>
      <w:r>
        <w:rPr>
          <w:i/>
          <w:iCs/>
        </w:rPr>
        <w:t>See</w:t>
      </w:r>
      <w:r>
        <w:t xml:space="preserve"> Changes to Implement Eighteen-Month Publication of Patent Applications, 65 Fed. Reg. 57,024, 1239 OG 63 (Oct. 10, 2000).</w:t>
      </w:r>
    </w:p>
    <w:p w14:paraId="5BC79D26" w14:textId="77777777" w:rsidR="007F4378" w:rsidRDefault="007F4378" w:rsidP="00943E1C">
      <w:pPr>
        <w:pStyle w:val="footnoteregwpara"/>
      </w:pPr>
      <w:r>
        <w:t xml:space="preserve">Patent applications exempted from the 18-month publication rule include: </w:t>
      </w:r>
    </w:p>
    <w:p w14:paraId="13E49C70" w14:textId="77777777" w:rsidR="007F4378" w:rsidRDefault="007F4378" w:rsidP="00112F7F">
      <w:pPr>
        <w:pStyle w:val="footnotenumberpl"/>
      </w:pPr>
      <w:r>
        <w:t>(1)</w:t>
      </w:r>
      <w:r>
        <w:tab/>
        <w:t>applications filed with a nonpublication request, which certifies that the invention is not (and will not be) disclosed in a patent application filed in a foreign country that also requires publication at 18 months;</w:t>
      </w:r>
    </w:p>
    <w:p w14:paraId="4452422A" w14:textId="77777777" w:rsidR="007F4378" w:rsidRDefault="007F4378" w:rsidP="00112F7F">
      <w:pPr>
        <w:pStyle w:val="footnotenumberpl"/>
      </w:pPr>
      <w:r>
        <w:t>(2)</w:t>
      </w:r>
      <w:r>
        <w:tab/>
        <w:t>applications that have been abandoned or otherwise are no longer pending;</w:t>
      </w:r>
    </w:p>
    <w:p w14:paraId="22C1180E" w14:textId="77777777" w:rsidR="007F4378" w:rsidRDefault="007F4378" w:rsidP="00112F7F">
      <w:pPr>
        <w:pStyle w:val="footnotenumberpl"/>
      </w:pPr>
      <w:r>
        <w:t>(3)</w:t>
      </w:r>
      <w:r>
        <w:tab/>
        <w:t>applications for which publication would jeopardize national security;</w:t>
      </w:r>
    </w:p>
    <w:p w14:paraId="64C49FE9" w14:textId="77777777" w:rsidR="007F4378" w:rsidRDefault="007F4378" w:rsidP="00112F7F">
      <w:pPr>
        <w:pStyle w:val="footnotenumberpl"/>
      </w:pPr>
      <w:r>
        <w:t>(4)</w:t>
      </w:r>
      <w:r>
        <w:tab/>
        <w:t>applications subject to a secrecy order under 35 U.S.C. §181;</w:t>
      </w:r>
    </w:p>
    <w:p w14:paraId="66378AC7" w14:textId="77777777" w:rsidR="007F4378" w:rsidRDefault="007F4378" w:rsidP="00112F7F">
      <w:pPr>
        <w:pStyle w:val="footnotenumberpl"/>
      </w:pPr>
      <w:r>
        <w:t>(5)</w:t>
      </w:r>
      <w:r>
        <w:tab/>
        <w:t>provisional applications under 35 U.S.C. §111(b); and</w:t>
      </w:r>
    </w:p>
    <w:p w14:paraId="7BD3EC06" w14:textId="77777777" w:rsidR="007F4378" w:rsidRDefault="007F4378" w:rsidP="00112F7F">
      <w:pPr>
        <w:pStyle w:val="footnotenumberpl"/>
      </w:pPr>
      <w:r>
        <w:t>(6)</w:t>
      </w:r>
      <w:r>
        <w:tab/>
        <w:t>applications for design patents (meaning only utility and plant patent applications are subject to the 18-month publication rule).</w:t>
      </w:r>
    </w:p>
    <w:p w14:paraId="0C12AC6D" w14:textId="77777777" w:rsidR="007F4378" w:rsidRDefault="007F4378" w:rsidP="00943E1C">
      <w:pPr>
        <w:pStyle w:val="footnoteregwpara"/>
      </w:pPr>
      <w:r>
        <w:t xml:space="preserve">Although these rules do not automatically cover applications filed prior to November 29, 2000, applicants to such earlier-filed applications can explicitly request publication. 37 C.F.R. §1.221(a). </w:t>
      </w:r>
    </w:p>
  </w:footnote>
  <w:footnote w:id="68">
    <w:p w14:paraId="436D8A05" w14:textId="77777777" w:rsidR="007F4378" w:rsidRDefault="007F4378" w:rsidP="00943E1C">
      <w:pPr>
        <w:pStyle w:val="footnote"/>
      </w:pPr>
      <w:r>
        <w:rPr>
          <w:vertAlign w:val="superscript"/>
        </w:rPr>
        <w:footnoteRef/>
      </w:r>
      <w:r>
        <w:t xml:space="preserve">Richardson v. Suzuki Motor Co., 868 F.2d 1226, 9 USPQ2d 1913 Fed. Cir., </w:t>
      </w:r>
      <w:r>
        <w:rPr>
          <w:i/>
          <w:iCs/>
        </w:rPr>
        <w:t>cert</w:t>
      </w:r>
      <w:r>
        <w:t>.</w:t>
      </w:r>
      <w:r>
        <w:rPr>
          <w:i/>
          <w:iCs/>
        </w:rPr>
        <w:t xml:space="preserve"> denied</w:t>
      </w:r>
      <w:r>
        <w:t xml:space="preserve">, 493 U.S. 853 (1989). </w:t>
      </w:r>
    </w:p>
  </w:footnote>
  <w:footnote w:id="69">
    <w:p w14:paraId="5C54B30A" w14:textId="77777777" w:rsidR="007F4378" w:rsidRDefault="007F4378" w:rsidP="00943E1C">
      <w:pPr>
        <w:pStyle w:val="footnote"/>
      </w:pPr>
      <w:r>
        <w:rPr>
          <w:vertAlign w:val="superscript"/>
        </w:rPr>
        <w:footnoteRef/>
      </w:r>
      <w:r>
        <w:t>A person shall be entitled to a patent unless—</w:t>
      </w:r>
    </w:p>
    <w:p w14:paraId="38655C94" w14:textId="77777777" w:rsidR="007F4378" w:rsidRDefault="007F4378" w:rsidP="00943E1C">
      <w:pPr>
        <w:pStyle w:val="footnoteblockindentnoparaindent"/>
      </w:pPr>
      <w:r>
        <w:t>(a) the invention was known or used by others in this country, or patented or described in a printed publication in this or a foreign country, before the invention thereof by the applicant for patent, or</w:t>
      </w:r>
    </w:p>
    <w:p w14:paraId="239D5A5B" w14:textId="77777777" w:rsidR="007F4378" w:rsidRDefault="007F4378" w:rsidP="00943E1C">
      <w:pPr>
        <w:pStyle w:val="footnoteblockindentnoparaindent"/>
      </w:pPr>
      <w:r>
        <w:t>(b) the invention was patented or described in a printed publication in this or a foreign country or in public use or on sale in this country, more than one year prior to the date of the application for patent in the United States, or</w:t>
      </w:r>
    </w:p>
    <w:p w14:paraId="66A01E90" w14:textId="77777777" w:rsidR="007F4378" w:rsidRDefault="007F4378" w:rsidP="00943E1C">
      <w:pPr>
        <w:pStyle w:val="footnoteblockindentnoparaindent"/>
      </w:pPr>
      <w:r>
        <w:t>(c) he has abandoned the invention, or</w:t>
      </w:r>
    </w:p>
    <w:p w14:paraId="27C15B6C" w14:textId="77777777" w:rsidR="007F4378" w:rsidRDefault="007F4378" w:rsidP="00943E1C">
      <w:pPr>
        <w:pStyle w:val="footnoteblockindentnoparaindent"/>
      </w:pPr>
      <w:r>
        <w:t>(d) the invention was first patented or caused to be patented, or was the subject of an inventor’s certificate, by the applicant or his legal representatives or assigns in a foreign country prior to the date of the application for patent in this country on an application for patent or inventor’s certificate filed more than 12 months before the filing of the application in the United States, or</w:t>
      </w:r>
    </w:p>
    <w:p w14:paraId="3FDD014C" w14:textId="77777777" w:rsidR="007F4378" w:rsidRDefault="007F4378" w:rsidP="00943E1C">
      <w:pPr>
        <w:pStyle w:val="footnoteblockindentnoparaindent"/>
      </w:pPr>
      <w:r>
        <w:t>(e) the invention was described in a patent granted on an application for patent by another filed in the United States before the invention thereof by the applicant for patent, or on an international application by another who has fulfilled the requirements of paragraphs (1), (2), and (4) of section 371(c) of this title before the invention thereof by the applicant for patent, or</w:t>
      </w:r>
    </w:p>
    <w:p w14:paraId="1C8789E4" w14:textId="77777777" w:rsidR="007F4378" w:rsidRDefault="007F4378" w:rsidP="00943E1C">
      <w:pPr>
        <w:pStyle w:val="footnoteblockindentnoparaindent"/>
      </w:pPr>
      <w:r>
        <w:t>(f) he did not himself invent the subject matter sought to be patented, or</w:t>
      </w:r>
    </w:p>
    <w:p w14:paraId="16C1BC08" w14:textId="77777777" w:rsidR="007F4378" w:rsidRDefault="007F4378" w:rsidP="00943E1C">
      <w:pPr>
        <w:pStyle w:val="footnoteblockindentnoparaindent"/>
      </w:pPr>
      <w:r>
        <w:t>(g) before the applicant’s invention thereof the invention was made in this country by another who had not abandoned, suppressed, or concealed it. In determining priority of invention there shall be considered not only the respective dates of conception and reduction to practice of the invention, but also the reasonable diligence of one who was first to conceive and last to reduce to practice, from a time prior to conception by the other.</w:t>
      </w:r>
    </w:p>
    <w:p w14:paraId="21574E55" w14:textId="77777777" w:rsidR="007F4378" w:rsidRDefault="007F4378" w:rsidP="00943E1C">
      <w:pPr>
        <w:pStyle w:val="footnoteflush"/>
      </w:pPr>
      <w:r>
        <w:t xml:space="preserve"> 35 U.S.C. §102. </w:t>
      </w:r>
    </w:p>
  </w:footnote>
  <w:footnote w:id="70">
    <w:p w14:paraId="2D64DB09" w14:textId="77777777" w:rsidR="007F4378" w:rsidRDefault="007F4378" w:rsidP="00943E1C">
      <w:pPr>
        <w:pStyle w:val="footnote"/>
      </w:pPr>
      <w:r>
        <w:rPr>
          <w:vertAlign w:val="superscript"/>
        </w:rPr>
        <w:footnoteRef/>
      </w:r>
      <w:r>
        <w:t>A patent may not be obtained though the invention is not identically disclosed or described as set forth in section 102 of this title, if the differences between the subject matter sought to be patented and the prior art are such that the subject matter as a whole would have been obvious at the time the invention was made to a person having ordinary skill in the art to which said subject matter pertains.</w:t>
      </w:r>
    </w:p>
    <w:p w14:paraId="1133BF0A" w14:textId="77777777" w:rsidR="007F4378" w:rsidRDefault="007F4378" w:rsidP="00943E1C">
      <w:pPr>
        <w:pStyle w:val="footnoteindentwpara"/>
      </w:pPr>
      <w:r>
        <w:t>Patentability shall not be negatived by the manner in which the invention was made. Subject matter developed by another person, which qualifies as prior art only under subsection (f) or (g) of section 102 of this title, shall not preclude patentability under this section where the subject matter and the claimed invention were, at the time the invention was made, owned by the same person or subject to an obligation of assignment to the same person.</w:t>
      </w:r>
    </w:p>
    <w:p w14:paraId="0934A326" w14:textId="77777777" w:rsidR="007F4378" w:rsidRDefault="007F4378" w:rsidP="00943E1C">
      <w:pPr>
        <w:pStyle w:val="footnoteflush"/>
      </w:pPr>
      <w:r>
        <w:t xml:space="preserve">35 U.S.C. §103. </w:t>
      </w:r>
    </w:p>
  </w:footnote>
  <w:footnote w:id="71">
    <w:p w14:paraId="4363AB57" w14:textId="77777777" w:rsidR="007F4378" w:rsidRDefault="007F4378" w:rsidP="00943E1C">
      <w:pPr>
        <w:pStyle w:val="footnote"/>
      </w:pPr>
      <w:r>
        <w:rPr>
          <w:vertAlign w:val="superscript"/>
        </w:rPr>
        <w:footnoteRef/>
      </w:r>
      <w:proofErr w:type="spellStart"/>
      <w:r>
        <w:t>Avtec</w:t>
      </w:r>
      <w:proofErr w:type="spellEnd"/>
      <w:r>
        <w:t xml:space="preserve"> Sys., Inc. v. </w:t>
      </w:r>
      <w:proofErr w:type="spellStart"/>
      <w:r>
        <w:t>Peiffer</w:t>
      </w:r>
      <w:proofErr w:type="spellEnd"/>
      <w:r>
        <w:t xml:space="preserve">, 21 F.3d 568, 30 USPQ2d 1365 (4th Cir. 1994). </w:t>
      </w:r>
    </w:p>
  </w:footnote>
  <w:footnote w:id="72">
    <w:p w14:paraId="61B10DD5" w14:textId="77777777" w:rsidR="007F4378" w:rsidRDefault="007F4378" w:rsidP="00943E1C">
      <w:pPr>
        <w:pStyle w:val="footnote"/>
      </w:pPr>
      <w:r>
        <w:rPr>
          <w:vertAlign w:val="superscript"/>
        </w:rPr>
        <w:footnoteRef/>
      </w:r>
      <w:r>
        <w:t xml:space="preserve">“A person shall be entitled to a patent unless the invention was known or used by others in this country, or patented or described in a printed publication in this or a foreign country, before the invention thereof by the applicant for patent.” 35 U.S.C. §102(a). </w:t>
      </w:r>
    </w:p>
  </w:footnote>
  <w:footnote w:id="73">
    <w:p w14:paraId="606C8D6D" w14:textId="77777777" w:rsidR="007F4378" w:rsidRDefault="007F4378" w:rsidP="00943E1C">
      <w:pPr>
        <w:pStyle w:val="footnote"/>
      </w:pPr>
      <w:r>
        <w:rPr>
          <w:vertAlign w:val="superscript"/>
        </w:rPr>
        <w:footnoteRef/>
      </w:r>
      <w:r>
        <w:t xml:space="preserve">“A person shall be entitled to a patent unless the invention was patented or described in a printed publication in this or a foreign country or in public use or on sale in this country, more than one year prior to the date of the application for patent in the United States.” 35 U.S.C. §102(b). </w:t>
      </w:r>
    </w:p>
  </w:footnote>
  <w:footnote w:id="74">
    <w:p w14:paraId="3F7A81C3" w14:textId="77777777" w:rsidR="007F4378" w:rsidRDefault="007F4378" w:rsidP="00943E1C">
      <w:pPr>
        <w:pStyle w:val="footnote"/>
      </w:pPr>
      <w:r>
        <w:rPr>
          <w:vertAlign w:val="superscript"/>
        </w:rPr>
        <w:footnoteRef/>
      </w:r>
      <w:r>
        <w:t xml:space="preserve">35 U.S.C. §112(f). </w:t>
      </w:r>
    </w:p>
  </w:footnote>
  <w:footnote w:id="75">
    <w:p w14:paraId="59D0F6A5" w14:textId="77777777" w:rsidR="007F4378" w:rsidRDefault="007F4378" w:rsidP="00943E1C">
      <w:pPr>
        <w:pStyle w:val="footnote"/>
      </w:pPr>
      <w:r>
        <w:rPr>
          <w:vertAlign w:val="superscript"/>
        </w:rPr>
        <w:footnoteRef/>
      </w:r>
      <w:r>
        <w:rPr>
          <w:i/>
          <w:iCs/>
        </w:rPr>
        <w:t>Id.</w:t>
      </w:r>
      <w:r>
        <w:t xml:space="preserve"> §154(a)(2).</w:t>
      </w:r>
    </w:p>
    <w:p w14:paraId="40930BDB" w14:textId="77777777" w:rsidR="007F4378" w:rsidRDefault="007F4378" w:rsidP="00943E1C">
      <w:pPr>
        <w:pStyle w:val="footnoteblockindentnoparaindent"/>
        <w:rPr>
          <w:b/>
          <w:bCs/>
        </w:rPr>
      </w:pPr>
      <w:r>
        <w:t>The patent term for a plant or utility patent whose application was filed on or after June 8, 1995, begins on the issue date and ends twenty years from the United States filing date. If the application claims the benefit of an earlier filed application, the patent term ends twenty years from the earliest effective United States filing date. If the application was under the Patent Cooperation Treaty, the term ends twenty years from the application’s international filing date. Neither foreign priority nor priority to a provisional application influences the calculation of the patent term.</w:t>
      </w:r>
      <w:r>
        <w:rPr>
          <w:b/>
          <w:bCs/>
        </w:rPr>
        <w:t xml:space="preserve"> </w:t>
      </w:r>
    </w:p>
    <w:p w14:paraId="643AAA52" w14:textId="77777777" w:rsidR="007F4378" w:rsidRDefault="007F4378" w:rsidP="00943E1C">
      <w:pPr>
        <w:pStyle w:val="footnoteflush"/>
      </w:pPr>
      <w:r>
        <w:t xml:space="preserve">MPEP 1309.01 (MPEP 8th ed. Rev. 3 Aug. 2005). </w:t>
      </w:r>
    </w:p>
  </w:footnote>
  <w:footnote w:id="76">
    <w:p w14:paraId="39A4FCDB" w14:textId="77777777" w:rsidR="007F4378" w:rsidRDefault="007F4378" w:rsidP="00943E1C">
      <w:pPr>
        <w:pStyle w:val="footnote"/>
      </w:pPr>
      <w:r>
        <w:rPr>
          <w:vertAlign w:val="superscript"/>
        </w:rPr>
        <w:footnoteRef/>
      </w:r>
      <w:r>
        <w:t xml:space="preserve">Coca-Cola was formulated in May 1886 by Dr. John S. Pemberton in Atlanta, Georgia. </w:t>
      </w:r>
      <w:r>
        <w:rPr>
          <w:i/>
          <w:iCs/>
        </w:rPr>
        <w:t>See</w:t>
      </w:r>
      <w:r>
        <w:t xml:space="preserve"> http://www.coca-cola.com. </w:t>
      </w:r>
    </w:p>
  </w:footnote>
  <w:footnote w:id="77">
    <w:p w14:paraId="09853B13" w14:textId="77777777" w:rsidR="007F4378" w:rsidRDefault="007F4378" w:rsidP="00943E1C">
      <w:pPr>
        <w:pStyle w:val="footnote"/>
      </w:pPr>
      <w:r>
        <w:rPr>
          <w:vertAlign w:val="superscript"/>
        </w:rPr>
        <w:footnoteRef/>
      </w:r>
      <w:r>
        <w:t xml:space="preserve">2010 Annual Report on United States Securities and Exchange Commission Form 10-k for the Coca-Cola Company. </w:t>
      </w:r>
    </w:p>
  </w:footnote>
  <w:footnote w:id="78">
    <w:p w14:paraId="5737EF63" w14:textId="77777777" w:rsidR="00CC1999" w:rsidRDefault="00CC1999" w:rsidP="00CC1999">
      <w:pPr>
        <w:pStyle w:val="footnote"/>
      </w:pPr>
      <w:r>
        <w:rPr>
          <w:vertAlign w:val="superscript"/>
        </w:rPr>
        <w:footnoteRef/>
      </w:r>
      <w:r>
        <w:t xml:space="preserve">134 S. Ct. 2347 (2014). </w:t>
      </w:r>
    </w:p>
  </w:footnote>
  <w:footnote w:id="79">
    <w:p w14:paraId="17E79E9B" w14:textId="77777777" w:rsidR="00CC1999" w:rsidRDefault="00CC1999" w:rsidP="00CC1999">
      <w:pPr>
        <w:pStyle w:val="footnote"/>
      </w:pPr>
      <w:r>
        <w:rPr>
          <w:vertAlign w:val="superscript"/>
        </w:rPr>
        <w:footnoteRef/>
      </w:r>
      <w:proofErr w:type="spellStart"/>
      <w:r>
        <w:t>Altavion</w:t>
      </w:r>
      <w:proofErr w:type="spellEnd"/>
      <w:r>
        <w:t xml:space="preserve">, Inc. v. Konica Minolta Sys. Lab., Inc., 22 Cal. App. 4th 26, 35 (Cal. Ct. App. 2014). </w:t>
      </w:r>
    </w:p>
  </w:footnote>
  <w:footnote w:id="80">
    <w:p w14:paraId="2BBC5A88" w14:textId="77777777" w:rsidR="00CC1999" w:rsidRDefault="00CC1999" w:rsidP="00CC1999">
      <w:pPr>
        <w:pStyle w:val="footnote"/>
      </w:pPr>
      <w:r>
        <w:rPr>
          <w:vertAlign w:val="superscript"/>
        </w:rPr>
        <w:footnoteRef/>
      </w:r>
      <w:r>
        <w:t>U.S. C</w:t>
      </w:r>
      <w:r>
        <w:rPr>
          <w:smallCaps/>
        </w:rPr>
        <w:t>onst</w:t>
      </w:r>
      <w:r>
        <w:t xml:space="preserve">. art. I, §8, cl. 8, and 35 U.S.C. §100 </w:t>
      </w:r>
      <w:r>
        <w:rPr>
          <w:i/>
          <w:iCs/>
        </w:rPr>
        <w:t>et seq</w:t>
      </w:r>
      <w:r>
        <w:t>. set forth patent protection, and U.S. C</w:t>
      </w:r>
      <w:r>
        <w:rPr>
          <w:smallCaps/>
        </w:rPr>
        <w:t>onst</w:t>
      </w:r>
      <w:r>
        <w:t xml:space="preserve">. art. I, §8, cl. 8, and 17 U.S.C. §100 </w:t>
      </w:r>
      <w:r>
        <w:rPr>
          <w:i/>
          <w:iCs/>
        </w:rPr>
        <w:t>et seq</w:t>
      </w:r>
      <w:r>
        <w:t xml:space="preserve">. set forth copyright protection. </w:t>
      </w:r>
    </w:p>
  </w:footnote>
  <w:footnote w:id="81">
    <w:p w14:paraId="73E9CC0D" w14:textId="77777777" w:rsidR="00CC1999" w:rsidRDefault="00CC1999" w:rsidP="00CC1999">
      <w:pPr>
        <w:pStyle w:val="footnote"/>
      </w:pPr>
      <w:r>
        <w:rPr>
          <w:vertAlign w:val="superscript"/>
        </w:rPr>
        <w:footnoteRef/>
      </w:r>
      <w:proofErr w:type="spellStart"/>
      <w:r>
        <w:t>GlobeRanger</w:t>
      </w:r>
      <w:proofErr w:type="spellEnd"/>
      <w:r>
        <w:t xml:space="preserve"> Corp. v. Software AG, 691 F.3d 702, 706 (5th Cir. 2012). </w:t>
      </w:r>
    </w:p>
  </w:footnote>
  <w:footnote w:id="82">
    <w:p w14:paraId="6B45F4D9" w14:textId="77777777" w:rsidR="00CC1999" w:rsidRDefault="00CC1999" w:rsidP="00CC1999">
      <w:pPr>
        <w:pStyle w:val="footnote"/>
      </w:pPr>
      <w:r>
        <w:rPr>
          <w:vertAlign w:val="superscript"/>
        </w:rPr>
        <w:footnoteRef/>
      </w:r>
      <w:r>
        <w:rPr>
          <w:i/>
          <w:iCs/>
        </w:rPr>
        <w:t>Id.</w:t>
      </w:r>
      <w:r>
        <w:t xml:space="preserve"> </w:t>
      </w:r>
    </w:p>
  </w:footnote>
  <w:footnote w:id="83">
    <w:p w14:paraId="75CF18D9" w14:textId="77777777" w:rsidR="00CC1999" w:rsidRDefault="00CC1999" w:rsidP="00CC1999">
      <w:pPr>
        <w:pStyle w:val="footnote"/>
      </w:pPr>
      <w:r>
        <w:rPr>
          <w:vertAlign w:val="superscript"/>
        </w:rPr>
        <w:footnoteRef/>
      </w:r>
      <w:r>
        <w:t xml:space="preserve">Carson v. Dynegy, Inc., 344 F.3d 446, 456 (5th Cir. 2003) (citations omitted). </w:t>
      </w:r>
    </w:p>
  </w:footnote>
  <w:footnote w:id="84">
    <w:p w14:paraId="24F92BF4" w14:textId="77777777" w:rsidR="00CC1999" w:rsidRDefault="00CC1999" w:rsidP="00CC1999">
      <w:pPr>
        <w:pStyle w:val="footnote"/>
      </w:pPr>
      <w:r>
        <w:rPr>
          <w:vertAlign w:val="superscript"/>
        </w:rPr>
        <w:footnoteRef/>
      </w:r>
      <w:r>
        <w:t xml:space="preserve">836 F.3d 477 (5th Cir. 2016). </w:t>
      </w:r>
    </w:p>
  </w:footnote>
  <w:footnote w:id="85">
    <w:p w14:paraId="0617F182" w14:textId="77777777" w:rsidR="00CC1999" w:rsidRDefault="00CC1999" w:rsidP="00CC1999">
      <w:pPr>
        <w:pStyle w:val="footnote"/>
      </w:pPr>
      <w:r>
        <w:rPr>
          <w:vertAlign w:val="superscript"/>
        </w:rPr>
        <w:footnoteRef/>
      </w:r>
      <w:r>
        <w:t xml:space="preserve">416 U.S. 470, 181 USPQ 673 (1974). </w:t>
      </w:r>
    </w:p>
  </w:footnote>
  <w:footnote w:id="86">
    <w:p w14:paraId="310A421E" w14:textId="77777777" w:rsidR="007F4378" w:rsidRDefault="007F4378" w:rsidP="00943E1C">
      <w:pPr>
        <w:pStyle w:val="footnote"/>
      </w:pPr>
      <w:r>
        <w:rPr>
          <w:vertAlign w:val="superscript"/>
        </w:rPr>
        <w:footnoteRef/>
      </w:r>
      <w:r>
        <w:t>U.S. C</w:t>
      </w:r>
      <w:r>
        <w:rPr>
          <w:smallCaps/>
        </w:rPr>
        <w:t>onst</w:t>
      </w:r>
      <w:r>
        <w:t xml:space="preserve">. art. I, §8, cl. 8. </w:t>
      </w:r>
    </w:p>
  </w:footnote>
  <w:footnote w:id="87">
    <w:p w14:paraId="71975309" w14:textId="77777777" w:rsidR="007F4378" w:rsidRDefault="007F4378" w:rsidP="00943E1C">
      <w:pPr>
        <w:pStyle w:val="footnote"/>
      </w:pPr>
      <w:r>
        <w:rPr>
          <w:vertAlign w:val="superscript"/>
        </w:rPr>
        <w:footnoteRef/>
      </w:r>
      <w:r>
        <w:t xml:space="preserve">35 U.S.C. §101. New and useful (or new and useful improvements of) processes, machines, manufactures, or compositions of matter are inventions or discoveries of patentable subject matter. </w:t>
      </w:r>
      <w:r>
        <w:rPr>
          <w:i/>
          <w:iCs/>
        </w:rPr>
        <w:t>Id</w:t>
      </w:r>
      <w:r>
        <w:t xml:space="preserve">. </w:t>
      </w:r>
    </w:p>
  </w:footnote>
  <w:footnote w:id="88">
    <w:p w14:paraId="55596DD0" w14:textId="77777777" w:rsidR="007F4378" w:rsidRDefault="007F4378" w:rsidP="00943E1C">
      <w:pPr>
        <w:pStyle w:val="footnote"/>
      </w:pPr>
      <w:r>
        <w:rPr>
          <w:vertAlign w:val="superscript"/>
        </w:rPr>
        <w:footnoteRef/>
      </w:r>
      <w:r>
        <w:t xml:space="preserve">Pub. L. No. 112-29, 125 Stat. 284 (2011) (codified as amended in scattered sections of 35 U.S.C.). </w:t>
      </w:r>
    </w:p>
  </w:footnote>
  <w:footnote w:id="89">
    <w:p w14:paraId="62D6B3FB" w14:textId="77777777" w:rsidR="007F4378" w:rsidRDefault="007F4378" w:rsidP="00943E1C">
      <w:pPr>
        <w:pStyle w:val="footnote"/>
      </w:pPr>
      <w:r>
        <w:rPr>
          <w:vertAlign w:val="superscript"/>
        </w:rPr>
        <w:footnoteRef/>
      </w:r>
      <w:r>
        <w:t xml:space="preserve">Pub. L. No. 106-113, §1000(a)(9), 113 Stat. 1501A-555 (S. 1948, §4302) (1999). </w:t>
      </w:r>
    </w:p>
  </w:footnote>
  <w:footnote w:id="90">
    <w:p w14:paraId="61C381D8" w14:textId="77777777" w:rsidR="007F4378" w:rsidRDefault="007F4378" w:rsidP="00943E1C">
      <w:pPr>
        <w:pStyle w:val="footnote"/>
      </w:pPr>
      <w:r>
        <w:rPr>
          <w:vertAlign w:val="superscript"/>
        </w:rPr>
        <w:footnoteRef/>
      </w:r>
      <w:r>
        <w:t xml:space="preserve">149 F.3d 1368 (Fed. Cir. 1998). </w:t>
      </w:r>
    </w:p>
  </w:footnote>
  <w:footnote w:id="91">
    <w:p w14:paraId="24591742" w14:textId="77777777" w:rsidR="007F4378" w:rsidRDefault="007F4378" w:rsidP="00943E1C">
      <w:pPr>
        <w:pStyle w:val="footnote"/>
      </w:pPr>
      <w:r>
        <w:rPr>
          <w:vertAlign w:val="superscript"/>
        </w:rPr>
        <w:footnoteRef/>
      </w:r>
      <w:r>
        <w:rPr>
          <w:i/>
          <w:iCs/>
        </w:rPr>
        <w:t>See</w:t>
      </w:r>
      <w:r>
        <w:t xml:space="preserve"> S. 1042, 90th Cong. §274 (1967) (third-party rights amendment); S. 2272, 103d Cong. §2 (1994) (Prior User Rights Act); H.R. 2235, 104th Cong. §2 (1995) (Prior Domestic Commercial Use Act); H.R. 400, 105th Cong. §302 (1997) (21st Century Patent System Improvement Act). </w:t>
      </w:r>
    </w:p>
  </w:footnote>
  <w:footnote w:id="92">
    <w:p w14:paraId="08DE0603" w14:textId="77777777" w:rsidR="007F4378" w:rsidRDefault="007F4378" w:rsidP="00943E1C">
      <w:pPr>
        <w:pStyle w:val="footnote"/>
      </w:pPr>
      <w:r>
        <w:rPr>
          <w:vertAlign w:val="superscript"/>
        </w:rPr>
        <w:footnoteRef/>
      </w:r>
      <w:r>
        <w:t xml:space="preserve">PB </w:t>
      </w:r>
      <w:proofErr w:type="spellStart"/>
      <w:r>
        <w:t>Farradyne</w:t>
      </w:r>
      <w:proofErr w:type="spellEnd"/>
      <w:r>
        <w:t xml:space="preserve">, Inc. v. Peterson, No. 05-03447, 2006 WL 132182 (N.D. Cal. 2006); </w:t>
      </w:r>
      <w:proofErr w:type="spellStart"/>
      <w:r>
        <w:t>Sabasta</w:t>
      </w:r>
      <w:proofErr w:type="spellEnd"/>
      <w:r>
        <w:t xml:space="preserve"> v. Buckaroos, Inc., 507 F. Supp. 2d 986 (S.D. Iowa 2007). </w:t>
      </w:r>
    </w:p>
  </w:footnote>
  <w:footnote w:id="93">
    <w:p w14:paraId="48995C0F" w14:textId="77777777" w:rsidR="007F4378" w:rsidRDefault="007F4378" w:rsidP="00943E1C">
      <w:pPr>
        <w:pStyle w:val="footnote"/>
      </w:pPr>
      <w:r>
        <w:rPr>
          <w:vertAlign w:val="superscript"/>
        </w:rPr>
        <w:footnoteRef/>
      </w:r>
      <w:r>
        <w:t xml:space="preserve">35 U.S.C. §271(a). </w:t>
      </w:r>
    </w:p>
  </w:footnote>
  <w:footnote w:id="94">
    <w:p w14:paraId="3E6D836A" w14:textId="77777777" w:rsidR="007F4378" w:rsidRDefault="007F4378" w:rsidP="00943E1C">
      <w:pPr>
        <w:pStyle w:val="footnote"/>
      </w:pPr>
      <w:r>
        <w:rPr>
          <w:vertAlign w:val="superscript"/>
        </w:rPr>
        <w:footnoteRef/>
      </w:r>
      <w:r>
        <w:t xml:space="preserve">17 U.S.C. §106. </w:t>
      </w:r>
    </w:p>
  </w:footnote>
  <w:footnote w:id="95">
    <w:p w14:paraId="0A575CCB" w14:textId="77777777" w:rsidR="007F4378" w:rsidRDefault="007F4378" w:rsidP="00943E1C">
      <w:pPr>
        <w:pStyle w:val="footnote"/>
      </w:pPr>
      <w:r>
        <w:rPr>
          <w:vertAlign w:val="superscript"/>
        </w:rPr>
        <w:footnoteRef/>
      </w:r>
      <w:r>
        <w:t xml:space="preserve">U.T.S.A §1(2), 14 U.L.A. 438 (1985). </w:t>
      </w:r>
    </w:p>
  </w:footnote>
  <w:footnote w:id="96">
    <w:p w14:paraId="548F7EB5" w14:textId="77777777" w:rsidR="007F4378" w:rsidRDefault="007F4378" w:rsidP="00943E1C">
      <w:pPr>
        <w:pStyle w:val="footnote"/>
      </w:pPr>
      <w:r>
        <w:rPr>
          <w:vertAlign w:val="superscript"/>
        </w:rPr>
        <w:footnoteRef/>
      </w:r>
      <w:r>
        <w:t xml:space="preserve">15 U.S.C. §1114(1). </w:t>
      </w:r>
    </w:p>
  </w:footnote>
  <w:footnote w:id="97">
    <w:p w14:paraId="1FFCD0FB" w14:textId="77777777" w:rsidR="007F4378" w:rsidRDefault="007F4378" w:rsidP="00943E1C">
      <w:pPr>
        <w:pStyle w:val="footnote"/>
      </w:pPr>
      <w:r>
        <w:rPr>
          <w:vertAlign w:val="superscript"/>
        </w:rPr>
        <w:footnoteRef/>
      </w:r>
      <w:r>
        <w:rPr>
          <w:i/>
          <w:iCs/>
        </w:rPr>
        <w:t>Id.</w:t>
      </w:r>
      <w:r>
        <w:t xml:space="preserve"> §1127. </w:t>
      </w:r>
    </w:p>
  </w:footnote>
  <w:footnote w:id="98">
    <w:p w14:paraId="40E9DDE3" w14:textId="77777777" w:rsidR="007F4378" w:rsidRDefault="007F4378" w:rsidP="00943E1C">
      <w:pPr>
        <w:pStyle w:val="footnote"/>
      </w:pPr>
      <w:r>
        <w:rPr>
          <w:vertAlign w:val="superscript"/>
        </w:rPr>
        <w:footnoteRef/>
      </w:r>
      <w:r>
        <w:t>J. T</w:t>
      </w:r>
      <w:r>
        <w:rPr>
          <w:smallCaps/>
        </w:rPr>
        <w:t xml:space="preserve">homas </w:t>
      </w:r>
      <w:r>
        <w:t>M</w:t>
      </w:r>
      <w:r>
        <w:rPr>
          <w:smallCaps/>
        </w:rPr>
        <w:t>c</w:t>
      </w:r>
      <w:r>
        <w:t>C</w:t>
      </w:r>
      <w:r>
        <w:rPr>
          <w:smallCaps/>
        </w:rPr>
        <w:t>arthy</w:t>
      </w:r>
      <w:r>
        <w:t>,</w:t>
      </w:r>
      <w:r>
        <w:rPr>
          <w:smallCaps/>
        </w:rPr>
        <w:t xml:space="preserve"> </w:t>
      </w:r>
      <w:r>
        <w:t>M</w:t>
      </w:r>
      <w:r>
        <w:rPr>
          <w:smallCaps/>
        </w:rPr>
        <w:t>c</w:t>
      </w:r>
      <w:r>
        <w:t>C</w:t>
      </w:r>
      <w:r>
        <w:rPr>
          <w:smallCaps/>
        </w:rPr>
        <w:t xml:space="preserve">arthy on </w:t>
      </w:r>
      <w:r>
        <w:t>T</w:t>
      </w:r>
      <w:r>
        <w:rPr>
          <w:smallCaps/>
        </w:rPr>
        <w:t xml:space="preserve">rademarks and </w:t>
      </w:r>
      <w:r>
        <w:t>U</w:t>
      </w:r>
      <w:r>
        <w:rPr>
          <w:smallCaps/>
        </w:rPr>
        <w:t xml:space="preserve">nfair </w:t>
      </w:r>
      <w:r>
        <w:t>C</w:t>
      </w:r>
      <w:r>
        <w:rPr>
          <w:smallCaps/>
        </w:rPr>
        <w:t>ompetition</w:t>
      </w:r>
      <w:r>
        <w:t xml:space="preserve"> §2:3 (4th ed. 1996). </w:t>
      </w:r>
    </w:p>
  </w:footnote>
  <w:footnote w:id="99">
    <w:p w14:paraId="66F229D9" w14:textId="77777777" w:rsidR="007F4378" w:rsidRDefault="007F4378" w:rsidP="00943E1C">
      <w:pPr>
        <w:pStyle w:val="footnote"/>
      </w:pPr>
      <w:r>
        <w:rPr>
          <w:vertAlign w:val="superscript"/>
        </w:rPr>
        <w:footnoteRef/>
      </w:r>
      <w:r>
        <w:t xml:space="preserve">Dell and Inspiron are registered trademarks of Dell, Inc. (Registration Nos. 1,616,571 and 2,254,835). </w:t>
      </w:r>
    </w:p>
  </w:footnote>
  <w:footnote w:id="100">
    <w:p w14:paraId="733C689C" w14:textId="77777777" w:rsidR="007F4378" w:rsidRDefault="007F4378" w:rsidP="00943E1C">
      <w:pPr>
        <w:pStyle w:val="footnote"/>
      </w:pPr>
      <w:r>
        <w:rPr>
          <w:vertAlign w:val="superscript"/>
        </w:rPr>
        <w:footnoteRef/>
      </w:r>
      <w:r>
        <w:t xml:space="preserve">ProLiant is a registered trademark of Hewlett-Packard Development Company. (Registration No. 3,350,462). </w:t>
      </w:r>
    </w:p>
  </w:footnote>
  <w:footnote w:id="101">
    <w:p w14:paraId="6F860F65" w14:textId="77777777" w:rsidR="007F4378" w:rsidRDefault="007F4378" w:rsidP="00943E1C">
      <w:pPr>
        <w:pStyle w:val="footnote"/>
      </w:pPr>
      <w:r>
        <w:rPr>
          <w:vertAlign w:val="superscript"/>
        </w:rPr>
        <w:footnoteRef/>
      </w:r>
      <w:r>
        <w:t xml:space="preserve">35 U.S.C. §§151–54. </w:t>
      </w:r>
    </w:p>
  </w:footnote>
  <w:footnote w:id="102">
    <w:p w14:paraId="05099719" w14:textId="77777777" w:rsidR="007F4378" w:rsidRDefault="007F4378" w:rsidP="00943E1C">
      <w:pPr>
        <w:pStyle w:val="footnote"/>
      </w:pPr>
      <w:r>
        <w:rPr>
          <w:vertAlign w:val="superscript"/>
        </w:rPr>
        <w:footnoteRef/>
      </w:r>
      <w:r>
        <w:t xml:space="preserve">15 U.S.C. §1051. </w:t>
      </w:r>
    </w:p>
  </w:footnote>
  <w:footnote w:id="103">
    <w:p w14:paraId="5BF641DE" w14:textId="77777777" w:rsidR="007F4378" w:rsidRDefault="007F4378" w:rsidP="00943E1C">
      <w:pPr>
        <w:pStyle w:val="footnote"/>
      </w:pPr>
      <w:r>
        <w:rPr>
          <w:vertAlign w:val="superscript"/>
        </w:rPr>
        <w:footnoteRef/>
      </w:r>
      <w:r>
        <w:rPr>
          <w:i/>
          <w:iCs/>
        </w:rPr>
        <w:t xml:space="preserve">Id. </w:t>
      </w:r>
      <w:r>
        <w:t xml:space="preserve">§1051(a). </w:t>
      </w:r>
    </w:p>
  </w:footnote>
  <w:footnote w:id="104">
    <w:p w14:paraId="1149CCCD" w14:textId="77777777" w:rsidR="007F4378" w:rsidRDefault="007F4378" w:rsidP="00943E1C">
      <w:pPr>
        <w:pStyle w:val="footnote"/>
      </w:pPr>
      <w:r>
        <w:rPr>
          <w:vertAlign w:val="superscript"/>
        </w:rPr>
        <w:footnoteRef/>
      </w:r>
      <w:r>
        <w:t xml:space="preserve">However, federal trademark registration does provide several advantages over state trademark protection. The registration is prima facie evidence of (1) the validity of the registration, (2) the registrant’s ownership of the mark, and (3) the registrant’s exclusive right to use the mark in commerce (usually in all states). In addition, registration provides constructive notice of ownership of the mark by the registrant. Further, the filing of an application for federal registration creates a nationwide right of priority on behalf of the applicant to make the registration effective to preclude use of that mark by </w:t>
      </w:r>
      <w:r>
        <w:rPr>
          <w:i/>
          <w:iCs/>
        </w:rPr>
        <w:t>any</w:t>
      </w:r>
      <w:r>
        <w:t xml:space="preserve"> other party, except a prior user or a prior applicant for registration. A very important advantage of federal registration is the incontestability provided five years after the registration issues, once the registrant has filed an affidavit under Section 15 of the Trademark Act. That is, five years after a federal registration issues, the registration may become incontestable and the previous prima facie effect of the registration becomes conclusive. The trademark statute provides that the registration is then conclusive evidence of the registrant’s exclusive right to use the registered mark in commerce. </w:t>
      </w:r>
    </w:p>
  </w:footnote>
  <w:footnote w:id="105">
    <w:p w14:paraId="57427E35" w14:textId="77777777" w:rsidR="007F4378" w:rsidRDefault="007F4378" w:rsidP="00943E1C">
      <w:pPr>
        <w:pStyle w:val="footnote"/>
      </w:pPr>
      <w:r>
        <w:rPr>
          <w:vertAlign w:val="superscript"/>
        </w:rPr>
        <w:footnoteRef/>
      </w:r>
      <w:r>
        <w:t xml:space="preserve">35 U.S.C. §154. </w:t>
      </w:r>
    </w:p>
  </w:footnote>
  <w:footnote w:id="106">
    <w:p w14:paraId="2CF097C3" w14:textId="77777777" w:rsidR="007F4378" w:rsidRDefault="007F4378" w:rsidP="00943E1C">
      <w:pPr>
        <w:pStyle w:val="footnote"/>
      </w:pPr>
      <w:r>
        <w:rPr>
          <w:vertAlign w:val="superscript"/>
        </w:rPr>
        <w:footnoteRef/>
      </w:r>
      <w:r>
        <w:rPr>
          <w:i/>
          <w:iCs/>
        </w:rPr>
        <w:t>Id.</w:t>
      </w:r>
      <w:r>
        <w:t xml:space="preserve"> §271(a). </w:t>
      </w:r>
    </w:p>
  </w:footnote>
  <w:footnote w:id="107">
    <w:p w14:paraId="24FAEBE2" w14:textId="77777777" w:rsidR="007F4378" w:rsidRDefault="007F4378" w:rsidP="00943E1C">
      <w:pPr>
        <w:pStyle w:val="footnote"/>
      </w:pPr>
      <w:r>
        <w:rPr>
          <w:vertAlign w:val="superscript"/>
        </w:rPr>
        <w:footnoteRef/>
      </w:r>
      <w:r>
        <w:t xml:space="preserve">15 U.S.C. §1114(1). </w:t>
      </w:r>
    </w:p>
  </w:footnote>
  <w:footnote w:id="108">
    <w:p w14:paraId="493800FD" w14:textId="77777777" w:rsidR="007F4378" w:rsidRDefault="007F4378" w:rsidP="00943E1C">
      <w:pPr>
        <w:pStyle w:val="footnote"/>
      </w:pPr>
      <w:r>
        <w:rPr>
          <w:vertAlign w:val="superscript"/>
        </w:rPr>
        <w:footnoteRef/>
      </w:r>
      <w:r>
        <w:t xml:space="preserve">Citibank, N.A. v. City Bank, 206 USPQ 997 (N.D. Cal. 1980). </w:t>
      </w:r>
    </w:p>
  </w:footnote>
  <w:footnote w:id="109">
    <w:p w14:paraId="048AB31E" w14:textId="77777777" w:rsidR="007F4378" w:rsidRDefault="007F4378" w:rsidP="00943E1C">
      <w:pPr>
        <w:pStyle w:val="footnote"/>
      </w:pPr>
      <w:r>
        <w:rPr>
          <w:vertAlign w:val="superscript"/>
        </w:rPr>
        <w:footnoteRef/>
      </w:r>
      <w:r>
        <w:t xml:space="preserve">Mead Data Ctr., Inc. v. Toyota Motor Sales, 875 F.2d 1026, 10 USPQ2d 1961 (2d Cir. 1989). </w:t>
      </w:r>
    </w:p>
  </w:footnote>
  <w:footnote w:id="110">
    <w:p w14:paraId="58064B22" w14:textId="77777777" w:rsidR="007F4378" w:rsidRDefault="007F4378" w:rsidP="00943E1C">
      <w:pPr>
        <w:pStyle w:val="footnote"/>
      </w:pPr>
      <w:r>
        <w:rPr>
          <w:vertAlign w:val="superscript"/>
        </w:rPr>
        <w:footnoteRef/>
      </w:r>
      <w:r>
        <w:t xml:space="preserve">476 F.2d 1357, 177 USPQ 563 (C.C.P.A. 1973). </w:t>
      </w:r>
    </w:p>
  </w:footnote>
  <w:footnote w:id="111">
    <w:p w14:paraId="047D2AE7" w14:textId="77777777" w:rsidR="007F4378" w:rsidRDefault="007F4378" w:rsidP="00943E1C">
      <w:pPr>
        <w:pStyle w:val="footnote"/>
      </w:pPr>
      <w:r>
        <w:rPr>
          <w:vertAlign w:val="superscript"/>
        </w:rPr>
        <w:footnoteRef/>
      </w:r>
      <w:r>
        <w:rPr>
          <w:i/>
          <w:iCs/>
        </w:rPr>
        <w:t>Id</w:t>
      </w:r>
      <w:r>
        <w:t xml:space="preserve">. at 1361, 177 USPQ at 567. </w:t>
      </w:r>
    </w:p>
  </w:footnote>
  <w:footnote w:id="112">
    <w:p w14:paraId="50E38156" w14:textId="77777777" w:rsidR="007F4378" w:rsidRDefault="007F4378" w:rsidP="00943E1C">
      <w:pPr>
        <w:pStyle w:val="footnote"/>
      </w:pPr>
      <w:r>
        <w:rPr>
          <w:vertAlign w:val="superscript"/>
        </w:rPr>
        <w:footnoteRef/>
      </w:r>
      <w:r>
        <w:rPr>
          <w:i/>
          <w:iCs/>
        </w:rPr>
        <w:t>E.g.,</w:t>
      </w:r>
      <w:r>
        <w:t xml:space="preserve"> Two Pesos, Inc. v. Taco Cabana, Inc., 505 U.S. 763 (1992). </w:t>
      </w:r>
    </w:p>
  </w:footnote>
  <w:footnote w:id="113">
    <w:p w14:paraId="42E59A88" w14:textId="77777777" w:rsidR="007F4378" w:rsidRDefault="007F4378" w:rsidP="00943E1C">
      <w:pPr>
        <w:pStyle w:val="footnote"/>
      </w:pPr>
      <w:r>
        <w:rPr>
          <w:vertAlign w:val="superscript"/>
        </w:rPr>
        <w:footnoteRef/>
      </w:r>
      <w:r>
        <w:rPr>
          <w:i/>
          <w:iCs/>
        </w:rPr>
        <w:t>E.g.,</w:t>
      </w:r>
      <w:r>
        <w:t xml:space="preserve"> Sleep Sci. Partners v. Lieberman, 2010 WL 1881770 (N.D. Cal. May 10, 2010); Express Lien, Inc. v. National </w:t>
      </w:r>
      <w:proofErr w:type="spellStart"/>
      <w:r>
        <w:t>Ass’n</w:t>
      </w:r>
      <w:proofErr w:type="spellEnd"/>
      <w:r>
        <w:t xml:space="preserve"> of Credit Mgmt., Inc., 2013 WL 4517944 (E.D. La. Aug. 23, 2013). </w:t>
      </w:r>
    </w:p>
  </w:footnote>
  <w:footnote w:id="114">
    <w:p w14:paraId="7D662885" w14:textId="77777777" w:rsidR="007F4378" w:rsidRDefault="007F4378" w:rsidP="00943E1C">
      <w:pPr>
        <w:pStyle w:val="footnote"/>
      </w:pPr>
      <w:r>
        <w:rPr>
          <w:vertAlign w:val="superscript"/>
        </w:rPr>
        <w:footnoteRef/>
      </w:r>
      <w:r>
        <w:t xml:space="preserve">532 U.S. 23, 58 USPQ2d 1001 (2001). </w:t>
      </w:r>
    </w:p>
  </w:footnote>
  <w:footnote w:id="115">
    <w:p w14:paraId="532D83B5" w14:textId="77777777" w:rsidR="007F4378" w:rsidRDefault="007F4378" w:rsidP="00943E1C">
      <w:pPr>
        <w:pStyle w:val="footnote"/>
      </w:pPr>
      <w:r>
        <w:rPr>
          <w:vertAlign w:val="superscript"/>
        </w:rPr>
        <w:footnoteRef/>
      </w:r>
      <w:r>
        <w:rPr>
          <w:i/>
          <w:iCs/>
        </w:rPr>
        <w:t>Id</w:t>
      </w:r>
      <w:r>
        <w:t xml:space="preserve">. at 30. </w:t>
      </w:r>
    </w:p>
  </w:footnote>
  <w:footnote w:id="116">
    <w:p w14:paraId="1422874E" w14:textId="77777777" w:rsidR="007F4378" w:rsidRDefault="007F4378" w:rsidP="00943E1C">
      <w:pPr>
        <w:pStyle w:val="footnote"/>
      </w:pPr>
      <w:r>
        <w:rPr>
          <w:vertAlign w:val="superscript"/>
        </w:rPr>
        <w:footnoteRef/>
      </w:r>
      <w:r>
        <w:t xml:space="preserve">529 U.S. 205, 54 USPQ2d 1065 (2000). </w:t>
      </w:r>
    </w:p>
  </w:footnote>
  <w:footnote w:id="117">
    <w:p w14:paraId="0BAD78EE" w14:textId="77777777" w:rsidR="007F4378" w:rsidRDefault="007F4378" w:rsidP="00943E1C">
      <w:pPr>
        <w:pStyle w:val="footnote"/>
      </w:pPr>
      <w:r>
        <w:rPr>
          <w:vertAlign w:val="superscript"/>
        </w:rPr>
        <w:footnoteRef/>
      </w:r>
      <w:r>
        <w:t>U.S. C</w:t>
      </w:r>
      <w:r>
        <w:rPr>
          <w:smallCaps/>
        </w:rPr>
        <w:t>onst</w:t>
      </w:r>
      <w:r>
        <w:t xml:space="preserve">. art. I, §8, cl. 8. </w:t>
      </w:r>
    </w:p>
  </w:footnote>
  <w:footnote w:id="118">
    <w:p w14:paraId="190501C7" w14:textId="77777777" w:rsidR="007F4378" w:rsidRDefault="007F4378" w:rsidP="00943E1C">
      <w:pPr>
        <w:pStyle w:val="footnote"/>
      </w:pPr>
      <w:r>
        <w:rPr>
          <w:vertAlign w:val="superscript"/>
        </w:rPr>
        <w:footnoteRef/>
      </w:r>
      <w:r>
        <w:t>Twentieth Century Music Corp. v. Aiken, 422 U.S. 151, 156 (1975). In its report accompanying the comprehensive revision of the Copyright Act in 1909, the Judiciary Committee of the House of Representatives explained this balance in enacting a copyright law: “Congress must consider</w:t>
      </w:r>
      <w:r>
        <w:rPr>
          <w:rFonts w:cs="Times New Roman"/>
        </w:rPr>
        <w:t> </w:t>
      </w:r>
      <w:r>
        <w:t>…</w:t>
      </w:r>
      <w:r>
        <w:rPr>
          <w:rFonts w:cs="Times New Roman"/>
        </w:rPr>
        <w:t> </w:t>
      </w:r>
      <w:r>
        <w:t xml:space="preserve">two questions: First, how much will the legislation stimulate the producer and so benefit the public; and, second, how much will the monopoly granted be detrimental to the public?” </w:t>
      </w:r>
      <w:r>
        <w:rPr>
          <w:smallCaps/>
        </w:rPr>
        <w:t>H. R. Rep. No.</w:t>
      </w:r>
      <w:r>
        <w:t xml:space="preserve"> 60-2222, at 7 (1909). </w:t>
      </w:r>
    </w:p>
  </w:footnote>
  <w:footnote w:id="119">
    <w:p w14:paraId="7021F56C" w14:textId="77777777" w:rsidR="007F4378" w:rsidRDefault="007F4378" w:rsidP="00943E1C">
      <w:pPr>
        <w:pStyle w:val="footnote"/>
      </w:pPr>
      <w:r>
        <w:rPr>
          <w:vertAlign w:val="superscript"/>
        </w:rPr>
        <w:footnoteRef/>
      </w:r>
      <w:r>
        <w:t xml:space="preserve">35 U.S.C. §§1–376. </w:t>
      </w:r>
    </w:p>
  </w:footnote>
  <w:footnote w:id="120">
    <w:p w14:paraId="61D13109" w14:textId="77777777" w:rsidR="007F4378" w:rsidRDefault="007F4378" w:rsidP="00943E1C">
      <w:pPr>
        <w:pStyle w:val="footnote"/>
      </w:pPr>
      <w:r>
        <w:rPr>
          <w:vertAlign w:val="superscript"/>
        </w:rPr>
        <w:footnoteRef/>
      </w:r>
      <w:r>
        <w:t xml:space="preserve">17 U.S.C. §§101–810. </w:t>
      </w:r>
    </w:p>
  </w:footnote>
  <w:footnote w:id="121">
    <w:p w14:paraId="31530967" w14:textId="77777777" w:rsidR="007F4378" w:rsidRDefault="007F4378" w:rsidP="00943E1C">
      <w:pPr>
        <w:pStyle w:val="footnote"/>
      </w:pPr>
      <w:r>
        <w:rPr>
          <w:vertAlign w:val="superscript"/>
        </w:rPr>
        <w:footnoteRef/>
      </w:r>
      <w:r>
        <w:t xml:space="preserve">Berne Convention for the Protection of Literary and Artistic Works, Sept. 9, 1886, as revised at Paris on July 24, 1971, and amended in 1979, S. Treaty Doc. No. 99-27 (1986). The Berne Convention for the Protection of Literary and Artistic Works is an international agreement governing copyright first accepted in Berne, Switzerland, in 1886. The Berne Convention requires its members recognize the copyright of works of authors from other members of the Berne Union in the same way as it recognizes the copyright of its own nationals. In addition to establishing a system of equal treatment that internationalized copyright among members of the Berne Union, the agreement also required member states to provide strong minimum standards for copyright law. </w:t>
      </w:r>
    </w:p>
  </w:footnote>
  <w:footnote w:id="122">
    <w:p w14:paraId="599C73CE" w14:textId="77777777" w:rsidR="007F4378" w:rsidRDefault="007F4378" w:rsidP="00943E1C">
      <w:pPr>
        <w:pStyle w:val="footnote"/>
      </w:pPr>
      <w:r>
        <w:rPr>
          <w:vertAlign w:val="superscript"/>
        </w:rPr>
        <w:footnoteRef/>
      </w:r>
      <w:r>
        <w:t xml:space="preserve">Agreement on Trade-Related Aspects of Intellectual Property Rights (TRIPS), Apr. 15, 1994, Marrakesh Agreement Establishing the World Trade Organization, Annex 1C, 1869 U.N.T.S. 299, 33 I.L.M. 1197 (1994). TRIPS resulted from the recognition of a need to harmonize the different substantive and procedural laws relating to intellectual property rights existing in the General Agreement on Tariffs and Trade (GATT) Member States and to ensure that “measures and procedures to enforce intellectual property rights do not themselves become barriers to legitimate trade.” TRIPS incorporated the Berne Term of protection under the doctrine of incorporation by reference. TRIPS does not impair existing obligations of the Berne Convention but provides for “plus elements” where a body of law to build on already exists. World Trade Organization (WTO) members are to comply with these provisions even if not party to Berne Convention. Furthermore TRIPS added computer programs and databases to the list of protected works. </w:t>
      </w:r>
    </w:p>
  </w:footnote>
  <w:footnote w:id="123">
    <w:p w14:paraId="6213994C" w14:textId="77777777" w:rsidR="007F4378" w:rsidRDefault="007F4378" w:rsidP="00943E1C">
      <w:pPr>
        <w:pStyle w:val="footnote"/>
      </w:pPr>
      <w:r>
        <w:rPr>
          <w:vertAlign w:val="superscript"/>
        </w:rPr>
        <w:footnoteRef/>
      </w:r>
      <w:r>
        <w:t xml:space="preserve">WIPO Copyright Treaty, Dec. 20, 1996, 2186 U.N.T.S. 121, S. Treaty Doc. No. 105-17 (1997); 36 I.L.M. 65 (1997). The WCT, like TRIPS, incorporates Berne Convention terms of protection as a basic standard (Article 1(4)). Unlike TRIPS, however, the WCT does not have a specific provision in relation to the term of protection. Like TRIPS, the WTC adds computer programs and databases to the list of protected works. </w:t>
      </w:r>
    </w:p>
  </w:footnote>
  <w:footnote w:id="124">
    <w:p w14:paraId="24ECF54B" w14:textId="77777777" w:rsidR="007F4378" w:rsidRDefault="007F4378" w:rsidP="00943E1C">
      <w:pPr>
        <w:pStyle w:val="footnote"/>
      </w:pPr>
      <w:r>
        <w:rPr>
          <w:vertAlign w:val="superscript"/>
        </w:rPr>
        <w:footnoteRef/>
      </w:r>
      <w:r>
        <w:t xml:space="preserve">WIPO Performances and Phonograms Treaty, Dec. 20, 1996, 2186 U.N.T.S. 203, S. Treaty Doc. No. 105-17 (1997); 36 I.L.M. 76 (1997). </w:t>
      </w:r>
    </w:p>
  </w:footnote>
  <w:footnote w:id="125">
    <w:p w14:paraId="318AFB50" w14:textId="77777777" w:rsidR="007F4378" w:rsidRDefault="007F4378" w:rsidP="00943E1C">
      <w:pPr>
        <w:pStyle w:val="footnote"/>
      </w:pPr>
      <w:r>
        <w:rPr>
          <w:vertAlign w:val="superscript"/>
        </w:rPr>
        <w:footnoteRef/>
      </w:r>
      <w:r>
        <w:t xml:space="preserve">Official accession took place on November 16, 1988, and the Implementation Act entered into force on March 1, 1989. </w:t>
      </w:r>
    </w:p>
  </w:footnote>
  <w:footnote w:id="126">
    <w:p w14:paraId="3BD80753" w14:textId="77777777" w:rsidR="007F4378" w:rsidRDefault="007F4378" w:rsidP="00943E1C">
      <w:pPr>
        <w:pStyle w:val="footnote"/>
      </w:pPr>
      <w:r>
        <w:rPr>
          <w:vertAlign w:val="superscript"/>
        </w:rPr>
        <w:footnoteRef/>
      </w:r>
      <w:r>
        <w:t xml:space="preserve">Pub. L. No. 105-304, 112 Stat. 2860 (Oct. 28, 1998). </w:t>
      </w:r>
    </w:p>
  </w:footnote>
  <w:footnote w:id="127">
    <w:p w14:paraId="699DDE21" w14:textId="77777777" w:rsidR="007F4378" w:rsidRDefault="007F4378" w:rsidP="00943E1C">
      <w:pPr>
        <w:pStyle w:val="footnote"/>
      </w:pPr>
      <w:r>
        <w:rPr>
          <w:vertAlign w:val="superscript"/>
        </w:rPr>
        <w:footnoteRef/>
      </w:r>
      <w:r>
        <w:t xml:space="preserve">Such a work is called a </w:t>
      </w:r>
      <w:r>
        <w:rPr>
          <w:i/>
          <w:iCs/>
        </w:rPr>
        <w:t>derivative</w:t>
      </w:r>
      <w:r>
        <w:t xml:space="preserve"> work. 17 U.S.C. §101. Translating a copyrighted work from English to French is an example of preparing a derivative work. </w:t>
      </w:r>
    </w:p>
  </w:footnote>
  <w:footnote w:id="128">
    <w:p w14:paraId="685F962A" w14:textId="77777777" w:rsidR="007F4378" w:rsidRDefault="007F4378" w:rsidP="00943E1C">
      <w:pPr>
        <w:pStyle w:val="footnote"/>
      </w:pPr>
      <w:r>
        <w:rPr>
          <w:vertAlign w:val="superscript"/>
        </w:rPr>
        <w:footnoteRef/>
      </w:r>
      <w:r>
        <w:t xml:space="preserve">17 U.S.C. §106. </w:t>
      </w:r>
    </w:p>
  </w:footnote>
  <w:footnote w:id="129">
    <w:p w14:paraId="3610C4F7" w14:textId="77777777" w:rsidR="007F4378" w:rsidRDefault="007F4378" w:rsidP="00943E1C">
      <w:pPr>
        <w:pStyle w:val="footnote"/>
      </w:pPr>
      <w:r>
        <w:rPr>
          <w:vertAlign w:val="superscript"/>
        </w:rPr>
        <w:footnoteRef/>
      </w:r>
      <w:r>
        <w:t xml:space="preserve">17 U.S.C. §1201 </w:t>
      </w:r>
      <w:r>
        <w:rPr>
          <w:i/>
          <w:iCs/>
        </w:rPr>
        <w:t>et seq</w:t>
      </w:r>
      <w:r>
        <w:t xml:space="preserve">. See §2.04.B.4 below for a more detailed discussion of the DMCA. See §2.05.A below for a recent case interpretation of the DMCA. </w:t>
      </w:r>
    </w:p>
  </w:footnote>
  <w:footnote w:id="130">
    <w:p w14:paraId="3C610D4D" w14:textId="77777777" w:rsidR="007F4378" w:rsidRDefault="007F4378" w:rsidP="00943E1C">
      <w:pPr>
        <w:pStyle w:val="footnote"/>
      </w:pPr>
      <w:r>
        <w:rPr>
          <w:vertAlign w:val="superscript"/>
        </w:rPr>
        <w:footnoteRef/>
      </w:r>
      <w:r>
        <w:t xml:space="preserve">17 U.S.C. §§107–20. </w:t>
      </w:r>
    </w:p>
  </w:footnote>
  <w:footnote w:id="131">
    <w:p w14:paraId="72480714" w14:textId="77777777" w:rsidR="007F4378" w:rsidRDefault="007F4378" w:rsidP="00943E1C">
      <w:pPr>
        <w:pStyle w:val="footnote"/>
      </w:pPr>
      <w:r>
        <w:rPr>
          <w:vertAlign w:val="superscript"/>
        </w:rPr>
        <w:footnoteRef/>
      </w:r>
      <w:r>
        <w:t xml:space="preserve">17 U.S.C. §108. </w:t>
      </w:r>
    </w:p>
  </w:footnote>
  <w:footnote w:id="132">
    <w:p w14:paraId="50448EBD" w14:textId="77777777" w:rsidR="007F4378" w:rsidRDefault="007F4378" w:rsidP="00943E1C">
      <w:pPr>
        <w:pStyle w:val="footnote"/>
      </w:pPr>
      <w:r>
        <w:rPr>
          <w:vertAlign w:val="superscript"/>
        </w:rPr>
        <w:footnoteRef/>
      </w:r>
      <w:r>
        <w:t xml:space="preserve">17 U.S.C. §102(a). </w:t>
      </w:r>
    </w:p>
  </w:footnote>
  <w:footnote w:id="133">
    <w:p w14:paraId="7124C7E4" w14:textId="77777777" w:rsidR="007F4378" w:rsidRDefault="007F4378" w:rsidP="00943E1C">
      <w:pPr>
        <w:pStyle w:val="footnote"/>
      </w:pPr>
      <w:r>
        <w:rPr>
          <w:vertAlign w:val="superscript"/>
        </w:rPr>
        <w:footnoteRef/>
      </w:r>
      <w:r>
        <w:rPr>
          <w:i/>
          <w:iCs/>
        </w:rPr>
        <w:t>Id</w:t>
      </w:r>
      <w:r>
        <w:t xml:space="preserve">. </w:t>
      </w:r>
    </w:p>
  </w:footnote>
  <w:footnote w:id="134">
    <w:p w14:paraId="2B1570DD" w14:textId="77777777" w:rsidR="007F4378" w:rsidRDefault="007F4378" w:rsidP="00943E1C">
      <w:pPr>
        <w:pStyle w:val="footnote"/>
      </w:pPr>
      <w:r>
        <w:rPr>
          <w:vertAlign w:val="superscript"/>
        </w:rPr>
        <w:footnoteRef/>
      </w:r>
      <w:r>
        <w:rPr>
          <w:i/>
          <w:iCs/>
        </w:rPr>
        <w:t>Id</w:t>
      </w:r>
      <w:r>
        <w:t xml:space="preserve">. </w:t>
      </w:r>
    </w:p>
  </w:footnote>
  <w:footnote w:id="135">
    <w:p w14:paraId="70978BA6" w14:textId="77777777" w:rsidR="007F4378" w:rsidRDefault="007F4378" w:rsidP="00943E1C">
      <w:pPr>
        <w:pStyle w:val="footnote"/>
      </w:pPr>
      <w:r>
        <w:rPr>
          <w:vertAlign w:val="superscript"/>
        </w:rPr>
        <w:footnoteRef/>
      </w:r>
      <w:r>
        <w:t xml:space="preserve">17 U.S.C. §201(a). </w:t>
      </w:r>
    </w:p>
  </w:footnote>
  <w:footnote w:id="136">
    <w:p w14:paraId="00D55672" w14:textId="77777777" w:rsidR="007F4378" w:rsidRDefault="007F4378" w:rsidP="00943E1C">
      <w:pPr>
        <w:pStyle w:val="footnote"/>
      </w:pPr>
      <w:r>
        <w:rPr>
          <w:vertAlign w:val="superscript"/>
        </w:rPr>
        <w:footnoteRef/>
      </w:r>
      <w:r>
        <w:rPr>
          <w:i/>
          <w:iCs/>
        </w:rPr>
        <w:t>Id</w:t>
      </w:r>
      <w:r>
        <w:t xml:space="preserve">. </w:t>
      </w:r>
    </w:p>
  </w:footnote>
  <w:footnote w:id="137">
    <w:p w14:paraId="1361FFB3" w14:textId="77777777" w:rsidR="007F4378" w:rsidRDefault="007F4378" w:rsidP="00943E1C">
      <w:pPr>
        <w:pStyle w:val="footnote"/>
      </w:pPr>
      <w:r>
        <w:rPr>
          <w:vertAlign w:val="superscript"/>
        </w:rPr>
        <w:footnoteRef/>
      </w:r>
      <w:r>
        <w:rPr>
          <w:i/>
          <w:iCs/>
        </w:rPr>
        <w:t>Id.</w:t>
      </w:r>
      <w:r>
        <w:t xml:space="preserve"> §101. </w:t>
      </w:r>
    </w:p>
  </w:footnote>
  <w:footnote w:id="138">
    <w:p w14:paraId="319B36EB" w14:textId="77777777" w:rsidR="007F4378" w:rsidRDefault="007F4378" w:rsidP="00943E1C">
      <w:pPr>
        <w:pStyle w:val="footnote"/>
      </w:pPr>
      <w:r>
        <w:rPr>
          <w:vertAlign w:val="superscript"/>
        </w:rPr>
        <w:footnoteRef/>
      </w:r>
      <w:r>
        <w:rPr>
          <w:i/>
          <w:iCs/>
        </w:rPr>
        <w:t>Id.</w:t>
      </w:r>
      <w:r>
        <w:t xml:space="preserve"> §201(b). </w:t>
      </w:r>
    </w:p>
  </w:footnote>
  <w:footnote w:id="139">
    <w:p w14:paraId="2A969FE4" w14:textId="77777777" w:rsidR="007F4378" w:rsidRDefault="007F4378" w:rsidP="00943E1C">
      <w:pPr>
        <w:pStyle w:val="footnote"/>
      </w:pPr>
      <w:r>
        <w:rPr>
          <w:vertAlign w:val="superscript"/>
        </w:rPr>
        <w:footnoteRef/>
      </w:r>
      <w:r>
        <w:t xml:space="preserve">The rights are to (1) reproduce copies of the work, (2) prepare new works based on the work, (3) distribute copies of the work, (4) perform the work in public, and (5) display the work in public. 17 U.S.C. §106. </w:t>
      </w:r>
    </w:p>
  </w:footnote>
  <w:footnote w:id="140">
    <w:p w14:paraId="6F80A6BC" w14:textId="77777777" w:rsidR="007F4378" w:rsidRDefault="007F4378" w:rsidP="00943E1C">
      <w:pPr>
        <w:pStyle w:val="footnote"/>
      </w:pPr>
      <w:r>
        <w:rPr>
          <w:vertAlign w:val="superscript"/>
        </w:rPr>
        <w:footnoteRef/>
      </w:r>
      <w:r>
        <w:t xml:space="preserve">17 U.S.C. §201(d). Transfers can, under some circumstances, be terminated. </w:t>
      </w:r>
      <w:r>
        <w:rPr>
          <w:i/>
          <w:iCs/>
        </w:rPr>
        <w:t>Id.</w:t>
      </w:r>
      <w:r>
        <w:t xml:space="preserve"> U.S.C. §203. </w:t>
      </w:r>
    </w:p>
  </w:footnote>
  <w:footnote w:id="141">
    <w:p w14:paraId="358965A2" w14:textId="77777777" w:rsidR="007F4378" w:rsidRDefault="007F4378" w:rsidP="00943E1C">
      <w:pPr>
        <w:pStyle w:val="footnote"/>
      </w:pPr>
      <w:r>
        <w:rPr>
          <w:vertAlign w:val="superscript"/>
        </w:rPr>
        <w:footnoteRef/>
      </w:r>
      <w:r>
        <w:t xml:space="preserve">17 U.S.C. §102(a). </w:t>
      </w:r>
    </w:p>
  </w:footnote>
  <w:footnote w:id="142">
    <w:p w14:paraId="730CC64C" w14:textId="77777777" w:rsidR="007F4378" w:rsidRDefault="007F4378" w:rsidP="00943E1C">
      <w:pPr>
        <w:pStyle w:val="footnote"/>
      </w:pPr>
      <w:r>
        <w:rPr>
          <w:vertAlign w:val="superscript"/>
        </w:rPr>
        <w:footnoteRef/>
      </w:r>
      <w:r>
        <w:rPr>
          <w:i/>
          <w:iCs/>
        </w:rPr>
        <w:t>Id.</w:t>
      </w:r>
      <w:r>
        <w:t xml:space="preserve"> §408(a). </w:t>
      </w:r>
    </w:p>
  </w:footnote>
  <w:footnote w:id="143">
    <w:p w14:paraId="4C2058A1" w14:textId="77777777" w:rsidR="007F4378" w:rsidRDefault="007F4378" w:rsidP="00943E1C">
      <w:pPr>
        <w:pStyle w:val="footnote"/>
      </w:pPr>
      <w:r>
        <w:rPr>
          <w:vertAlign w:val="superscript"/>
        </w:rPr>
        <w:footnoteRef/>
      </w:r>
      <w:r>
        <w:rPr>
          <w:i/>
          <w:iCs/>
        </w:rPr>
        <w:t>Id</w:t>
      </w:r>
      <w:r>
        <w:t xml:space="preserve">. </w:t>
      </w:r>
    </w:p>
  </w:footnote>
  <w:footnote w:id="144">
    <w:p w14:paraId="0FF4FE9E" w14:textId="77777777" w:rsidR="007F4378" w:rsidRDefault="007F4378" w:rsidP="00943E1C">
      <w:pPr>
        <w:pStyle w:val="footnote"/>
      </w:pPr>
      <w:r>
        <w:rPr>
          <w:vertAlign w:val="superscript"/>
        </w:rPr>
        <w:footnoteRef/>
      </w:r>
      <w:r>
        <w:rPr>
          <w:i/>
          <w:iCs/>
        </w:rPr>
        <w:t>Id.</w:t>
      </w:r>
      <w:r>
        <w:t xml:space="preserve"> §409. </w:t>
      </w:r>
    </w:p>
  </w:footnote>
  <w:footnote w:id="145">
    <w:p w14:paraId="44D8BCFA" w14:textId="77777777" w:rsidR="007F4378" w:rsidRDefault="007F4378" w:rsidP="00943E1C">
      <w:pPr>
        <w:pStyle w:val="footnote"/>
      </w:pPr>
      <w:r>
        <w:rPr>
          <w:vertAlign w:val="superscript"/>
        </w:rPr>
        <w:footnoteRef/>
      </w:r>
      <w:r>
        <w:rPr>
          <w:i/>
          <w:iCs/>
        </w:rPr>
        <w:t>Id.</w:t>
      </w:r>
      <w:r>
        <w:t xml:space="preserve"> §501(a). </w:t>
      </w:r>
    </w:p>
  </w:footnote>
  <w:footnote w:id="146">
    <w:p w14:paraId="49D6AAE5" w14:textId="77777777" w:rsidR="007F4378" w:rsidRDefault="007F4378" w:rsidP="00943E1C">
      <w:pPr>
        <w:pStyle w:val="footnote"/>
      </w:pPr>
      <w:r>
        <w:rPr>
          <w:vertAlign w:val="superscript"/>
        </w:rPr>
        <w:footnoteRef/>
      </w:r>
      <w:r>
        <w:t xml:space="preserve">17 U.S.C. §411(a). </w:t>
      </w:r>
    </w:p>
  </w:footnote>
  <w:footnote w:id="147">
    <w:p w14:paraId="4B66F87E" w14:textId="77777777" w:rsidR="007F4378" w:rsidRDefault="007F4378" w:rsidP="00943E1C">
      <w:pPr>
        <w:pStyle w:val="footnote"/>
      </w:pPr>
      <w:r>
        <w:rPr>
          <w:vertAlign w:val="superscript"/>
        </w:rPr>
        <w:footnoteRef/>
      </w:r>
      <w:r>
        <w:rPr>
          <w:i/>
          <w:iCs/>
        </w:rPr>
        <w:t>Id</w:t>
      </w:r>
      <w:r>
        <w:t xml:space="preserve">. </w:t>
      </w:r>
    </w:p>
  </w:footnote>
  <w:footnote w:id="148">
    <w:p w14:paraId="4857E9CB" w14:textId="77777777" w:rsidR="007F4378" w:rsidRDefault="007F4378" w:rsidP="00943E1C">
      <w:pPr>
        <w:pStyle w:val="footnote"/>
      </w:pPr>
      <w:r>
        <w:rPr>
          <w:vertAlign w:val="superscript"/>
        </w:rPr>
        <w:footnoteRef/>
      </w:r>
      <w:proofErr w:type="spellStart"/>
      <w:r>
        <w:t>Arnstein</w:t>
      </w:r>
      <w:proofErr w:type="spellEnd"/>
      <w:r>
        <w:t xml:space="preserve"> v. Porter, 154 F.2d 464, 68 USPQ 288, 293 (2d Cir. 1946). </w:t>
      </w:r>
    </w:p>
  </w:footnote>
  <w:footnote w:id="149">
    <w:p w14:paraId="6FB0D96D" w14:textId="77777777" w:rsidR="007F4378" w:rsidRDefault="007F4378" w:rsidP="00943E1C">
      <w:pPr>
        <w:pStyle w:val="footnote"/>
      </w:pPr>
      <w:r>
        <w:rPr>
          <w:vertAlign w:val="superscript"/>
        </w:rPr>
        <w:footnoteRef/>
      </w:r>
      <w:r>
        <w:rPr>
          <w:i/>
          <w:iCs/>
        </w:rPr>
        <w:t>Id</w:t>
      </w:r>
      <w:r>
        <w:t xml:space="preserve">. </w:t>
      </w:r>
    </w:p>
  </w:footnote>
  <w:footnote w:id="150">
    <w:p w14:paraId="6E920BC7" w14:textId="77777777" w:rsidR="007F4378" w:rsidRDefault="007F4378" w:rsidP="00943E1C">
      <w:pPr>
        <w:pStyle w:val="footnote"/>
      </w:pPr>
      <w:r>
        <w:rPr>
          <w:vertAlign w:val="superscript"/>
        </w:rPr>
        <w:footnoteRef/>
      </w:r>
      <w:r>
        <w:rPr>
          <w:i/>
          <w:iCs/>
        </w:rPr>
        <w:t>Id</w:t>
      </w:r>
      <w:r>
        <w:t xml:space="preserve">. </w:t>
      </w:r>
    </w:p>
  </w:footnote>
  <w:footnote w:id="151">
    <w:p w14:paraId="73DAC1C2" w14:textId="77777777" w:rsidR="007F4378" w:rsidRDefault="007F4378" w:rsidP="00943E1C">
      <w:pPr>
        <w:pStyle w:val="footnote"/>
      </w:pPr>
      <w:r>
        <w:rPr>
          <w:vertAlign w:val="superscript"/>
        </w:rPr>
        <w:footnoteRef/>
      </w:r>
      <w:r>
        <w:rPr>
          <w:i/>
          <w:iCs/>
        </w:rPr>
        <w:t>Id</w:t>
      </w:r>
      <w:r>
        <w:t xml:space="preserve">. </w:t>
      </w:r>
    </w:p>
  </w:footnote>
  <w:footnote w:id="152">
    <w:p w14:paraId="2A48220B" w14:textId="77777777" w:rsidR="007F4378" w:rsidRDefault="007F4378" w:rsidP="00943E1C">
      <w:pPr>
        <w:pStyle w:val="footnote"/>
      </w:pPr>
      <w:r>
        <w:rPr>
          <w:vertAlign w:val="superscript"/>
        </w:rPr>
        <w:footnoteRef/>
      </w:r>
      <w:r>
        <w:rPr>
          <w:smallCaps/>
        </w:rPr>
        <w:t>Paul Goldstein, Copyright: Principles, Law &amp; Practice</w:t>
      </w:r>
      <w:r>
        <w:t xml:space="preserve"> §7.3.1 (1989). </w:t>
      </w:r>
    </w:p>
  </w:footnote>
  <w:footnote w:id="153">
    <w:p w14:paraId="2C4ECF7F" w14:textId="77777777" w:rsidR="007F4378" w:rsidRDefault="007F4378" w:rsidP="00943E1C">
      <w:pPr>
        <w:pStyle w:val="footnote"/>
      </w:pPr>
      <w:r>
        <w:rPr>
          <w:vertAlign w:val="superscript"/>
        </w:rPr>
        <w:footnoteRef/>
      </w:r>
      <w:r>
        <w:rPr>
          <w:i/>
          <w:iCs/>
        </w:rPr>
        <w:t>Id</w:t>
      </w:r>
      <w:r>
        <w:t xml:space="preserve">. §7.3.2. </w:t>
      </w:r>
    </w:p>
  </w:footnote>
  <w:footnote w:id="154">
    <w:p w14:paraId="667B0A42" w14:textId="77777777" w:rsidR="007F4378" w:rsidRDefault="007F4378" w:rsidP="00943E1C">
      <w:pPr>
        <w:pStyle w:val="footnote"/>
      </w:pPr>
      <w:r>
        <w:rPr>
          <w:vertAlign w:val="superscript"/>
        </w:rPr>
        <w:footnoteRef/>
      </w:r>
      <w:r>
        <w:t xml:space="preserve">17 U.S.C. §502(a). </w:t>
      </w:r>
    </w:p>
  </w:footnote>
  <w:footnote w:id="155">
    <w:p w14:paraId="19457EFD" w14:textId="77777777" w:rsidR="007F4378" w:rsidRDefault="007F4378" w:rsidP="00943E1C">
      <w:pPr>
        <w:pStyle w:val="footnote"/>
      </w:pPr>
      <w:r>
        <w:rPr>
          <w:vertAlign w:val="superscript"/>
        </w:rPr>
        <w:footnoteRef/>
      </w:r>
      <w:r>
        <w:rPr>
          <w:i/>
          <w:iCs/>
        </w:rPr>
        <w:t>Id.</w:t>
      </w:r>
      <w:r>
        <w:t xml:space="preserve"> §503. </w:t>
      </w:r>
    </w:p>
  </w:footnote>
  <w:footnote w:id="156">
    <w:p w14:paraId="1A2570CD" w14:textId="77777777" w:rsidR="007F4378" w:rsidRDefault="007F4378" w:rsidP="00943E1C">
      <w:pPr>
        <w:pStyle w:val="footnote"/>
      </w:pPr>
      <w:r>
        <w:rPr>
          <w:vertAlign w:val="superscript"/>
        </w:rPr>
        <w:footnoteRef/>
      </w:r>
      <w:r>
        <w:rPr>
          <w:i/>
          <w:iCs/>
        </w:rPr>
        <w:t>Id.</w:t>
      </w:r>
      <w:r>
        <w:t xml:space="preserve"> §504(b). </w:t>
      </w:r>
    </w:p>
  </w:footnote>
  <w:footnote w:id="157">
    <w:p w14:paraId="2965277D" w14:textId="77777777" w:rsidR="007F4378" w:rsidRDefault="007F4378" w:rsidP="00943E1C">
      <w:pPr>
        <w:pStyle w:val="footnote"/>
      </w:pPr>
      <w:r>
        <w:rPr>
          <w:vertAlign w:val="superscript"/>
        </w:rPr>
        <w:footnoteRef/>
      </w:r>
      <w:r>
        <w:rPr>
          <w:i/>
          <w:iCs/>
        </w:rPr>
        <w:t>Id.</w:t>
      </w:r>
      <w:r>
        <w:t xml:space="preserve"> §504(c). </w:t>
      </w:r>
    </w:p>
  </w:footnote>
  <w:footnote w:id="158">
    <w:p w14:paraId="28A8B709" w14:textId="77777777" w:rsidR="007F4378" w:rsidRDefault="007F4378" w:rsidP="00943E1C">
      <w:pPr>
        <w:pStyle w:val="footnote"/>
      </w:pPr>
      <w:r>
        <w:rPr>
          <w:vertAlign w:val="superscript"/>
        </w:rPr>
        <w:footnoteRef/>
      </w:r>
      <w:r>
        <w:rPr>
          <w:i/>
          <w:iCs/>
        </w:rPr>
        <w:t>Id.</w:t>
      </w:r>
      <w:r>
        <w:t xml:space="preserve"> §504(c)(2). </w:t>
      </w:r>
    </w:p>
  </w:footnote>
  <w:footnote w:id="159">
    <w:p w14:paraId="6B8298D4" w14:textId="77777777" w:rsidR="007F4378" w:rsidRDefault="007F4378" w:rsidP="00943E1C">
      <w:pPr>
        <w:pStyle w:val="footnote"/>
      </w:pPr>
      <w:r>
        <w:rPr>
          <w:vertAlign w:val="superscript"/>
        </w:rPr>
        <w:footnoteRef/>
      </w:r>
      <w:r>
        <w:rPr>
          <w:i/>
          <w:iCs/>
        </w:rPr>
        <w:t>Id.</w:t>
      </w:r>
      <w:r>
        <w:t xml:space="preserve"> §505. </w:t>
      </w:r>
    </w:p>
  </w:footnote>
  <w:footnote w:id="160">
    <w:p w14:paraId="0C2DDE93" w14:textId="77777777" w:rsidR="007F4378" w:rsidRDefault="007F4378" w:rsidP="00943E1C">
      <w:pPr>
        <w:pStyle w:val="footnote"/>
      </w:pPr>
      <w:r>
        <w:rPr>
          <w:vertAlign w:val="superscript"/>
        </w:rPr>
        <w:footnoteRef/>
      </w:r>
      <w:r>
        <w:t xml:space="preserve">17 U.S.C. §102(a)(1), (6). </w:t>
      </w:r>
    </w:p>
  </w:footnote>
  <w:footnote w:id="161">
    <w:p w14:paraId="56C0740F" w14:textId="77777777" w:rsidR="007F4378" w:rsidRDefault="007F4378" w:rsidP="00943E1C">
      <w:pPr>
        <w:pStyle w:val="footnote"/>
      </w:pPr>
      <w:r>
        <w:rPr>
          <w:vertAlign w:val="superscript"/>
        </w:rPr>
        <w:footnoteRef/>
      </w:r>
      <w:r>
        <w:rPr>
          <w:i/>
          <w:iCs/>
        </w:rPr>
        <w:t>Id.</w:t>
      </w:r>
      <w:r>
        <w:t xml:space="preserve"> §101. </w:t>
      </w:r>
    </w:p>
  </w:footnote>
  <w:footnote w:id="162">
    <w:p w14:paraId="3031484E" w14:textId="77777777" w:rsidR="007F4378" w:rsidRDefault="007F4378" w:rsidP="00943E1C">
      <w:pPr>
        <w:pStyle w:val="footnote"/>
      </w:pPr>
      <w:r>
        <w:rPr>
          <w:vertAlign w:val="superscript"/>
        </w:rPr>
        <w:footnoteRef/>
      </w:r>
      <w:r>
        <w:rPr>
          <w:i/>
          <w:iCs/>
        </w:rPr>
        <w:t>Id</w:t>
      </w:r>
      <w:r>
        <w:t xml:space="preserve">. </w:t>
      </w:r>
    </w:p>
  </w:footnote>
  <w:footnote w:id="163">
    <w:p w14:paraId="6DAF9E8B" w14:textId="77777777" w:rsidR="007F4378" w:rsidRDefault="007F4378" w:rsidP="00943E1C">
      <w:pPr>
        <w:pStyle w:val="footnote"/>
      </w:pPr>
      <w:r>
        <w:rPr>
          <w:vertAlign w:val="superscript"/>
        </w:rPr>
        <w:footnoteRef/>
      </w:r>
      <w:r>
        <w:t xml:space="preserve">17 U.S.C. §102(b). </w:t>
      </w:r>
    </w:p>
  </w:footnote>
  <w:footnote w:id="164">
    <w:p w14:paraId="05621BE8" w14:textId="77777777" w:rsidR="007F4378" w:rsidRDefault="007F4378" w:rsidP="00943E1C">
      <w:pPr>
        <w:pStyle w:val="footnote"/>
      </w:pPr>
      <w:r>
        <w:rPr>
          <w:vertAlign w:val="superscript"/>
        </w:rPr>
        <w:footnoteRef/>
      </w:r>
      <w:r>
        <w:rPr>
          <w:i/>
          <w:iCs/>
        </w:rPr>
        <w:t>Id</w:t>
      </w:r>
      <w:r>
        <w:t xml:space="preserve">. </w:t>
      </w:r>
    </w:p>
  </w:footnote>
  <w:footnote w:id="165">
    <w:p w14:paraId="1FD54BDB" w14:textId="77777777" w:rsidR="007F4378" w:rsidRDefault="007F4378" w:rsidP="00943E1C">
      <w:pPr>
        <w:pStyle w:val="footnote"/>
      </w:pPr>
      <w:r>
        <w:rPr>
          <w:vertAlign w:val="superscript"/>
        </w:rPr>
        <w:footnoteRef/>
      </w:r>
      <w:r>
        <w:rPr>
          <w:i/>
          <w:iCs/>
        </w:rPr>
        <w:t>See</w:t>
      </w:r>
      <w:r>
        <w:t xml:space="preserve"> U.S. Copyright Office, Compendium of Copyright Practices (3d ed. 2014). The Compendium “provides guidance to copyright applicants, practitioners, scholars, the courts, and members of the general public regarding institutional practices and related principles of law.” </w:t>
      </w:r>
      <w:r>
        <w:rPr>
          <w:i/>
          <w:iCs/>
        </w:rPr>
        <w:t>Id</w:t>
      </w:r>
      <w:r>
        <w:t xml:space="preserve">. Intro. at 1. The Copyright Office first published the Compendium in 1967 and released the second edition in 1984. </w:t>
      </w:r>
      <w:r>
        <w:rPr>
          <w:i/>
          <w:iCs/>
        </w:rPr>
        <w:t>Id.</w:t>
      </w:r>
      <w:r>
        <w:t xml:space="preserve"> Intro. at 4. It revised the second edition of the Compendium in 1988 and again in 1998. </w:t>
      </w:r>
      <w:r>
        <w:rPr>
          <w:i/>
          <w:iCs/>
        </w:rPr>
        <w:t>See</w:t>
      </w:r>
      <w:r>
        <w:t xml:space="preserve"> U.S. Copyright Office, Compendium of Copyright Practices (2d ed. 1984). The Copyright Office released a draft of third edition of the Compendium on August 19, 2014. U.S. Copyright Office, U.S. Copyright Office Announcement Regarding Release of a Draft of the Compendium of U.S. Copyright Office Practices, Third Edition (Aug. 19, 2014), http://copyright.gov/newsnet/2014/555.html. This draft was the first major revision of the Compendium in over 20 years. The Copyright Office released the final version of the third edition on December 22, 2014, and it became effective immediately. </w:t>
      </w:r>
    </w:p>
  </w:footnote>
  <w:footnote w:id="166">
    <w:p w14:paraId="54CBC95A" w14:textId="77777777" w:rsidR="007F4378" w:rsidRDefault="007F4378" w:rsidP="00943E1C">
      <w:pPr>
        <w:pStyle w:val="footnote"/>
      </w:pPr>
      <w:r>
        <w:rPr>
          <w:vertAlign w:val="superscript"/>
        </w:rPr>
        <w:footnoteRef/>
      </w:r>
      <w:r>
        <w:t xml:space="preserve">323 U.S. 134, 140 (1944). The Second, Sixth, Ninth, Eleventh, and District of Columbia Circuits afford the Copyright Office’s interpretations </w:t>
      </w:r>
      <w:r>
        <w:rPr>
          <w:i/>
          <w:iCs/>
        </w:rPr>
        <w:t>Skidmore</w:t>
      </w:r>
      <w:r>
        <w:t xml:space="preserve"> deference. </w:t>
      </w:r>
      <w:r>
        <w:rPr>
          <w:i/>
          <w:iCs/>
        </w:rPr>
        <w:t>See</w:t>
      </w:r>
      <w:r>
        <w:t xml:space="preserve"> Cartoon Network LP v. CSC Holdings, Inc., 536 F.3d 121, 129 (2d Cir. 2008) (“We assume, as the parties do, that the Copyright Office’s pronouncement deserves only </w:t>
      </w:r>
      <w:r>
        <w:rPr>
          <w:i/>
          <w:iCs/>
        </w:rPr>
        <w:t>Skidmore</w:t>
      </w:r>
      <w:r>
        <w:t xml:space="preserve"> deference, deference based on its power to persuade.‘”); Varsity Brands, Inc. v. Star Athletica, LLC, 799 F.3d 468, 479–81 (6th Cir. 2015) (collecting cases and holding that Copyright Office’s determination that work is protectable is entitled to </w:t>
      </w:r>
      <w:r>
        <w:rPr>
          <w:i/>
          <w:iCs/>
        </w:rPr>
        <w:t>Skidmore</w:t>
      </w:r>
      <w:r>
        <w:t xml:space="preserve"> deference); Inhale, Inc. v. </w:t>
      </w:r>
      <w:proofErr w:type="spellStart"/>
      <w:r>
        <w:t>Starbuzz</w:t>
      </w:r>
      <w:proofErr w:type="spellEnd"/>
      <w:r>
        <w:t xml:space="preserve"> Tobacco, Inc., 755 F.3d 1038, 1041 (9th Cir. 2014); </w:t>
      </w:r>
      <w:proofErr w:type="spellStart"/>
      <w:r>
        <w:t>Olem</w:t>
      </w:r>
      <w:proofErr w:type="spellEnd"/>
      <w:r>
        <w:t xml:space="preserve"> Shoe Corp. v. Washington Shoe Corp., 591 F. </w:t>
      </w:r>
      <w:proofErr w:type="spellStart"/>
      <w:r>
        <w:t>App’x</w:t>
      </w:r>
      <w:proofErr w:type="spellEnd"/>
      <w:r>
        <w:t xml:space="preserve"> 873, 882 (11th Cir. 2015) (giving </w:t>
      </w:r>
      <w:r>
        <w:rPr>
          <w:i/>
          <w:iCs/>
        </w:rPr>
        <w:t>Skidmore</w:t>
      </w:r>
      <w:r>
        <w:t xml:space="preserve"> deference to Compendium’s interpretation “as the copyright law is ‘highly detailed’ and it is apparent that the Copyright Office ‘can bring the benefit of specialized experience to bear on the subtle questions in this case.’”); Cablevision Sys. Dev. Co. v. Motion Picture </w:t>
      </w:r>
      <w:proofErr w:type="spellStart"/>
      <w:r>
        <w:t>Ass’n</w:t>
      </w:r>
      <w:proofErr w:type="spellEnd"/>
      <w:r>
        <w:t xml:space="preserve"> of Am., Inc., 836 F.2d 599, 610 (D.C. Cir. 1988) (Copyright Office’s “interpretations are therefore due the same deference given those of any other agency.”). The Third Circuit has also deferred to the Copyright Office but without stating to what degree. </w:t>
      </w:r>
      <w:r>
        <w:rPr>
          <w:i/>
          <w:iCs/>
        </w:rPr>
        <w:t>See</w:t>
      </w:r>
      <w:r>
        <w:t xml:space="preserve"> Southco, Inc. v. </w:t>
      </w:r>
      <w:proofErr w:type="spellStart"/>
      <w:r>
        <w:t>Kanebridge</w:t>
      </w:r>
      <w:proofErr w:type="spellEnd"/>
      <w:r>
        <w:t xml:space="preserve"> Corp., 390 F.3d 276, 286 n.5 (3d Cir. 2004) (</w:t>
      </w:r>
      <w:proofErr w:type="spellStart"/>
      <w:r>
        <w:t>en</w:t>
      </w:r>
      <w:proofErr w:type="spellEnd"/>
      <w:r>
        <w:t xml:space="preserve"> banc) (noting “the practice of the Copyright Office reflects a body of experience and informed judgment to which courts and litigants may properly resort for guidance” but declining to “decide what degree of deference is warranted under the circumstances”) (quotation omitted). </w:t>
      </w:r>
    </w:p>
  </w:footnote>
  <w:footnote w:id="167">
    <w:p w14:paraId="28F875C3" w14:textId="77777777" w:rsidR="007F4378" w:rsidRDefault="007F4378" w:rsidP="00943E1C">
      <w:pPr>
        <w:pStyle w:val="footnote"/>
      </w:pPr>
      <w:r>
        <w:rPr>
          <w:vertAlign w:val="superscript"/>
        </w:rPr>
        <w:footnoteRef/>
      </w:r>
      <w:r>
        <w:t xml:space="preserve">United States v. Mead, Corp., 533 U.S. 218, 227 (2001). </w:t>
      </w:r>
    </w:p>
  </w:footnote>
  <w:footnote w:id="168">
    <w:p w14:paraId="5ECA7B2D" w14:textId="77777777" w:rsidR="007F4378" w:rsidRDefault="007F4378" w:rsidP="00943E1C">
      <w:pPr>
        <w:pStyle w:val="footnote"/>
      </w:pPr>
      <w:r>
        <w:rPr>
          <w:vertAlign w:val="superscript"/>
        </w:rPr>
        <w:footnoteRef/>
      </w:r>
      <w:r>
        <w:rPr>
          <w:smallCaps/>
        </w:rPr>
        <w:t>U.S. Copyright Office, Compendium of Copyright Practices</w:t>
      </w:r>
      <w:r>
        <w:t xml:space="preserve"> §721 (3d ed. 2014). </w:t>
      </w:r>
    </w:p>
  </w:footnote>
  <w:footnote w:id="169">
    <w:p w14:paraId="18E4562D" w14:textId="77777777" w:rsidR="007F4378" w:rsidRDefault="007F4378" w:rsidP="00943E1C">
      <w:pPr>
        <w:pStyle w:val="footnote"/>
      </w:pPr>
      <w:r>
        <w:rPr>
          <w:vertAlign w:val="superscript"/>
        </w:rPr>
        <w:footnoteRef/>
      </w:r>
      <w:r>
        <w:rPr>
          <w:i/>
          <w:iCs/>
        </w:rPr>
        <w:t>Id.</w:t>
      </w:r>
      <w:r>
        <w:t xml:space="preserve"> §721.1. </w:t>
      </w:r>
    </w:p>
  </w:footnote>
  <w:footnote w:id="170">
    <w:p w14:paraId="0ACAB43F" w14:textId="77777777" w:rsidR="007F4378" w:rsidRDefault="007F4378" w:rsidP="00943E1C">
      <w:pPr>
        <w:pStyle w:val="footnote"/>
      </w:pPr>
      <w:r>
        <w:rPr>
          <w:vertAlign w:val="superscript"/>
        </w:rPr>
        <w:footnoteRef/>
      </w:r>
      <w:r>
        <w:rPr>
          <w:i/>
          <w:iCs/>
        </w:rPr>
        <w:t>Id.</w:t>
      </w:r>
      <w:r>
        <w:t xml:space="preserve"> §722. </w:t>
      </w:r>
    </w:p>
  </w:footnote>
  <w:footnote w:id="171">
    <w:p w14:paraId="1D719BB2" w14:textId="77777777" w:rsidR="007F4378" w:rsidRDefault="007F4378" w:rsidP="00943E1C">
      <w:pPr>
        <w:pStyle w:val="footnote"/>
      </w:pPr>
      <w:r>
        <w:rPr>
          <w:vertAlign w:val="superscript"/>
        </w:rPr>
        <w:footnoteRef/>
      </w:r>
      <w:r>
        <w:rPr>
          <w:i/>
          <w:iCs/>
        </w:rPr>
        <w:t>Id.</w:t>
      </w:r>
      <w:r>
        <w:t xml:space="preserve"> §726. </w:t>
      </w:r>
    </w:p>
  </w:footnote>
  <w:footnote w:id="172">
    <w:p w14:paraId="2A6EC818" w14:textId="77777777" w:rsidR="007F4378" w:rsidRDefault="007F4378" w:rsidP="00943E1C">
      <w:pPr>
        <w:pStyle w:val="footnote"/>
      </w:pPr>
      <w:r>
        <w:rPr>
          <w:vertAlign w:val="superscript"/>
        </w:rPr>
        <w:footnoteRef/>
      </w:r>
      <w:r>
        <w:rPr>
          <w:i/>
          <w:iCs/>
        </w:rPr>
        <w:t xml:space="preserve">Id. </w:t>
      </w:r>
      <w:r>
        <w:t xml:space="preserve">§727. </w:t>
      </w:r>
    </w:p>
  </w:footnote>
  <w:footnote w:id="173">
    <w:p w14:paraId="76FEFEAE" w14:textId="77777777" w:rsidR="007F4378" w:rsidRDefault="007F4378" w:rsidP="00943E1C">
      <w:pPr>
        <w:pStyle w:val="footnote"/>
      </w:pPr>
      <w:r>
        <w:rPr>
          <w:vertAlign w:val="superscript"/>
        </w:rPr>
        <w:footnoteRef/>
      </w:r>
      <w:r>
        <w:rPr>
          <w:smallCaps/>
        </w:rPr>
        <w:t>Compendium</w:t>
      </w:r>
      <w:r>
        <w:t xml:space="preserve">, </w:t>
      </w:r>
      <w:proofErr w:type="spellStart"/>
      <w:r>
        <w:t>ch.</w:t>
      </w:r>
      <w:proofErr w:type="spellEnd"/>
      <w:r>
        <w:t xml:space="preserve"> 1000. </w:t>
      </w:r>
    </w:p>
  </w:footnote>
  <w:footnote w:id="174">
    <w:p w14:paraId="2F7D61BB" w14:textId="77777777" w:rsidR="007F4378" w:rsidRDefault="007F4378" w:rsidP="00943E1C">
      <w:pPr>
        <w:pStyle w:val="footnote"/>
      </w:pPr>
      <w:r>
        <w:rPr>
          <w:vertAlign w:val="superscript"/>
        </w:rPr>
        <w:footnoteRef/>
      </w:r>
      <w:r>
        <w:rPr>
          <w:i/>
          <w:iCs/>
        </w:rPr>
        <w:t>Id.</w:t>
      </w:r>
      <w:r>
        <w:t xml:space="preserve"> </w:t>
      </w:r>
      <w:proofErr w:type="spellStart"/>
      <w:r>
        <w:t>ch.</w:t>
      </w:r>
      <w:proofErr w:type="spellEnd"/>
      <w:r>
        <w:t xml:space="preserve"> 1200. </w:t>
      </w:r>
    </w:p>
  </w:footnote>
  <w:footnote w:id="175">
    <w:p w14:paraId="781B1AF9" w14:textId="77777777" w:rsidR="007F4378" w:rsidRDefault="007F4378" w:rsidP="00943E1C">
      <w:pPr>
        <w:pStyle w:val="footnote"/>
      </w:pPr>
      <w:r>
        <w:rPr>
          <w:vertAlign w:val="superscript"/>
        </w:rPr>
        <w:footnoteRef/>
      </w:r>
      <w:r>
        <w:t xml:space="preserve">35 U.S.C. §101. </w:t>
      </w:r>
    </w:p>
  </w:footnote>
  <w:footnote w:id="176">
    <w:p w14:paraId="42E6ACB5" w14:textId="77777777" w:rsidR="007F4378" w:rsidRDefault="007F4378" w:rsidP="00943E1C">
      <w:pPr>
        <w:pStyle w:val="footnote"/>
      </w:pPr>
      <w:r>
        <w:rPr>
          <w:vertAlign w:val="superscript"/>
        </w:rPr>
        <w:footnoteRef/>
      </w:r>
      <w:r>
        <w:t xml:space="preserve">17 U.S.C. §102(a). </w:t>
      </w:r>
    </w:p>
  </w:footnote>
  <w:footnote w:id="177">
    <w:p w14:paraId="267C651C" w14:textId="77777777" w:rsidR="007F4378" w:rsidRDefault="007F4378" w:rsidP="00943E1C">
      <w:pPr>
        <w:pStyle w:val="footnote"/>
      </w:pPr>
      <w:r>
        <w:rPr>
          <w:vertAlign w:val="superscript"/>
        </w:rPr>
        <w:footnoteRef/>
      </w:r>
      <w:r>
        <w:rPr>
          <w:i/>
          <w:iCs/>
        </w:rPr>
        <w:t>Id</w:t>
      </w:r>
      <w:r>
        <w:t xml:space="preserve">. </w:t>
      </w:r>
    </w:p>
  </w:footnote>
  <w:footnote w:id="178">
    <w:p w14:paraId="0D3FB659" w14:textId="77777777" w:rsidR="007F4378" w:rsidRDefault="007F4378" w:rsidP="00943E1C">
      <w:pPr>
        <w:pStyle w:val="footnote"/>
      </w:pPr>
      <w:r>
        <w:rPr>
          <w:vertAlign w:val="superscript"/>
        </w:rPr>
        <w:footnoteRef/>
      </w:r>
      <w:r>
        <w:t xml:space="preserve">35 U.S.C. §154(a)(2). The patent term for a plant or utility patent whose application was filed on or after June 8, 1995, begins on the issue date and ends 20 years from the U.S. filing date. If the application claims the benefit of an earlier-filed application, the patent term ends 20 years from the earliest effective U.S. filing date. If the application was under the Patent Cooperation Treaty, the term ends 20 years from the application’s international filing date. Neither foreign priority nor priority to a provisional application influences the calculation of the patent term. MPEP §1309.01 (MPEP 8th ed. Rev. 3, Aug. 2005). </w:t>
      </w:r>
    </w:p>
  </w:footnote>
  <w:footnote w:id="179">
    <w:p w14:paraId="60431945" w14:textId="77777777" w:rsidR="007F4378" w:rsidRDefault="007F4378" w:rsidP="00943E1C">
      <w:pPr>
        <w:pStyle w:val="footnote"/>
      </w:pPr>
      <w:r>
        <w:rPr>
          <w:vertAlign w:val="superscript"/>
        </w:rPr>
        <w:footnoteRef/>
      </w:r>
      <w:r>
        <w:t xml:space="preserve">17 U.S.C. §302(a). </w:t>
      </w:r>
      <w:r>
        <w:rPr>
          <w:i/>
          <w:iCs/>
        </w:rPr>
        <w:t>See generally</w:t>
      </w:r>
      <w:r>
        <w:t xml:space="preserve"> 17 U.S.C. §302. </w:t>
      </w:r>
    </w:p>
  </w:footnote>
  <w:footnote w:id="180">
    <w:p w14:paraId="092D5AF7" w14:textId="77777777" w:rsidR="007F4378" w:rsidRDefault="007F4378" w:rsidP="00943E1C">
      <w:pPr>
        <w:pStyle w:val="footnote"/>
      </w:pPr>
      <w:r>
        <w:rPr>
          <w:vertAlign w:val="superscript"/>
        </w:rPr>
        <w:footnoteRef/>
      </w:r>
      <w:r>
        <w:rPr>
          <w:i/>
          <w:iCs/>
        </w:rPr>
        <w:t>Id</w:t>
      </w:r>
      <w:r>
        <w:t xml:space="preserve">. §302(c). A </w:t>
      </w:r>
      <w:r>
        <w:rPr>
          <w:i/>
          <w:iCs/>
        </w:rPr>
        <w:t>work made for hire</w:t>
      </w:r>
      <w:r>
        <w:t xml:space="preserve"> is either a work prepared by an employee within the scope of employment or a work specially ordered or commissioned that is accompanied by an express agreement that the work shall be considered a work made for hire. </w:t>
      </w:r>
      <w:r>
        <w:rPr>
          <w:i/>
          <w:iCs/>
        </w:rPr>
        <w:t>Id</w:t>
      </w:r>
      <w:r>
        <w:t xml:space="preserve">. §101; </w:t>
      </w:r>
      <w:r>
        <w:rPr>
          <w:i/>
          <w:iCs/>
        </w:rPr>
        <w:t>see also</w:t>
      </w:r>
      <w:r>
        <w:t xml:space="preserve"> </w:t>
      </w:r>
      <w:r>
        <w:rPr>
          <w:i/>
          <w:iCs/>
        </w:rPr>
        <w:t>id</w:t>
      </w:r>
      <w:r>
        <w:t xml:space="preserve">. §302. </w:t>
      </w:r>
    </w:p>
  </w:footnote>
  <w:footnote w:id="181">
    <w:p w14:paraId="2C07629D" w14:textId="77777777" w:rsidR="007F4378" w:rsidRDefault="007F4378" w:rsidP="00943E1C">
      <w:pPr>
        <w:pStyle w:val="footnote"/>
      </w:pPr>
      <w:r>
        <w:rPr>
          <w:vertAlign w:val="superscript"/>
        </w:rPr>
        <w:footnoteRef/>
      </w:r>
      <w:r>
        <w:t xml:space="preserve">Patent Act of 1790, </w:t>
      </w:r>
      <w:proofErr w:type="spellStart"/>
      <w:r>
        <w:t>ch.</w:t>
      </w:r>
      <w:proofErr w:type="spellEnd"/>
      <w:r>
        <w:t xml:space="preserve"> 7, 1 Stat. 109 (1790). </w:t>
      </w:r>
    </w:p>
  </w:footnote>
  <w:footnote w:id="182">
    <w:p w14:paraId="325EF34F" w14:textId="77777777" w:rsidR="007F4378" w:rsidRDefault="007F4378" w:rsidP="00943E1C">
      <w:pPr>
        <w:pStyle w:val="footnote"/>
      </w:pPr>
      <w:r>
        <w:rPr>
          <w:vertAlign w:val="superscript"/>
        </w:rPr>
        <w:footnoteRef/>
      </w:r>
      <w:r>
        <w:t xml:space="preserve">Copyright Act of 1790, 1 Stat. 124 (1790). In contrast, the term of a French copyright in 1793 was life of the author plus 10 years. </w:t>
      </w:r>
    </w:p>
  </w:footnote>
  <w:footnote w:id="183">
    <w:p w14:paraId="7FA8E21B" w14:textId="77777777" w:rsidR="007F4378" w:rsidRDefault="007F4378" w:rsidP="00943E1C">
      <w:pPr>
        <w:pStyle w:val="footnote"/>
      </w:pPr>
      <w:r>
        <w:rPr>
          <w:vertAlign w:val="superscript"/>
        </w:rPr>
        <w:footnoteRef/>
      </w:r>
      <w:r>
        <w:rPr>
          <w:i/>
          <w:iCs/>
        </w:rPr>
        <w:t>Id</w:t>
      </w:r>
      <w:r>
        <w:t xml:space="preserve">. </w:t>
      </w:r>
    </w:p>
  </w:footnote>
  <w:footnote w:id="184">
    <w:p w14:paraId="0CF71FCC" w14:textId="77777777" w:rsidR="007F4378" w:rsidRDefault="007F4378" w:rsidP="00943E1C">
      <w:pPr>
        <w:pStyle w:val="footnote"/>
      </w:pPr>
      <w:r>
        <w:rPr>
          <w:vertAlign w:val="superscript"/>
        </w:rPr>
        <w:footnoteRef/>
      </w:r>
      <w:r>
        <w:t xml:space="preserve">17 U.S.C. §302. </w:t>
      </w:r>
    </w:p>
  </w:footnote>
  <w:footnote w:id="185">
    <w:p w14:paraId="7F8B7D7E" w14:textId="77777777" w:rsidR="007F4378" w:rsidRDefault="007F4378" w:rsidP="00943E1C">
      <w:pPr>
        <w:pStyle w:val="footnote"/>
      </w:pPr>
      <w:r>
        <w:rPr>
          <w:vertAlign w:val="superscript"/>
        </w:rPr>
        <w:footnoteRef/>
      </w:r>
      <w:r>
        <w:t>The Berne Convention adopted a copyright term of life of the author plus 50 years in 1908. A term of life of the author plus 50 years was intended to provide protection for the author and to enable the next two generations of heirs to benefit from the exploitation of the work. In the United States, the 1976 Copyright Act revision provided for a copyright protection term of the author’s life plus 50 years in anticipation of one day ratifying the Berne Convention. The European Union adopted a Directive on Copyright Duration, effective July 1, 1995, which generally set a copyright term of life-plus-70 for personal works, 70 years for works copyrighted by legal persons, and 50 years for related rights protection for the rights of producers of motion pictures and sound recordings. The Directive on Copyright Duration recognized that life expectancies had grown since 1908 and that 50 years was no longer sufficient to protect the next two generations. In direct response to the European extension, the United States enacted the CTEA in 1998.</w:t>
      </w:r>
    </w:p>
    <w:p w14:paraId="255A474E" w14:textId="77777777" w:rsidR="007F4378" w:rsidRDefault="007F4378" w:rsidP="00943E1C">
      <w:pPr>
        <w:pStyle w:val="footnoteregwpara"/>
      </w:pPr>
      <w:r>
        <w:t xml:space="preserve">Proponents of extending the copyright term an additional 20 years by legislation in the 105th Congress made two principal arguments that led to the enactment of the CTEA: (1) that economic fairness to the heirs of authors justified the 20-year increase because longevity has increased since the “life-plus-50” standard was first adopted in 1908; and (2) that the United States must match the recent 20-year extension of the copyright term adopted by the European Union in order to avoid application of the rule of the shorter term for musical works and other personal works, and to enhance the bargaining position of the U.S. government and U.S. copyright industries in international trade negotiations affecting intellectual property rights. </w:t>
      </w:r>
      <w:r>
        <w:rPr>
          <w:smallCaps/>
        </w:rPr>
        <w:t>Dorothy Schrader</w:t>
      </w:r>
      <w:r>
        <w:t xml:space="preserve">, </w:t>
      </w:r>
      <w:r>
        <w:rPr>
          <w:smallCaps/>
        </w:rPr>
        <w:t>Cong. Research Serv</w:t>
      </w:r>
      <w:r>
        <w:t xml:space="preserve">., 98-904A, </w:t>
      </w:r>
      <w:r>
        <w:rPr>
          <w:smallCaps/>
        </w:rPr>
        <w:t>Copyright Term Extension and Music Licensing: Analysis of Sonny Bono Copyright Term Extension Act and Fairness in Music Licensing Act</w:t>
      </w:r>
      <w:r>
        <w:t>,</w:t>
      </w:r>
      <w:r>
        <w:rPr>
          <w:smallCaps/>
        </w:rPr>
        <w:t xml:space="preserve"> P.L. 105-298</w:t>
      </w:r>
      <w:r>
        <w:t xml:space="preserve"> (1998). </w:t>
      </w:r>
    </w:p>
    <w:p w14:paraId="136E50FB" w14:textId="77777777" w:rsidR="007F4378" w:rsidRDefault="007F4378" w:rsidP="00943E1C">
      <w:pPr>
        <w:pStyle w:val="footnoteregwpara"/>
      </w:pPr>
      <w:r>
        <w:t xml:space="preserve">Lawmakers have supported the extension because they believe longer terms provide an incentive to create and allow for considerable progress in the useful arts. Term extensions are necessary due to longer life expectancy, the need for greater international reciprocity, the need to conform to the prevailing worldwide standard, the failure of previous copyright terms to provide fair economic return for authors, and the failure of the previous copyright scheme to keep pace with the increased commercial life of copyrighted works resulting from the rapid growth in communications media. </w:t>
      </w:r>
      <w:r>
        <w:rPr>
          <w:i/>
          <w:iCs/>
        </w:rPr>
        <w:t>See</w:t>
      </w:r>
      <w:r>
        <w:t xml:space="preserve"> Senator Orrin Hatch’s Introduction of The Copyright Term Extension Act of 1997, </w:t>
      </w:r>
      <w:r>
        <w:rPr>
          <w:smallCaps/>
        </w:rPr>
        <w:t>Copyright Extension</w:t>
      </w:r>
      <w:r>
        <w:t xml:space="preserve">, http://www.copyrightextension.com/page04.html (Mar. 20, 1997); Senator Dianne Feinstein’s Statement Before Congress, United States Senate, March 20, 1997, </w:t>
      </w:r>
      <w:r>
        <w:rPr>
          <w:smallCaps/>
        </w:rPr>
        <w:t>Copyright Extension</w:t>
      </w:r>
      <w:r>
        <w:t>, http://www.copyrightextension.com/page06.html (Mar. 20, 1997).</w:t>
      </w:r>
    </w:p>
    <w:p w14:paraId="0A257844" w14:textId="43430F41" w:rsidR="007F4378" w:rsidRDefault="007F4378" w:rsidP="00943E1C">
      <w:pPr>
        <w:pStyle w:val="footnoteregwpara"/>
      </w:pPr>
      <w:r>
        <w:t>Currently, approximately 80 countries have adopted a maximum copyright term of life of the author plus 70 years. There is no international proscribed upper limit to copyright term. The authors are unaware of any significant movement in the United States or elsewhere to extend copyright protection past the life-of-the-author-plus-70-years standar</w:t>
      </w:r>
      <w:r w:rsidR="00B907A0">
        <w:t>d</w:t>
      </w:r>
    </w:p>
  </w:footnote>
  <w:footnote w:id="186">
    <w:p w14:paraId="5A837C54" w14:textId="77777777" w:rsidR="007F4378" w:rsidRDefault="007F4378" w:rsidP="00943E1C">
      <w:pPr>
        <w:pStyle w:val="footnote"/>
      </w:pPr>
      <w:r>
        <w:rPr>
          <w:vertAlign w:val="superscript"/>
        </w:rPr>
        <w:footnoteRef/>
      </w:r>
      <w:r>
        <w:t xml:space="preserve">Further criticism based on sociological and economic studies target extended copyright terms, indicating that CTEA’s 20-year extension provides no additional social incentive to create and very little economic advantage to fuel creativity. </w:t>
      </w:r>
      <w:proofErr w:type="spellStart"/>
      <w:r>
        <w:t>Avishalom</w:t>
      </w:r>
      <w:proofErr w:type="spellEnd"/>
      <w:r>
        <w:t xml:space="preserve"> Tor &amp; </w:t>
      </w:r>
      <w:proofErr w:type="spellStart"/>
      <w:r>
        <w:t>Dotan</w:t>
      </w:r>
      <w:proofErr w:type="spellEnd"/>
      <w:r>
        <w:t xml:space="preserve"> Oliar, </w:t>
      </w:r>
      <w:r>
        <w:rPr>
          <w:i/>
          <w:iCs/>
        </w:rPr>
        <w:t>Incentives to Create Under a “Lifetime-Plus-Year” Copyright Duration: Lessons From a Behavioral Economic Analysis for Eldred v. Ashcroft</w:t>
      </w:r>
      <w:r>
        <w:t>, 36 L</w:t>
      </w:r>
      <w:r>
        <w:rPr>
          <w:smallCaps/>
        </w:rPr>
        <w:t>oy</w:t>
      </w:r>
      <w:r>
        <w:t>. L.A. L. R</w:t>
      </w:r>
      <w:r>
        <w:rPr>
          <w:smallCaps/>
        </w:rPr>
        <w:t>ev</w:t>
      </w:r>
      <w:r>
        <w:t>. 437, 490–91 (2002).</w:t>
      </w:r>
    </w:p>
    <w:p w14:paraId="01458221" w14:textId="77777777" w:rsidR="007F4378" w:rsidRDefault="007F4378" w:rsidP="00943E1C">
      <w:pPr>
        <w:pStyle w:val="footnoteregwpara"/>
      </w:pPr>
      <w:r>
        <w:t xml:space="preserve">Proponents of extended terms maintain that an economic justification is not the sole driver of copyright protection. This is in particular true for copyright systems, including </w:t>
      </w:r>
      <w:r>
        <w:rPr>
          <w:i/>
          <w:iCs/>
        </w:rPr>
        <w:t xml:space="preserve">droit </w:t>
      </w:r>
      <w:proofErr w:type="spellStart"/>
      <w:r>
        <w:rPr>
          <w:i/>
          <w:iCs/>
        </w:rPr>
        <w:t>d’auteur</w:t>
      </w:r>
      <w:proofErr w:type="spellEnd"/>
      <w:r>
        <w:t xml:space="preserve"> systems, that recognize the personal link between the author and the work to be crucial for copyright protection. After the author’s death, the personal link to the works starts to fade away but can also serve as a justification for a protection for another two generations after the life author because these generations usually can carry on the (fading) personal link.</w:t>
      </w:r>
    </w:p>
    <w:p w14:paraId="629DD6C5" w14:textId="77777777" w:rsidR="007F4378" w:rsidRDefault="007F4378" w:rsidP="00943E1C">
      <w:pPr>
        <w:pStyle w:val="footnoteregwpara"/>
      </w:pPr>
      <w:r>
        <w:t>Many also advocate a perpetual copyright. Congresswoman Mary Bono stated with regard to the CTEA:</w:t>
      </w:r>
    </w:p>
    <w:p w14:paraId="5C4538E7" w14:textId="77777777" w:rsidR="007F4378" w:rsidRDefault="007F4378" w:rsidP="00943E1C">
      <w:pPr>
        <w:pStyle w:val="footnoteblockindentnoparaindent"/>
      </w:pPr>
      <w:r>
        <w:t xml:space="preserve">Sonny wanted the term of copyright protection to last forever. I am informed by staff that such a change would violate the Constitution. I invite all of you to work with me to strengthen our copyright laws in all of the ways available to us. As you know, there is also Jack </w:t>
      </w:r>
      <w:proofErr w:type="spellStart"/>
      <w:r>
        <w:t>Valenti’s</w:t>
      </w:r>
      <w:proofErr w:type="spellEnd"/>
      <w:r>
        <w:t xml:space="preserve"> proposal for term to last forever less one day. Perhaps the Committee may look at that next Congress.</w:t>
      </w:r>
    </w:p>
    <w:p w14:paraId="66A4EC74" w14:textId="77777777" w:rsidR="007F4378" w:rsidRDefault="007F4378" w:rsidP="00943E1C">
      <w:pPr>
        <w:pStyle w:val="footnoteflush"/>
      </w:pPr>
      <w:r>
        <w:t xml:space="preserve">145 </w:t>
      </w:r>
      <w:r>
        <w:rPr>
          <w:smallCaps/>
        </w:rPr>
        <w:t>Cong. Rec</w:t>
      </w:r>
      <w:r>
        <w:t xml:space="preserve">. H9952 (daily ed. Oct. 7, 1998) (statement of Rep. Bono). </w:t>
      </w:r>
    </w:p>
    <w:p w14:paraId="6010059D" w14:textId="77777777" w:rsidR="007F4378" w:rsidRDefault="007F4378" w:rsidP="00943E1C">
      <w:pPr>
        <w:pStyle w:val="footnoteregwpara"/>
        <w:spacing w:before="40"/>
      </w:pPr>
      <w:r>
        <w:t xml:space="preserve">The argument is mainly drawn from the right to equal treatment with tangible property, which has no limited term of protection. Others advocate at least a perpetual moral right (e.g., protection against mutilation) to be named, as the work will then always have a personal link to the author. </w:t>
      </w:r>
    </w:p>
  </w:footnote>
  <w:footnote w:id="187">
    <w:p w14:paraId="61B45251" w14:textId="77777777" w:rsidR="007F4378" w:rsidRDefault="007F4378" w:rsidP="00943E1C">
      <w:pPr>
        <w:pStyle w:val="footnote"/>
      </w:pPr>
      <w:r>
        <w:rPr>
          <w:vertAlign w:val="superscript"/>
        </w:rPr>
        <w:footnoteRef/>
      </w:r>
      <w:r>
        <w:t xml:space="preserve">537 U.S. 186 (2003). </w:t>
      </w:r>
    </w:p>
  </w:footnote>
  <w:footnote w:id="188">
    <w:p w14:paraId="5DC6D80C" w14:textId="77777777" w:rsidR="007F4378" w:rsidRDefault="007F4378" w:rsidP="00943E1C">
      <w:pPr>
        <w:pStyle w:val="footnote"/>
      </w:pPr>
      <w:r>
        <w:rPr>
          <w:vertAlign w:val="superscript"/>
        </w:rPr>
        <w:footnoteRef/>
      </w:r>
      <w:r>
        <w:t xml:space="preserve">“We cannot conclude that the CTEA—which continues the unbroken congressional practice of treating future and existing copyrights in parity for term extension purposes—is an impermissible exercise of Congress’ power under the Copyright Clause.” </w:t>
      </w:r>
      <w:r>
        <w:rPr>
          <w:i/>
          <w:iCs/>
        </w:rPr>
        <w:t>Id</w:t>
      </w:r>
      <w:r>
        <w:t xml:space="preserve">. at 187. </w:t>
      </w:r>
    </w:p>
  </w:footnote>
  <w:footnote w:id="189">
    <w:p w14:paraId="305B3068" w14:textId="77777777" w:rsidR="007F4378" w:rsidRDefault="007F4378" w:rsidP="00943E1C">
      <w:pPr>
        <w:pStyle w:val="footnote"/>
      </w:pPr>
      <w:r>
        <w:rPr>
          <w:vertAlign w:val="superscript"/>
        </w:rPr>
        <w:footnoteRef/>
      </w:r>
      <w:r>
        <w:rPr>
          <w:i/>
          <w:iCs/>
        </w:rPr>
        <w:t xml:space="preserve">See </w:t>
      </w:r>
      <w:r>
        <w:t xml:space="preserve">Universal City Studios, Inc. v. Corley, 273 F.3d 429, 440–41, 60 USPQ2d 1953 (2d Cir. 2001). </w:t>
      </w:r>
    </w:p>
  </w:footnote>
  <w:footnote w:id="190">
    <w:p w14:paraId="355CDCC6" w14:textId="77777777" w:rsidR="007F4378" w:rsidRDefault="007F4378" w:rsidP="00943E1C">
      <w:pPr>
        <w:pStyle w:val="footnote"/>
      </w:pPr>
      <w:r>
        <w:rPr>
          <w:vertAlign w:val="superscript"/>
        </w:rPr>
        <w:footnoteRef/>
      </w:r>
      <w:r>
        <w:t xml:space="preserve">17 U.S.C. §1201. </w:t>
      </w:r>
    </w:p>
  </w:footnote>
  <w:footnote w:id="191">
    <w:p w14:paraId="468E6D59" w14:textId="77777777" w:rsidR="007F4378" w:rsidRDefault="007F4378" w:rsidP="00943E1C">
      <w:pPr>
        <w:pStyle w:val="footnote"/>
      </w:pPr>
      <w:r>
        <w:rPr>
          <w:vertAlign w:val="superscript"/>
        </w:rPr>
        <w:footnoteRef/>
      </w:r>
      <w:r>
        <w:rPr>
          <w:i/>
          <w:iCs/>
        </w:rPr>
        <w:t>Id</w:t>
      </w:r>
      <w:r>
        <w:t xml:space="preserve">. </w:t>
      </w:r>
    </w:p>
  </w:footnote>
  <w:footnote w:id="192">
    <w:p w14:paraId="6105CBDE" w14:textId="77777777" w:rsidR="007F4378" w:rsidRDefault="007F4378" w:rsidP="00943E1C">
      <w:pPr>
        <w:pStyle w:val="footnote"/>
      </w:pPr>
      <w:r>
        <w:rPr>
          <w:vertAlign w:val="superscript"/>
        </w:rPr>
        <w:footnoteRef/>
      </w:r>
      <w:r>
        <w:rPr>
          <w:i/>
          <w:iCs/>
        </w:rPr>
        <w:t>Id</w:t>
      </w:r>
      <w:r>
        <w:t xml:space="preserve">. </w:t>
      </w:r>
    </w:p>
  </w:footnote>
  <w:footnote w:id="193">
    <w:p w14:paraId="366AEA00" w14:textId="77777777" w:rsidR="007F4378" w:rsidRDefault="007F4378" w:rsidP="00943E1C">
      <w:pPr>
        <w:pStyle w:val="footnote"/>
      </w:pPr>
      <w:r>
        <w:rPr>
          <w:vertAlign w:val="superscript"/>
        </w:rPr>
        <w:footnoteRef/>
      </w:r>
      <w:r>
        <w:rPr>
          <w:i/>
          <w:iCs/>
        </w:rPr>
        <w:t>Id</w:t>
      </w:r>
      <w:r>
        <w:t xml:space="preserve">. See §2.05.A below for a recent case interpretation of the DMCA and an analysis of how the DMCA can be used to protect against unauthorized access to the “expression” of software code contained in a device whether or not the software code or the device containing the software code has patentable features. </w:t>
      </w:r>
    </w:p>
  </w:footnote>
  <w:footnote w:id="194">
    <w:p w14:paraId="3E9FE07C" w14:textId="77777777" w:rsidR="007F4378" w:rsidRDefault="007F4378" w:rsidP="00943E1C">
      <w:pPr>
        <w:pStyle w:val="footnote"/>
      </w:pPr>
      <w:r>
        <w:rPr>
          <w:vertAlign w:val="superscript"/>
        </w:rPr>
        <w:footnoteRef/>
      </w:r>
      <w:r>
        <w:t>See discussion below</w:t>
      </w:r>
      <w:r>
        <w:rPr>
          <w:i/>
          <w:iCs/>
        </w:rPr>
        <w:t xml:space="preserve"> </w:t>
      </w:r>
      <w:r>
        <w:t xml:space="preserve">at §12.02 (relating to design patents in the computer arts). </w:t>
      </w:r>
    </w:p>
  </w:footnote>
  <w:footnote w:id="195">
    <w:p w14:paraId="1673D0C3" w14:textId="77777777" w:rsidR="007F4378" w:rsidRDefault="007F4378" w:rsidP="00943E1C">
      <w:pPr>
        <w:pStyle w:val="footnote"/>
      </w:pPr>
      <w:r>
        <w:rPr>
          <w:vertAlign w:val="superscript"/>
        </w:rPr>
        <w:footnoteRef/>
      </w:r>
      <w:r>
        <w:t xml:space="preserve">See §2.04.B.1 above. </w:t>
      </w:r>
    </w:p>
  </w:footnote>
  <w:footnote w:id="196">
    <w:p w14:paraId="741C88E7" w14:textId="77777777" w:rsidR="007F4378" w:rsidRDefault="007F4378" w:rsidP="00943E1C">
      <w:pPr>
        <w:pStyle w:val="footnote"/>
      </w:pPr>
      <w:r>
        <w:rPr>
          <w:vertAlign w:val="superscript"/>
        </w:rPr>
        <w:footnoteRef/>
      </w:r>
      <w:r>
        <w:t>See</w:t>
      </w:r>
      <w:r>
        <w:rPr>
          <w:i/>
          <w:iCs/>
        </w:rPr>
        <w:t xml:space="preserve"> </w:t>
      </w:r>
      <w:r>
        <w:t xml:space="preserve">§2.04.A.3 above. </w:t>
      </w:r>
    </w:p>
  </w:footnote>
  <w:footnote w:id="197">
    <w:p w14:paraId="05BCEB60" w14:textId="77777777" w:rsidR="007F4378" w:rsidRDefault="007F4378" w:rsidP="00943E1C">
      <w:pPr>
        <w:pStyle w:val="footnote"/>
      </w:pPr>
      <w:r>
        <w:rPr>
          <w:vertAlign w:val="superscript"/>
        </w:rPr>
        <w:footnoteRef/>
      </w:r>
      <w:r>
        <w:t xml:space="preserve">See U.S. Design Pat. No. D462,695 entitled “Menu for a Display Screen,” issued on Sept.10, 2002; U.S. Design Pat. No. 445,801 entitled “Menu for a Graphical Electronic Display,” issued on July 31, 2001; and D429,734 entitled “Display Screen for a Computer,” issued on Aug. 22, 2000. </w:t>
      </w:r>
    </w:p>
  </w:footnote>
  <w:footnote w:id="198">
    <w:p w14:paraId="3B9E7341" w14:textId="77777777" w:rsidR="007F4378" w:rsidRDefault="007F4378" w:rsidP="00943E1C">
      <w:pPr>
        <w:pStyle w:val="footnote"/>
      </w:pPr>
      <w:r>
        <w:rPr>
          <w:vertAlign w:val="superscript"/>
        </w:rPr>
        <w:footnoteRef/>
      </w:r>
      <w:r>
        <w:rPr>
          <w:i/>
          <w:iCs/>
        </w:rPr>
        <w:t>See, e</w:t>
      </w:r>
      <w:r>
        <w:t>.</w:t>
      </w:r>
      <w:r>
        <w:rPr>
          <w:i/>
          <w:iCs/>
        </w:rPr>
        <w:t>g</w:t>
      </w:r>
      <w:r>
        <w:t>.</w:t>
      </w:r>
      <w:r>
        <w:rPr>
          <w:i/>
          <w:iCs/>
        </w:rPr>
        <w:t xml:space="preserve">, </w:t>
      </w:r>
      <w:proofErr w:type="spellStart"/>
      <w:r>
        <w:t>Oddzon</w:t>
      </w:r>
      <w:proofErr w:type="spellEnd"/>
      <w:r>
        <w:t xml:space="preserve"> Prod., Inc. v. Just Toys, Inc., 122 F.3d 1396, 1404, 43 USPQ2d 1641 (Fed. Cir. 1997) (setting forth the requisite steps in analyzing whether a design patent has been infringed). </w:t>
      </w:r>
    </w:p>
  </w:footnote>
  <w:footnote w:id="199">
    <w:p w14:paraId="48B852FD" w14:textId="77777777" w:rsidR="007F4378" w:rsidRDefault="007F4378" w:rsidP="00943E1C">
      <w:pPr>
        <w:pStyle w:val="footnote"/>
      </w:pPr>
      <w:r>
        <w:rPr>
          <w:vertAlign w:val="superscript"/>
        </w:rPr>
        <w:footnoteRef/>
      </w:r>
      <w:r>
        <w:t xml:space="preserve">The Supreme Court first recognized the doctrine of patent exhaustion in </w:t>
      </w:r>
      <w:r>
        <w:rPr>
          <w:i/>
          <w:iCs/>
        </w:rPr>
        <w:t>Adams v. Burke</w:t>
      </w:r>
      <w:r>
        <w:t xml:space="preserve">, 84 (17 Wall.) 453 (1873). </w:t>
      </w:r>
    </w:p>
  </w:footnote>
  <w:footnote w:id="200">
    <w:p w14:paraId="62548D99" w14:textId="77777777" w:rsidR="007F4378" w:rsidRDefault="007F4378" w:rsidP="00943E1C">
      <w:pPr>
        <w:pStyle w:val="footnote"/>
      </w:pPr>
      <w:r>
        <w:rPr>
          <w:vertAlign w:val="superscript"/>
        </w:rPr>
        <w:footnoteRef/>
      </w:r>
      <w:r>
        <w:t xml:space="preserve">Quanta Computer, Inc. v. LG Elecs., Inc., 553 U.S. 617, 625 (2008). </w:t>
      </w:r>
    </w:p>
  </w:footnote>
  <w:footnote w:id="201">
    <w:p w14:paraId="60C910AE" w14:textId="77777777" w:rsidR="007F4378" w:rsidRDefault="007F4378" w:rsidP="00943E1C">
      <w:pPr>
        <w:pStyle w:val="footnote"/>
      </w:pPr>
      <w:r>
        <w:rPr>
          <w:vertAlign w:val="superscript"/>
        </w:rPr>
        <w:footnoteRef/>
      </w:r>
      <w:r>
        <w:t xml:space="preserve">Keurig, Inc. v. Sturm Foods, Inc., 732 F.3d 1370, 108 USPQ2d 1648 (Fed. Cir. 2013); </w:t>
      </w:r>
      <w:r>
        <w:rPr>
          <w:i/>
          <w:iCs/>
        </w:rPr>
        <w:t>see also</w:t>
      </w:r>
      <w:r>
        <w:t xml:space="preserve"> </w:t>
      </w:r>
      <w:proofErr w:type="spellStart"/>
      <w:r>
        <w:t>Princo</w:t>
      </w:r>
      <w:proofErr w:type="spellEnd"/>
      <w:r>
        <w:t xml:space="preserve"> Corp. v. ITC, 616 F.3d 1318, 1328 (Fed. Cir. 2010 (</w:t>
      </w:r>
      <w:proofErr w:type="spellStart"/>
      <w:r>
        <w:t>en</w:t>
      </w:r>
      <w:proofErr w:type="spellEnd"/>
      <w:r>
        <w:t xml:space="preserve"> banc). </w:t>
      </w:r>
    </w:p>
  </w:footnote>
  <w:footnote w:id="202">
    <w:p w14:paraId="1C91C4D8" w14:textId="77777777" w:rsidR="007F4378" w:rsidRDefault="007F4378" w:rsidP="00943E1C">
      <w:pPr>
        <w:pStyle w:val="footnote"/>
      </w:pPr>
      <w:r>
        <w:rPr>
          <w:vertAlign w:val="superscript"/>
        </w:rPr>
        <w:footnoteRef/>
      </w:r>
      <w:r>
        <w:t xml:space="preserve">General Talking Pictures Corp. v. Western Elec. Co., 304 U.S. 175, 179 (1937). </w:t>
      </w:r>
    </w:p>
  </w:footnote>
  <w:footnote w:id="203">
    <w:p w14:paraId="1F395FF2" w14:textId="77777777" w:rsidR="007F4378" w:rsidRDefault="007F4378" w:rsidP="00943E1C">
      <w:pPr>
        <w:pStyle w:val="footnote"/>
      </w:pPr>
      <w:r>
        <w:rPr>
          <w:vertAlign w:val="superscript"/>
        </w:rPr>
        <w:footnoteRef/>
      </w:r>
      <w:r>
        <w:rPr>
          <w:i/>
          <w:iCs/>
        </w:rPr>
        <w:t>Quanta</w:t>
      </w:r>
      <w:r>
        <w:t xml:space="preserve">, 553 U.S. at 631. </w:t>
      </w:r>
      <w:r>
        <w:rPr>
          <w:i/>
          <w:iCs/>
        </w:rPr>
        <w:t>See also</w:t>
      </w:r>
      <w:r>
        <w:t xml:space="preserve"> </w:t>
      </w:r>
      <w:proofErr w:type="spellStart"/>
      <w:r>
        <w:t>Lifescan</w:t>
      </w:r>
      <w:proofErr w:type="spellEnd"/>
      <w:r>
        <w:t xml:space="preserve"> Scotland Ltd. v. Shasta Techs., LLC, 734 F.3d 1361, 108 USPQ2d 1757 (Fed. Cir. 2013) (a reasonable </w:t>
      </w:r>
      <w:proofErr w:type="spellStart"/>
      <w:r>
        <w:t>noninfringing</w:t>
      </w:r>
      <w:proofErr w:type="spellEnd"/>
      <w:r>
        <w:t xml:space="preserve"> includes a use intended by the patentee and a use available to the purchaser). </w:t>
      </w:r>
    </w:p>
  </w:footnote>
  <w:footnote w:id="204">
    <w:p w14:paraId="772299B5" w14:textId="77777777" w:rsidR="007F4378" w:rsidRDefault="007F4378" w:rsidP="00943E1C">
      <w:pPr>
        <w:pStyle w:val="footnote"/>
      </w:pPr>
      <w:r>
        <w:rPr>
          <w:vertAlign w:val="superscript"/>
        </w:rPr>
        <w:footnoteRef/>
      </w:r>
      <w:r>
        <w:t xml:space="preserve">United States v. </w:t>
      </w:r>
      <w:proofErr w:type="spellStart"/>
      <w:r>
        <w:t>Univis</w:t>
      </w:r>
      <w:proofErr w:type="spellEnd"/>
      <w:r>
        <w:t xml:space="preserve"> Lens Co., 316 U.S. 241, 631 (1942) (the Court determined claims to methods for manufacturing eyeglass lenses, and to the finished lenses themselves, were exhausted when the patent holder sold unpatented lens blanks (unpolished blocks of glass) to a manufacturer and distributor that applied a patented method to finish the lenses). </w:t>
      </w:r>
    </w:p>
  </w:footnote>
  <w:footnote w:id="205">
    <w:p w14:paraId="056FA9F2" w14:textId="77777777" w:rsidR="007F4378" w:rsidRDefault="007F4378" w:rsidP="00943E1C">
      <w:pPr>
        <w:pStyle w:val="footnote"/>
      </w:pPr>
      <w:r>
        <w:rPr>
          <w:vertAlign w:val="superscript"/>
        </w:rPr>
        <w:footnoteRef/>
      </w:r>
      <w:r>
        <w:rPr>
          <w:i/>
          <w:iCs/>
        </w:rPr>
        <w:t>Keurig</w:t>
      </w:r>
      <w:r>
        <w:t xml:space="preserve">, 732 F.3d at 1373–74 (a patentee who sells a device without conditions exhausts method claims to use the device with a competitor’s product). </w:t>
      </w:r>
    </w:p>
  </w:footnote>
  <w:footnote w:id="206">
    <w:p w14:paraId="27D75FB0" w14:textId="77777777" w:rsidR="007F4378" w:rsidRDefault="007F4378" w:rsidP="00943E1C">
      <w:pPr>
        <w:pStyle w:val="footnote"/>
      </w:pPr>
      <w:r>
        <w:rPr>
          <w:vertAlign w:val="superscript"/>
        </w:rPr>
        <w:footnoteRef/>
      </w:r>
      <w:r>
        <w:t xml:space="preserve">The exhaustion doctrine is an affirmative defense to a charge of patent infringement. </w:t>
      </w:r>
      <w:r>
        <w:rPr>
          <w:i/>
          <w:iCs/>
        </w:rPr>
        <w:t>Id.</w:t>
      </w:r>
      <w:r>
        <w:t xml:space="preserve"> at 1373 (citing </w:t>
      </w:r>
      <w:proofErr w:type="spellStart"/>
      <w:r>
        <w:t>ExcelStor</w:t>
      </w:r>
      <w:proofErr w:type="spellEnd"/>
      <w:r>
        <w:t xml:space="preserve"> Tech., Inc. v. </w:t>
      </w:r>
      <w:proofErr w:type="spellStart"/>
      <w:r>
        <w:t>Papst</w:t>
      </w:r>
      <w:proofErr w:type="spellEnd"/>
      <w:r>
        <w:t xml:space="preserve"> Licensing GMBH &amp; Co.</w:t>
      </w:r>
      <w:r>
        <w:rPr>
          <w:i/>
          <w:iCs/>
        </w:rPr>
        <w:t xml:space="preserve"> </w:t>
      </w:r>
      <w:r>
        <w:t xml:space="preserve">KG, 541 F.3d 1373, 1376 (Fed. Cir. 2008)). Also, the first sale doctrine is an affirmative defense against a charge of copyright infringement. Quality King </w:t>
      </w:r>
      <w:proofErr w:type="spellStart"/>
      <w:r>
        <w:t>Distribs</w:t>
      </w:r>
      <w:proofErr w:type="spellEnd"/>
      <w:r>
        <w:t xml:space="preserve">., Inc. v. </w:t>
      </w:r>
      <w:proofErr w:type="spellStart"/>
      <w:r>
        <w:t>L’anza</w:t>
      </w:r>
      <w:proofErr w:type="spellEnd"/>
      <w:r>
        <w:t xml:space="preserve"> Research Int’l, Inc., 523 U.S. 135, 152 (1998); </w:t>
      </w:r>
      <w:r>
        <w:rPr>
          <w:i/>
          <w:iCs/>
        </w:rPr>
        <w:t xml:space="preserve">see also </w:t>
      </w:r>
      <w:proofErr w:type="spellStart"/>
      <w:r>
        <w:t>Kirtsaeng</w:t>
      </w:r>
      <w:proofErr w:type="spellEnd"/>
      <w:r>
        <w:t xml:space="preserve"> v. John Wiley &amp; Sons, Inc., 568 U.S. __, 133 S. Ct. 1351 (2013). </w:t>
      </w:r>
    </w:p>
  </w:footnote>
  <w:footnote w:id="207">
    <w:p w14:paraId="0C7EB450" w14:textId="77777777" w:rsidR="007F4378" w:rsidRDefault="007F4378" w:rsidP="00943E1C">
      <w:pPr>
        <w:pStyle w:val="footnote"/>
      </w:pPr>
      <w:r>
        <w:rPr>
          <w:vertAlign w:val="superscript"/>
        </w:rPr>
        <w:footnoteRef/>
      </w:r>
      <w:r>
        <w:t xml:space="preserve">17 U.S.C. §106(3). </w:t>
      </w:r>
    </w:p>
  </w:footnote>
  <w:footnote w:id="208">
    <w:p w14:paraId="73D81E93" w14:textId="77777777" w:rsidR="007F4378" w:rsidRDefault="007F4378" w:rsidP="00943E1C">
      <w:pPr>
        <w:pStyle w:val="footnote"/>
      </w:pPr>
      <w:r>
        <w:rPr>
          <w:vertAlign w:val="superscript"/>
        </w:rPr>
        <w:footnoteRef/>
      </w:r>
      <w:r>
        <w:t xml:space="preserve">17 U.S.C. §109. The legislative history of 17 U.S.C. §109 provides the policies behind the first sale doctrine, namely: “The first sale doctrine was originally adopted by the courts to give effect to the early common law rule against restraints on the alienation of tangible property.” S. Rep. No. 162, 98th Cong. 4 (1983) (regarding the Record Rental Amendment of 1984, now codified in 17 U.S.C. §109(b)). </w:t>
      </w:r>
    </w:p>
    <w:p w14:paraId="4519F27A" w14:textId="77777777" w:rsidR="007F4378" w:rsidRDefault="007F4378" w:rsidP="00943E1C">
      <w:pPr>
        <w:pStyle w:val="footnoteregwpara"/>
      </w:pPr>
      <w:r>
        <w:t xml:space="preserve">The legislative history of §109 of the 1976 Act and of §27 of the 1909 Act, the first codification of the first sale doctrine, is quite brief. Despite its brevity, it focuses on one important and relevant concept. Repeatedly, the congressional reports refer to the ability of the owner of a material copy to dispose of that copy as he or she sees fit. H.R. Rep. No. 2222, 60th Cong. 19 (1909); H.R. 28192, 60th Cong. 26 (1909); H.R. Rep. No. 94-1476, 94th Cong. 79 (1976) (regarding the Copyright Acts of 1909 and 1976, respectively). The creation of the first sale doctrine appears to have been motivated as well by competition concerns; specifically, the ability of publishers to use their vending or distribution right to control not only the initial sales of books but also the aftermarket prices for resales. </w:t>
      </w:r>
      <w:r>
        <w:rPr>
          <w:i/>
          <w:iCs/>
        </w:rPr>
        <w:t>See</w:t>
      </w:r>
      <w:r>
        <w:t xml:space="preserve"> Report of the U.S. Copyright Office, Library of Congress, DMCA Section 104 Report</w:t>
      </w:r>
      <w:r>
        <w:rPr>
          <w:i/>
          <w:iCs/>
        </w:rPr>
        <w:t xml:space="preserve"> </w:t>
      </w:r>
      <w:r>
        <w:t>(2001),</w:t>
      </w:r>
      <w:r>
        <w:rPr>
          <w:i/>
          <w:iCs/>
        </w:rPr>
        <w:t xml:space="preserve"> </w:t>
      </w:r>
      <w:r>
        <w:t xml:space="preserve">at 86–91. </w:t>
      </w:r>
    </w:p>
  </w:footnote>
  <w:footnote w:id="209">
    <w:p w14:paraId="0F77FC94" w14:textId="77777777" w:rsidR="007F4378" w:rsidRDefault="007F4378" w:rsidP="00943E1C">
      <w:pPr>
        <w:pStyle w:val="footnote"/>
      </w:pPr>
      <w:r>
        <w:rPr>
          <w:vertAlign w:val="superscript"/>
        </w:rPr>
        <w:footnoteRef/>
      </w:r>
      <w:r>
        <w:t xml:space="preserve">The right of distribution versus the right of reproduction finds an analog in the patent law. </w:t>
      </w:r>
      <w:r>
        <w:rPr>
          <w:i/>
          <w:iCs/>
        </w:rPr>
        <w:t>See, e.g.</w:t>
      </w:r>
      <w:r>
        <w:t>, Bowman v. Monsanto Co.,</w:t>
      </w:r>
      <w:r>
        <w:rPr>
          <w:i/>
          <w:iCs/>
        </w:rPr>
        <w:t xml:space="preserve"> </w:t>
      </w:r>
      <w:r>
        <w:t>569 U.S. __, 133 S. Ct. 1761</w:t>
      </w:r>
      <w:r>
        <w:rPr>
          <w:i/>
          <w:iCs/>
        </w:rPr>
        <w:t xml:space="preserve"> </w:t>
      </w:r>
      <w:r>
        <w:t xml:space="preserve">(2013) (holding an authorized sale of a patented item does not allow the purchaser to make new copies of the patented invention including self-replicating seeds). </w:t>
      </w:r>
    </w:p>
  </w:footnote>
  <w:footnote w:id="210">
    <w:p w14:paraId="09216D78" w14:textId="77777777" w:rsidR="007F4378" w:rsidRDefault="007F4378" w:rsidP="00943E1C">
      <w:pPr>
        <w:pStyle w:val="footnote"/>
      </w:pPr>
      <w:r>
        <w:rPr>
          <w:vertAlign w:val="superscript"/>
        </w:rPr>
        <w:footnoteRef/>
      </w:r>
      <w:r>
        <w:t xml:space="preserve">17 U.S.C. §109(b). Libraries and educational institutions are exempted from this limitation. </w:t>
      </w:r>
      <w:r>
        <w:rPr>
          <w:i/>
          <w:iCs/>
        </w:rPr>
        <w:t>Id.</w:t>
      </w:r>
      <w:r>
        <w:t xml:space="preserve"> </w:t>
      </w:r>
    </w:p>
  </w:footnote>
  <w:footnote w:id="211">
    <w:p w14:paraId="627154CE" w14:textId="77777777" w:rsidR="007F4378" w:rsidRDefault="007F4378" w:rsidP="00943E1C">
      <w:pPr>
        <w:pStyle w:val="footnote"/>
      </w:pPr>
      <w:r>
        <w:rPr>
          <w:vertAlign w:val="superscript"/>
        </w:rPr>
        <w:footnoteRef/>
      </w:r>
      <w:r>
        <w:rPr>
          <w:i/>
          <w:iCs/>
        </w:rPr>
        <w:t>Id</w:t>
      </w:r>
      <w:r>
        <w:t xml:space="preserve">. The exception does not apply to lending of a copy by a nonprofit library for nonprofit purposes, provided that the library affixes an appropriate warning. </w:t>
      </w:r>
    </w:p>
  </w:footnote>
  <w:footnote w:id="212">
    <w:p w14:paraId="30CF563A" w14:textId="77777777" w:rsidR="007F4378" w:rsidRDefault="007F4378" w:rsidP="00943E1C">
      <w:pPr>
        <w:pStyle w:val="footnote"/>
      </w:pPr>
      <w:r>
        <w:rPr>
          <w:vertAlign w:val="superscript"/>
        </w:rPr>
        <w:footnoteRef/>
      </w:r>
      <w:r>
        <w:t xml:space="preserve">Raymond T. </w:t>
      </w:r>
      <w:proofErr w:type="spellStart"/>
      <w:r>
        <w:t>Nimmer</w:t>
      </w:r>
      <w:proofErr w:type="spellEnd"/>
      <w:r>
        <w:t xml:space="preserve">, </w:t>
      </w:r>
      <w:r>
        <w:rPr>
          <w:i/>
          <w:iCs/>
        </w:rPr>
        <w:t>Copyright First Sale and the Overriding Role of Contract</w:t>
      </w:r>
      <w:r>
        <w:t xml:space="preserve">, 51 </w:t>
      </w:r>
      <w:r>
        <w:rPr>
          <w:smallCaps/>
        </w:rPr>
        <w:t>Santa Clara L. Rev.</w:t>
      </w:r>
      <w:r>
        <w:t xml:space="preserve"> 1311, 1319 (2011). </w:t>
      </w:r>
    </w:p>
  </w:footnote>
  <w:footnote w:id="213">
    <w:p w14:paraId="1D2BBE6C" w14:textId="77777777" w:rsidR="007F4378" w:rsidRDefault="007F4378" w:rsidP="00943E1C">
      <w:pPr>
        <w:pStyle w:val="footnote"/>
      </w:pPr>
      <w:r>
        <w:rPr>
          <w:vertAlign w:val="superscript"/>
        </w:rPr>
        <w:footnoteRef/>
      </w:r>
      <w:r>
        <w:rPr>
          <w:i/>
          <w:iCs/>
        </w:rPr>
        <w:t xml:space="preserve">See </w:t>
      </w:r>
      <w:proofErr w:type="spellStart"/>
      <w:r>
        <w:t>ProCD</w:t>
      </w:r>
      <w:proofErr w:type="spellEnd"/>
      <w:r>
        <w:t xml:space="preserve">, Inc. v </w:t>
      </w:r>
      <w:proofErr w:type="spellStart"/>
      <w:r>
        <w:t>Zeidenberg</w:t>
      </w:r>
      <w:proofErr w:type="spellEnd"/>
      <w:r>
        <w:t xml:space="preserve">, 86 F.3d 1447 (7th Cir. 1996). </w:t>
      </w:r>
    </w:p>
  </w:footnote>
  <w:footnote w:id="214">
    <w:p w14:paraId="3234F66C" w14:textId="77777777" w:rsidR="007F4378" w:rsidRDefault="007F4378" w:rsidP="00943E1C">
      <w:pPr>
        <w:pStyle w:val="footnote"/>
      </w:pPr>
      <w:r>
        <w:rPr>
          <w:vertAlign w:val="superscript"/>
        </w:rPr>
        <w:footnoteRef/>
      </w:r>
      <w:r>
        <w:t xml:space="preserve">Capitol Records v. </w:t>
      </w:r>
      <w:proofErr w:type="spellStart"/>
      <w:r>
        <w:t>ReDigi</w:t>
      </w:r>
      <w:proofErr w:type="spellEnd"/>
      <w:r>
        <w:t>, Inc., 934 F. Supp. 2d 640, 654 (S.D.N.Y. 2013) (“the first sale defense is limited to material items, like records, that the copyright owner put into the stream of commerce.</w:t>
      </w:r>
      <w:r>
        <w:rPr>
          <w:rFonts w:cs="Times New Roman"/>
        </w:rPr>
        <w:t> </w:t>
      </w:r>
      <w:r>
        <w:t>.</w:t>
      </w:r>
      <w:r>
        <w:rPr>
          <w:rFonts w:cs="Times New Roman"/>
        </w:rPr>
        <w:t> </w:t>
      </w:r>
      <w:r>
        <w:t>.</w:t>
      </w:r>
      <w:r>
        <w:rPr>
          <w:rFonts w:cs="Times New Roman"/>
        </w:rPr>
        <w:t> </w:t>
      </w:r>
      <w:r>
        <w:t xml:space="preserve">.”). Section 109 of the Copyright Act states that the defense applies only to “copies” and “phonorecords.” The definition of the terms “copy” and “phonorecord” in §101 of the Copyright Act defines each as “material objects.” </w:t>
      </w:r>
    </w:p>
  </w:footnote>
  <w:footnote w:id="215">
    <w:p w14:paraId="34DE6820" w14:textId="77777777" w:rsidR="007F4378" w:rsidRDefault="007F4378" w:rsidP="00943E1C">
      <w:pPr>
        <w:pStyle w:val="footnote"/>
      </w:pPr>
      <w:r>
        <w:rPr>
          <w:vertAlign w:val="superscript"/>
        </w:rPr>
        <w:footnoteRef/>
      </w:r>
      <w:r>
        <w:t xml:space="preserve">934 F. Supp. 2d 640 (S.D.N.Y. 2013). </w:t>
      </w:r>
    </w:p>
  </w:footnote>
  <w:footnote w:id="216">
    <w:p w14:paraId="534D53C3" w14:textId="77777777" w:rsidR="007F4378" w:rsidRDefault="007F4378" w:rsidP="00943E1C">
      <w:pPr>
        <w:pStyle w:val="footnote"/>
      </w:pPr>
      <w:r>
        <w:rPr>
          <w:vertAlign w:val="superscript"/>
        </w:rPr>
        <w:footnoteRef/>
      </w:r>
      <w:r>
        <w:t xml:space="preserve">Library of Congress, DMCA Section 104 Report (2001). </w:t>
      </w:r>
    </w:p>
  </w:footnote>
  <w:footnote w:id="217">
    <w:p w14:paraId="58934C43" w14:textId="77777777" w:rsidR="007F4378" w:rsidRDefault="007F4378" w:rsidP="00943E1C">
      <w:pPr>
        <w:pStyle w:val="footnote"/>
      </w:pPr>
      <w:r>
        <w:rPr>
          <w:vertAlign w:val="superscript"/>
        </w:rPr>
        <w:footnoteRef/>
      </w:r>
      <w:r>
        <w:t xml:space="preserve">101 U.S. 99 (1879). </w:t>
      </w:r>
    </w:p>
  </w:footnote>
  <w:footnote w:id="218">
    <w:p w14:paraId="25E179D0" w14:textId="77777777" w:rsidR="007F4378" w:rsidRDefault="007F4378" w:rsidP="00943E1C">
      <w:pPr>
        <w:pStyle w:val="footnote"/>
      </w:pPr>
      <w:r>
        <w:rPr>
          <w:vertAlign w:val="superscript"/>
        </w:rPr>
        <w:footnoteRef/>
      </w:r>
      <w:r>
        <w:t xml:space="preserve">17 U.S.C. §102(b). </w:t>
      </w:r>
    </w:p>
  </w:footnote>
  <w:footnote w:id="219">
    <w:p w14:paraId="560AE160" w14:textId="77777777" w:rsidR="007F4378" w:rsidRDefault="007F4378" w:rsidP="00943E1C">
      <w:pPr>
        <w:pStyle w:val="footnote"/>
      </w:pPr>
      <w:r>
        <w:rPr>
          <w:vertAlign w:val="superscript"/>
        </w:rPr>
        <w:footnoteRef/>
      </w:r>
      <w:r>
        <w:t xml:space="preserve">347 U.S. 201, 100 USPQ 325 (1954). </w:t>
      </w:r>
    </w:p>
  </w:footnote>
  <w:footnote w:id="220">
    <w:p w14:paraId="7A74FE48" w14:textId="77777777" w:rsidR="007F4378" w:rsidRDefault="007F4378" w:rsidP="00943E1C">
      <w:pPr>
        <w:pStyle w:val="footnote"/>
      </w:pPr>
      <w:r>
        <w:rPr>
          <w:vertAlign w:val="superscript"/>
        </w:rPr>
        <w:footnoteRef/>
      </w:r>
      <w:r>
        <w:rPr>
          <w:i/>
          <w:iCs/>
        </w:rPr>
        <w:t>Id</w:t>
      </w:r>
      <w:r>
        <w:t xml:space="preserve">. at 215. </w:t>
      </w:r>
    </w:p>
  </w:footnote>
  <w:footnote w:id="221">
    <w:p w14:paraId="754C0B43" w14:textId="77777777" w:rsidR="007F4378" w:rsidRDefault="007F4378" w:rsidP="00943E1C">
      <w:pPr>
        <w:pStyle w:val="footnote"/>
      </w:pPr>
      <w:r>
        <w:rPr>
          <w:vertAlign w:val="superscript"/>
        </w:rPr>
        <w:footnoteRef/>
      </w:r>
      <w:r>
        <w:rPr>
          <w:i/>
          <w:iCs/>
        </w:rPr>
        <w:t>Id</w:t>
      </w:r>
      <w:r>
        <w:t xml:space="preserve">. at 217. </w:t>
      </w:r>
    </w:p>
  </w:footnote>
  <w:footnote w:id="222">
    <w:p w14:paraId="0158F3F8" w14:textId="77777777" w:rsidR="007F4378" w:rsidRDefault="007F4378" w:rsidP="00943E1C">
      <w:pPr>
        <w:pStyle w:val="footnote"/>
      </w:pPr>
      <w:r>
        <w:rPr>
          <w:vertAlign w:val="superscript"/>
        </w:rPr>
        <w:footnoteRef/>
      </w:r>
      <w:r>
        <w:t xml:space="preserve">493 F.2d 1389, 181 USPQ 331 (C.C.P.A. 1974). </w:t>
      </w:r>
    </w:p>
  </w:footnote>
  <w:footnote w:id="223">
    <w:p w14:paraId="4C94107D" w14:textId="77777777" w:rsidR="007F4378" w:rsidRDefault="007F4378" w:rsidP="00943E1C">
      <w:pPr>
        <w:pStyle w:val="footnote"/>
      </w:pPr>
      <w:r>
        <w:rPr>
          <w:vertAlign w:val="superscript"/>
        </w:rPr>
        <w:footnoteRef/>
      </w:r>
      <w:r>
        <w:rPr>
          <w:i/>
          <w:iCs/>
        </w:rPr>
        <w:t>Id</w:t>
      </w:r>
      <w:r>
        <w:t xml:space="preserve">. at 1394. </w:t>
      </w:r>
    </w:p>
  </w:footnote>
  <w:footnote w:id="224">
    <w:p w14:paraId="6749695F" w14:textId="77777777" w:rsidR="007F4378" w:rsidRDefault="007F4378" w:rsidP="00943E1C">
      <w:pPr>
        <w:pStyle w:val="footnote"/>
      </w:pPr>
      <w:r>
        <w:rPr>
          <w:vertAlign w:val="superscript"/>
        </w:rPr>
        <w:footnoteRef/>
      </w:r>
      <w:r>
        <w:t xml:space="preserve">Whelan Assocs. v. Jaslow Dental Lab., Inc., 797 F.2d 1222, 230 USPQ 481 (3d Cir. 1986), </w:t>
      </w:r>
      <w:r>
        <w:rPr>
          <w:i/>
          <w:iCs/>
        </w:rPr>
        <w:t>cert</w:t>
      </w:r>
      <w:r>
        <w:t>.</w:t>
      </w:r>
      <w:r>
        <w:rPr>
          <w:i/>
          <w:iCs/>
        </w:rPr>
        <w:t xml:space="preserve"> denied</w:t>
      </w:r>
      <w:r>
        <w:t xml:space="preserve">, 479 U.S. 1031 (1987). </w:t>
      </w:r>
    </w:p>
  </w:footnote>
  <w:footnote w:id="225">
    <w:p w14:paraId="065C3E47" w14:textId="77777777" w:rsidR="007F4378" w:rsidRDefault="007F4378" w:rsidP="00943E1C">
      <w:pPr>
        <w:pStyle w:val="footnote"/>
      </w:pPr>
      <w:r>
        <w:rPr>
          <w:vertAlign w:val="superscript"/>
        </w:rPr>
        <w:footnoteRef/>
      </w:r>
      <w:r>
        <w:t xml:space="preserve">Computer Assocs. Int’l, Inc. v. Altai, Inc., 982 F.2d 693, 23 USPQ2d 1241 (2d Cir. 1992). </w:t>
      </w:r>
    </w:p>
  </w:footnote>
  <w:footnote w:id="226">
    <w:p w14:paraId="1BCDD853" w14:textId="77777777" w:rsidR="007F4378" w:rsidRDefault="007F4378" w:rsidP="00943E1C">
      <w:pPr>
        <w:pStyle w:val="footnote"/>
      </w:pPr>
      <w:r>
        <w:rPr>
          <w:vertAlign w:val="superscript"/>
        </w:rPr>
        <w:footnoteRef/>
      </w:r>
      <w:r>
        <w:t xml:space="preserve">Sega Enters. Ltd. v. Accolade, Inc., 977 F.2d 1510, 24 USPQ2d 1561 (9th Cir. 1992). </w:t>
      </w:r>
    </w:p>
  </w:footnote>
  <w:footnote w:id="227">
    <w:p w14:paraId="42F0BA46" w14:textId="77777777" w:rsidR="007F4378" w:rsidRDefault="007F4378" w:rsidP="00943E1C">
      <w:pPr>
        <w:pStyle w:val="footnote"/>
      </w:pPr>
      <w:r>
        <w:rPr>
          <w:vertAlign w:val="superscript"/>
        </w:rPr>
        <w:footnoteRef/>
      </w:r>
      <w:r>
        <w:t xml:space="preserve">17 U.S.C. §107. </w:t>
      </w:r>
    </w:p>
  </w:footnote>
  <w:footnote w:id="228">
    <w:p w14:paraId="2826EC45" w14:textId="77777777" w:rsidR="007F4378" w:rsidRDefault="007F4378" w:rsidP="00943E1C">
      <w:pPr>
        <w:pStyle w:val="footnote"/>
      </w:pPr>
      <w:r>
        <w:rPr>
          <w:vertAlign w:val="superscript"/>
        </w:rPr>
        <w:footnoteRef/>
      </w:r>
      <w:r>
        <w:t xml:space="preserve">49 F.3d 807, 34 USPQ2d 1014 (1st Cir. 1995), </w:t>
      </w:r>
      <w:r>
        <w:rPr>
          <w:i/>
          <w:iCs/>
        </w:rPr>
        <w:t xml:space="preserve">aff’d per </w:t>
      </w:r>
      <w:proofErr w:type="spellStart"/>
      <w:r>
        <w:rPr>
          <w:i/>
          <w:iCs/>
        </w:rPr>
        <w:t>curiam</w:t>
      </w:r>
      <w:proofErr w:type="spellEnd"/>
      <w:r>
        <w:t xml:space="preserve">, No. 94-203 (U.S. Jan. 16, 1996). </w:t>
      </w:r>
    </w:p>
  </w:footnote>
  <w:footnote w:id="229">
    <w:p w14:paraId="7842C890" w14:textId="77777777" w:rsidR="007F4378" w:rsidRDefault="007F4378" w:rsidP="00943E1C">
      <w:pPr>
        <w:pStyle w:val="footnote"/>
      </w:pPr>
      <w:r>
        <w:rPr>
          <w:vertAlign w:val="superscript"/>
        </w:rPr>
        <w:footnoteRef/>
      </w:r>
      <w:r>
        <w:t xml:space="preserve">17 U.S.C. §102(b). </w:t>
      </w:r>
    </w:p>
  </w:footnote>
  <w:footnote w:id="230">
    <w:p w14:paraId="351530AD" w14:textId="77777777" w:rsidR="007F4378" w:rsidRDefault="007F4378" w:rsidP="00943E1C">
      <w:pPr>
        <w:pStyle w:val="footnote"/>
      </w:pPr>
      <w:r>
        <w:rPr>
          <w:vertAlign w:val="superscript"/>
        </w:rPr>
        <w:footnoteRef/>
      </w:r>
      <w:r>
        <w:rPr>
          <w:i/>
          <w:iCs/>
        </w:rPr>
        <w:t>Lotus</w:t>
      </w:r>
      <w:r>
        <w:t xml:space="preserve">, 49 F.3d at 815, 34 USPQ2d at 1021. </w:t>
      </w:r>
    </w:p>
  </w:footnote>
  <w:footnote w:id="231">
    <w:p w14:paraId="08F93A23" w14:textId="77777777" w:rsidR="007F4378" w:rsidRDefault="007F4378" w:rsidP="00943E1C">
      <w:pPr>
        <w:pStyle w:val="footnote"/>
      </w:pPr>
      <w:r>
        <w:rPr>
          <w:vertAlign w:val="superscript"/>
        </w:rPr>
        <w:footnoteRef/>
      </w:r>
      <w:r>
        <w:t>H.R. R</w:t>
      </w:r>
      <w:r>
        <w:rPr>
          <w:smallCaps/>
        </w:rPr>
        <w:t>ep</w:t>
      </w:r>
      <w:r>
        <w:t xml:space="preserve">. No. 94-1476, at 57 (1976), </w:t>
      </w:r>
      <w:r>
        <w:rPr>
          <w:i/>
          <w:iCs/>
        </w:rPr>
        <w:t xml:space="preserve">reprinted in </w:t>
      </w:r>
      <w:r>
        <w:t xml:space="preserve">1976 U.S.C.C.A.N. 5659, 5660. </w:t>
      </w:r>
    </w:p>
  </w:footnote>
  <w:footnote w:id="232">
    <w:p w14:paraId="5C3809A9" w14:textId="77777777" w:rsidR="007F4378" w:rsidRDefault="007F4378" w:rsidP="00943E1C">
      <w:pPr>
        <w:pStyle w:val="footnote"/>
      </w:pPr>
      <w:r>
        <w:rPr>
          <w:vertAlign w:val="superscript"/>
        </w:rPr>
        <w:footnoteRef/>
      </w:r>
      <w:r>
        <w:rPr>
          <w:i/>
          <w:iCs/>
        </w:rPr>
        <w:t>See</w:t>
      </w:r>
      <w:r>
        <w:t xml:space="preserve"> NEC Corp. v. Intel Corp., 10 USPQ2d 1177 (N.D. Cal. 1989); Apple Computer, Inc. v. Microsoft Corp., No. 93-16883 (9th Cir. Sept. 19, 1994); Ashton-Tate Corp. v. Ross, 728 F. Supp. 597, 12 USPQ2d 1734 (N.D. Cal. 1989), </w:t>
      </w:r>
      <w:r>
        <w:rPr>
          <w:i/>
          <w:iCs/>
        </w:rPr>
        <w:t>aff’d</w:t>
      </w:r>
      <w:r>
        <w:t xml:space="preserve">, 916 F.2d 516, 16 USPQ2d 1541 (9th Cir. 1990); Digital Commc’ns Assoc. v. </w:t>
      </w:r>
      <w:proofErr w:type="spellStart"/>
      <w:r>
        <w:t>Softklone</w:t>
      </w:r>
      <w:proofErr w:type="spellEnd"/>
      <w:r>
        <w:t xml:space="preserve"> </w:t>
      </w:r>
      <w:proofErr w:type="spellStart"/>
      <w:r>
        <w:t>Distrib</w:t>
      </w:r>
      <w:proofErr w:type="spellEnd"/>
      <w:r>
        <w:t xml:space="preserve">. Corp., 659 F. Supp. 449, 2 USPQ2d 1385 (N.D. Ga. 1987). </w:t>
      </w:r>
    </w:p>
  </w:footnote>
  <w:footnote w:id="233">
    <w:p w14:paraId="6CD77408" w14:textId="77777777" w:rsidR="007F4378" w:rsidRDefault="007F4378" w:rsidP="00943E1C">
      <w:pPr>
        <w:pStyle w:val="footnote"/>
      </w:pPr>
      <w:r>
        <w:rPr>
          <w:vertAlign w:val="superscript"/>
        </w:rPr>
        <w:footnoteRef/>
      </w:r>
      <w:r>
        <w:rPr>
          <w:i/>
          <w:iCs/>
        </w:rPr>
        <w:t>See, e</w:t>
      </w:r>
      <w:r>
        <w:t>.</w:t>
      </w:r>
      <w:r>
        <w:rPr>
          <w:i/>
          <w:iCs/>
        </w:rPr>
        <w:t>g</w:t>
      </w:r>
      <w:r>
        <w:t xml:space="preserve">., Gershwin Publ’g Corp. v. Columbia Artists Mgmt., Inc., 443 F.2d 1159, 1162 (2d Cir. 1971). </w:t>
      </w:r>
    </w:p>
  </w:footnote>
  <w:footnote w:id="234">
    <w:p w14:paraId="208B365E" w14:textId="77777777" w:rsidR="007F4378" w:rsidRDefault="007F4378" w:rsidP="00943E1C">
      <w:pPr>
        <w:pStyle w:val="footnote"/>
      </w:pPr>
      <w:r>
        <w:rPr>
          <w:vertAlign w:val="superscript"/>
        </w:rPr>
        <w:footnoteRef/>
      </w:r>
      <w:r>
        <w:rPr>
          <w:i/>
          <w:iCs/>
        </w:rPr>
        <w:t>See, e</w:t>
      </w:r>
      <w:r>
        <w:t>.</w:t>
      </w:r>
      <w:r>
        <w:rPr>
          <w:i/>
          <w:iCs/>
        </w:rPr>
        <w:t>g</w:t>
      </w:r>
      <w:r>
        <w:t>.</w:t>
      </w:r>
      <w:r>
        <w:rPr>
          <w:i/>
          <w:iCs/>
        </w:rPr>
        <w:t>,</w:t>
      </w:r>
      <w:r>
        <w:t xml:space="preserve"> Shapiro, Bernstein &amp; Co. v. H.L. Green Co., 316 F.2d 304, 307 (2d Cir. 1963). </w:t>
      </w:r>
    </w:p>
  </w:footnote>
  <w:footnote w:id="235">
    <w:p w14:paraId="17B17783" w14:textId="77777777" w:rsidR="007F4378" w:rsidRDefault="007F4378" w:rsidP="00943E1C">
      <w:pPr>
        <w:pStyle w:val="footnote"/>
      </w:pPr>
      <w:r>
        <w:rPr>
          <w:vertAlign w:val="superscript"/>
        </w:rPr>
        <w:footnoteRef/>
      </w:r>
      <w:r>
        <w:t xml:space="preserve">35 U.S.C. §271(b). </w:t>
      </w:r>
    </w:p>
  </w:footnote>
  <w:footnote w:id="236">
    <w:p w14:paraId="0E429B62" w14:textId="77777777" w:rsidR="007F4378" w:rsidRDefault="007F4378" w:rsidP="00943E1C">
      <w:pPr>
        <w:pStyle w:val="footnote"/>
      </w:pPr>
      <w:r>
        <w:rPr>
          <w:vertAlign w:val="superscript"/>
        </w:rPr>
        <w:footnoteRef/>
      </w:r>
      <w:r>
        <w:rPr>
          <w:i/>
          <w:iCs/>
        </w:rPr>
        <w:t>Id</w:t>
      </w:r>
      <w:r>
        <w:t xml:space="preserve">. §271(c). </w:t>
      </w:r>
    </w:p>
  </w:footnote>
  <w:footnote w:id="237">
    <w:p w14:paraId="2C4FBA52" w14:textId="77777777" w:rsidR="007F4378" w:rsidRDefault="007F4378" w:rsidP="00943E1C">
      <w:pPr>
        <w:pStyle w:val="footnote"/>
      </w:pPr>
      <w:r>
        <w:rPr>
          <w:vertAlign w:val="superscript"/>
        </w:rPr>
        <w:footnoteRef/>
      </w:r>
      <w:r>
        <w:rPr>
          <w:i/>
          <w:iCs/>
        </w:rPr>
        <w:t>See</w:t>
      </w:r>
      <w:r>
        <w:t xml:space="preserve"> Hewlett-Packard Co. v. Bausch &amp; Lomb, Inc., 909 F.2d 1464, 1468–69 (Fed. Cir. 1990). </w:t>
      </w:r>
    </w:p>
  </w:footnote>
  <w:footnote w:id="238">
    <w:p w14:paraId="09ABACB7" w14:textId="77777777" w:rsidR="007F4378" w:rsidRDefault="007F4378" w:rsidP="00943E1C">
      <w:pPr>
        <w:pStyle w:val="footnote"/>
      </w:pPr>
      <w:r>
        <w:rPr>
          <w:vertAlign w:val="superscript"/>
        </w:rPr>
        <w:footnoteRef/>
      </w:r>
      <w:r>
        <w:t xml:space="preserve">When Congress enacted §271 as part of the Patent Act of 1952, it separated what had been regarded as contributory infringement into two categories, one covered by §271(b) and the other covered by §271(c). </w:t>
      </w:r>
    </w:p>
  </w:footnote>
  <w:footnote w:id="239">
    <w:p w14:paraId="1A0DA28D" w14:textId="77777777" w:rsidR="007F4378" w:rsidRDefault="007F4378" w:rsidP="00943E1C">
      <w:pPr>
        <w:pStyle w:val="footnote"/>
      </w:pPr>
      <w:r>
        <w:rPr>
          <w:vertAlign w:val="superscript"/>
        </w:rPr>
        <w:footnoteRef/>
      </w:r>
      <w:r>
        <w:rPr>
          <w:i/>
          <w:iCs/>
        </w:rPr>
        <w:t>See, e.g</w:t>
      </w:r>
      <w:r>
        <w:t xml:space="preserve">., Jane C. Ginsburg, </w:t>
      </w:r>
      <w:r>
        <w:rPr>
          <w:i/>
          <w:iCs/>
        </w:rPr>
        <w:t>Copyright and Control Over New Technologies of Dissemination</w:t>
      </w:r>
      <w:r>
        <w:t xml:space="preserve">, 101 </w:t>
      </w:r>
      <w:r>
        <w:rPr>
          <w:smallCaps/>
        </w:rPr>
        <w:t>Colum. L. Rev.</w:t>
      </w:r>
      <w:r>
        <w:t xml:space="preserve"> 1613, 1613 n.3 (2001). </w:t>
      </w:r>
    </w:p>
  </w:footnote>
  <w:footnote w:id="240">
    <w:p w14:paraId="1821CC4C" w14:textId="77777777" w:rsidR="007F4378" w:rsidRDefault="007F4378" w:rsidP="00943E1C">
      <w:pPr>
        <w:pStyle w:val="footnote"/>
      </w:pPr>
      <w:r>
        <w:rPr>
          <w:vertAlign w:val="superscript"/>
        </w:rPr>
        <w:footnoteRef/>
      </w:r>
      <w:r>
        <w:rPr>
          <w:i/>
          <w:iCs/>
        </w:rPr>
        <w:t>See</w:t>
      </w:r>
      <w:r>
        <w:t xml:space="preserve"> </w:t>
      </w:r>
      <w:r>
        <w:rPr>
          <w:i/>
          <w:iCs/>
        </w:rPr>
        <w:t>In re</w:t>
      </w:r>
      <w:r>
        <w:t xml:space="preserve"> </w:t>
      </w:r>
      <w:proofErr w:type="spellStart"/>
      <w:r>
        <w:t>Aimster</w:t>
      </w:r>
      <w:proofErr w:type="spellEnd"/>
      <w:r>
        <w:t xml:space="preserve"> Copyright Litig., 334 F.3d 643, 645–46 (7th Cir. 2003). </w:t>
      </w:r>
    </w:p>
  </w:footnote>
  <w:footnote w:id="241">
    <w:p w14:paraId="63A7479D" w14:textId="77777777" w:rsidR="007F4378" w:rsidRDefault="007F4378" w:rsidP="00943E1C">
      <w:pPr>
        <w:pStyle w:val="footnote"/>
      </w:pPr>
      <w:r>
        <w:rPr>
          <w:vertAlign w:val="superscript"/>
        </w:rPr>
        <w:footnoteRef/>
      </w:r>
      <w:r>
        <w:t xml:space="preserve">464 U.S. 417 (1984). </w:t>
      </w:r>
    </w:p>
  </w:footnote>
  <w:footnote w:id="242">
    <w:p w14:paraId="2373413B" w14:textId="77777777" w:rsidR="007F4378" w:rsidRDefault="007F4378" w:rsidP="00943E1C">
      <w:pPr>
        <w:pStyle w:val="footnote"/>
      </w:pPr>
      <w:r>
        <w:rPr>
          <w:vertAlign w:val="superscript"/>
        </w:rPr>
        <w:footnoteRef/>
      </w:r>
      <w:r>
        <w:rPr>
          <w:i/>
          <w:iCs/>
        </w:rPr>
        <w:t>Id</w:t>
      </w:r>
      <w:r>
        <w:t xml:space="preserve">. at 439. </w:t>
      </w:r>
    </w:p>
  </w:footnote>
  <w:footnote w:id="243">
    <w:p w14:paraId="179A3D31" w14:textId="77777777" w:rsidR="007F4378" w:rsidRDefault="007F4378" w:rsidP="00943E1C">
      <w:pPr>
        <w:pStyle w:val="footnote"/>
      </w:pPr>
      <w:r>
        <w:rPr>
          <w:vertAlign w:val="superscript"/>
        </w:rPr>
        <w:footnoteRef/>
      </w:r>
      <w:r>
        <w:t xml:space="preserve">545 U.S. 913 (2005). </w:t>
      </w:r>
    </w:p>
  </w:footnote>
  <w:footnote w:id="244">
    <w:p w14:paraId="132A4297" w14:textId="77777777" w:rsidR="007F4378" w:rsidRDefault="007F4378" w:rsidP="00943E1C">
      <w:pPr>
        <w:pStyle w:val="footnote"/>
      </w:pPr>
      <w:r>
        <w:rPr>
          <w:vertAlign w:val="superscript"/>
        </w:rPr>
        <w:footnoteRef/>
      </w:r>
      <w:r>
        <w:rPr>
          <w:i/>
          <w:iCs/>
        </w:rPr>
        <w:t>Id</w:t>
      </w:r>
      <w:r>
        <w:t xml:space="preserve">. at 941. </w:t>
      </w:r>
    </w:p>
  </w:footnote>
  <w:footnote w:id="245">
    <w:p w14:paraId="574960C3" w14:textId="77777777" w:rsidR="007F4378" w:rsidRDefault="007F4378" w:rsidP="00943E1C">
      <w:pPr>
        <w:pStyle w:val="footnote"/>
      </w:pPr>
      <w:r>
        <w:rPr>
          <w:vertAlign w:val="superscript"/>
        </w:rPr>
        <w:footnoteRef/>
      </w:r>
      <w:r>
        <w:rPr>
          <w:i/>
          <w:iCs/>
        </w:rPr>
        <w:t>Id</w:t>
      </w:r>
      <w:r>
        <w:t xml:space="preserve">. at 935–37. </w:t>
      </w:r>
    </w:p>
  </w:footnote>
  <w:footnote w:id="246">
    <w:p w14:paraId="351204BD" w14:textId="77777777" w:rsidR="007F4378" w:rsidRDefault="007F4378" w:rsidP="00943E1C">
      <w:pPr>
        <w:pStyle w:val="footnote"/>
      </w:pPr>
      <w:r>
        <w:rPr>
          <w:vertAlign w:val="superscript"/>
        </w:rPr>
        <w:footnoteRef/>
      </w:r>
      <w:r>
        <w:rPr>
          <w:i/>
          <w:iCs/>
        </w:rPr>
        <w:t>Id</w:t>
      </w:r>
      <w:r>
        <w:t xml:space="preserve">. at 937. </w:t>
      </w:r>
    </w:p>
  </w:footnote>
  <w:footnote w:id="247">
    <w:p w14:paraId="0F4C8FB8" w14:textId="77777777" w:rsidR="007F4378" w:rsidRDefault="007F4378" w:rsidP="00943E1C">
      <w:pPr>
        <w:pStyle w:val="footnote"/>
      </w:pPr>
      <w:r>
        <w:rPr>
          <w:vertAlign w:val="superscript"/>
        </w:rPr>
        <w:footnoteRef/>
      </w:r>
      <w:r>
        <w:rPr>
          <w:i/>
          <w:iCs/>
        </w:rPr>
        <w:t>Id</w:t>
      </w:r>
      <w:r>
        <w:t xml:space="preserve">. </w:t>
      </w:r>
    </w:p>
  </w:footnote>
  <w:footnote w:id="248">
    <w:p w14:paraId="07323D25" w14:textId="77777777" w:rsidR="007F4378" w:rsidRDefault="007F4378" w:rsidP="00943E1C">
      <w:pPr>
        <w:pStyle w:val="footnote"/>
      </w:pPr>
      <w:r>
        <w:rPr>
          <w:vertAlign w:val="superscript"/>
        </w:rPr>
        <w:footnoteRef/>
      </w:r>
      <w:r>
        <w:t xml:space="preserve">131 S. Ct. 2060 (2011). </w:t>
      </w:r>
    </w:p>
  </w:footnote>
  <w:footnote w:id="249">
    <w:p w14:paraId="2D6069DE" w14:textId="77777777" w:rsidR="007F4378" w:rsidRDefault="007F4378" w:rsidP="00943E1C">
      <w:pPr>
        <w:pStyle w:val="footnote"/>
      </w:pPr>
      <w:r>
        <w:rPr>
          <w:vertAlign w:val="superscript"/>
        </w:rPr>
        <w:footnoteRef/>
      </w:r>
      <w:r>
        <w:rPr>
          <w:i/>
          <w:iCs/>
        </w:rPr>
        <w:t>Id</w:t>
      </w:r>
      <w:r>
        <w:t xml:space="preserve">. at 2068–72. </w:t>
      </w:r>
    </w:p>
  </w:footnote>
  <w:footnote w:id="250">
    <w:p w14:paraId="66CA30AE" w14:textId="77777777" w:rsidR="007F4378" w:rsidRDefault="007F4378" w:rsidP="00943E1C">
      <w:pPr>
        <w:pStyle w:val="footnote"/>
      </w:pPr>
      <w:r>
        <w:rPr>
          <w:vertAlign w:val="superscript"/>
        </w:rPr>
        <w:footnoteRef/>
      </w:r>
      <w:r>
        <w:rPr>
          <w:i/>
          <w:iCs/>
        </w:rPr>
        <w:t>Id</w:t>
      </w:r>
      <w:r>
        <w:t xml:space="preserve">. at 2070. </w:t>
      </w:r>
    </w:p>
  </w:footnote>
  <w:footnote w:id="251">
    <w:p w14:paraId="75BA648A" w14:textId="77777777" w:rsidR="007F4378" w:rsidRDefault="007F4378" w:rsidP="00943E1C">
      <w:pPr>
        <w:pStyle w:val="footnote"/>
      </w:pPr>
      <w:r>
        <w:rPr>
          <w:vertAlign w:val="superscript"/>
        </w:rPr>
        <w:footnoteRef/>
      </w:r>
      <w:r>
        <w:t xml:space="preserve">35 U.S.C. §284. </w:t>
      </w:r>
    </w:p>
  </w:footnote>
  <w:footnote w:id="252">
    <w:p w14:paraId="0AB00077" w14:textId="77777777" w:rsidR="007F4378" w:rsidRDefault="007F4378" w:rsidP="00943E1C">
      <w:pPr>
        <w:pStyle w:val="footnote"/>
      </w:pPr>
      <w:r>
        <w:rPr>
          <w:vertAlign w:val="superscript"/>
        </w:rPr>
        <w:footnoteRef/>
      </w:r>
      <w:r>
        <w:t xml:space="preserve">17 U.S.C. §504. For a more detailed discussion, see Chapter 16, Litigation of Patents Involving Software Technology. </w:t>
      </w:r>
    </w:p>
  </w:footnote>
  <w:footnote w:id="253">
    <w:p w14:paraId="1D0E924D" w14:textId="77777777" w:rsidR="007F4378" w:rsidRDefault="007F4378" w:rsidP="00943E1C">
      <w:pPr>
        <w:pStyle w:val="footnote"/>
      </w:pPr>
      <w:r>
        <w:rPr>
          <w:vertAlign w:val="superscript"/>
        </w:rPr>
        <w:footnoteRef/>
      </w:r>
      <w:r>
        <w:t xml:space="preserve">253 F. Supp. 2d 943, 66 USPQ2d 1405 (E.D. Ky. 2003), </w:t>
      </w:r>
      <w:proofErr w:type="spellStart"/>
      <w:r>
        <w:rPr>
          <w:i/>
          <w:iCs/>
        </w:rPr>
        <w:t>rev’d</w:t>
      </w:r>
      <w:proofErr w:type="spellEnd"/>
      <w:r>
        <w:t xml:space="preserve">, 387 F.3d 522 (6th Cir. 2004). The Sixth Circuit reversed the district court’s decision on multiple grounds. </w:t>
      </w:r>
    </w:p>
  </w:footnote>
  <w:footnote w:id="254">
    <w:p w14:paraId="530F48DF" w14:textId="77777777" w:rsidR="007F4378" w:rsidRDefault="007F4378" w:rsidP="00943E1C">
      <w:pPr>
        <w:pStyle w:val="footnote"/>
      </w:pPr>
      <w:r>
        <w:rPr>
          <w:vertAlign w:val="superscript"/>
        </w:rPr>
        <w:footnoteRef/>
      </w:r>
      <w:r>
        <w:t xml:space="preserve">Lexmark Int’l, Inc. v. Static Control Components, Inc., 387 F.3d 522 (6th Cir. 2004). </w:t>
      </w:r>
    </w:p>
  </w:footnote>
  <w:footnote w:id="255">
    <w:p w14:paraId="0C6B75FF" w14:textId="77777777" w:rsidR="007F4378" w:rsidRDefault="007F4378" w:rsidP="00943E1C">
      <w:pPr>
        <w:pStyle w:val="footnote"/>
      </w:pPr>
      <w:r>
        <w:rPr>
          <w:vertAlign w:val="superscript"/>
        </w:rPr>
        <w:footnoteRef/>
      </w:r>
      <w:r>
        <w:rPr>
          <w:i/>
          <w:iCs/>
        </w:rPr>
        <w:t>Lexmark</w:t>
      </w:r>
      <w:r>
        <w:t>, 253 F. Supp. 2d</w:t>
      </w:r>
      <w:r>
        <w:rPr>
          <w:i/>
          <w:iCs/>
        </w:rPr>
        <w:t xml:space="preserve"> </w:t>
      </w:r>
      <w:r>
        <w:t xml:space="preserve">at 951. </w:t>
      </w:r>
    </w:p>
  </w:footnote>
  <w:footnote w:id="256">
    <w:p w14:paraId="119A6918" w14:textId="77777777" w:rsidR="007F4378" w:rsidRDefault="007F4378" w:rsidP="00943E1C">
      <w:pPr>
        <w:pStyle w:val="footnote"/>
      </w:pPr>
      <w:r>
        <w:rPr>
          <w:vertAlign w:val="superscript"/>
        </w:rPr>
        <w:footnoteRef/>
      </w:r>
      <w:r>
        <w:rPr>
          <w:i/>
          <w:iCs/>
        </w:rPr>
        <w:t xml:space="preserve">See </w:t>
      </w:r>
      <w:r>
        <w:t xml:space="preserve">E.F. Johnson Co. v. Uniden Corp. of Am., 623 F. Supp. 1485, 1502, 228 USPQ 891 (D. Minn. 1985). </w:t>
      </w:r>
    </w:p>
  </w:footnote>
  <w:footnote w:id="257">
    <w:p w14:paraId="6BBE6CB2" w14:textId="77777777" w:rsidR="007F4378" w:rsidRDefault="007F4378" w:rsidP="00943E1C">
      <w:pPr>
        <w:pStyle w:val="footnote"/>
      </w:pPr>
      <w:r>
        <w:rPr>
          <w:vertAlign w:val="superscript"/>
        </w:rPr>
        <w:footnoteRef/>
      </w:r>
      <w:r>
        <w:t xml:space="preserve">977 F.2d 1510, 24 USPQ2d 1561 (9th Cir. 1992). See §2.04.D.3 above for a discussion of the </w:t>
      </w:r>
      <w:r>
        <w:rPr>
          <w:i/>
          <w:iCs/>
        </w:rPr>
        <w:t>Sega</w:t>
      </w:r>
      <w:r>
        <w:t xml:space="preserve"> decision. </w:t>
      </w:r>
    </w:p>
  </w:footnote>
  <w:footnote w:id="258">
    <w:p w14:paraId="035CE499" w14:textId="77777777" w:rsidR="007F4378" w:rsidRDefault="007F4378" w:rsidP="00943E1C">
      <w:pPr>
        <w:pStyle w:val="footnote"/>
      </w:pPr>
      <w:r>
        <w:rPr>
          <w:vertAlign w:val="superscript"/>
        </w:rPr>
        <w:footnoteRef/>
      </w:r>
      <w:r>
        <w:t xml:space="preserve">Lexmark Int’l, Inc. v. Static Control Components, Inc., 387 F.3d 522, 551 (6th Cir. 2004). </w:t>
      </w:r>
    </w:p>
  </w:footnote>
  <w:footnote w:id="259">
    <w:p w14:paraId="1DBA85D8" w14:textId="77777777" w:rsidR="007F4378" w:rsidRDefault="007F4378" w:rsidP="00943E1C">
      <w:pPr>
        <w:pStyle w:val="footnote"/>
      </w:pPr>
      <w:r>
        <w:rPr>
          <w:vertAlign w:val="superscript"/>
        </w:rPr>
        <w:footnoteRef/>
      </w:r>
      <w:r>
        <w:rPr>
          <w:i/>
          <w:iCs/>
        </w:rPr>
        <w:t>Id</w:t>
      </w:r>
      <w:r>
        <w:t xml:space="preserve">. at 534–41. </w:t>
      </w:r>
    </w:p>
  </w:footnote>
  <w:footnote w:id="260">
    <w:p w14:paraId="17AD7528" w14:textId="77777777" w:rsidR="007F4378" w:rsidRDefault="007F4378" w:rsidP="00943E1C">
      <w:pPr>
        <w:pStyle w:val="footnote"/>
      </w:pPr>
      <w:r>
        <w:rPr>
          <w:vertAlign w:val="superscript"/>
        </w:rPr>
        <w:footnoteRef/>
      </w:r>
      <w:r>
        <w:rPr>
          <w:i/>
          <w:iCs/>
        </w:rPr>
        <w:t>Id</w:t>
      </w:r>
      <w:r>
        <w:t xml:space="preserve">. at 541. </w:t>
      </w:r>
    </w:p>
  </w:footnote>
  <w:footnote w:id="261">
    <w:p w14:paraId="74743028" w14:textId="77777777" w:rsidR="007F4378" w:rsidRDefault="007F4378" w:rsidP="00943E1C">
      <w:pPr>
        <w:pStyle w:val="footnote"/>
      </w:pPr>
      <w:r>
        <w:rPr>
          <w:vertAlign w:val="superscript"/>
        </w:rPr>
        <w:footnoteRef/>
      </w:r>
      <w:r>
        <w:rPr>
          <w:i/>
          <w:iCs/>
        </w:rPr>
        <w:t>Id</w:t>
      </w:r>
      <w:r>
        <w:t xml:space="preserve">. at 542. </w:t>
      </w:r>
    </w:p>
  </w:footnote>
  <w:footnote w:id="262">
    <w:p w14:paraId="28686A51" w14:textId="77777777" w:rsidR="007F4378" w:rsidRDefault="007F4378" w:rsidP="00943E1C">
      <w:pPr>
        <w:pStyle w:val="footnote"/>
      </w:pPr>
      <w:r>
        <w:rPr>
          <w:vertAlign w:val="superscript"/>
        </w:rPr>
        <w:footnoteRef/>
      </w:r>
      <w:r>
        <w:rPr>
          <w:i/>
          <w:iCs/>
        </w:rPr>
        <w:t>Id</w:t>
      </w:r>
      <w:r>
        <w:t>.</w:t>
      </w:r>
      <w:r>
        <w:rPr>
          <w:i/>
          <w:iCs/>
        </w:rPr>
        <w:t xml:space="preserve"> </w:t>
      </w:r>
      <w:r>
        <w:t xml:space="preserve">at 546–47. </w:t>
      </w:r>
    </w:p>
  </w:footnote>
  <w:footnote w:id="263">
    <w:p w14:paraId="48C35B99" w14:textId="77777777" w:rsidR="007F4378" w:rsidRDefault="007F4378" w:rsidP="00943E1C">
      <w:pPr>
        <w:pStyle w:val="footnote"/>
      </w:pPr>
      <w:r>
        <w:rPr>
          <w:vertAlign w:val="superscript"/>
        </w:rPr>
        <w:footnoteRef/>
      </w:r>
      <w:r>
        <w:rPr>
          <w:i/>
          <w:iCs/>
        </w:rPr>
        <w:t>Id</w:t>
      </w:r>
      <w:r>
        <w:t>.</w:t>
      </w:r>
      <w:r>
        <w:rPr>
          <w:i/>
          <w:iCs/>
        </w:rPr>
        <w:t xml:space="preserve"> </w:t>
      </w:r>
      <w:r>
        <w:t xml:space="preserve">at 547–48. </w:t>
      </w:r>
    </w:p>
  </w:footnote>
  <w:footnote w:id="264">
    <w:p w14:paraId="099DE2F0" w14:textId="77777777" w:rsidR="007F4378" w:rsidRDefault="007F4378" w:rsidP="00943E1C">
      <w:pPr>
        <w:pStyle w:val="footnote"/>
      </w:pPr>
      <w:r>
        <w:rPr>
          <w:vertAlign w:val="superscript"/>
        </w:rPr>
        <w:footnoteRef/>
      </w:r>
      <w:r>
        <w:t xml:space="preserve">381 F.3d 1178 (Fed. Cir. 2004). </w:t>
      </w:r>
      <w:r>
        <w:rPr>
          <w:i/>
          <w:iCs/>
        </w:rPr>
        <w:t xml:space="preserve">Chamberlain Group </w:t>
      </w:r>
      <w:r>
        <w:t>involved a suit by the manufacturer (Chamberlain) of a garage door opener (GDO) against an after-market manufacturer of GDO transmitters (</w:t>
      </w:r>
      <w:proofErr w:type="spellStart"/>
      <w:r>
        <w:t>Skylink</w:t>
      </w:r>
      <w:proofErr w:type="spellEnd"/>
      <w:r>
        <w:t xml:space="preserve">), in which Chamberlain claimed that </w:t>
      </w:r>
      <w:proofErr w:type="spellStart"/>
      <w:r>
        <w:t>Skylink’s</w:t>
      </w:r>
      <w:proofErr w:type="spellEnd"/>
      <w:r>
        <w:t xml:space="preserve"> transmitters circumvented a technological measure that controlled the Chamberlain GDO unit, thus violating the DMCA. </w:t>
      </w:r>
      <w:r>
        <w:rPr>
          <w:i/>
          <w:iCs/>
        </w:rPr>
        <w:t>Id</w:t>
      </w:r>
      <w:r>
        <w:t xml:space="preserve">. at 1183–85. The Federal Circuit disagreed with Chamberlain’s expansive interpretation of the DMCA and held that there was neither a copyright infringement nor a prohibited circumvention on the part of </w:t>
      </w:r>
      <w:proofErr w:type="spellStart"/>
      <w:r>
        <w:t>Skylink</w:t>
      </w:r>
      <w:proofErr w:type="spellEnd"/>
      <w:r>
        <w:t xml:space="preserve"> that would trigger a DMCA cause of action. </w:t>
      </w:r>
      <w:r>
        <w:rPr>
          <w:i/>
          <w:iCs/>
        </w:rPr>
        <w:t>Id</w:t>
      </w:r>
      <w:r>
        <w:t xml:space="preserve">. at 1204; </w:t>
      </w:r>
      <w:r>
        <w:rPr>
          <w:i/>
          <w:iCs/>
        </w:rPr>
        <w:t>see generally id</w:t>
      </w:r>
      <w:r>
        <w:t>.</w:t>
      </w:r>
      <w:r>
        <w:rPr>
          <w:i/>
          <w:iCs/>
        </w:rPr>
        <w:t xml:space="preserve"> </w:t>
      </w:r>
      <w:r>
        <w:t xml:space="preserve">at 1192–1203. </w:t>
      </w:r>
    </w:p>
  </w:footnote>
  <w:footnote w:id="265">
    <w:p w14:paraId="0917C950" w14:textId="77777777" w:rsidR="007F4378" w:rsidRDefault="007F4378" w:rsidP="00943E1C">
      <w:pPr>
        <w:pStyle w:val="footnote"/>
      </w:pPr>
      <w:r>
        <w:rPr>
          <w:vertAlign w:val="superscript"/>
        </w:rPr>
        <w:footnoteRef/>
      </w:r>
      <w:r>
        <w:rPr>
          <w:i/>
          <w:iCs/>
        </w:rPr>
        <w:t>Lexmark</w:t>
      </w:r>
      <w:r>
        <w:t xml:space="preserve">, 387 F.3d at 552 (Merritt, J., concurring). </w:t>
      </w:r>
    </w:p>
  </w:footnote>
  <w:footnote w:id="266">
    <w:p w14:paraId="7092B769" w14:textId="77777777" w:rsidR="007F4378" w:rsidRDefault="007F4378" w:rsidP="00943E1C">
      <w:pPr>
        <w:pStyle w:val="footnote"/>
      </w:pPr>
      <w:r>
        <w:rPr>
          <w:vertAlign w:val="superscript"/>
        </w:rPr>
        <w:footnoteRef/>
      </w:r>
      <w:r>
        <w:rPr>
          <w:i/>
          <w:iCs/>
        </w:rPr>
        <w:t>See id</w:t>
      </w:r>
      <w:r>
        <w:t xml:space="preserve">. at 551–53; </w:t>
      </w:r>
      <w:r>
        <w:rPr>
          <w:i/>
          <w:iCs/>
        </w:rPr>
        <w:t>see also</w:t>
      </w:r>
      <w:r>
        <w:t xml:space="preserve"> </w:t>
      </w:r>
      <w:r>
        <w:rPr>
          <w:i/>
          <w:iCs/>
        </w:rPr>
        <w:t>Chamberlain Group</w:t>
      </w:r>
      <w:r>
        <w:t xml:space="preserve">, 381 F.3d at 1204 (“[a] copyright owner seeking to impose liability on an accused circumventor must demonstrate a reasonable relationship between the circumvention at issue and a use relating to a property right for which the Copyright Act permits the copyright owner to withhold authorization—as well as notice that authorization was withheld”). </w:t>
      </w:r>
    </w:p>
  </w:footnote>
  <w:footnote w:id="267">
    <w:p w14:paraId="47931D92" w14:textId="77777777" w:rsidR="007F4378" w:rsidRDefault="007F4378" w:rsidP="00943E1C">
      <w:pPr>
        <w:pStyle w:val="footnote"/>
      </w:pPr>
      <w:r>
        <w:rPr>
          <w:vertAlign w:val="superscript"/>
        </w:rPr>
        <w:footnoteRef/>
      </w:r>
      <w:r>
        <w:t xml:space="preserve">35 U.S.C. §112. </w:t>
      </w:r>
    </w:p>
  </w:footnote>
  <w:footnote w:id="268">
    <w:p w14:paraId="71E24F90" w14:textId="77777777" w:rsidR="007F4378" w:rsidRDefault="007F4378" w:rsidP="00943E1C">
      <w:pPr>
        <w:pStyle w:val="footnote"/>
      </w:pPr>
      <w:r>
        <w:rPr>
          <w:vertAlign w:val="superscript"/>
        </w:rPr>
        <w:footnoteRef/>
      </w:r>
      <w:r>
        <w:rPr>
          <w:i/>
          <w:iCs/>
        </w:rPr>
        <w:t>Id.</w:t>
      </w:r>
      <w:r>
        <w:t xml:space="preserve"> </w:t>
      </w:r>
    </w:p>
  </w:footnote>
  <w:footnote w:id="269">
    <w:p w14:paraId="12134C3D" w14:textId="77777777" w:rsidR="007F4378" w:rsidRDefault="007F4378" w:rsidP="00943E1C">
      <w:pPr>
        <w:pStyle w:val="footnote"/>
      </w:pPr>
      <w:r>
        <w:rPr>
          <w:vertAlign w:val="superscript"/>
        </w:rPr>
        <w:footnoteRef/>
      </w:r>
      <w:r>
        <w:t>MPEP §2106.01 (MPEP 8th ed. Rev. 3 Aug. 2005) (citing</w:t>
      </w:r>
      <w:r>
        <w:rPr>
          <w:i/>
          <w:iCs/>
        </w:rPr>
        <w:t xml:space="preserve"> In re</w:t>
      </w:r>
      <w:r>
        <w:t xml:space="preserve"> Gay, 309 F.2d 769, 772, 135 USPQ 311, 315 (C.C.P.A. 1962)). </w:t>
      </w:r>
    </w:p>
  </w:footnote>
  <w:footnote w:id="270">
    <w:p w14:paraId="09607CA2" w14:textId="77777777" w:rsidR="007F4378" w:rsidRDefault="007F4378" w:rsidP="00943E1C">
      <w:pPr>
        <w:pStyle w:val="footnote"/>
      </w:pPr>
      <w:r>
        <w:rPr>
          <w:vertAlign w:val="superscript"/>
        </w:rPr>
        <w:footnoteRef/>
      </w:r>
      <w:proofErr w:type="spellStart"/>
      <w:r>
        <w:t>Fonar</w:t>
      </w:r>
      <w:proofErr w:type="spellEnd"/>
      <w:r>
        <w:t xml:space="preserve"> Corp. v. General Elec. Co., 107 F.3d 1543, 1549, 41 USPQ2d 1801, 1805 (Fed. Cir. 1997). </w:t>
      </w:r>
    </w:p>
  </w:footnote>
  <w:footnote w:id="271">
    <w:p w14:paraId="5599F65E" w14:textId="77777777" w:rsidR="007F4378" w:rsidRDefault="007F4378" w:rsidP="00943E1C">
      <w:pPr>
        <w:pStyle w:val="footnote"/>
      </w:pPr>
      <w:r>
        <w:rPr>
          <w:vertAlign w:val="superscript"/>
        </w:rPr>
        <w:footnoteRef/>
      </w:r>
      <w:r>
        <w:rPr>
          <w:i/>
          <w:iCs/>
        </w:rPr>
        <w:t>Id.</w:t>
      </w:r>
      <w:r>
        <w:t xml:space="preserve"> </w:t>
      </w:r>
    </w:p>
  </w:footnote>
  <w:footnote w:id="272">
    <w:p w14:paraId="0E8D51BD" w14:textId="77777777" w:rsidR="007F4378" w:rsidRDefault="007F4378" w:rsidP="00943E1C">
      <w:pPr>
        <w:pStyle w:val="footnote"/>
      </w:pPr>
      <w:r>
        <w:rPr>
          <w:vertAlign w:val="superscript"/>
        </w:rPr>
        <w:footnoteRef/>
      </w:r>
      <w:r>
        <w:rPr>
          <w:i/>
          <w:iCs/>
        </w:rPr>
        <w:t>Id</w:t>
      </w:r>
      <w:r>
        <w:t>. (citing</w:t>
      </w:r>
      <w:r>
        <w:rPr>
          <w:i/>
          <w:iCs/>
        </w:rPr>
        <w:t xml:space="preserve"> In re</w:t>
      </w:r>
      <w:r>
        <w:t xml:space="preserve"> Sherwood, 613 F.2d 809, 816, 204 USPQ 537, 544 (C.C.P.A. 1980)). </w:t>
      </w:r>
    </w:p>
  </w:footnote>
  <w:footnote w:id="273">
    <w:p w14:paraId="5E856E1D" w14:textId="77777777" w:rsidR="007F4378" w:rsidRDefault="007F4378" w:rsidP="00943E1C">
      <w:pPr>
        <w:pStyle w:val="footnote"/>
      </w:pPr>
      <w:r>
        <w:rPr>
          <w:vertAlign w:val="superscript"/>
        </w:rPr>
        <w:footnoteRef/>
      </w:r>
      <w:r>
        <w:t xml:space="preserve">“The specification shall contain a written description of the invention, and of the manner and process of making and using it, in such full, clear, concise, and exact terms as to enable any person skilled in the art to which it pertains, or with which it is most nearly connected, to make and use the same, and shall set forth the best mode contemplated by the inventor of carrying out his invention.” 35 U.S.C. §112. </w:t>
      </w:r>
    </w:p>
  </w:footnote>
  <w:footnote w:id="274">
    <w:p w14:paraId="3FDE400D" w14:textId="77777777" w:rsidR="007F4378" w:rsidRDefault="007F4378" w:rsidP="00943E1C">
      <w:pPr>
        <w:pStyle w:val="footnote"/>
      </w:pPr>
      <w:r>
        <w:rPr>
          <w:vertAlign w:val="superscript"/>
        </w:rPr>
        <w:footnoteRef/>
      </w:r>
      <w:r>
        <w:t xml:space="preserve">17 U.S.C. §401. </w:t>
      </w:r>
    </w:p>
  </w:footnote>
  <w:footnote w:id="275">
    <w:p w14:paraId="4C4C13AE" w14:textId="77777777" w:rsidR="007F4378" w:rsidRDefault="007F4378" w:rsidP="00943E1C">
      <w:pPr>
        <w:pStyle w:val="footnote"/>
      </w:pPr>
      <w:r>
        <w:rPr>
          <w:vertAlign w:val="superscript"/>
        </w:rPr>
        <w:footnoteRef/>
      </w:r>
      <w:r>
        <w:t>“A copyright</w:t>
      </w:r>
      <w:r>
        <w:rPr>
          <w:rFonts w:cs="Times New Roman"/>
        </w:rPr>
        <w:t> </w:t>
      </w:r>
      <w:r>
        <w:t>.</w:t>
      </w:r>
      <w:r>
        <w:rPr>
          <w:rFonts w:cs="Times New Roman"/>
        </w:rPr>
        <w:t> </w:t>
      </w:r>
      <w:r>
        <w:t>.</w:t>
      </w:r>
      <w:r>
        <w:rPr>
          <w:rFonts w:cs="Times New Roman"/>
        </w:rPr>
        <w:t> </w:t>
      </w:r>
      <w:r>
        <w:t>.</w:t>
      </w:r>
      <w:r>
        <w:rPr>
          <w:rFonts w:cs="Times New Roman"/>
        </w:rPr>
        <w:t> </w:t>
      </w:r>
      <w:r>
        <w:t>notice may be placed in a design or utility patent application adjacent to copyright</w:t>
      </w:r>
      <w:r>
        <w:rPr>
          <w:rFonts w:cs="Times New Roman"/>
        </w:rPr>
        <w:t> </w:t>
      </w:r>
      <w:r>
        <w:t>.</w:t>
      </w:r>
      <w:r>
        <w:rPr>
          <w:rFonts w:cs="Times New Roman"/>
        </w:rPr>
        <w:t> </w:t>
      </w:r>
      <w:r>
        <w:t>.</w:t>
      </w:r>
      <w:r>
        <w:rPr>
          <w:rFonts w:cs="Times New Roman"/>
        </w:rPr>
        <w:t> </w:t>
      </w:r>
      <w:r>
        <w:t>.</w:t>
      </w:r>
      <w:r>
        <w:rPr>
          <w:rFonts w:cs="Times New Roman"/>
        </w:rPr>
        <w:t> </w:t>
      </w:r>
      <w:r>
        <w:t>material contained therein. The notice may appear at any appropriate portion of the patent application disclosure.</w:t>
      </w:r>
      <w:r>
        <w:rPr>
          <w:rFonts w:cs="Times New Roman"/>
        </w:rPr>
        <w:t> </w:t>
      </w:r>
      <w:r>
        <w:t>.</w:t>
      </w:r>
      <w:r>
        <w:rPr>
          <w:rFonts w:cs="Times New Roman"/>
        </w:rPr>
        <w:t> </w:t>
      </w:r>
      <w:r>
        <w:t>.</w:t>
      </w:r>
      <w:r>
        <w:rPr>
          <w:rFonts w:cs="Times New Roman"/>
        </w:rPr>
        <w:t> </w:t>
      </w:r>
      <w:r>
        <w:t>.</w:t>
      </w:r>
      <w:r>
        <w:rPr>
          <w:rFonts w:cs="Times New Roman"/>
        </w:rPr>
        <w:t> </w:t>
      </w:r>
      <w:r>
        <w:t>Inclusion of a copyright</w:t>
      </w:r>
      <w:r>
        <w:rPr>
          <w:rFonts w:cs="Times New Roman"/>
        </w:rPr>
        <w:t> </w:t>
      </w:r>
      <w:r>
        <w:t>.</w:t>
      </w:r>
      <w:r>
        <w:rPr>
          <w:rFonts w:cs="Times New Roman"/>
        </w:rPr>
        <w:t> </w:t>
      </w:r>
      <w:r>
        <w:t>.</w:t>
      </w:r>
      <w:r>
        <w:rPr>
          <w:rFonts w:cs="Times New Roman"/>
        </w:rPr>
        <w:t> </w:t>
      </w:r>
      <w:r>
        <w:t>.</w:t>
      </w:r>
      <w:r>
        <w:rPr>
          <w:rFonts w:cs="Times New Roman"/>
        </w:rPr>
        <w:t> </w:t>
      </w:r>
      <w:r>
        <w:t>notice will be permitted only if the authorization language</w:t>
      </w:r>
      <w:r>
        <w:rPr>
          <w:rFonts w:cs="Times New Roman"/>
        </w:rPr>
        <w:t> </w:t>
      </w:r>
      <w:r>
        <w:t>.</w:t>
      </w:r>
      <w:r>
        <w:rPr>
          <w:rFonts w:cs="Times New Roman"/>
        </w:rPr>
        <w:t> </w:t>
      </w:r>
      <w:r>
        <w:t>.</w:t>
      </w:r>
      <w:r>
        <w:rPr>
          <w:rFonts w:cs="Times New Roman"/>
        </w:rPr>
        <w:t> </w:t>
      </w:r>
      <w:r>
        <w:t>.</w:t>
      </w:r>
      <w:r>
        <w:rPr>
          <w:rFonts w:cs="Times New Roman"/>
        </w:rPr>
        <w:t> </w:t>
      </w:r>
      <w:r>
        <w:t>is included at the beginning (preferably as the first paragraph) of the specification.</w:t>
      </w:r>
      <w:r>
        <w:rPr>
          <w:rFonts w:cs="Times New Roman"/>
        </w:rPr>
        <w:t> </w:t>
      </w:r>
      <w:r>
        <w:t>.</w:t>
      </w:r>
      <w:r>
        <w:rPr>
          <w:rFonts w:cs="Times New Roman"/>
        </w:rPr>
        <w:t> </w:t>
      </w:r>
      <w:r>
        <w:t>.</w:t>
      </w:r>
      <w:r>
        <w:rPr>
          <w:rFonts w:cs="Times New Roman"/>
        </w:rPr>
        <w:t> </w:t>
      </w:r>
      <w:r>
        <w:t>.</w:t>
      </w:r>
      <w:r>
        <w:rPr>
          <w:rFonts w:cs="Times New Roman"/>
        </w:rPr>
        <w:t> </w:t>
      </w:r>
      <w:r>
        <w:t xml:space="preserve">The authorization shall read as follows: ‘A portion of the disclosure of this patent document contains material which is subject to copyright protection. The copyright owner has no objection to the facsimile reproduction by anyone of the patent document or the patent disclosure, as it appears in the Patent and Trademark Office patent file or records, but otherwise reserves all copyrights whatsoever.’” 37 C.F.R. §1.71. </w:t>
      </w:r>
    </w:p>
  </w:footnote>
  <w:footnote w:id="276">
    <w:p w14:paraId="1D9BD5B3" w14:textId="77777777" w:rsidR="007F4378" w:rsidRDefault="007F4378" w:rsidP="00943E1C">
      <w:pPr>
        <w:pStyle w:val="footnote"/>
      </w:pPr>
      <w:r>
        <w:rPr>
          <w:vertAlign w:val="superscript"/>
        </w:rPr>
        <w:footnoteRef/>
      </w:r>
      <w:r>
        <w:t xml:space="preserve">15 U.S.C. §401. </w:t>
      </w:r>
    </w:p>
  </w:footnote>
  <w:footnote w:id="277">
    <w:p w14:paraId="7E62058C" w14:textId="77777777" w:rsidR="007F4378" w:rsidRDefault="007F4378" w:rsidP="00943E1C">
      <w:pPr>
        <w:pStyle w:val="footnote"/>
      </w:pPr>
      <w:r>
        <w:rPr>
          <w:vertAlign w:val="superscript"/>
        </w:rPr>
        <w:footnoteRef/>
      </w:r>
      <w:r>
        <w:t xml:space="preserve">37 C.F.R. §1.71(d). </w:t>
      </w:r>
    </w:p>
  </w:footnote>
  <w:footnote w:id="278">
    <w:p w14:paraId="117BBDAE" w14:textId="77777777" w:rsidR="007F4378" w:rsidRDefault="007F4378" w:rsidP="00943E1C">
      <w:pPr>
        <w:pStyle w:val="footnote"/>
      </w:pPr>
      <w:r>
        <w:rPr>
          <w:vertAlign w:val="superscript"/>
        </w:rPr>
        <w:footnoteRef/>
      </w:r>
      <w:r>
        <w:t xml:space="preserve">37 C.F.R. §1.71(e). </w:t>
      </w:r>
    </w:p>
  </w:footnote>
  <w:footnote w:id="279">
    <w:p w14:paraId="53286C64" w14:textId="77777777" w:rsidR="007F4378" w:rsidRDefault="007F4378" w:rsidP="00943E1C">
      <w:pPr>
        <w:pStyle w:val="footnote"/>
      </w:pPr>
      <w:r>
        <w:rPr>
          <w:vertAlign w:val="superscript"/>
        </w:rPr>
        <w:footnoteRef/>
      </w:r>
      <w:r>
        <w:rPr>
          <w:smallCaps/>
        </w:rPr>
        <w:t xml:space="preserve">Jerry Cohen &amp; Alan S. </w:t>
      </w:r>
      <w:proofErr w:type="spellStart"/>
      <w:r>
        <w:rPr>
          <w:smallCaps/>
        </w:rPr>
        <w:t>Gutterman</w:t>
      </w:r>
      <w:proofErr w:type="spellEnd"/>
      <w:r>
        <w:rPr>
          <w:smallCaps/>
        </w:rPr>
        <w:t xml:space="preserve">, Trade Secrets Protection and Exploitation </w:t>
      </w:r>
      <w:r>
        <w:t xml:space="preserve">(1998). </w:t>
      </w:r>
    </w:p>
  </w:footnote>
  <w:footnote w:id="280">
    <w:p w14:paraId="50D30A4D" w14:textId="77777777" w:rsidR="007F4378" w:rsidRDefault="007F4378" w:rsidP="00943E1C">
      <w:pPr>
        <w:pStyle w:val="footnote"/>
      </w:pPr>
      <w:r>
        <w:rPr>
          <w:vertAlign w:val="superscript"/>
        </w:rPr>
        <w:footnoteRef/>
      </w:r>
      <w:r>
        <w:rPr>
          <w:smallCaps/>
        </w:rPr>
        <w:t xml:space="preserve">Arnold H. Pedowitz &amp; Robert W. </w:t>
      </w:r>
      <w:proofErr w:type="spellStart"/>
      <w:r>
        <w:rPr>
          <w:smallCaps/>
        </w:rPr>
        <w:t>Sikkel</w:t>
      </w:r>
      <w:proofErr w:type="spellEnd"/>
      <w:r>
        <w:rPr>
          <w:smallCaps/>
        </w:rPr>
        <w:t>, Trade Secrets: A State-by-State Survey</w:t>
      </w:r>
      <w:r>
        <w:t xml:space="preserve"> (2003). </w:t>
      </w:r>
    </w:p>
  </w:footnote>
  <w:footnote w:id="281">
    <w:p w14:paraId="4B3EFADF" w14:textId="77777777" w:rsidR="007F4378" w:rsidRDefault="007F4378" w:rsidP="00943E1C">
      <w:pPr>
        <w:pStyle w:val="footnote"/>
      </w:pPr>
      <w:r>
        <w:rPr>
          <w:vertAlign w:val="superscript"/>
        </w:rPr>
        <w:footnoteRef/>
      </w:r>
      <w:r>
        <w:rPr>
          <w:smallCaps/>
        </w:rPr>
        <w:t xml:space="preserve">Roger M. </w:t>
      </w:r>
      <w:proofErr w:type="spellStart"/>
      <w:r>
        <w:rPr>
          <w:smallCaps/>
        </w:rPr>
        <w:t>Milgrim</w:t>
      </w:r>
      <w:proofErr w:type="spellEnd"/>
      <w:r>
        <w:rPr>
          <w:smallCaps/>
        </w:rPr>
        <w:t xml:space="preserve">, </w:t>
      </w:r>
      <w:proofErr w:type="spellStart"/>
      <w:r>
        <w:rPr>
          <w:smallCaps/>
        </w:rPr>
        <w:t>Milgrim</w:t>
      </w:r>
      <w:proofErr w:type="spellEnd"/>
      <w:r>
        <w:rPr>
          <w:smallCaps/>
        </w:rPr>
        <w:t xml:space="preserve"> on Trade Secrets </w:t>
      </w:r>
      <w:r>
        <w:t xml:space="preserve">(1998). </w:t>
      </w:r>
    </w:p>
  </w:footnote>
  <w:footnote w:id="282">
    <w:p w14:paraId="4A2B211E" w14:textId="77777777" w:rsidR="007F4378" w:rsidRDefault="007F4378" w:rsidP="00943E1C">
      <w:pPr>
        <w:pStyle w:val="footnote"/>
      </w:pPr>
      <w:r>
        <w:rPr>
          <w:vertAlign w:val="superscript"/>
        </w:rPr>
        <w:footnoteRef/>
      </w:r>
      <w:r>
        <w:rPr>
          <w:smallCaps/>
        </w:rPr>
        <w:t>Doris E. Long, Unfair Competition and the Lanham Act</w:t>
      </w:r>
      <w:r>
        <w:t xml:space="preserve"> (1993). </w:t>
      </w:r>
    </w:p>
  </w:footnote>
  <w:footnote w:id="283">
    <w:p w14:paraId="73A24926" w14:textId="77777777" w:rsidR="007F4378" w:rsidRDefault="007F4378" w:rsidP="00943E1C">
      <w:pPr>
        <w:pStyle w:val="footnote"/>
      </w:pPr>
      <w:r>
        <w:rPr>
          <w:vertAlign w:val="superscript"/>
        </w:rPr>
        <w:footnoteRef/>
      </w:r>
      <w:r>
        <w:rPr>
          <w:smallCaps/>
        </w:rPr>
        <w:t xml:space="preserve">J. Thomas McCarthy, McCarthy on Trademarks and Unfair Competition </w:t>
      </w:r>
      <w:r>
        <w:t xml:space="preserve">(1996). </w:t>
      </w:r>
    </w:p>
  </w:footnote>
  <w:footnote w:id="284">
    <w:p w14:paraId="33DD1B0F" w14:textId="77777777" w:rsidR="007F4378" w:rsidRDefault="007F4378" w:rsidP="00943E1C">
      <w:pPr>
        <w:pStyle w:val="footnote"/>
      </w:pPr>
      <w:r>
        <w:rPr>
          <w:vertAlign w:val="superscript"/>
        </w:rPr>
        <w:footnoteRef/>
      </w:r>
      <w:r>
        <w:rPr>
          <w:smallCaps/>
        </w:rPr>
        <w:t xml:space="preserve">William F. </w:t>
      </w:r>
      <w:proofErr w:type="spellStart"/>
      <w:r>
        <w:rPr>
          <w:smallCaps/>
        </w:rPr>
        <w:t>Patry</w:t>
      </w:r>
      <w:proofErr w:type="spellEnd"/>
      <w:r>
        <w:rPr>
          <w:smallCaps/>
        </w:rPr>
        <w:t>, Copyright Law and Practice</w:t>
      </w:r>
      <w:r>
        <w:t xml:space="preserve"> (2004).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1C"/>
    <w:rsid w:val="0000038E"/>
    <w:rsid w:val="000019B1"/>
    <w:rsid w:val="00030DA8"/>
    <w:rsid w:val="00034C5D"/>
    <w:rsid w:val="000B141A"/>
    <w:rsid w:val="000E0DF9"/>
    <w:rsid w:val="000F6407"/>
    <w:rsid w:val="00112F7F"/>
    <w:rsid w:val="00122966"/>
    <w:rsid w:val="001B2512"/>
    <w:rsid w:val="00202BB8"/>
    <w:rsid w:val="00210569"/>
    <w:rsid w:val="0023419F"/>
    <w:rsid w:val="00297233"/>
    <w:rsid w:val="00297E4B"/>
    <w:rsid w:val="002F1E18"/>
    <w:rsid w:val="002F7110"/>
    <w:rsid w:val="00315318"/>
    <w:rsid w:val="00350C86"/>
    <w:rsid w:val="00353F07"/>
    <w:rsid w:val="00361375"/>
    <w:rsid w:val="00385EF9"/>
    <w:rsid w:val="003955EF"/>
    <w:rsid w:val="003D3656"/>
    <w:rsid w:val="003D366C"/>
    <w:rsid w:val="0040231A"/>
    <w:rsid w:val="004877F6"/>
    <w:rsid w:val="00493754"/>
    <w:rsid w:val="004B3AC0"/>
    <w:rsid w:val="005043D3"/>
    <w:rsid w:val="00505E0B"/>
    <w:rsid w:val="005262A0"/>
    <w:rsid w:val="005D0978"/>
    <w:rsid w:val="005D53AE"/>
    <w:rsid w:val="00625947"/>
    <w:rsid w:val="006469F5"/>
    <w:rsid w:val="0071311B"/>
    <w:rsid w:val="007460E4"/>
    <w:rsid w:val="007908F9"/>
    <w:rsid w:val="007A6A58"/>
    <w:rsid w:val="007D2E73"/>
    <w:rsid w:val="007E346B"/>
    <w:rsid w:val="007F0AF7"/>
    <w:rsid w:val="007F4378"/>
    <w:rsid w:val="008005BD"/>
    <w:rsid w:val="008145B7"/>
    <w:rsid w:val="00816A85"/>
    <w:rsid w:val="00836CB4"/>
    <w:rsid w:val="008431A9"/>
    <w:rsid w:val="008445EF"/>
    <w:rsid w:val="00870EE5"/>
    <w:rsid w:val="009047D9"/>
    <w:rsid w:val="00922C22"/>
    <w:rsid w:val="00925049"/>
    <w:rsid w:val="00943E1C"/>
    <w:rsid w:val="009663E1"/>
    <w:rsid w:val="009A4A76"/>
    <w:rsid w:val="009B418E"/>
    <w:rsid w:val="009F3FCC"/>
    <w:rsid w:val="00B059B1"/>
    <w:rsid w:val="00B413D3"/>
    <w:rsid w:val="00B83CB6"/>
    <w:rsid w:val="00B907A0"/>
    <w:rsid w:val="00B91025"/>
    <w:rsid w:val="00C14296"/>
    <w:rsid w:val="00C54CE7"/>
    <w:rsid w:val="00CC1999"/>
    <w:rsid w:val="00D13618"/>
    <w:rsid w:val="00D3702E"/>
    <w:rsid w:val="00DA09C1"/>
    <w:rsid w:val="00DB5B87"/>
    <w:rsid w:val="00DE22A5"/>
    <w:rsid w:val="00DE354E"/>
    <w:rsid w:val="00DE486B"/>
    <w:rsid w:val="00E05CD8"/>
    <w:rsid w:val="00E33DB7"/>
    <w:rsid w:val="00E43E7B"/>
    <w:rsid w:val="00E44212"/>
    <w:rsid w:val="00E606C6"/>
    <w:rsid w:val="00EC7319"/>
    <w:rsid w:val="00F143C8"/>
    <w:rsid w:val="00F321CE"/>
    <w:rsid w:val="00F37596"/>
    <w:rsid w:val="00F607FE"/>
    <w:rsid w:val="00F62CA6"/>
    <w:rsid w:val="00F81E2B"/>
    <w:rsid w:val="00F93A38"/>
    <w:rsid w:val="00FB747A"/>
    <w:rsid w:val="00FC6602"/>
    <w:rsid w:val="00FC73E5"/>
    <w:rsid w:val="00FD591F"/>
    <w:rsid w:val="00FF1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9F7E"/>
  <w15:chartTrackingRefBased/>
  <w15:docId w15:val="{E24FC213-67E6-434F-A4C7-0B9EED99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1C"/>
    <w:pPr>
      <w:spacing w:after="160" w:line="259" w:lineRule="auto"/>
    </w:pPr>
    <w:rPr>
      <w:rFonts w:asciiTheme="minorHAnsi" w:eastAsiaTheme="minorEastAsia" w:hAnsiTheme="minorHAnsi"/>
      <w:sz w:val="22"/>
      <w:szCs w:val="22"/>
    </w:rPr>
  </w:style>
  <w:style w:type="paragraph" w:styleId="Heading1">
    <w:name w:val="heading 1"/>
    <w:basedOn w:val="Normal"/>
    <w:next w:val="Normal"/>
    <w:link w:val="Heading1Char"/>
    <w:uiPriority w:val="9"/>
    <w:qFormat/>
    <w:rsid w:val="00DE354E"/>
    <w:pPr>
      <w:keepNext/>
      <w:keepLines/>
      <w:spacing w:before="240" w:after="0" w:line="240" w:lineRule="auto"/>
      <w:ind w:firstLine="720"/>
      <w:outlineLvl w:val="0"/>
    </w:pPr>
    <w:rPr>
      <w:rFonts w:ascii="Times New Roman" w:eastAsiaTheme="majorEastAsia" w:hAnsi="Times New Roman" w:cstheme="majorBidi"/>
      <w:sz w:val="32"/>
      <w:szCs w:val="32"/>
    </w:rPr>
  </w:style>
  <w:style w:type="paragraph" w:styleId="Heading2">
    <w:name w:val="heading 2"/>
    <w:basedOn w:val="Normal"/>
    <w:next w:val="Normal"/>
    <w:link w:val="Heading2Char"/>
    <w:uiPriority w:val="9"/>
    <w:semiHidden/>
    <w:unhideWhenUsed/>
    <w:qFormat/>
    <w:rsid w:val="00DE354E"/>
    <w:pPr>
      <w:keepNext/>
      <w:keepLines/>
      <w:spacing w:before="40" w:after="0" w:line="240" w:lineRule="auto"/>
      <w:ind w:firstLine="720"/>
      <w:outlineLvl w:val="1"/>
    </w:pPr>
    <w:rPr>
      <w:rFonts w:ascii="Times New Roman" w:eastAsiaTheme="majorEastAsia" w:hAnsi="Times New Roman"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levelheadIb">
    <w:name w:val="1st level head I._b"/>
    <w:basedOn w:val="Normal"/>
    <w:qFormat/>
    <w:rsid w:val="00DE354E"/>
    <w:pPr>
      <w:spacing w:before="360" w:after="240" w:line="240" w:lineRule="auto"/>
      <w:ind w:firstLine="720"/>
      <w:jc w:val="center"/>
    </w:pPr>
    <w:rPr>
      <w:rFonts w:ascii="Times New Roman" w:hAnsi="Times New Roman"/>
      <w:b/>
      <w:smallCaps/>
      <w:sz w:val="24"/>
    </w:rPr>
  </w:style>
  <w:style w:type="paragraph" w:customStyle="1" w:styleId="2ndlevelheadAb">
    <w:name w:val="2nd level head A._b"/>
    <w:basedOn w:val="Normal"/>
    <w:autoRedefine/>
    <w:uiPriority w:val="99"/>
    <w:qFormat/>
    <w:rsid w:val="000E0DF9"/>
    <w:pPr>
      <w:tabs>
        <w:tab w:val="left" w:pos="360"/>
      </w:tabs>
      <w:spacing w:before="240" w:after="240" w:line="240" w:lineRule="auto"/>
      <w:ind w:left="360" w:hanging="360"/>
    </w:pPr>
    <w:rPr>
      <w:rFonts w:ascii="Times New Roman Bold" w:hAnsi="Times New Roman Bold"/>
      <w:b/>
      <w:sz w:val="24"/>
    </w:rPr>
  </w:style>
  <w:style w:type="paragraph" w:customStyle="1" w:styleId="2ndlevelheadAbi">
    <w:name w:val="2nd level headA._bi"/>
    <w:basedOn w:val="2ndlevelheadAb"/>
    <w:qFormat/>
    <w:rsid w:val="00DE354E"/>
    <w:rPr>
      <w:i/>
    </w:rPr>
  </w:style>
  <w:style w:type="paragraph" w:customStyle="1" w:styleId="2ndlevelheadnospacebi">
    <w:name w:val="2nd level head no space_bi"/>
    <w:basedOn w:val="2ndlevelheadAbi"/>
    <w:uiPriority w:val="99"/>
    <w:qFormat/>
    <w:rsid w:val="00DE354E"/>
  </w:style>
  <w:style w:type="paragraph" w:customStyle="1" w:styleId="2ndlevelheadAbi0">
    <w:name w:val="2nd level head A._bi"/>
    <w:basedOn w:val="2ndlevelheadAb"/>
    <w:qFormat/>
    <w:rsid w:val="00DE354E"/>
    <w:rPr>
      <w:i/>
    </w:rPr>
  </w:style>
  <w:style w:type="paragraph" w:customStyle="1" w:styleId="3rdlevelhead1i">
    <w:name w:val="3rd level head 1._i"/>
    <w:basedOn w:val="Normal"/>
    <w:autoRedefine/>
    <w:uiPriority w:val="99"/>
    <w:qFormat/>
    <w:rsid w:val="00DE354E"/>
    <w:pPr>
      <w:tabs>
        <w:tab w:val="left" w:pos="360"/>
      </w:tabs>
      <w:spacing w:before="240" w:after="240" w:line="240" w:lineRule="auto"/>
      <w:ind w:left="360" w:hanging="360"/>
    </w:pPr>
    <w:rPr>
      <w:rFonts w:ascii="Times New Roman" w:hAnsi="Times New Roman"/>
      <w:i/>
      <w:sz w:val="24"/>
    </w:rPr>
  </w:style>
  <w:style w:type="paragraph" w:customStyle="1" w:styleId="3rdlevelhead1bi">
    <w:name w:val="3rd level head 1._bi"/>
    <w:basedOn w:val="3rdlevelhead1i"/>
    <w:qFormat/>
    <w:rsid w:val="00DE354E"/>
    <w:rPr>
      <w:b/>
    </w:rPr>
  </w:style>
  <w:style w:type="paragraph" w:customStyle="1" w:styleId="3rdlevelheadnospacebi">
    <w:name w:val="3rd level head no space_bi"/>
    <w:basedOn w:val="3rdlevelhead1bi"/>
    <w:autoRedefine/>
    <w:qFormat/>
    <w:rsid w:val="00DE354E"/>
    <w:pPr>
      <w:spacing w:before="0"/>
    </w:pPr>
  </w:style>
  <w:style w:type="paragraph" w:customStyle="1" w:styleId="3rdlevelheadnospacei">
    <w:name w:val="3rd level head no space_i"/>
    <w:basedOn w:val="3rdlevelhead1i"/>
    <w:autoRedefine/>
    <w:uiPriority w:val="99"/>
    <w:qFormat/>
    <w:rsid w:val="00DE354E"/>
    <w:pPr>
      <w:spacing w:before="0"/>
    </w:pPr>
  </w:style>
  <w:style w:type="paragraph" w:customStyle="1" w:styleId="4thlevelheadai">
    <w:name w:val="4th level head a._i"/>
    <w:basedOn w:val="Normal"/>
    <w:autoRedefine/>
    <w:uiPriority w:val="99"/>
    <w:qFormat/>
    <w:rsid w:val="00DE354E"/>
    <w:pPr>
      <w:tabs>
        <w:tab w:val="left" w:pos="720"/>
      </w:tabs>
      <w:spacing w:before="240" w:after="240" w:line="240" w:lineRule="auto"/>
      <w:ind w:left="720" w:hanging="360"/>
    </w:pPr>
    <w:rPr>
      <w:rFonts w:ascii="Times New Roman" w:hAnsi="Times New Roman"/>
      <w:i/>
      <w:sz w:val="24"/>
    </w:rPr>
  </w:style>
  <w:style w:type="paragraph" w:customStyle="1" w:styleId="4thlevelheadab">
    <w:name w:val="4th level head a._b"/>
    <w:basedOn w:val="4thlevelheadai"/>
    <w:autoRedefine/>
    <w:qFormat/>
    <w:rsid w:val="00DE354E"/>
    <w:rPr>
      <w:b/>
      <w:i w:val="0"/>
    </w:rPr>
  </w:style>
  <w:style w:type="paragraph" w:customStyle="1" w:styleId="4thlevelheadnospaceb">
    <w:name w:val="4th level head no space_b"/>
    <w:basedOn w:val="4thlevelheadab"/>
    <w:autoRedefine/>
    <w:qFormat/>
    <w:rsid w:val="00DE354E"/>
    <w:pPr>
      <w:spacing w:before="0"/>
    </w:pPr>
  </w:style>
  <w:style w:type="paragraph" w:customStyle="1" w:styleId="4thlevelheadnospacei">
    <w:name w:val="4th level head no space_i"/>
    <w:basedOn w:val="4thlevelheadai"/>
    <w:autoRedefine/>
    <w:qFormat/>
    <w:rsid w:val="00DE354E"/>
    <w:pPr>
      <w:spacing w:before="0"/>
    </w:pPr>
  </w:style>
  <w:style w:type="paragraph" w:customStyle="1" w:styleId="5thlevelheadii">
    <w:name w:val="5th level head i._i"/>
    <w:basedOn w:val="Normal"/>
    <w:autoRedefine/>
    <w:uiPriority w:val="99"/>
    <w:qFormat/>
    <w:rsid w:val="004877F6"/>
    <w:pPr>
      <w:tabs>
        <w:tab w:val="left" w:pos="960"/>
      </w:tabs>
      <w:spacing w:before="240" w:after="240" w:line="240" w:lineRule="auto"/>
      <w:ind w:left="960" w:hanging="480"/>
    </w:pPr>
    <w:rPr>
      <w:rFonts w:ascii="Times New Roman" w:hAnsi="Times New Roman"/>
      <w:i/>
      <w:sz w:val="24"/>
    </w:rPr>
  </w:style>
  <w:style w:type="paragraph" w:customStyle="1" w:styleId="blockquote">
    <w:name w:val="block quote"/>
    <w:basedOn w:val="Normal"/>
    <w:autoRedefine/>
    <w:uiPriority w:val="99"/>
    <w:qFormat/>
    <w:rsid w:val="000F6407"/>
    <w:pPr>
      <w:spacing w:before="240" w:after="240" w:line="240" w:lineRule="auto"/>
      <w:ind w:left="720"/>
    </w:pPr>
    <w:rPr>
      <w:rFonts w:ascii="Times New Roman" w:hAnsi="Times New Roman"/>
      <w:sz w:val="20"/>
    </w:rPr>
  </w:style>
  <w:style w:type="paragraph" w:customStyle="1" w:styleId="blockquote-p">
    <w:name w:val="block quote-p"/>
    <w:basedOn w:val="Normal"/>
    <w:autoRedefine/>
    <w:qFormat/>
    <w:rsid w:val="00DE354E"/>
    <w:pPr>
      <w:spacing w:before="240" w:after="240" w:line="240" w:lineRule="auto"/>
      <w:ind w:left="720" w:firstLine="720"/>
    </w:pPr>
    <w:rPr>
      <w:rFonts w:ascii="Times New Roman" w:hAnsi="Times New Roman"/>
      <w:sz w:val="24"/>
    </w:rPr>
  </w:style>
  <w:style w:type="paragraph" w:customStyle="1" w:styleId="block-f-">
    <w:name w:val="block-f/+/-"/>
    <w:basedOn w:val="Normal"/>
    <w:autoRedefine/>
    <w:qFormat/>
    <w:rsid w:val="000F6407"/>
    <w:pPr>
      <w:spacing w:before="240" w:after="0" w:line="240" w:lineRule="auto"/>
      <w:ind w:left="720"/>
    </w:pPr>
    <w:rPr>
      <w:rFonts w:ascii="Times New Roman" w:hAnsi="Times New Roman"/>
      <w:sz w:val="20"/>
    </w:rPr>
  </w:style>
  <w:style w:type="paragraph" w:customStyle="1" w:styleId="block-f--">
    <w:name w:val="block-f/-/-"/>
    <w:basedOn w:val="Normal"/>
    <w:autoRedefine/>
    <w:qFormat/>
    <w:rsid w:val="003D3656"/>
    <w:pPr>
      <w:spacing w:after="0" w:line="240" w:lineRule="auto"/>
      <w:ind w:left="720"/>
    </w:pPr>
    <w:rPr>
      <w:rFonts w:ascii="Times New Roman" w:hAnsi="Times New Roman"/>
      <w:sz w:val="20"/>
    </w:rPr>
  </w:style>
  <w:style w:type="paragraph" w:customStyle="1" w:styleId="block-p">
    <w:name w:val="block-p/+/+"/>
    <w:basedOn w:val="block-f--"/>
    <w:uiPriority w:val="99"/>
    <w:qFormat/>
    <w:rsid w:val="00816A85"/>
    <w:pPr>
      <w:spacing w:before="240" w:after="240"/>
    </w:pPr>
  </w:style>
  <w:style w:type="paragraph" w:customStyle="1" w:styleId="block-p-">
    <w:name w:val="block-p/+/-"/>
    <w:basedOn w:val="block-p"/>
    <w:autoRedefine/>
    <w:qFormat/>
    <w:rsid w:val="003D3656"/>
    <w:pPr>
      <w:spacing w:after="0"/>
      <w:ind w:firstLine="720"/>
    </w:pPr>
  </w:style>
  <w:style w:type="paragraph" w:customStyle="1" w:styleId="block-p--">
    <w:name w:val="block-p/-/-"/>
    <w:basedOn w:val="block-p-"/>
    <w:autoRedefine/>
    <w:qFormat/>
    <w:rsid w:val="005043D3"/>
    <w:pPr>
      <w:spacing w:before="0"/>
    </w:pPr>
  </w:style>
  <w:style w:type="paragraph" w:customStyle="1" w:styleId="block-p-0">
    <w:name w:val="block-p/-/+"/>
    <w:basedOn w:val="Normal"/>
    <w:autoRedefine/>
    <w:qFormat/>
    <w:rsid w:val="00C14296"/>
    <w:pPr>
      <w:spacing w:after="240" w:line="240" w:lineRule="auto"/>
      <w:ind w:left="720" w:firstLine="720"/>
    </w:pPr>
    <w:rPr>
      <w:rFonts w:ascii="Times New Roman" w:hAnsi="Times New Roman"/>
      <w:sz w:val="20"/>
    </w:rPr>
  </w:style>
  <w:style w:type="paragraph" w:customStyle="1" w:styleId="block-f-0">
    <w:name w:val="block-f/-/+"/>
    <w:basedOn w:val="block-f-"/>
    <w:autoRedefine/>
    <w:qFormat/>
    <w:rsid w:val="00DE354E"/>
    <w:pPr>
      <w:spacing w:before="0" w:after="240"/>
    </w:pPr>
  </w:style>
  <w:style w:type="paragraph" w:customStyle="1" w:styleId="footnote">
    <w:name w:val="footnote"/>
    <w:basedOn w:val="Normal"/>
    <w:autoRedefine/>
    <w:uiPriority w:val="99"/>
    <w:qFormat/>
    <w:rsid w:val="00E43E7B"/>
    <w:pPr>
      <w:spacing w:after="0" w:line="240" w:lineRule="auto"/>
      <w:ind w:firstLine="720"/>
    </w:pPr>
    <w:rPr>
      <w:rFonts w:ascii="Times New Roman" w:hAnsi="Times New Roman"/>
      <w:sz w:val="20"/>
    </w:rPr>
  </w:style>
  <w:style w:type="paragraph" w:customStyle="1" w:styleId="bulletliststart">
    <w:name w:val="bullet list start"/>
    <w:basedOn w:val="Normal"/>
    <w:autoRedefine/>
    <w:qFormat/>
    <w:rsid w:val="00DE354E"/>
    <w:pPr>
      <w:spacing w:before="240" w:after="0" w:line="240" w:lineRule="auto"/>
      <w:ind w:left="619" w:hanging="180"/>
    </w:pPr>
    <w:rPr>
      <w:rFonts w:ascii="Times New Roman" w:hAnsi="Times New Roman"/>
      <w:sz w:val="24"/>
    </w:rPr>
  </w:style>
  <w:style w:type="paragraph" w:customStyle="1" w:styleId="bullet">
    <w:name w:val="bullet"/>
    <w:basedOn w:val="bulletliststart"/>
    <w:autoRedefine/>
    <w:uiPriority w:val="99"/>
    <w:qFormat/>
    <w:rsid w:val="00DE354E"/>
    <w:pPr>
      <w:spacing w:before="0"/>
    </w:pPr>
  </w:style>
  <w:style w:type="paragraph" w:customStyle="1" w:styleId="bulletlist">
    <w:name w:val="bullet list"/>
    <w:basedOn w:val="bulletliststart"/>
    <w:autoRedefine/>
    <w:qFormat/>
    <w:rsid w:val="00DE354E"/>
    <w:pPr>
      <w:spacing w:before="0"/>
    </w:pPr>
  </w:style>
  <w:style w:type="paragraph" w:customStyle="1" w:styleId="bulletlistend">
    <w:name w:val="bullet list end"/>
    <w:basedOn w:val="bulletlist"/>
    <w:autoRedefine/>
    <w:qFormat/>
    <w:rsid w:val="00210569"/>
    <w:pPr>
      <w:spacing w:after="240"/>
    </w:pPr>
  </w:style>
  <w:style w:type="paragraph" w:customStyle="1" w:styleId="numberliststart">
    <w:name w:val="number list start"/>
    <w:basedOn w:val="Normal"/>
    <w:autoRedefine/>
    <w:uiPriority w:val="99"/>
    <w:qFormat/>
    <w:rsid w:val="00625947"/>
    <w:pPr>
      <w:spacing w:before="240" w:after="0" w:line="240" w:lineRule="auto"/>
      <w:ind w:left="799" w:hanging="360"/>
    </w:pPr>
    <w:rPr>
      <w:rFonts w:ascii="Times New Roman" w:hAnsi="Times New Roman"/>
      <w:sz w:val="24"/>
    </w:rPr>
  </w:style>
  <w:style w:type="paragraph" w:customStyle="1" w:styleId="1stlevelheadIr">
    <w:name w:val="1st level head I._r"/>
    <w:basedOn w:val="1stlevelheadIb"/>
    <w:autoRedefine/>
    <w:uiPriority w:val="99"/>
    <w:qFormat/>
    <w:rsid w:val="00DE354E"/>
    <w:pPr>
      <w:spacing w:after="360"/>
    </w:pPr>
    <w:rPr>
      <w:b w:val="0"/>
    </w:rPr>
  </w:style>
  <w:style w:type="paragraph" w:customStyle="1" w:styleId="text">
    <w:name w:val="text"/>
    <w:basedOn w:val="Normal"/>
    <w:next w:val="Normal"/>
    <w:autoRedefine/>
    <w:uiPriority w:val="99"/>
    <w:qFormat/>
    <w:rsid w:val="00350C86"/>
    <w:pPr>
      <w:tabs>
        <w:tab w:val="left" w:pos="0"/>
        <w:tab w:val="left" w:pos="720"/>
        <w:tab w:val="left" w:pos="1440"/>
        <w:tab w:val="left" w:pos="2160"/>
        <w:tab w:val="left" w:pos="2880"/>
        <w:tab w:val="left" w:pos="3600"/>
        <w:tab w:val="left" w:pos="4320"/>
        <w:tab w:val="left" w:pos="5040"/>
        <w:tab w:val="left" w:pos="5760"/>
      </w:tabs>
      <w:spacing w:after="0" w:line="240" w:lineRule="auto"/>
      <w:ind w:firstLine="720"/>
    </w:pPr>
    <w:rPr>
      <w:rFonts w:ascii="Times New Roman" w:eastAsiaTheme="minorHAnsi" w:hAnsi="Times New Roman"/>
      <w:sz w:val="24"/>
      <w:szCs w:val="24"/>
    </w:rPr>
  </w:style>
  <w:style w:type="paragraph" w:customStyle="1" w:styleId="Blockquoteflush">
    <w:name w:val="Block quote flush"/>
    <w:basedOn w:val="Normal"/>
    <w:autoRedefine/>
    <w:uiPriority w:val="99"/>
    <w:rsid w:val="0000038E"/>
    <w:pPr>
      <w:spacing w:before="240" w:after="240" w:line="240" w:lineRule="auto"/>
      <w:ind w:left="720"/>
    </w:pPr>
    <w:rPr>
      <w:rFonts w:ascii="Times New Roman" w:hAnsi="Times New Roman"/>
      <w:sz w:val="20"/>
      <w:szCs w:val="20"/>
    </w:rPr>
  </w:style>
  <w:style w:type="paragraph" w:customStyle="1" w:styleId="footnoteindent">
    <w:name w:val="footnote indent"/>
    <w:basedOn w:val="Normal"/>
    <w:autoRedefine/>
    <w:uiPriority w:val="99"/>
    <w:rsid w:val="003D3656"/>
    <w:pPr>
      <w:widowControl w:val="0"/>
      <w:autoSpaceDE w:val="0"/>
      <w:autoSpaceDN w:val="0"/>
      <w:adjustRightInd w:val="0"/>
      <w:spacing w:after="0" w:line="240" w:lineRule="auto"/>
      <w:ind w:left="720"/>
      <w:textAlignment w:val="center"/>
    </w:pPr>
    <w:rPr>
      <w:rFonts w:ascii="Times New Roman" w:hAnsi="Times New Roman" w:cs="ITC New Baskerville Std"/>
      <w:color w:val="000000"/>
      <w:sz w:val="20"/>
      <w:szCs w:val="16"/>
    </w:rPr>
  </w:style>
  <w:style w:type="paragraph" w:customStyle="1" w:styleId="footnoteflush">
    <w:name w:val="footnote flush"/>
    <w:basedOn w:val="Normal"/>
    <w:autoRedefine/>
    <w:uiPriority w:val="99"/>
    <w:rsid w:val="00E05CD8"/>
    <w:pPr>
      <w:widowControl w:val="0"/>
      <w:autoSpaceDE w:val="0"/>
      <w:autoSpaceDN w:val="0"/>
      <w:adjustRightInd w:val="0"/>
      <w:spacing w:after="0" w:line="240" w:lineRule="auto"/>
      <w:textAlignment w:val="center"/>
    </w:pPr>
    <w:rPr>
      <w:rFonts w:ascii="Times New Roman" w:hAnsi="Times New Roman" w:cs="ITC New Baskerville Std"/>
      <w:color w:val="000000"/>
      <w:sz w:val="20"/>
      <w:szCs w:val="16"/>
    </w:rPr>
  </w:style>
  <w:style w:type="paragraph" w:customStyle="1" w:styleId="footnoteparaindent">
    <w:name w:val="footnote para indent"/>
    <w:basedOn w:val="Normal"/>
    <w:autoRedefine/>
    <w:uiPriority w:val="99"/>
    <w:rsid w:val="00DE354E"/>
    <w:pPr>
      <w:widowControl w:val="0"/>
      <w:autoSpaceDE w:val="0"/>
      <w:autoSpaceDN w:val="0"/>
      <w:adjustRightInd w:val="0"/>
      <w:spacing w:after="40" w:line="240" w:lineRule="auto"/>
      <w:ind w:firstLine="720"/>
      <w:textAlignment w:val="center"/>
    </w:pPr>
    <w:rPr>
      <w:rFonts w:ascii="Times New Roman" w:hAnsi="Times New Roman" w:cs="ITC New Baskerville Std"/>
      <w:color w:val="000000"/>
      <w:sz w:val="20"/>
      <w:szCs w:val="16"/>
    </w:rPr>
  </w:style>
  <w:style w:type="paragraph" w:customStyle="1" w:styleId="textflush">
    <w:name w:val="text flush"/>
    <w:basedOn w:val="Normal"/>
    <w:autoRedefine/>
    <w:uiPriority w:val="99"/>
    <w:qFormat/>
    <w:rsid w:val="00E606C6"/>
    <w:pPr>
      <w:spacing w:after="0" w:line="240" w:lineRule="auto"/>
    </w:pPr>
    <w:rPr>
      <w:rFonts w:ascii="Times New Roman" w:eastAsia="Calibri" w:hAnsi="Times New Roman" w:cs="ITC New Baskerville Std"/>
      <w:color w:val="000000"/>
      <w:sz w:val="24"/>
      <w:szCs w:val="24"/>
    </w:rPr>
  </w:style>
  <w:style w:type="paragraph" w:customStyle="1" w:styleId="text-flush">
    <w:name w:val="text-flush"/>
    <w:basedOn w:val="text"/>
    <w:autoRedefine/>
    <w:qFormat/>
    <w:rsid w:val="00DE354E"/>
  </w:style>
  <w:style w:type="paragraph" w:customStyle="1" w:styleId="bulletstart">
    <w:name w:val="bullet start"/>
    <w:basedOn w:val="bullet"/>
    <w:autoRedefine/>
    <w:uiPriority w:val="99"/>
    <w:rsid w:val="00DE354E"/>
    <w:pPr>
      <w:widowControl w:val="0"/>
      <w:tabs>
        <w:tab w:val="left" w:pos="620"/>
      </w:tabs>
      <w:autoSpaceDE w:val="0"/>
      <w:autoSpaceDN w:val="0"/>
      <w:adjustRightInd w:val="0"/>
      <w:spacing w:before="240"/>
      <w:jc w:val="both"/>
      <w:textAlignment w:val="center"/>
    </w:pPr>
    <w:rPr>
      <w:rFonts w:cs="ITC New Baskerville Std"/>
      <w:color w:val="000000"/>
    </w:rPr>
  </w:style>
  <w:style w:type="paragraph" w:customStyle="1" w:styleId="numberlistplstart">
    <w:name w:val="number list pl start"/>
    <w:basedOn w:val="Normal"/>
    <w:autoRedefine/>
    <w:uiPriority w:val="99"/>
    <w:rsid w:val="006469F5"/>
    <w:pPr>
      <w:widowControl w:val="0"/>
      <w:tabs>
        <w:tab w:val="left" w:pos="920"/>
      </w:tabs>
      <w:autoSpaceDE w:val="0"/>
      <w:autoSpaceDN w:val="0"/>
      <w:adjustRightInd w:val="0"/>
      <w:spacing w:before="240" w:after="0" w:line="240" w:lineRule="auto"/>
      <w:ind w:left="919" w:hanging="480"/>
      <w:jc w:val="both"/>
      <w:textAlignment w:val="center"/>
    </w:pPr>
    <w:rPr>
      <w:rFonts w:ascii="Times New Roman" w:hAnsi="Times New Roman" w:cs="ITC New Baskerville Std"/>
      <w:color w:val="000000"/>
      <w:sz w:val="24"/>
    </w:rPr>
  </w:style>
  <w:style w:type="paragraph" w:customStyle="1" w:styleId="numberlistpl">
    <w:name w:val="number list pl"/>
    <w:basedOn w:val="Normal"/>
    <w:autoRedefine/>
    <w:uiPriority w:val="99"/>
    <w:rsid w:val="006469F5"/>
    <w:pPr>
      <w:widowControl w:val="0"/>
      <w:tabs>
        <w:tab w:val="left" w:pos="920"/>
      </w:tabs>
      <w:autoSpaceDE w:val="0"/>
      <w:autoSpaceDN w:val="0"/>
      <w:adjustRightInd w:val="0"/>
      <w:spacing w:after="0" w:line="240" w:lineRule="auto"/>
      <w:ind w:left="919" w:hanging="480"/>
      <w:textAlignment w:val="center"/>
    </w:pPr>
    <w:rPr>
      <w:rFonts w:ascii="Times New Roman" w:hAnsi="Times New Roman" w:cs="ITC New Baskerville Std"/>
      <w:color w:val="000000"/>
      <w:sz w:val="24"/>
    </w:rPr>
  </w:style>
  <w:style w:type="paragraph" w:customStyle="1" w:styleId="numberlistplend">
    <w:name w:val="number list pl end"/>
    <w:basedOn w:val="Normal"/>
    <w:autoRedefine/>
    <w:uiPriority w:val="99"/>
    <w:rsid w:val="00297E4B"/>
    <w:pPr>
      <w:tabs>
        <w:tab w:val="left" w:pos="919"/>
      </w:tabs>
      <w:spacing w:after="240" w:line="240" w:lineRule="auto"/>
      <w:ind w:left="919" w:hanging="480"/>
    </w:pPr>
    <w:rPr>
      <w:rFonts w:ascii="Times New Roman" w:hAnsi="Times New Roman" w:cs="Times New Roman"/>
      <w:sz w:val="24"/>
    </w:rPr>
  </w:style>
  <w:style w:type="paragraph" w:customStyle="1" w:styleId="block2ndindent-">
    <w:name w:val="block 2nd indent -/+"/>
    <w:basedOn w:val="Normal"/>
    <w:autoRedefine/>
    <w:uiPriority w:val="99"/>
    <w:rsid w:val="00816A85"/>
    <w:pPr>
      <w:widowControl w:val="0"/>
      <w:autoSpaceDE w:val="0"/>
      <w:autoSpaceDN w:val="0"/>
      <w:adjustRightInd w:val="0"/>
      <w:spacing w:after="120" w:line="240" w:lineRule="auto"/>
      <w:ind w:left="1440" w:firstLine="720"/>
      <w:textAlignment w:val="center"/>
    </w:pPr>
    <w:rPr>
      <w:rFonts w:ascii="Times New Roman" w:eastAsiaTheme="minorHAnsi" w:hAnsi="Times New Roman" w:cs="ITC New Baskerville Std"/>
      <w:color w:val="000000"/>
      <w:sz w:val="20"/>
      <w:szCs w:val="20"/>
    </w:rPr>
  </w:style>
  <w:style w:type="paragraph" w:customStyle="1" w:styleId="block3rdindent">
    <w:name w:val="block 3rd indent"/>
    <w:basedOn w:val="Normal"/>
    <w:autoRedefine/>
    <w:uiPriority w:val="99"/>
    <w:qFormat/>
    <w:rsid w:val="00816A85"/>
    <w:pPr>
      <w:spacing w:after="240" w:line="240" w:lineRule="auto"/>
      <w:ind w:left="2160" w:firstLine="720"/>
    </w:pPr>
    <w:rPr>
      <w:rFonts w:ascii="Times New Roman" w:hAnsi="Times New Roman" w:cs="Times New Roman"/>
      <w:sz w:val="20"/>
    </w:rPr>
  </w:style>
  <w:style w:type="paragraph" w:customStyle="1" w:styleId="block2ndindent">
    <w:name w:val="block 2nd indent/+/+"/>
    <w:basedOn w:val="Normal"/>
    <w:autoRedefine/>
    <w:uiPriority w:val="99"/>
    <w:rsid w:val="00DE486B"/>
    <w:pPr>
      <w:spacing w:after="240" w:line="240" w:lineRule="auto"/>
      <w:ind w:left="1440" w:firstLine="720"/>
    </w:pPr>
    <w:rPr>
      <w:rFonts w:ascii="Times New Roman" w:eastAsiaTheme="minorHAnsi" w:hAnsi="Times New Roman"/>
      <w:sz w:val="20"/>
      <w:szCs w:val="24"/>
    </w:rPr>
  </w:style>
  <w:style w:type="paragraph" w:customStyle="1" w:styleId="blockquotenumberliststart">
    <w:name w:val="block quote number list start"/>
    <w:basedOn w:val="Normal"/>
    <w:autoRedefine/>
    <w:qFormat/>
    <w:rsid w:val="00E05CD8"/>
    <w:pPr>
      <w:tabs>
        <w:tab w:val="left" w:pos="1200"/>
      </w:tabs>
      <w:spacing w:before="240" w:after="0" w:line="240" w:lineRule="auto"/>
      <w:ind w:left="1200" w:hanging="480"/>
    </w:pPr>
    <w:rPr>
      <w:rFonts w:ascii="Times New Roman" w:hAnsi="Times New Roman"/>
      <w:sz w:val="20"/>
      <w:szCs w:val="20"/>
    </w:rPr>
  </w:style>
  <w:style w:type="paragraph" w:customStyle="1" w:styleId="blockquotenumberlistend">
    <w:name w:val="block quote number list end"/>
    <w:basedOn w:val="Normal"/>
    <w:autoRedefine/>
    <w:qFormat/>
    <w:rsid w:val="00B059B1"/>
    <w:pPr>
      <w:tabs>
        <w:tab w:val="left" w:pos="1200"/>
      </w:tabs>
      <w:spacing w:after="240" w:line="240" w:lineRule="auto"/>
      <w:ind w:left="1200" w:hanging="480"/>
    </w:pPr>
    <w:rPr>
      <w:rFonts w:ascii="Times New Roman" w:hAnsi="Times New Roman"/>
      <w:sz w:val="20"/>
      <w:szCs w:val="20"/>
    </w:rPr>
  </w:style>
  <w:style w:type="paragraph" w:customStyle="1" w:styleId="Numberliststart0">
    <w:name w:val="Number list start"/>
    <w:basedOn w:val="Normal"/>
    <w:autoRedefine/>
    <w:uiPriority w:val="99"/>
    <w:rsid w:val="00FC6602"/>
    <w:pPr>
      <w:widowControl w:val="0"/>
      <w:tabs>
        <w:tab w:val="left" w:pos="800"/>
      </w:tabs>
      <w:autoSpaceDE w:val="0"/>
      <w:autoSpaceDN w:val="0"/>
      <w:adjustRightInd w:val="0"/>
      <w:spacing w:before="240" w:after="0" w:line="240" w:lineRule="auto"/>
      <w:ind w:left="919" w:hanging="480"/>
      <w:textAlignment w:val="center"/>
    </w:pPr>
    <w:rPr>
      <w:rFonts w:ascii="Times New Roman" w:eastAsiaTheme="minorHAnsi" w:hAnsi="Times New Roman" w:cs="ITC New Baskerville Std"/>
      <w:color w:val="000000"/>
      <w:sz w:val="24"/>
      <w:szCs w:val="24"/>
    </w:rPr>
  </w:style>
  <w:style w:type="paragraph" w:customStyle="1" w:styleId="Numberlist">
    <w:name w:val="Number list"/>
    <w:basedOn w:val="Normal"/>
    <w:autoRedefine/>
    <w:uiPriority w:val="99"/>
    <w:rsid w:val="00FC6602"/>
    <w:pPr>
      <w:widowControl w:val="0"/>
      <w:tabs>
        <w:tab w:val="left" w:pos="800"/>
      </w:tabs>
      <w:autoSpaceDE w:val="0"/>
      <w:autoSpaceDN w:val="0"/>
      <w:adjustRightInd w:val="0"/>
      <w:spacing w:after="0" w:line="240" w:lineRule="auto"/>
      <w:ind w:left="919" w:hanging="480"/>
      <w:jc w:val="both"/>
      <w:textAlignment w:val="center"/>
    </w:pPr>
    <w:rPr>
      <w:rFonts w:ascii="Times New Roman" w:hAnsi="Times New Roman" w:cs="ITC New Baskerville Std"/>
      <w:color w:val="000000"/>
      <w:sz w:val="24"/>
    </w:rPr>
  </w:style>
  <w:style w:type="paragraph" w:customStyle="1" w:styleId="numberlistend">
    <w:name w:val="number list end"/>
    <w:basedOn w:val="numberlistplend"/>
    <w:autoRedefine/>
    <w:uiPriority w:val="99"/>
    <w:rsid w:val="00625947"/>
  </w:style>
  <w:style w:type="paragraph" w:customStyle="1" w:styleId="block-bl">
    <w:name w:val="block-bl"/>
    <w:basedOn w:val="Normal"/>
    <w:autoRedefine/>
    <w:uiPriority w:val="99"/>
    <w:rsid w:val="00DE354E"/>
    <w:pPr>
      <w:widowControl w:val="0"/>
      <w:tabs>
        <w:tab w:val="left" w:pos="900"/>
      </w:tabs>
      <w:autoSpaceDE w:val="0"/>
      <w:autoSpaceDN w:val="0"/>
      <w:adjustRightInd w:val="0"/>
      <w:spacing w:after="0" w:line="240" w:lineRule="auto"/>
      <w:ind w:left="900" w:hanging="180"/>
      <w:textAlignment w:val="center"/>
    </w:pPr>
    <w:rPr>
      <w:rFonts w:ascii="Times New Roman" w:hAnsi="Times New Roman" w:cs="ITC New Baskerville Std"/>
      <w:color w:val="000000"/>
      <w:sz w:val="20"/>
      <w:szCs w:val="20"/>
    </w:rPr>
  </w:style>
  <w:style w:type="paragraph" w:customStyle="1" w:styleId="block-p--3p4para">
    <w:name w:val="block-p/-/- 3p4 para"/>
    <w:basedOn w:val="block-p--"/>
    <w:autoRedefine/>
    <w:uiPriority w:val="99"/>
    <w:rsid w:val="00DE354E"/>
    <w:pPr>
      <w:widowControl w:val="0"/>
      <w:autoSpaceDE w:val="0"/>
      <w:autoSpaceDN w:val="0"/>
      <w:adjustRightInd w:val="0"/>
      <w:ind w:firstLine="1440"/>
      <w:jc w:val="both"/>
      <w:textAlignment w:val="center"/>
    </w:pPr>
    <w:rPr>
      <w:rFonts w:cs="ITC New Baskerville Std"/>
      <w:color w:val="000000"/>
      <w:szCs w:val="20"/>
    </w:rPr>
  </w:style>
  <w:style w:type="paragraph" w:customStyle="1" w:styleId="block2ndindent0">
    <w:name w:val="block 2nd indent"/>
    <w:basedOn w:val="Normal"/>
    <w:autoRedefine/>
    <w:uiPriority w:val="99"/>
    <w:rsid w:val="00DE354E"/>
    <w:pPr>
      <w:widowControl w:val="0"/>
      <w:autoSpaceDE w:val="0"/>
      <w:autoSpaceDN w:val="0"/>
      <w:adjustRightInd w:val="0"/>
      <w:spacing w:after="0" w:line="240" w:lineRule="auto"/>
      <w:ind w:left="1440" w:firstLine="720"/>
      <w:jc w:val="both"/>
      <w:textAlignment w:val="center"/>
    </w:pPr>
    <w:rPr>
      <w:rFonts w:ascii="Times New Roman" w:hAnsi="Times New Roman" w:cs="ITC New Baskerville Std"/>
      <w:color w:val="000000"/>
      <w:sz w:val="20"/>
      <w:szCs w:val="20"/>
    </w:rPr>
  </w:style>
  <w:style w:type="paragraph" w:customStyle="1" w:styleId="bulletend">
    <w:name w:val="bullet end"/>
    <w:basedOn w:val="Normal"/>
    <w:autoRedefine/>
    <w:uiPriority w:val="99"/>
    <w:rsid w:val="00FC6602"/>
    <w:pPr>
      <w:spacing w:after="240" w:line="240" w:lineRule="auto"/>
      <w:ind w:left="619" w:hanging="180"/>
    </w:pPr>
    <w:rPr>
      <w:rFonts w:ascii="Times New Roman" w:hAnsi="Times New Roman"/>
      <w:sz w:val="24"/>
    </w:rPr>
  </w:style>
  <w:style w:type="paragraph" w:customStyle="1" w:styleId="toc2">
    <w:name w:val="toc2"/>
    <w:basedOn w:val="Normal"/>
    <w:autoRedefine/>
    <w:uiPriority w:val="99"/>
    <w:rsid w:val="005D53AE"/>
    <w:pPr>
      <w:widowControl w:val="0"/>
      <w:tabs>
        <w:tab w:val="left" w:pos="960"/>
        <w:tab w:val="right" w:leader="dot" w:pos="6240"/>
        <w:tab w:val="right" w:pos="6960"/>
      </w:tabs>
      <w:autoSpaceDE w:val="0"/>
      <w:autoSpaceDN w:val="0"/>
      <w:adjustRightInd w:val="0"/>
      <w:spacing w:after="0" w:line="240" w:lineRule="auto"/>
      <w:ind w:left="960" w:hanging="360"/>
      <w:textAlignment w:val="center"/>
    </w:pPr>
    <w:rPr>
      <w:rFonts w:ascii="Times New Roman" w:hAnsi="Times New Roman" w:cs="Times New Roman"/>
      <w:color w:val="000000"/>
      <w:sz w:val="24"/>
    </w:rPr>
  </w:style>
  <w:style w:type="paragraph" w:customStyle="1" w:styleId="toc3">
    <w:name w:val="toc3"/>
    <w:basedOn w:val="toc2"/>
    <w:autoRedefine/>
    <w:uiPriority w:val="99"/>
    <w:rsid w:val="007908F9"/>
    <w:pPr>
      <w:tabs>
        <w:tab w:val="clear" w:pos="960"/>
        <w:tab w:val="left" w:pos="1380"/>
      </w:tabs>
      <w:ind w:left="1320"/>
    </w:pPr>
  </w:style>
  <w:style w:type="paragraph" w:customStyle="1" w:styleId="toc1">
    <w:name w:val="toc1"/>
    <w:basedOn w:val="text"/>
    <w:autoRedefine/>
    <w:uiPriority w:val="99"/>
    <w:rsid w:val="005D53AE"/>
    <w:pPr>
      <w:widowControl w:val="0"/>
      <w:tabs>
        <w:tab w:val="clear" w:pos="0"/>
        <w:tab w:val="clear" w:pos="720"/>
        <w:tab w:val="clear" w:pos="1440"/>
        <w:tab w:val="clear" w:pos="2160"/>
        <w:tab w:val="clear" w:pos="2880"/>
        <w:tab w:val="clear" w:pos="3600"/>
        <w:tab w:val="clear" w:pos="4320"/>
        <w:tab w:val="clear" w:pos="5040"/>
        <w:tab w:val="clear" w:pos="5760"/>
        <w:tab w:val="left" w:pos="480"/>
        <w:tab w:val="left" w:pos="600"/>
        <w:tab w:val="right" w:leader="dot" w:pos="6240"/>
        <w:tab w:val="right" w:pos="6960"/>
      </w:tabs>
      <w:autoSpaceDE w:val="0"/>
      <w:autoSpaceDN w:val="0"/>
      <w:adjustRightInd w:val="0"/>
      <w:ind w:left="600" w:hanging="600"/>
      <w:textAlignment w:val="center"/>
    </w:pPr>
    <w:rPr>
      <w:rFonts w:cs="ITC New Baskerville Std"/>
      <w:color w:val="000000"/>
    </w:rPr>
  </w:style>
  <w:style w:type="paragraph" w:customStyle="1" w:styleId="toc4">
    <w:name w:val="toc4"/>
    <w:basedOn w:val="toc3"/>
    <w:autoRedefine/>
    <w:uiPriority w:val="99"/>
    <w:rsid w:val="00DE354E"/>
    <w:pPr>
      <w:tabs>
        <w:tab w:val="clear" w:pos="1380"/>
        <w:tab w:val="left" w:pos="1860"/>
      </w:tabs>
      <w:ind w:left="1860" w:hanging="480"/>
    </w:pPr>
  </w:style>
  <w:style w:type="paragraph" w:customStyle="1" w:styleId="toc5">
    <w:name w:val="toc5"/>
    <w:basedOn w:val="toc4"/>
    <w:autoRedefine/>
    <w:uiPriority w:val="99"/>
    <w:rsid w:val="00DE354E"/>
    <w:pPr>
      <w:tabs>
        <w:tab w:val="clear" w:pos="1860"/>
        <w:tab w:val="right" w:pos="2220"/>
        <w:tab w:val="left" w:pos="2340"/>
      </w:tabs>
      <w:ind w:left="2340"/>
    </w:pPr>
  </w:style>
  <w:style w:type="paragraph" w:styleId="FootnoteText">
    <w:name w:val="footnote text"/>
    <w:basedOn w:val="Normal"/>
    <w:link w:val="FootnoteTextChar"/>
    <w:autoRedefine/>
    <w:uiPriority w:val="99"/>
    <w:rsid w:val="00DE354E"/>
    <w:pPr>
      <w:spacing w:after="0" w:line="240" w:lineRule="auto"/>
      <w:ind w:firstLine="720"/>
    </w:pPr>
    <w:rPr>
      <w:rFonts w:ascii="Times New Roman" w:hAnsi="Times New Roman"/>
      <w:sz w:val="20"/>
      <w:szCs w:val="20"/>
    </w:rPr>
  </w:style>
  <w:style w:type="character" w:customStyle="1" w:styleId="FootnoteTextChar">
    <w:name w:val="Footnote Text Char"/>
    <w:basedOn w:val="DefaultParagraphFont"/>
    <w:link w:val="FootnoteText"/>
    <w:uiPriority w:val="99"/>
    <w:rsid w:val="00DE354E"/>
    <w:rPr>
      <w:sz w:val="20"/>
      <w:szCs w:val="20"/>
    </w:rPr>
  </w:style>
  <w:style w:type="character" w:styleId="FootnoteReference">
    <w:name w:val="footnote reference"/>
    <w:basedOn w:val="DefaultParagraphFont"/>
    <w:uiPriority w:val="99"/>
    <w:rsid w:val="00DE354E"/>
    <w:rPr>
      <w:rFonts w:ascii="Times New Roman" w:hAnsi="Times New Roman"/>
      <w:b w:val="0"/>
      <w:i w:val="0"/>
      <w:sz w:val="20"/>
      <w:vertAlign w:val="superscript"/>
    </w:rPr>
  </w:style>
  <w:style w:type="paragraph" w:customStyle="1" w:styleId="blockquote-p0">
    <w:name w:val="block quote-p +/+"/>
    <w:basedOn w:val="Normal"/>
    <w:autoRedefine/>
    <w:uiPriority w:val="99"/>
    <w:rsid w:val="00DE354E"/>
    <w:pPr>
      <w:widowControl w:val="0"/>
      <w:autoSpaceDE w:val="0"/>
      <w:autoSpaceDN w:val="0"/>
      <w:adjustRightInd w:val="0"/>
      <w:spacing w:before="240" w:after="240" w:line="240" w:lineRule="auto"/>
      <w:ind w:left="720" w:firstLine="720"/>
      <w:jc w:val="both"/>
      <w:textAlignment w:val="center"/>
    </w:pPr>
    <w:rPr>
      <w:rFonts w:ascii="Times New Roman" w:hAnsi="Times New Roman" w:cs="Times New Roman"/>
      <w:color w:val="000000"/>
      <w:sz w:val="20"/>
      <w:szCs w:val="20"/>
    </w:rPr>
  </w:style>
  <w:style w:type="paragraph" w:customStyle="1" w:styleId="nt-indent">
    <w:name w:val="nt-indent"/>
    <w:basedOn w:val="footnote"/>
    <w:autoRedefine/>
    <w:uiPriority w:val="99"/>
    <w:rsid w:val="00DE354E"/>
    <w:pPr>
      <w:widowControl w:val="0"/>
      <w:autoSpaceDE w:val="0"/>
      <w:autoSpaceDN w:val="0"/>
      <w:adjustRightInd w:val="0"/>
      <w:ind w:left="720" w:firstLine="0"/>
      <w:textAlignment w:val="center"/>
    </w:pPr>
    <w:rPr>
      <w:rFonts w:cs="Times LT Std"/>
      <w:color w:val="000000"/>
      <w:szCs w:val="16"/>
    </w:rPr>
  </w:style>
  <w:style w:type="paragraph" w:customStyle="1" w:styleId="bulletdash">
    <w:name w:val="bullet dash"/>
    <w:basedOn w:val="Normal"/>
    <w:autoRedefine/>
    <w:uiPriority w:val="99"/>
    <w:rsid w:val="00DE354E"/>
    <w:pPr>
      <w:widowControl w:val="0"/>
      <w:tabs>
        <w:tab w:val="left" w:pos="900"/>
      </w:tabs>
      <w:autoSpaceDE w:val="0"/>
      <w:autoSpaceDN w:val="0"/>
      <w:adjustRightInd w:val="0"/>
      <w:spacing w:after="0" w:line="240" w:lineRule="auto"/>
      <w:ind w:left="900" w:hanging="180"/>
      <w:jc w:val="both"/>
      <w:textAlignment w:val="center"/>
    </w:pPr>
    <w:rPr>
      <w:rFonts w:ascii="Times New Roman" w:hAnsi="Times New Roman" w:cs="Times LT Std"/>
      <w:color w:val="000000"/>
      <w:sz w:val="24"/>
    </w:rPr>
  </w:style>
  <w:style w:type="paragraph" w:customStyle="1" w:styleId="bulletdash0">
    <w:name w:val="bullet/dash"/>
    <w:basedOn w:val="Normal"/>
    <w:autoRedefine/>
    <w:qFormat/>
    <w:rsid w:val="00DE354E"/>
    <w:pPr>
      <w:tabs>
        <w:tab w:val="left" w:pos="900"/>
      </w:tabs>
      <w:spacing w:after="0" w:line="240" w:lineRule="auto"/>
      <w:ind w:left="900" w:hanging="180"/>
    </w:pPr>
    <w:rPr>
      <w:rFonts w:ascii="Times New Roman" w:hAnsi="Times New Roman"/>
      <w:sz w:val="24"/>
    </w:rPr>
  </w:style>
  <w:style w:type="paragraph" w:customStyle="1" w:styleId="toc2A">
    <w:name w:val="toc2 A."/>
    <w:basedOn w:val="Normal"/>
    <w:autoRedefine/>
    <w:uiPriority w:val="99"/>
    <w:rsid w:val="00C14296"/>
    <w:pPr>
      <w:widowControl w:val="0"/>
      <w:tabs>
        <w:tab w:val="left" w:pos="960"/>
        <w:tab w:val="right" w:leader="dot" w:pos="6240"/>
        <w:tab w:val="right" w:pos="6960"/>
      </w:tabs>
      <w:autoSpaceDE w:val="0"/>
      <w:autoSpaceDN w:val="0"/>
      <w:adjustRightInd w:val="0"/>
      <w:spacing w:after="0" w:line="240" w:lineRule="auto"/>
      <w:ind w:left="960" w:hanging="360"/>
      <w:textAlignment w:val="center"/>
    </w:pPr>
    <w:rPr>
      <w:rFonts w:ascii="Times New Roman" w:hAnsi="Times New Roman" w:cs="NewCenturySchlbk"/>
      <w:color w:val="000000"/>
    </w:rPr>
  </w:style>
  <w:style w:type="paragraph" w:customStyle="1" w:styleId="toc11">
    <w:name w:val="toc1 1."/>
    <w:basedOn w:val="text"/>
    <w:autoRedefine/>
    <w:uiPriority w:val="99"/>
    <w:rsid w:val="00D13618"/>
    <w:pPr>
      <w:widowControl w:val="0"/>
      <w:tabs>
        <w:tab w:val="clear" w:pos="0"/>
        <w:tab w:val="clear" w:pos="1440"/>
        <w:tab w:val="clear" w:pos="2160"/>
        <w:tab w:val="clear" w:pos="2880"/>
        <w:tab w:val="clear" w:pos="3600"/>
        <w:tab w:val="clear" w:pos="4320"/>
        <w:tab w:val="clear" w:pos="5040"/>
        <w:tab w:val="clear" w:pos="5760"/>
        <w:tab w:val="left" w:pos="600"/>
        <w:tab w:val="right" w:leader="dot" w:pos="6240"/>
        <w:tab w:val="right" w:pos="6960"/>
      </w:tabs>
      <w:autoSpaceDE w:val="0"/>
      <w:autoSpaceDN w:val="0"/>
      <w:adjustRightInd w:val="0"/>
      <w:spacing w:line="240" w:lineRule="atLeast"/>
      <w:ind w:left="600" w:hanging="600"/>
      <w:textAlignment w:val="center"/>
    </w:pPr>
    <w:rPr>
      <w:rFonts w:eastAsiaTheme="minorEastAsia" w:cs="NewCenturySchlbk"/>
      <w:color w:val="000000"/>
      <w:sz w:val="22"/>
      <w:szCs w:val="22"/>
    </w:rPr>
  </w:style>
  <w:style w:type="paragraph" w:customStyle="1" w:styleId="toc31">
    <w:name w:val="toc3 1."/>
    <w:basedOn w:val="toc2A"/>
    <w:autoRedefine/>
    <w:uiPriority w:val="99"/>
    <w:rsid w:val="00C14296"/>
    <w:pPr>
      <w:tabs>
        <w:tab w:val="clear" w:pos="960"/>
        <w:tab w:val="left" w:pos="1320"/>
      </w:tabs>
      <w:ind w:left="1320"/>
    </w:pPr>
  </w:style>
  <w:style w:type="paragraph" w:customStyle="1" w:styleId="2ndlevelheadBb">
    <w:name w:val="2nd level head B._b"/>
    <w:basedOn w:val="Normal"/>
    <w:autoRedefine/>
    <w:uiPriority w:val="99"/>
    <w:rsid w:val="00DE354E"/>
    <w:pPr>
      <w:keepNext/>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NewCenturySchlbk"/>
      <w:b/>
      <w:bCs/>
      <w:color w:val="000000"/>
      <w:sz w:val="24"/>
    </w:rPr>
  </w:style>
  <w:style w:type="paragraph" w:customStyle="1" w:styleId="block-p-1">
    <w:name w:val="block-p +/-"/>
    <w:basedOn w:val="Normal"/>
    <w:autoRedefine/>
    <w:uiPriority w:val="99"/>
    <w:rsid w:val="00DE354E"/>
    <w:pPr>
      <w:spacing w:before="240" w:after="0" w:line="240" w:lineRule="auto"/>
      <w:ind w:left="720" w:firstLine="720"/>
    </w:pPr>
    <w:rPr>
      <w:rFonts w:ascii="Times New Roman" w:hAnsi="Times New Roman"/>
      <w:sz w:val="20"/>
    </w:rPr>
  </w:style>
  <w:style w:type="paragraph" w:customStyle="1" w:styleId="BulletList0">
    <w:name w:val="Bullet List"/>
    <w:basedOn w:val="Normal"/>
    <w:autoRedefine/>
    <w:qFormat/>
    <w:rsid w:val="00DE354E"/>
    <w:pPr>
      <w:spacing w:after="0" w:line="240" w:lineRule="auto"/>
      <w:ind w:left="619" w:hanging="180"/>
    </w:pPr>
    <w:rPr>
      <w:rFonts w:ascii="Times New Roman" w:hAnsi="Times New Roman"/>
      <w:sz w:val="24"/>
    </w:rPr>
  </w:style>
  <w:style w:type="paragraph" w:customStyle="1" w:styleId="3rdlevelheadibi">
    <w:name w:val="3rd level head i._bi"/>
    <w:basedOn w:val="Normal"/>
    <w:autoRedefine/>
    <w:uiPriority w:val="99"/>
    <w:rsid w:val="00E05CD8"/>
    <w:pPr>
      <w:keepNext/>
      <w:widowControl w:val="0"/>
      <w:tabs>
        <w:tab w:val="left" w:pos="360"/>
      </w:tabs>
      <w:suppressAutoHyphens/>
      <w:autoSpaceDE w:val="0"/>
      <w:autoSpaceDN w:val="0"/>
      <w:adjustRightInd w:val="0"/>
      <w:spacing w:before="240" w:after="240" w:line="240" w:lineRule="atLeast"/>
      <w:ind w:left="360" w:hanging="360"/>
      <w:textAlignment w:val="center"/>
    </w:pPr>
    <w:rPr>
      <w:rFonts w:ascii="Times New Roman" w:hAnsi="Times New Roman" w:cs="NewCenturySchlbk"/>
      <w:b/>
      <w:bCs/>
      <w:i/>
      <w:iCs/>
      <w:color w:val="000000"/>
      <w:sz w:val="24"/>
    </w:rPr>
  </w:style>
  <w:style w:type="paragraph" w:customStyle="1" w:styleId="hangtext">
    <w:name w:val="hang text"/>
    <w:basedOn w:val="text"/>
    <w:autoRedefine/>
    <w:uiPriority w:val="99"/>
    <w:rsid w:val="00DE354E"/>
    <w:pPr>
      <w:widowControl w:val="0"/>
      <w:autoSpaceDE w:val="0"/>
      <w:autoSpaceDN w:val="0"/>
      <w:adjustRightInd w:val="0"/>
      <w:ind w:left="439" w:hanging="439"/>
      <w:jc w:val="both"/>
      <w:textAlignment w:val="center"/>
    </w:pPr>
    <w:rPr>
      <w:rFonts w:eastAsiaTheme="minorEastAsia" w:cs="NewCenturySchlbk"/>
      <w:color w:val="000000"/>
      <w:szCs w:val="22"/>
    </w:rPr>
  </w:style>
  <w:style w:type="paragraph" w:customStyle="1" w:styleId="3rdlevelhead10bi">
    <w:name w:val="3rd level head 10._bi"/>
    <w:basedOn w:val="3rdlevelhead1bi"/>
    <w:autoRedefine/>
    <w:uiPriority w:val="99"/>
    <w:rsid w:val="00DE354E"/>
    <w:pPr>
      <w:keepNext/>
      <w:widowControl w:val="0"/>
      <w:tabs>
        <w:tab w:val="clear" w:pos="360"/>
        <w:tab w:val="left" w:pos="480"/>
      </w:tabs>
      <w:suppressAutoHyphens/>
      <w:autoSpaceDE w:val="0"/>
      <w:autoSpaceDN w:val="0"/>
      <w:adjustRightInd w:val="0"/>
      <w:ind w:left="480" w:hanging="480"/>
      <w:textAlignment w:val="center"/>
    </w:pPr>
    <w:rPr>
      <w:rFonts w:cs="NewCenturySchlbk"/>
      <w:bCs/>
      <w:iCs/>
      <w:color w:val="000000"/>
      <w:sz w:val="22"/>
    </w:rPr>
  </w:style>
  <w:style w:type="paragraph" w:customStyle="1" w:styleId="2ndlevelheadnospace-b">
    <w:name w:val="2nd level head no space-b"/>
    <w:basedOn w:val="2ndlevelheadBb"/>
    <w:autoRedefine/>
    <w:uiPriority w:val="99"/>
    <w:rsid w:val="00DE354E"/>
    <w:pPr>
      <w:spacing w:before="0"/>
    </w:pPr>
  </w:style>
  <w:style w:type="paragraph" w:customStyle="1" w:styleId="numberlistplstart0">
    <w:name w:val="number list pl_start"/>
    <w:basedOn w:val="Normal"/>
    <w:autoRedefine/>
    <w:qFormat/>
    <w:rsid w:val="00112F7F"/>
    <w:pPr>
      <w:tabs>
        <w:tab w:val="left" w:pos="919"/>
      </w:tabs>
      <w:spacing w:before="240" w:after="0" w:line="240" w:lineRule="auto"/>
      <w:ind w:left="919" w:hanging="480"/>
    </w:pPr>
    <w:rPr>
      <w:rFonts w:ascii="Times New Roman" w:hAnsi="Times New Roman" w:cs="NewCenturySchlbk"/>
      <w:color w:val="000000"/>
      <w:sz w:val="24"/>
    </w:rPr>
  </w:style>
  <w:style w:type="paragraph" w:customStyle="1" w:styleId="numberlist0">
    <w:name w:val="number list"/>
    <w:basedOn w:val="numberlistplstart0"/>
    <w:autoRedefine/>
    <w:uiPriority w:val="99"/>
    <w:qFormat/>
    <w:rsid w:val="00E43E7B"/>
    <w:pPr>
      <w:spacing w:before="0"/>
    </w:pPr>
  </w:style>
  <w:style w:type="paragraph" w:customStyle="1" w:styleId="5hlevelhead1i">
    <w:name w:val="5h level head (1)_i"/>
    <w:basedOn w:val="4thlevelheadnospacei"/>
    <w:autoRedefine/>
    <w:uiPriority w:val="99"/>
    <w:rsid w:val="00DE354E"/>
    <w:pPr>
      <w:keepNext/>
      <w:widowControl w:val="0"/>
      <w:tabs>
        <w:tab w:val="clear" w:pos="720"/>
        <w:tab w:val="left" w:pos="360"/>
      </w:tabs>
      <w:suppressAutoHyphens/>
      <w:autoSpaceDE w:val="0"/>
      <w:autoSpaceDN w:val="0"/>
      <w:adjustRightInd w:val="0"/>
      <w:spacing w:before="240"/>
      <w:ind w:left="919" w:hanging="480"/>
      <w:textAlignment w:val="center"/>
    </w:pPr>
    <w:rPr>
      <w:rFonts w:cs="NewCenturySchlbk"/>
      <w:iCs/>
      <w:color w:val="000000"/>
    </w:rPr>
  </w:style>
  <w:style w:type="paragraph" w:customStyle="1" w:styleId="footnoteblockindentnoparaindent">
    <w:name w:val="footnote block indent (no para indent)"/>
    <w:basedOn w:val="footnote"/>
    <w:autoRedefine/>
    <w:uiPriority w:val="99"/>
    <w:rsid w:val="00E05CD8"/>
    <w:pPr>
      <w:widowControl w:val="0"/>
      <w:autoSpaceDE w:val="0"/>
      <w:autoSpaceDN w:val="0"/>
      <w:adjustRightInd w:val="0"/>
      <w:ind w:left="720" w:firstLine="0"/>
      <w:textAlignment w:val="center"/>
    </w:pPr>
    <w:rPr>
      <w:rFonts w:cs="NewCenturySchlbk"/>
      <w:color w:val="000000"/>
      <w:szCs w:val="16"/>
    </w:rPr>
  </w:style>
  <w:style w:type="paragraph" w:customStyle="1" w:styleId="numberlistplal">
    <w:name w:val="number list pl / al"/>
    <w:basedOn w:val="numberlistplstart"/>
    <w:autoRedefine/>
    <w:qFormat/>
    <w:rsid w:val="00DE354E"/>
    <w:pPr>
      <w:tabs>
        <w:tab w:val="clear" w:pos="920"/>
        <w:tab w:val="left" w:pos="1399"/>
      </w:tabs>
      <w:spacing w:before="0"/>
      <w:ind w:left="1399"/>
    </w:pPr>
  </w:style>
  <w:style w:type="paragraph" w:customStyle="1" w:styleId="numberllistpl2ndlevel">
    <w:name w:val="numberl list pl 2nd level"/>
    <w:basedOn w:val="Normal"/>
    <w:autoRedefine/>
    <w:uiPriority w:val="99"/>
    <w:rsid w:val="00DE354E"/>
    <w:pPr>
      <w:tabs>
        <w:tab w:val="left" w:pos="1400"/>
      </w:tabs>
      <w:spacing w:after="0" w:line="240" w:lineRule="auto"/>
      <w:ind w:left="1399" w:hanging="480"/>
      <w:jc w:val="both"/>
    </w:pPr>
    <w:rPr>
      <w:rFonts w:ascii="Times New Roman" w:hAnsi="Times New Roman"/>
      <w:sz w:val="24"/>
    </w:rPr>
  </w:style>
  <w:style w:type="paragraph" w:customStyle="1" w:styleId="4thlevelheadabsc">
    <w:name w:val="4th level head a_bsc"/>
    <w:basedOn w:val="4thlevelheadab"/>
    <w:autoRedefine/>
    <w:qFormat/>
    <w:rsid w:val="00DE354E"/>
    <w:rPr>
      <w:rFonts w:ascii="Times New Roman Bold" w:hAnsi="Times New Roman Bold" w:cs="Times New Roman"/>
      <w:smallCaps/>
    </w:rPr>
  </w:style>
  <w:style w:type="paragraph" w:customStyle="1" w:styleId="footnoteindentwpara">
    <w:name w:val="footnote indent w/para"/>
    <w:basedOn w:val="footnoteindent"/>
    <w:autoRedefine/>
    <w:uiPriority w:val="99"/>
    <w:rsid w:val="00925049"/>
  </w:style>
  <w:style w:type="paragraph" w:customStyle="1" w:styleId="numberlistplend0">
    <w:name w:val="number list pl_end"/>
    <w:basedOn w:val="Normal"/>
    <w:autoRedefine/>
    <w:uiPriority w:val="99"/>
    <w:rsid w:val="00DE354E"/>
    <w:pPr>
      <w:widowControl w:val="0"/>
      <w:tabs>
        <w:tab w:val="left" w:pos="920"/>
      </w:tabs>
      <w:autoSpaceDE w:val="0"/>
      <w:autoSpaceDN w:val="0"/>
      <w:adjustRightInd w:val="0"/>
      <w:spacing w:after="240" w:line="240" w:lineRule="auto"/>
      <w:ind w:left="919" w:hanging="480"/>
      <w:textAlignment w:val="center"/>
    </w:pPr>
    <w:rPr>
      <w:rFonts w:ascii="Times New Roman" w:hAnsi="Times New Roman" w:cs="Times New Roman"/>
      <w:sz w:val="24"/>
    </w:rPr>
  </w:style>
  <w:style w:type="paragraph" w:customStyle="1" w:styleId="footnotewithpara">
    <w:name w:val="footnote with para"/>
    <w:basedOn w:val="footnote"/>
    <w:autoRedefine/>
    <w:uiPriority w:val="99"/>
    <w:rsid w:val="00DE354E"/>
    <w:pPr>
      <w:widowControl w:val="0"/>
      <w:autoSpaceDE w:val="0"/>
      <w:autoSpaceDN w:val="0"/>
      <w:adjustRightInd w:val="0"/>
      <w:jc w:val="both"/>
      <w:textAlignment w:val="center"/>
    </w:pPr>
    <w:rPr>
      <w:rFonts w:cs="NewCenturySchlbk"/>
      <w:color w:val="000000"/>
      <w:szCs w:val="16"/>
    </w:rPr>
  </w:style>
  <w:style w:type="paragraph" w:customStyle="1" w:styleId="ChapterNumber">
    <w:name w:val="Chapter Number"/>
    <w:basedOn w:val="Normal"/>
    <w:next w:val="Normal"/>
    <w:autoRedefine/>
    <w:uiPriority w:val="99"/>
    <w:rsid w:val="00112F7F"/>
    <w:pPr>
      <w:widowControl w:val="0"/>
      <w:suppressAutoHyphens/>
      <w:autoSpaceDE w:val="0"/>
      <w:autoSpaceDN w:val="0"/>
      <w:adjustRightInd w:val="0"/>
      <w:spacing w:after="240" w:line="240" w:lineRule="auto"/>
      <w:textAlignment w:val="center"/>
    </w:pPr>
    <w:rPr>
      <w:rFonts w:ascii="Times New Roman" w:hAnsi="Times New Roman" w:cs="NewCenturySchlbk"/>
      <w:color w:val="000000"/>
      <w:sz w:val="28"/>
      <w:szCs w:val="28"/>
    </w:rPr>
  </w:style>
  <w:style w:type="paragraph" w:customStyle="1" w:styleId="ChapterTitle">
    <w:name w:val="Chapter Title"/>
    <w:basedOn w:val="ChapterNumber"/>
    <w:autoRedefine/>
    <w:uiPriority w:val="99"/>
    <w:rsid w:val="00DE354E"/>
    <w:pPr>
      <w:spacing w:after="720"/>
    </w:pPr>
    <w:rPr>
      <w:sz w:val="40"/>
      <w:szCs w:val="40"/>
    </w:rPr>
  </w:style>
  <w:style w:type="paragraph" w:customStyle="1" w:styleId="blockquotenumberlist">
    <w:name w:val="block quote number list"/>
    <w:basedOn w:val="blockquotenumberliststart"/>
    <w:autoRedefine/>
    <w:qFormat/>
    <w:rsid w:val="00E05CD8"/>
    <w:pPr>
      <w:spacing w:before="0"/>
    </w:pPr>
  </w:style>
  <w:style w:type="paragraph" w:customStyle="1" w:styleId="chapternumber0">
    <w:name w:val="chapter number"/>
    <w:basedOn w:val="Normal"/>
    <w:autoRedefine/>
    <w:uiPriority w:val="99"/>
    <w:rsid w:val="00C14296"/>
    <w:pPr>
      <w:widowControl w:val="0"/>
      <w:suppressAutoHyphens/>
      <w:autoSpaceDE w:val="0"/>
      <w:autoSpaceDN w:val="0"/>
      <w:adjustRightInd w:val="0"/>
      <w:spacing w:after="240" w:line="240" w:lineRule="auto"/>
      <w:textAlignment w:val="center"/>
    </w:pPr>
    <w:rPr>
      <w:rFonts w:ascii="Times New Roman" w:eastAsia="Times New Roman" w:hAnsi="Times New Roman" w:cs="ITC New Baskerville Std"/>
      <w:b/>
      <w:bCs/>
      <w:color w:val="000000"/>
      <w:sz w:val="28"/>
      <w:szCs w:val="56"/>
    </w:rPr>
  </w:style>
  <w:style w:type="paragraph" w:customStyle="1" w:styleId="toc4a">
    <w:name w:val="toc4 a."/>
    <w:basedOn w:val="toc31"/>
    <w:autoRedefine/>
    <w:uiPriority w:val="99"/>
    <w:rsid w:val="00DE354E"/>
    <w:pPr>
      <w:tabs>
        <w:tab w:val="clear" w:pos="1320"/>
        <w:tab w:val="left" w:pos="1680"/>
      </w:tabs>
      <w:spacing w:line="240" w:lineRule="atLeast"/>
      <w:ind w:left="1680"/>
    </w:pPr>
  </w:style>
  <w:style w:type="paragraph" w:styleId="Subtitle">
    <w:name w:val="Subtitle"/>
    <w:basedOn w:val="Normal"/>
    <w:next w:val="Normal"/>
    <w:link w:val="SubtitleChar"/>
    <w:autoRedefine/>
    <w:uiPriority w:val="11"/>
    <w:qFormat/>
    <w:rsid w:val="00DE354E"/>
    <w:pPr>
      <w:numPr>
        <w:ilvl w:val="1"/>
      </w:numPr>
      <w:spacing w:line="240" w:lineRule="auto"/>
      <w:ind w:firstLine="720"/>
    </w:pPr>
    <w:rPr>
      <w:rFonts w:ascii="Times New Roman" w:hAnsi="Times New Roman"/>
      <w:color w:val="5A5A5A" w:themeColor="text1" w:themeTint="A5"/>
      <w:spacing w:val="15"/>
      <w:sz w:val="24"/>
    </w:rPr>
  </w:style>
  <w:style w:type="character" w:customStyle="1" w:styleId="SubtitleChar">
    <w:name w:val="Subtitle Char"/>
    <w:basedOn w:val="DefaultParagraphFont"/>
    <w:link w:val="Subtitle"/>
    <w:uiPriority w:val="11"/>
    <w:rsid w:val="00DE354E"/>
    <w:rPr>
      <w:rFonts w:eastAsiaTheme="minorEastAsia"/>
      <w:color w:val="5A5A5A" w:themeColor="text1" w:themeTint="A5"/>
      <w:spacing w:val="15"/>
      <w:szCs w:val="22"/>
    </w:rPr>
  </w:style>
  <w:style w:type="paragraph" w:styleId="BlockText">
    <w:name w:val="Block Text"/>
    <w:basedOn w:val="Normal"/>
    <w:autoRedefine/>
    <w:uiPriority w:val="99"/>
    <w:semiHidden/>
    <w:unhideWhenUsed/>
    <w:rsid w:val="00DE354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before="240" w:after="240" w:line="240" w:lineRule="auto"/>
      <w:ind w:left="720" w:firstLine="720"/>
    </w:pPr>
    <w:rPr>
      <w:rFonts w:ascii="Times New Roman" w:hAnsi="Times New Roman"/>
      <w:i/>
      <w:iCs/>
      <w:sz w:val="20"/>
    </w:rPr>
  </w:style>
  <w:style w:type="character" w:customStyle="1" w:styleId="Heading1Char">
    <w:name w:val="Heading 1 Char"/>
    <w:basedOn w:val="DefaultParagraphFont"/>
    <w:link w:val="Heading1"/>
    <w:uiPriority w:val="9"/>
    <w:rsid w:val="00DE354E"/>
    <w:rPr>
      <w:rFonts w:eastAsiaTheme="majorEastAsia" w:cstheme="majorBidi"/>
      <w:sz w:val="32"/>
      <w:szCs w:val="32"/>
    </w:rPr>
  </w:style>
  <w:style w:type="character" w:customStyle="1" w:styleId="Heading2Char">
    <w:name w:val="Heading 2 Char"/>
    <w:basedOn w:val="DefaultParagraphFont"/>
    <w:link w:val="Heading2"/>
    <w:uiPriority w:val="9"/>
    <w:semiHidden/>
    <w:rsid w:val="00DE354E"/>
    <w:rPr>
      <w:rFonts w:eastAsiaTheme="majorEastAsia" w:cstheme="majorBidi"/>
      <w:sz w:val="26"/>
      <w:szCs w:val="26"/>
    </w:rPr>
  </w:style>
  <w:style w:type="paragraph" w:styleId="Title">
    <w:name w:val="Title"/>
    <w:basedOn w:val="Normal"/>
    <w:next w:val="Normal"/>
    <w:link w:val="TitleChar"/>
    <w:autoRedefine/>
    <w:uiPriority w:val="10"/>
    <w:qFormat/>
    <w:rsid w:val="00DE354E"/>
    <w:pPr>
      <w:spacing w:after="0" w:line="240" w:lineRule="auto"/>
      <w:ind w:firstLine="720"/>
      <w:contextualSpacing/>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DE354E"/>
    <w:rPr>
      <w:rFonts w:eastAsiaTheme="majorEastAsia" w:cstheme="majorBidi"/>
      <w:spacing w:val="-10"/>
      <w:kern w:val="28"/>
      <w:sz w:val="56"/>
      <w:szCs w:val="56"/>
    </w:rPr>
  </w:style>
  <w:style w:type="paragraph" w:customStyle="1" w:styleId="l3">
    <w:name w:val="l3"/>
    <w:basedOn w:val="Normal"/>
    <w:autoRedefine/>
    <w:uiPriority w:val="99"/>
    <w:rsid w:val="007A6A58"/>
    <w:pPr>
      <w:keepNext/>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Times LT Std"/>
      <w:i/>
      <w:iCs/>
      <w:color w:val="000000"/>
      <w:sz w:val="24"/>
    </w:rPr>
  </w:style>
  <w:style w:type="paragraph" w:customStyle="1" w:styleId="l2">
    <w:name w:val="l2"/>
    <w:basedOn w:val="Normal"/>
    <w:autoRedefine/>
    <w:uiPriority w:val="99"/>
    <w:rsid w:val="007A6A58"/>
    <w:pPr>
      <w:keepNext/>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Times LT Std"/>
      <w:b/>
      <w:bCs/>
      <w:color w:val="000000"/>
      <w:sz w:val="24"/>
    </w:rPr>
  </w:style>
  <w:style w:type="paragraph" w:customStyle="1" w:styleId="l1">
    <w:name w:val="l1"/>
    <w:basedOn w:val="Normal"/>
    <w:autoRedefine/>
    <w:uiPriority w:val="99"/>
    <w:rsid w:val="007A6A58"/>
    <w:pPr>
      <w:keepNext/>
      <w:widowControl w:val="0"/>
      <w:suppressAutoHyphens/>
      <w:autoSpaceDE w:val="0"/>
      <w:autoSpaceDN w:val="0"/>
      <w:adjustRightInd w:val="0"/>
      <w:spacing w:before="480" w:after="240" w:line="240" w:lineRule="auto"/>
      <w:ind w:firstLine="720"/>
      <w:jc w:val="center"/>
      <w:textAlignment w:val="center"/>
    </w:pPr>
    <w:rPr>
      <w:rFonts w:ascii="Times New Roman" w:hAnsi="Times New Roman" w:cs="Times SC"/>
      <w:smallCaps/>
      <w:color w:val="000000"/>
      <w:sz w:val="24"/>
    </w:rPr>
  </w:style>
  <w:style w:type="paragraph" w:customStyle="1" w:styleId="l2-1">
    <w:name w:val="l2-1"/>
    <w:basedOn w:val="l2"/>
    <w:autoRedefine/>
    <w:uiPriority w:val="99"/>
    <w:rsid w:val="007A6A58"/>
    <w:pPr>
      <w:spacing w:before="0"/>
    </w:pPr>
  </w:style>
  <w:style w:type="paragraph" w:customStyle="1" w:styleId="l4">
    <w:name w:val="l4"/>
    <w:basedOn w:val="Normal"/>
    <w:autoRedefine/>
    <w:uiPriority w:val="99"/>
    <w:rsid w:val="007A6A58"/>
    <w:pPr>
      <w:keepNext/>
      <w:widowControl w:val="0"/>
      <w:tabs>
        <w:tab w:val="left" w:pos="881"/>
      </w:tabs>
      <w:suppressAutoHyphens/>
      <w:autoSpaceDE w:val="0"/>
      <w:autoSpaceDN w:val="0"/>
      <w:adjustRightInd w:val="0"/>
      <w:spacing w:before="240" w:after="240" w:line="240" w:lineRule="auto"/>
      <w:ind w:left="799" w:hanging="360"/>
      <w:textAlignment w:val="center"/>
    </w:pPr>
    <w:rPr>
      <w:rFonts w:ascii="Times New Roman" w:hAnsi="Times New Roman" w:cs="Times LT Std"/>
      <w:i/>
      <w:iCs/>
      <w:color w:val="000000"/>
      <w:sz w:val="24"/>
    </w:rPr>
  </w:style>
  <w:style w:type="paragraph" w:customStyle="1" w:styleId="l5-4">
    <w:name w:val="l5-4"/>
    <w:basedOn w:val="Normal"/>
    <w:autoRedefine/>
    <w:uiPriority w:val="99"/>
    <w:rsid w:val="00210569"/>
    <w:pPr>
      <w:keepNext/>
      <w:widowControl w:val="0"/>
      <w:tabs>
        <w:tab w:val="left" w:pos="1240"/>
      </w:tabs>
      <w:suppressAutoHyphens/>
      <w:autoSpaceDE w:val="0"/>
      <w:autoSpaceDN w:val="0"/>
      <w:adjustRightInd w:val="0"/>
      <w:spacing w:after="240" w:line="240" w:lineRule="auto"/>
      <w:ind w:left="1241" w:hanging="360"/>
      <w:textAlignment w:val="center"/>
    </w:pPr>
    <w:rPr>
      <w:rFonts w:ascii="Times New Roman" w:hAnsi="Times New Roman" w:cs="Times LT Std"/>
      <w:i/>
      <w:iCs/>
      <w:color w:val="000000"/>
      <w:sz w:val="24"/>
    </w:rPr>
  </w:style>
  <w:style w:type="paragraph" w:customStyle="1" w:styleId="l5">
    <w:name w:val="l5"/>
    <w:basedOn w:val="l4"/>
    <w:autoRedefine/>
    <w:uiPriority w:val="99"/>
    <w:rsid w:val="00210569"/>
    <w:pPr>
      <w:tabs>
        <w:tab w:val="left" w:pos="1240"/>
      </w:tabs>
      <w:ind w:left="1241"/>
    </w:pPr>
  </w:style>
  <w:style w:type="paragraph" w:customStyle="1" w:styleId="ntnumberlist">
    <w:name w:val="nt number list"/>
    <w:basedOn w:val="Normal"/>
    <w:autoRedefine/>
    <w:uiPriority w:val="99"/>
    <w:rsid w:val="008005BD"/>
    <w:pPr>
      <w:widowControl w:val="0"/>
      <w:tabs>
        <w:tab w:val="left" w:pos="600"/>
      </w:tabs>
      <w:autoSpaceDE w:val="0"/>
      <w:autoSpaceDN w:val="0"/>
      <w:adjustRightInd w:val="0"/>
      <w:spacing w:after="0" w:line="240" w:lineRule="auto"/>
      <w:ind w:left="960" w:hanging="240"/>
      <w:jc w:val="both"/>
      <w:textAlignment w:val="center"/>
    </w:pPr>
    <w:rPr>
      <w:rFonts w:ascii="Times New Roman" w:hAnsi="Times New Roman" w:cs="Times LT Std"/>
      <w:color w:val="000000"/>
      <w:sz w:val="20"/>
      <w:szCs w:val="18"/>
    </w:rPr>
  </w:style>
  <w:style w:type="paragraph" w:customStyle="1" w:styleId="ntregpara">
    <w:name w:val="nt reg para"/>
    <w:basedOn w:val="Normal"/>
    <w:autoRedefine/>
    <w:uiPriority w:val="99"/>
    <w:rsid w:val="00210569"/>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firstLine="720"/>
      <w:jc w:val="both"/>
      <w:textAlignment w:val="center"/>
    </w:pPr>
    <w:rPr>
      <w:rFonts w:ascii="Times New Roman" w:hAnsi="Times New Roman" w:cs="Times LT Std"/>
      <w:color w:val="000000"/>
      <w:sz w:val="20"/>
      <w:szCs w:val="18"/>
    </w:rPr>
  </w:style>
  <w:style w:type="paragraph" w:customStyle="1" w:styleId="block">
    <w:name w:val="block"/>
    <w:basedOn w:val="Normal"/>
    <w:autoRedefine/>
    <w:qFormat/>
    <w:rsid w:val="009047D9"/>
    <w:pPr>
      <w:spacing w:before="240" w:after="240" w:line="240" w:lineRule="auto"/>
      <w:ind w:left="720" w:firstLine="720"/>
    </w:pPr>
    <w:rPr>
      <w:rFonts w:ascii="Times New Roman" w:hAnsi="Times New Roman"/>
      <w:sz w:val="20"/>
    </w:rPr>
  </w:style>
  <w:style w:type="paragraph" w:customStyle="1" w:styleId="bulletspaceabove">
    <w:name w:val="bullet space above"/>
    <w:basedOn w:val="Normal"/>
    <w:autoRedefine/>
    <w:uiPriority w:val="99"/>
    <w:qFormat/>
    <w:rsid w:val="008005BD"/>
    <w:pPr>
      <w:spacing w:before="240" w:after="0" w:line="240" w:lineRule="auto"/>
      <w:ind w:left="619" w:hanging="180"/>
    </w:pPr>
    <w:rPr>
      <w:rFonts w:ascii="Times New Roman" w:hAnsi="Times New Roman"/>
      <w:sz w:val="24"/>
    </w:rPr>
  </w:style>
  <w:style w:type="paragraph" w:customStyle="1" w:styleId="bulletspacebelow">
    <w:name w:val="bullet space below"/>
    <w:basedOn w:val="bulletspaceabove"/>
    <w:autoRedefine/>
    <w:qFormat/>
    <w:rsid w:val="008005BD"/>
    <w:pPr>
      <w:spacing w:before="0" w:after="240"/>
    </w:pPr>
  </w:style>
  <w:style w:type="paragraph" w:customStyle="1" w:styleId="l4-3">
    <w:name w:val="l4-3"/>
    <w:basedOn w:val="l4"/>
    <w:autoRedefine/>
    <w:uiPriority w:val="99"/>
    <w:rsid w:val="007A6A58"/>
    <w:pPr>
      <w:tabs>
        <w:tab w:val="clear" w:pos="881"/>
      </w:tabs>
      <w:spacing w:before="0"/>
    </w:pPr>
  </w:style>
  <w:style w:type="paragraph" w:customStyle="1" w:styleId="l3-2">
    <w:name w:val="l3-2"/>
    <w:basedOn w:val="l3"/>
    <w:autoRedefine/>
    <w:uiPriority w:val="99"/>
    <w:rsid w:val="005262A0"/>
    <w:pPr>
      <w:spacing w:before="0"/>
    </w:pPr>
  </w:style>
  <w:style w:type="paragraph" w:customStyle="1" w:styleId="2ndlevelheadnospaceb">
    <w:name w:val="2nd level head no space_b"/>
    <w:basedOn w:val="2ndlevelheadAb"/>
    <w:autoRedefine/>
    <w:uiPriority w:val="99"/>
    <w:rsid w:val="005D53AE"/>
    <w:pPr>
      <w:widowControl w:val="0"/>
      <w:autoSpaceDE w:val="0"/>
      <w:autoSpaceDN w:val="0"/>
      <w:adjustRightInd w:val="0"/>
      <w:spacing w:before="0"/>
      <w:textAlignment w:val="center"/>
    </w:pPr>
    <w:rPr>
      <w:rFonts w:ascii="Times New Roman" w:hAnsi="Times New Roman" w:cs="Times LT Std"/>
      <w:bCs/>
      <w:color w:val="000000"/>
    </w:rPr>
  </w:style>
  <w:style w:type="paragraph" w:customStyle="1" w:styleId="numberlistplal0">
    <w:name w:val="number list pl/al"/>
    <w:basedOn w:val="numberlistpl"/>
    <w:autoRedefine/>
    <w:uiPriority w:val="99"/>
    <w:rsid w:val="00361375"/>
    <w:pPr>
      <w:tabs>
        <w:tab w:val="clear" w:pos="920"/>
        <w:tab w:val="left" w:pos="1440"/>
      </w:tabs>
      <w:ind w:left="1440"/>
      <w:jc w:val="both"/>
    </w:pPr>
    <w:rPr>
      <w:rFonts w:cs="Times LT Std"/>
    </w:rPr>
  </w:style>
  <w:style w:type="paragraph" w:customStyle="1" w:styleId="numberlistplalnl">
    <w:name w:val="number list pl/al/nl"/>
    <w:basedOn w:val="numberlistplal0"/>
    <w:autoRedefine/>
    <w:uiPriority w:val="99"/>
    <w:rsid w:val="00361375"/>
    <w:pPr>
      <w:tabs>
        <w:tab w:val="clear" w:pos="1440"/>
        <w:tab w:val="left" w:pos="1920"/>
      </w:tabs>
      <w:ind w:left="1920"/>
    </w:pPr>
  </w:style>
  <w:style w:type="paragraph" w:customStyle="1" w:styleId="5thlevelheadnospacei">
    <w:name w:val="5th level head no space_i"/>
    <w:basedOn w:val="Normal"/>
    <w:autoRedefine/>
    <w:uiPriority w:val="99"/>
    <w:rsid w:val="00F81E2B"/>
    <w:pPr>
      <w:keepNext/>
      <w:widowControl w:val="0"/>
      <w:tabs>
        <w:tab w:val="left" w:pos="960"/>
      </w:tabs>
      <w:suppressAutoHyphens/>
      <w:autoSpaceDE w:val="0"/>
      <w:autoSpaceDN w:val="0"/>
      <w:adjustRightInd w:val="0"/>
      <w:spacing w:after="240" w:line="240" w:lineRule="auto"/>
      <w:ind w:left="1440" w:hanging="480"/>
      <w:textAlignment w:val="center"/>
    </w:pPr>
    <w:rPr>
      <w:rFonts w:ascii="Times New Roman" w:hAnsi="Times New Roman" w:cs="Times LT Std"/>
      <w:i/>
      <w:iCs/>
      <w:color w:val="000000"/>
      <w:sz w:val="24"/>
    </w:rPr>
  </w:style>
  <w:style w:type="paragraph" w:customStyle="1" w:styleId="5thlevelheadii0">
    <w:name w:val="5th level head (i)_i"/>
    <w:basedOn w:val="4thlevelheadai"/>
    <w:autoRedefine/>
    <w:uiPriority w:val="99"/>
    <w:rsid w:val="00361375"/>
    <w:pPr>
      <w:keepNext/>
      <w:widowControl w:val="0"/>
      <w:tabs>
        <w:tab w:val="clear" w:pos="720"/>
        <w:tab w:val="left" w:pos="960"/>
      </w:tabs>
      <w:suppressAutoHyphens/>
      <w:autoSpaceDE w:val="0"/>
      <w:autoSpaceDN w:val="0"/>
      <w:adjustRightInd w:val="0"/>
      <w:ind w:left="1440" w:hanging="480"/>
      <w:textAlignment w:val="center"/>
    </w:pPr>
    <w:rPr>
      <w:rFonts w:cs="Times LT Std"/>
      <w:iCs/>
      <w:color w:val="000000"/>
    </w:rPr>
  </w:style>
  <w:style w:type="paragraph" w:customStyle="1" w:styleId="footnote0">
    <w:name w:val="footnote *"/>
    <w:basedOn w:val="footnote"/>
    <w:autoRedefine/>
    <w:uiPriority w:val="99"/>
    <w:rsid w:val="00F607FE"/>
    <w:pPr>
      <w:pBdr>
        <w:top w:val="single" w:sz="4" w:space="12" w:color="auto"/>
      </w:pBdr>
      <w:autoSpaceDE w:val="0"/>
      <w:autoSpaceDN w:val="0"/>
      <w:adjustRightInd w:val="0"/>
      <w:jc w:val="both"/>
      <w:textAlignment w:val="center"/>
    </w:pPr>
    <w:rPr>
      <w:rFonts w:cs="Times LT Std"/>
      <w:color w:val="000000"/>
      <w:szCs w:val="18"/>
    </w:rPr>
  </w:style>
  <w:style w:type="paragraph" w:customStyle="1" w:styleId="l1-ct">
    <w:name w:val="l1-ct"/>
    <w:basedOn w:val="l1"/>
    <w:autoRedefine/>
    <w:uiPriority w:val="99"/>
    <w:rsid w:val="00030DA8"/>
    <w:pPr>
      <w:spacing w:before="0"/>
      <w:contextualSpacing/>
    </w:pPr>
    <w:rPr>
      <w:szCs w:val="24"/>
    </w:rPr>
  </w:style>
  <w:style w:type="paragraph" w:customStyle="1" w:styleId="apptext">
    <w:name w:val="app text"/>
    <w:basedOn w:val="text"/>
    <w:autoRedefine/>
    <w:uiPriority w:val="99"/>
    <w:rsid w:val="0084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textAlignment w:val="center"/>
    </w:pPr>
    <w:rPr>
      <w:rFonts w:cs="Times LT Std"/>
      <w:color w:val="000000"/>
      <w:szCs w:val="20"/>
    </w:rPr>
  </w:style>
  <w:style w:type="paragraph" w:customStyle="1" w:styleId="L6">
    <w:name w:val="L6"/>
    <w:basedOn w:val="l5"/>
    <w:autoRedefine/>
    <w:uiPriority w:val="99"/>
    <w:rsid w:val="007D2E73"/>
    <w:pPr>
      <w:tabs>
        <w:tab w:val="clear" w:pos="881"/>
        <w:tab w:val="left" w:pos="1680"/>
      </w:tabs>
      <w:ind w:left="1680" w:hanging="480"/>
    </w:pPr>
    <w:rPr>
      <w:szCs w:val="24"/>
    </w:rPr>
  </w:style>
  <w:style w:type="paragraph" w:customStyle="1" w:styleId="l60">
    <w:name w:val="l6"/>
    <w:basedOn w:val="text"/>
    <w:autoRedefine/>
    <w:qFormat/>
    <w:rsid w:val="007D2E73"/>
    <w:pPr>
      <w:tabs>
        <w:tab w:val="left" w:pos="2040"/>
      </w:tabs>
      <w:spacing w:before="240" w:after="240"/>
      <w:ind w:left="840" w:hanging="480"/>
    </w:pPr>
    <w:rPr>
      <w:rFonts w:cs="Times New Roman"/>
      <w:i/>
    </w:rPr>
  </w:style>
  <w:style w:type="paragraph" w:customStyle="1" w:styleId="footnoteindentwpnospace">
    <w:name w:val="footnote indent w/p no space"/>
    <w:basedOn w:val="footnoteindentwpara"/>
    <w:autoRedefine/>
    <w:uiPriority w:val="99"/>
    <w:rsid w:val="008445EF"/>
  </w:style>
  <w:style w:type="paragraph" w:customStyle="1" w:styleId="4thlevelheadascb">
    <w:name w:val="4th level head a._scb"/>
    <w:basedOn w:val="4thlevelheadab"/>
    <w:autoRedefine/>
    <w:qFormat/>
    <w:rsid w:val="00925049"/>
    <w:rPr>
      <w:rFonts w:ascii="Times New Roman Bold" w:hAnsi="Times New Roman Bold" w:cs="Times New Roman"/>
      <w:smallCaps/>
    </w:rPr>
  </w:style>
  <w:style w:type="paragraph" w:customStyle="1" w:styleId="footnotenl">
    <w:name w:val="footnote nl"/>
    <w:basedOn w:val="footnoteindent"/>
    <w:autoRedefine/>
    <w:uiPriority w:val="99"/>
    <w:rsid w:val="00925049"/>
    <w:pPr>
      <w:tabs>
        <w:tab w:val="left" w:pos="680"/>
      </w:tabs>
      <w:ind w:left="1032" w:hanging="312"/>
      <w:jc w:val="both"/>
    </w:pPr>
  </w:style>
  <w:style w:type="paragraph" w:customStyle="1" w:styleId="footnote2ndindentwpara">
    <w:name w:val="footnote 2nd indent w/para"/>
    <w:basedOn w:val="Normal"/>
    <w:autoRedefine/>
    <w:uiPriority w:val="99"/>
    <w:rsid w:val="0071311B"/>
    <w:pPr>
      <w:widowControl w:val="0"/>
      <w:autoSpaceDE w:val="0"/>
      <w:autoSpaceDN w:val="0"/>
      <w:adjustRightInd w:val="0"/>
      <w:spacing w:after="240" w:line="240" w:lineRule="auto"/>
      <w:ind w:left="720" w:firstLine="720"/>
      <w:textAlignment w:val="center"/>
    </w:pPr>
    <w:rPr>
      <w:rFonts w:ascii="Times New Roman" w:hAnsi="Times New Roman" w:cs="ITC New Baskerville Std"/>
      <w:color w:val="000000"/>
      <w:sz w:val="20"/>
      <w:szCs w:val="16"/>
    </w:rPr>
  </w:style>
  <w:style w:type="paragraph" w:customStyle="1" w:styleId="footnote2ndindent">
    <w:name w:val="footnote 2nd indent"/>
    <w:basedOn w:val="footnoteindent"/>
    <w:autoRedefine/>
    <w:uiPriority w:val="99"/>
    <w:rsid w:val="008445EF"/>
  </w:style>
  <w:style w:type="paragraph" w:customStyle="1" w:styleId="block2ndindentnew-">
    <w:name w:val="block 2nd indent new -/+"/>
    <w:basedOn w:val="Normal"/>
    <w:autoRedefine/>
    <w:qFormat/>
    <w:rsid w:val="00B413D3"/>
    <w:pPr>
      <w:spacing w:after="240" w:line="240" w:lineRule="auto"/>
      <w:ind w:left="1440" w:firstLine="720"/>
    </w:pPr>
    <w:rPr>
      <w:rFonts w:ascii="Times New Roman" w:hAnsi="Times New Roman" w:cs="Times New Roman"/>
      <w:sz w:val="20"/>
    </w:rPr>
  </w:style>
  <w:style w:type="paragraph" w:customStyle="1" w:styleId="block2ndindent-space">
    <w:name w:val="block 2nd indent -/+ space"/>
    <w:basedOn w:val="block2ndindent0"/>
    <w:uiPriority w:val="99"/>
    <w:rsid w:val="008445EF"/>
    <w:pPr>
      <w:spacing w:before="120"/>
    </w:pPr>
  </w:style>
  <w:style w:type="paragraph" w:customStyle="1" w:styleId="block2ndindent-p">
    <w:name w:val="block 2nd indent-p"/>
    <w:basedOn w:val="block2ndindent0"/>
    <w:autoRedefine/>
    <w:uiPriority w:val="99"/>
    <w:rsid w:val="00816A85"/>
  </w:style>
  <w:style w:type="paragraph" w:customStyle="1" w:styleId="toc3dd">
    <w:name w:val="toc3 dd"/>
    <w:basedOn w:val="toc3"/>
    <w:uiPriority w:val="99"/>
    <w:rsid w:val="008445EF"/>
    <w:pPr>
      <w:tabs>
        <w:tab w:val="clear" w:pos="1380"/>
        <w:tab w:val="left" w:pos="1500"/>
      </w:tabs>
      <w:spacing w:line="240" w:lineRule="atLeast"/>
      <w:ind w:left="1500"/>
    </w:pPr>
  </w:style>
  <w:style w:type="paragraph" w:customStyle="1" w:styleId="block2ndindentspace">
    <w:name w:val="block 2nd indent + space"/>
    <w:basedOn w:val="block2ndindent0"/>
    <w:autoRedefine/>
    <w:uiPriority w:val="99"/>
    <w:rsid w:val="00816A85"/>
    <w:pPr>
      <w:spacing w:before="120"/>
      <w:jc w:val="left"/>
    </w:pPr>
  </w:style>
  <w:style w:type="paragraph" w:customStyle="1" w:styleId="block2ndindentnl">
    <w:name w:val="block 2nd indent nl"/>
    <w:basedOn w:val="block2ndindent0"/>
    <w:uiPriority w:val="99"/>
    <w:rsid w:val="00816A85"/>
    <w:pPr>
      <w:tabs>
        <w:tab w:val="left" w:pos="1260"/>
      </w:tabs>
      <w:ind w:left="1920" w:hanging="480"/>
      <w:jc w:val="left"/>
    </w:pPr>
  </w:style>
  <w:style w:type="paragraph" w:customStyle="1" w:styleId="text0">
    <w:name w:val="text +/+"/>
    <w:basedOn w:val="Normal"/>
    <w:autoRedefine/>
    <w:uiPriority w:val="99"/>
    <w:rsid w:val="00816A85"/>
    <w:pPr>
      <w:widowControl w:val="0"/>
      <w:autoSpaceDE w:val="0"/>
      <w:autoSpaceDN w:val="0"/>
      <w:adjustRightInd w:val="0"/>
      <w:spacing w:before="120" w:after="120" w:line="240" w:lineRule="auto"/>
      <w:ind w:firstLine="720"/>
      <w:textAlignment w:val="center"/>
    </w:pPr>
    <w:rPr>
      <w:rFonts w:ascii="Times New Roman" w:hAnsi="Times New Roman" w:cs="ITC New Baskerville Std"/>
      <w:color w:val="000000"/>
      <w:sz w:val="24"/>
    </w:rPr>
  </w:style>
  <w:style w:type="paragraph" w:customStyle="1" w:styleId="footnotenlal">
    <w:name w:val="footnote nl/al"/>
    <w:basedOn w:val="footnotenl"/>
    <w:autoRedefine/>
    <w:uiPriority w:val="99"/>
    <w:rsid w:val="00DB5B87"/>
    <w:pPr>
      <w:tabs>
        <w:tab w:val="left" w:pos="1040"/>
      </w:tabs>
      <w:ind w:left="1080" w:hanging="360"/>
    </w:pPr>
  </w:style>
  <w:style w:type="paragraph" w:customStyle="1" w:styleId="6thlevelhead1r">
    <w:name w:val="6th level head 1)_r"/>
    <w:basedOn w:val="Normal"/>
    <w:autoRedefine/>
    <w:uiPriority w:val="99"/>
    <w:rsid w:val="00DB5B87"/>
    <w:pPr>
      <w:keepNext/>
      <w:widowControl w:val="0"/>
      <w:tabs>
        <w:tab w:val="left" w:pos="800"/>
      </w:tabs>
      <w:suppressAutoHyphens/>
      <w:autoSpaceDE w:val="0"/>
      <w:autoSpaceDN w:val="0"/>
      <w:adjustRightInd w:val="0"/>
      <w:spacing w:before="240" w:after="240" w:line="240" w:lineRule="auto"/>
      <w:ind w:left="799" w:hanging="360"/>
      <w:textAlignment w:val="center"/>
    </w:pPr>
    <w:rPr>
      <w:rFonts w:ascii="Times New Roman" w:hAnsi="Times New Roman" w:cs="ITC New Baskerville Std"/>
      <w:color w:val="000000"/>
      <w:sz w:val="24"/>
    </w:rPr>
  </w:style>
  <w:style w:type="paragraph" w:customStyle="1" w:styleId="blockquote-f--">
    <w:name w:val="block quote-f /-/-"/>
    <w:basedOn w:val="block-p--"/>
    <w:autoRedefine/>
    <w:uiPriority w:val="99"/>
    <w:rsid w:val="0071311B"/>
    <w:pPr>
      <w:widowControl w:val="0"/>
      <w:autoSpaceDE w:val="0"/>
      <w:autoSpaceDN w:val="0"/>
      <w:adjustRightInd w:val="0"/>
      <w:ind w:firstLine="0"/>
      <w:jc w:val="both"/>
      <w:textAlignment w:val="center"/>
    </w:pPr>
    <w:rPr>
      <w:rFonts w:cs="ITC New Baskerville Std"/>
      <w:color w:val="000000"/>
      <w:szCs w:val="20"/>
    </w:rPr>
  </w:style>
  <w:style w:type="paragraph" w:customStyle="1" w:styleId="5thlevelheadiir">
    <w:name w:val="5th level head ii._r"/>
    <w:basedOn w:val="Normal"/>
    <w:autoRedefine/>
    <w:uiPriority w:val="99"/>
    <w:rsid w:val="0071311B"/>
    <w:pPr>
      <w:keepNext/>
      <w:widowControl w:val="0"/>
      <w:tabs>
        <w:tab w:val="left" w:pos="800"/>
      </w:tabs>
      <w:suppressAutoHyphens/>
      <w:autoSpaceDE w:val="0"/>
      <w:autoSpaceDN w:val="0"/>
      <w:adjustRightInd w:val="0"/>
      <w:spacing w:before="240" w:after="240" w:line="240" w:lineRule="auto"/>
      <w:ind w:left="799" w:hanging="360"/>
      <w:textAlignment w:val="center"/>
    </w:pPr>
    <w:rPr>
      <w:rFonts w:ascii="Times New Roman" w:hAnsi="Times New Roman" w:cs="ITC New Baskerville Std"/>
      <w:color w:val="000000"/>
      <w:sz w:val="24"/>
    </w:rPr>
  </w:style>
  <w:style w:type="paragraph" w:customStyle="1" w:styleId="ntindent">
    <w:name w:val="nt indent"/>
    <w:basedOn w:val="footnote"/>
    <w:autoRedefine/>
    <w:uiPriority w:val="99"/>
    <w:rsid w:val="009663E1"/>
    <w:pPr>
      <w:widowControl w:val="0"/>
      <w:autoSpaceDE w:val="0"/>
      <w:autoSpaceDN w:val="0"/>
      <w:adjustRightInd w:val="0"/>
      <w:ind w:left="720" w:firstLine="0"/>
      <w:textAlignment w:val="center"/>
    </w:pPr>
    <w:rPr>
      <w:rFonts w:cs="Times LT Std"/>
      <w:color w:val="000000"/>
      <w:szCs w:val="18"/>
    </w:rPr>
  </w:style>
  <w:style w:type="paragraph" w:customStyle="1" w:styleId="text-">
    <w:name w:val="text -/+"/>
    <w:basedOn w:val="text"/>
    <w:autoRedefine/>
    <w:uiPriority w:val="99"/>
    <w:rsid w:val="007460E4"/>
    <w:pPr>
      <w:widowControl w:val="0"/>
      <w:autoSpaceDE w:val="0"/>
      <w:autoSpaceDN w:val="0"/>
      <w:adjustRightInd w:val="0"/>
      <w:spacing w:after="120"/>
      <w:jc w:val="both"/>
      <w:textAlignment w:val="center"/>
    </w:pPr>
    <w:rPr>
      <w:rFonts w:eastAsiaTheme="minorEastAsia" w:cs="ITC New Baskerville Std"/>
      <w:color w:val="000000"/>
      <w:szCs w:val="22"/>
    </w:rPr>
  </w:style>
  <w:style w:type="paragraph" w:customStyle="1" w:styleId="5thlevelhead1i">
    <w:name w:val="5th level head (1)_i"/>
    <w:basedOn w:val="Normal"/>
    <w:autoRedefine/>
    <w:uiPriority w:val="99"/>
    <w:rsid w:val="00034C5D"/>
    <w:pPr>
      <w:keepNext/>
      <w:widowControl w:val="0"/>
      <w:tabs>
        <w:tab w:val="left" w:pos="800"/>
      </w:tabs>
      <w:suppressAutoHyphens/>
      <w:autoSpaceDE w:val="0"/>
      <w:autoSpaceDN w:val="0"/>
      <w:adjustRightInd w:val="0"/>
      <w:spacing w:before="240" w:after="240" w:line="240" w:lineRule="auto"/>
      <w:ind w:left="1020" w:hanging="360"/>
      <w:textAlignment w:val="center"/>
    </w:pPr>
    <w:rPr>
      <w:rFonts w:ascii="Times New Roman" w:hAnsi="Times New Roman" w:cs="ITC New Baskerville Std"/>
      <w:i/>
      <w:iCs/>
      <w:color w:val="000000"/>
      <w:sz w:val="24"/>
    </w:rPr>
  </w:style>
  <w:style w:type="paragraph" w:customStyle="1" w:styleId="textflushbold">
    <w:name w:val="text flush bold +/+"/>
    <w:basedOn w:val="Normal"/>
    <w:autoRedefine/>
    <w:uiPriority w:val="99"/>
    <w:rsid w:val="0000038E"/>
    <w:pPr>
      <w:widowControl w:val="0"/>
      <w:autoSpaceDE w:val="0"/>
      <w:autoSpaceDN w:val="0"/>
      <w:adjustRightInd w:val="0"/>
      <w:spacing w:before="240" w:after="240" w:line="240" w:lineRule="auto"/>
      <w:contextualSpacing/>
      <w:textAlignment w:val="center"/>
    </w:pPr>
    <w:rPr>
      <w:rFonts w:ascii="Times New Roman" w:hAnsi="Times New Roman" w:cs="ITC New Baskerville Std"/>
      <w:b/>
      <w:bCs/>
      <w:color w:val="000000"/>
      <w:sz w:val="24"/>
    </w:rPr>
  </w:style>
  <w:style w:type="paragraph" w:customStyle="1" w:styleId="textflushbold-">
    <w:name w:val="text flush bold -/+"/>
    <w:basedOn w:val="textflushbold"/>
    <w:autoRedefine/>
    <w:uiPriority w:val="99"/>
    <w:rsid w:val="0000038E"/>
    <w:pPr>
      <w:spacing w:before="0"/>
      <w:contextualSpacing w:val="0"/>
    </w:pPr>
  </w:style>
  <w:style w:type="paragraph" w:customStyle="1" w:styleId="blockbullet">
    <w:name w:val="block bullet"/>
    <w:basedOn w:val="Normal"/>
    <w:autoRedefine/>
    <w:qFormat/>
    <w:rsid w:val="00B413D3"/>
    <w:pPr>
      <w:spacing w:after="0" w:line="240" w:lineRule="auto"/>
      <w:ind w:left="900" w:hanging="180"/>
    </w:pPr>
    <w:rPr>
      <w:rFonts w:ascii="Times New Roman" w:hAnsi="Times New Roman"/>
      <w:sz w:val="20"/>
    </w:rPr>
  </w:style>
  <w:style w:type="paragraph" w:customStyle="1" w:styleId="textinsert-">
    <w:name w:val="text insert -/+"/>
    <w:basedOn w:val="Normal"/>
    <w:autoRedefine/>
    <w:uiPriority w:val="99"/>
    <w:rsid w:val="00E05CD8"/>
    <w:pPr>
      <w:widowControl w:val="0"/>
      <w:autoSpaceDE w:val="0"/>
      <w:autoSpaceDN w:val="0"/>
      <w:adjustRightInd w:val="0"/>
      <w:spacing w:before="240" w:after="240" w:line="240" w:lineRule="auto"/>
      <w:ind w:firstLine="720"/>
      <w:contextualSpacing/>
      <w:textAlignment w:val="center"/>
    </w:pPr>
    <w:rPr>
      <w:rFonts w:ascii="Times New Roman" w:hAnsi="Times New Roman" w:cs="ITC New Baskerville Std"/>
      <w:color w:val="000000"/>
      <w:sz w:val="24"/>
    </w:rPr>
  </w:style>
  <w:style w:type="paragraph" w:customStyle="1" w:styleId="textinsert">
    <w:name w:val="text insert +/+"/>
    <w:basedOn w:val="textflush"/>
    <w:autoRedefine/>
    <w:uiPriority w:val="99"/>
    <w:rsid w:val="00FB747A"/>
    <w:pPr>
      <w:widowControl w:val="0"/>
      <w:autoSpaceDE w:val="0"/>
      <w:autoSpaceDN w:val="0"/>
      <w:adjustRightInd w:val="0"/>
      <w:spacing w:before="240" w:after="240"/>
      <w:ind w:firstLine="720"/>
      <w:textAlignment w:val="center"/>
    </w:pPr>
    <w:rPr>
      <w:rFonts w:eastAsiaTheme="minorEastAsia"/>
      <w:szCs w:val="22"/>
    </w:rPr>
  </w:style>
  <w:style w:type="paragraph" w:customStyle="1" w:styleId="authortitle">
    <w:name w:val="author title"/>
    <w:basedOn w:val="Normal"/>
    <w:autoRedefine/>
    <w:uiPriority w:val="99"/>
    <w:rsid w:val="0023419F"/>
    <w:pPr>
      <w:widowControl w:val="0"/>
      <w:suppressAutoHyphens/>
      <w:autoSpaceDE w:val="0"/>
      <w:autoSpaceDN w:val="0"/>
      <w:adjustRightInd w:val="0"/>
      <w:spacing w:after="0" w:line="240" w:lineRule="auto"/>
      <w:ind w:left="240"/>
      <w:textAlignment w:val="center"/>
    </w:pPr>
    <w:rPr>
      <w:rFonts w:ascii="Times New Roman" w:hAnsi="Times New Roman" w:cs="ITC New Baskerville Std"/>
      <w:i/>
      <w:iCs/>
      <w:color w:val="000000"/>
    </w:rPr>
  </w:style>
  <w:style w:type="paragraph" w:customStyle="1" w:styleId="authorname">
    <w:name w:val="author name"/>
    <w:basedOn w:val="Normal"/>
    <w:autoRedefine/>
    <w:uiPriority w:val="99"/>
    <w:rsid w:val="0023419F"/>
    <w:pPr>
      <w:widowControl w:val="0"/>
      <w:suppressAutoHyphens/>
      <w:autoSpaceDE w:val="0"/>
      <w:autoSpaceDN w:val="0"/>
      <w:adjustRightInd w:val="0"/>
      <w:spacing w:after="0" w:line="240" w:lineRule="auto"/>
      <w:textAlignment w:val="center"/>
    </w:pPr>
    <w:rPr>
      <w:rFonts w:ascii="Times New Roman" w:hAnsi="Times New Roman" w:cs="ITC New Baskerville Std"/>
      <w:i/>
      <w:iCs/>
      <w:color w:val="000000"/>
      <w:sz w:val="28"/>
      <w:szCs w:val="28"/>
    </w:rPr>
  </w:style>
  <w:style w:type="paragraph" w:customStyle="1" w:styleId="Level21">
    <w:name w:val="Level 2 / 1"/>
    <w:basedOn w:val="Normal"/>
    <w:autoRedefine/>
    <w:uiPriority w:val="99"/>
    <w:rsid w:val="00350C86"/>
    <w:pPr>
      <w:keepNext/>
      <w:widowControl w:val="0"/>
      <w:tabs>
        <w:tab w:val="left" w:pos="480"/>
      </w:tabs>
      <w:suppressAutoHyphens/>
      <w:autoSpaceDE w:val="0"/>
      <w:autoSpaceDN w:val="0"/>
      <w:adjustRightInd w:val="0"/>
      <w:spacing w:after="240" w:line="240" w:lineRule="auto"/>
      <w:ind w:left="480" w:hanging="480"/>
      <w:textAlignment w:val="center"/>
    </w:pPr>
    <w:rPr>
      <w:rFonts w:ascii="Times New Roman" w:hAnsi="Times New Roman" w:cs="NewCenturySchlbk"/>
      <w:b/>
      <w:bCs/>
      <w:i/>
      <w:iCs/>
      <w:color w:val="000000"/>
      <w:sz w:val="24"/>
    </w:rPr>
  </w:style>
  <w:style w:type="paragraph" w:customStyle="1" w:styleId="Level2Head">
    <w:name w:val="Level 2 Head"/>
    <w:basedOn w:val="Normal"/>
    <w:autoRedefine/>
    <w:uiPriority w:val="99"/>
    <w:rsid w:val="004877F6"/>
    <w:pPr>
      <w:keepNext/>
      <w:widowControl w:val="0"/>
      <w:tabs>
        <w:tab w:val="left" w:pos="480"/>
      </w:tabs>
      <w:suppressAutoHyphens/>
      <w:autoSpaceDE w:val="0"/>
      <w:autoSpaceDN w:val="0"/>
      <w:adjustRightInd w:val="0"/>
      <w:spacing w:before="360" w:after="240" w:line="240" w:lineRule="auto"/>
      <w:ind w:left="480" w:hanging="480"/>
      <w:textAlignment w:val="center"/>
    </w:pPr>
    <w:rPr>
      <w:rFonts w:ascii="Times New Roman" w:hAnsi="Times New Roman" w:cs="NewCenturySchlbk"/>
      <w:b/>
      <w:bCs/>
      <w:i/>
      <w:iCs/>
      <w:color w:val="000000"/>
      <w:sz w:val="24"/>
    </w:rPr>
  </w:style>
  <w:style w:type="paragraph" w:customStyle="1" w:styleId="Level3Head">
    <w:name w:val="Level 3 Head"/>
    <w:basedOn w:val="Normal"/>
    <w:autoRedefine/>
    <w:uiPriority w:val="99"/>
    <w:rsid w:val="004877F6"/>
    <w:pPr>
      <w:keepNext/>
      <w:widowControl w:val="0"/>
      <w:tabs>
        <w:tab w:val="left" w:pos="920"/>
      </w:tabs>
      <w:suppressAutoHyphens/>
      <w:autoSpaceDE w:val="0"/>
      <w:autoSpaceDN w:val="0"/>
      <w:adjustRightInd w:val="0"/>
      <w:spacing w:before="240" w:after="240" w:line="240" w:lineRule="auto"/>
      <w:ind w:left="919" w:hanging="480"/>
      <w:textAlignment w:val="center"/>
    </w:pPr>
    <w:rPr>
      <w:rFonts w:ascii="Times New Roman" w:hAnsi="Times New Roman" w:cs="NewCenturySchlbk"/>
      <w:i/>
      <w:iCs/>
      <w:color w:val="000000"/>
      <w:sz w:val="24"/>
    </w:rPr>
  </w:style>
  <w:style w:type="paragraph" w:customStyle="1" w:styleId="Level4Head">
    <w:name w:val="Level 4 Head"/>
    <w:basedOn w:val="text"/>
    <w:autoRedefine/>
    <w:uiPriority w:val="99"/>
    <w:rsid w:val="000F6407"/>
    <w:pPr>
      <w:keepNext/>
      <w:widowControl w:val="0"/>
      <w:tabs>
        <w:tab w:val="clear" w:pos="0"/>
        <w:tab w:val="clear" w:pos="720"/>
        <w:tab w:val="clear" w:pos="1440"/>
        <w:tab w:val="clear" w:pos="2160"/>
        <w:tab w:val="clear" w:pos="2880"/>
        <w:tab w:val="clear" w:pos="3600"/>
        <w:tab w:val="clear" w:pos="4320"/>
        <w:tab w:val="clear" w:pos="5040"/>
        <w:tab w:val="clear" w:pos="5760"/>
        <w:tab w:val="left" w:pos="920"/>
      </w:tabs>
      <w:suppressAutoHyphens/>
      <w:autoSpaceDE w:val="0"/>
      <w:autoSpaceDN w:val="0"/>
      <w:adjustRightInd w:val="0"/>
      <w:spacing w:before="240" w:after="240"/>
      <w:ind w:left="919" w:hanging="480"/>
      <w:textAlignment w:val="center"/>
    </w:pPr>
    <w:rPr>
      <w:rFonts w:eastAsiaTheme="minorEastAsia" w:cs="NewCenturySchlbk"/>
      <w:i/>
      <w:iCs/>
      <w:color w:val="000000"/>
      <w:szCs w:val="22"/>
    </w:rPr>
  </w:style>
  <w:style w:type="paragraph" w:customStyle="1" w:styleId="ntpara">
    <w:name w:val="nt para"/>
    <w:basedOn w:val="ntblockindentnoparaindent"/>
    <w:autoRedefine/>
    <w:uiPriority w:val="99"/>
    <w:rsid w:val="000F6407"/>
    <w:pPr>
      <w:ind w:left="0" w:firstLine="720"/>
      <w:jc w:val="left"/>
    </w:pPr>
  </w:style>
  <w:style w:type="paragraph" w:customStyle="1" w:styleId="Blockquote0">
    <w:name w:val="Block quote"/>
    <w:basedOn w:val="text"/>
    <w:autoRedefine/>
    <w:uiPriority w:val="99"/>
    <w:rsid w:val="00350C86"/>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left="720" w:firstLine="0"/>
      <w:jc w:val="both"/>
      <w:textAlignment w:val="center"/>
    </w:pPr>
    <w:rPr>
      <w:rFonts w:eastAsiaTheme="minorEastAsia" w:cs="NewCenturySchlbk"/>
      <w:color w:val="000000"/>
      <w:sz w:val="20"/>
      <w:szCs w:val="20"/>
    </w:rPr>
  </w:style>
  <w:style w:type="paragraph" w:customStyle="1" w:styleId="ntblockindentnoparaindent">
    <w:name w:val="nt block indent (no para indent)"/>
    <w:basedOn w:val="footnote"/>
    <w:autoRedefine/>
    <w:uiPriority w:val="99"/>
    <w:rsid w:val="00350C86"/>
    <w:pPr>
      <w:widowControl w:val="0"/>
      <w:autoSpaceDE w:val="0"/>
      <w:autoSpaceDN w:val="0"/>
      <w:adjustRightInd w:val="0"/>
      <w:ind w:left="720" w:firstLine="0"/>
      <w:jc w:val="both"/>
      <w:textAlignment w:val="center"/>
    </w:pPr>
    <w:rPr>
      <w:rFonts w:cs="NewCenturySchlbk"/>
      <w:color w:val="000000"/>
      <w:szCs w:val="18"/>
    </w:rPr>
  </w:style>
  <w:style w:type="paragraph" w:customStyle="1" w:styleId="ntflush">
    <w:name w:val="nt flush"/>
    <w:basedOn w:val="footnote"/>
    <w:autoRedefine/>
    <w:uiPriority w:val="99"/>
    <w:rsid w:val="00350C86"/>
    <w:pPr>
      <w:widowControl w:val="0"/>
      <w:autoSpaceDE w:val="0"/>
      <w:autoSpaceDN w:val="0"/>
      <w:adjustRightInd w:val="0"/>
      <w:ind w:firstLine="0"/>
      <w:jc w:val="both"/>
      <w:textAlignment w:val="center"/>
    </w:pPr>
    <w:rPr>
      <w:rFonts w:cs="NewCenturySchlbk"/>
      <w:color w:val="000000"/>
      <w:szCs w:val="18"/>
    </w:rPr>
  </w:style>
  <w:style w:type="paragraph" w:customStyle="1" w:styleId="Level32">
    <w:name w:val="Level 3 / 2"/>
    <w:basedOn w:val="Level3Head"/>
    <w:autoRedefine/>
    <w:uiPriority w:val="99"/>
    <w:rsid w:val="004877F6"/>
    <w:pPr>
      <w:spacing w:before="0"/>
    </w:pPr>
  </w:style>
  <w:style w:type="paragraph" w:customStyle="1" w:styleId="Level5D">
    <w:name w:val="Level 5 (D)"/>
    <w:basedOn w:val="Level4Head"/>
    <w:autoRedefine/>
    <w:uiPriority w:val="99"/>
    <w:rsid w:val="00350C86"/>
    <w:pPr>
      <w:ind w:left="1399"/>
    </w:pPr>
  </w:style>
  <w:style w:type="paragraph" w:customStyle="1" w:styleId="Level1Head10">
    <w:name w:val="Level 1 Head (10)"/>
    <w:basedOn w:val="Normal"/>
    <w:autoRedefine/>
    <w:uiPriority w:val="99"/>
    <w:rsid w:val="004877F6"/>
    <w:pPr>
      <w:keepNext/>
      <w:widowControl w:val="0"/>
      <w:tabs>
        <w:tab w:val="left" w:pos="720"/>
      </w:tabs>
      <w:suppressAutoHyphens/>
      <w:autoSpaceDE w:val="0"/>
      <w:autoSpaceDN w:val="0"/>
      <w:adjustRightInd w:val="0"/>
      <w:spacing w:before="480" w:after="360" w:line="240" w:lineRule="auto"/>
      <w:ind w:left="720" w:hanging="720"/>
      <w:textAlignment w:val="center"/>
    </w:pPr>
    <w:rPr>
      <w:rFonts w:ascii="Times New Roman" w:hAnsi="Times New Roman" w:cs="NewCenturySchlbk"/>
      <w:b/>
      <w:bCs/>
      <w:color w:val="000000"/>
      <w:sz w:val="24"/>
      <w:szCs w:val="24"/>
    </w:rPr>
  </w:style>
  <w:style w:type="paragraph" w:customStyle="1" w:styleId="Level43">
    <w:name w:val="Level 4/3"/>
    <w:basedOn w:val="Level4Head"/>
    <w:autoRedefine/>
    <w:uiPriority w:val="99"/>
    <w:rsid w:val="004877F6"/>
    <w:pPr>
      <w:spacing w:before="0"/>
    </w:pPr>
  </w:style>
  <w:style w:type="paragraph" w:customStyle="1" w:styleId="Level6i">
    <w:name w:val="Level 6 (i)"/>
    <w:basedOn w:val="Level5D"/>
    <w:autoRedefine/>
    <w:uiPriority w:val="99"/>
    <w:rsid w:val="000F6407"/>
    <w:pPr>
      <w:tabs>
        <w:tab w:val="left" w:pos="1880"/>
      </w:tabs>
      <w:ind w:left="1879"/>
    </w:pPr>
  </w:style>
  <w:style w:type="paragraph" w:customStyle="1" w:styleId="chaptertitle0">
    <w:name w:val="chapter title"/>
    <w:basedOn w:val="Normal"/>
    <w:autoRedefine/>
    <w:qFormat/>
    <w:rsid w:val="000E0DF9"/>
    <w:pPr>
      <w:spacing w:after="240" w:line="240" w:lineRule="auto"/>
    </w:pPr>
    <w:rPr>
      <w:rFonts w:ascii="Times New Roman" w:hAnsi="Times New Roman"/>
      <w:sz w:val="28"/>
    </w:rPr>
  </w:style>
  <w:style w:type="paragraph" w:customStyle="1" w:styleId="6thlevelheadai">
    <w:name w:val="6th level head (a)_i"/>
    <w:basedOn w:val="5thlevelhead1i"/>
    <w:autoRedefine/>
    <w:uiPriority w:val="99"/>
    <w:rsid w:val="000E0DF9"/>
    <w:pPr>
      <w:tabs>
        <w:tab w:val="clear" w:pos="800"/>
      </w:tabs>
      <w:ind w:left="1159"/>
    </w:pPr>
  </w:style>
  <w:style w:type="paragraph" w:customStyle="1" w:styleId="footnoteregpara">
    <w:name w:val="footnote reg para"/>
    <w:basedOn w:val="footnote"/>
    <w:autoRedefine/>
    <w:uiPriority w:val="99"/>
    <w:rsid w:val="000E0DF9"/>
    <w:pPr>
      <w:widowControl w:val="0"/>
      <w:autoSpaceDE w:val="0"/>
      <w:autoSpaceDN w:val="0"/>
      <w:adjustRightInd w:val="0"/>
      <w:textAlignment w:val="center"/>
    </w:pPr>
    <w:rPr>
      <w:rFonts w:cs="ITC New Baskerville Std"/>
      <w:color w:val="000000"/>
      <w:szCs w:val="18"/>
    </w:rPr>
  </w:style>
  <w:style w:type="paragraph" w:customStyle="1" w:styleId="textinsertparaindent">
    <w:name w:val="text insert +/+ para indent"/>
    <w:basedOn w:val="Normal"/>
    <w:autoRedefine/>
    <w:qFormat/>
    <w:rsid w:val="001B2512"/>
    <w:pPr>
      <w:spacing w:before="240" w:after="240" w:line="240" w:lineRule="auto"/>
      <w:ind w:firstLine="720"/>
    </w:pPr>
    <w:rPr>
      <w:rFonts w:ascii="Times New Roman" w:hAnsi="Times New Roman"/>
      <w:sz w:val="24"/>
    </w:rPr>
  </w:style>
  <w:style w:type="paragraph" w:customStyle="1" w:styleId="ItalicHead">
    <w:name w:val="Italic Head"/>
    <w:basedOn w:val="text"/>
    <w:autoRedefine/>
    <w:uiPriority w:val="99"/>
    <w:rsid w:val="007908F9"/>
    <w:pPr>
      <w:keepNext/>
      <w:widowControl w:val="0"/>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before="240" w:after="240"/>
      <w:ind w:firstLine="0"/>
      <w:textAlignment w:val="center"/>
    </w:pPr>
    <w:rPr>
      <w:rFonts w:eastAsiaTheme="minorEastAsia" w:cs="ITC New Baskerville Std"/>
      <w:i/>
      <w:iCs/>
      <w:color w:val="000000"/>
      <w:szCs w:val="22"/>
    </w:rPr>
  </w:style>
  <w:style w:type="paragraph" w:customStyle="1" w:styleId="caseheadunderscore">
    <w:name w:val="case head (underscore)"/>
    <w:basedOn w:val="text"/>
    <w:autoRedefine/>
    <w:uiPriority w:val="99"/>
    <w:rsid w:val="007908F9"/>
    <w:pPr>
      <w:keepNext/>
      <w:widowControl w:val="0"/>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after="120"/>
      <w:ind w:firstLine="0"/>
      <w:textAlignment w:val="center"/>
    </w:pPr>
    <w:rPr>
      <w:rFonts w:eastAsiaTheme="minorEastAsia" w:cs="ITC New Baskerville Std"/>
      <w:color w:val="000000"/>
      <w:szCs w:val="22"/>
      <w:u w:val="thick"/>
    </w:rPr>
  </w:style>
  <w:style w:type="paragraph" w:customStyle="1" w:styleId="textflush-">
    <w:name w:val="text flush -/+"/>
    <w:basedOn w:val="textflush"/>
    <w:autoRedefine/>
    <w:uiPriority w:val="99"/>
    <w:rsid w:val="007908F9"/>
    <w:pPr>
      <w:widowControl w:val="0"/>
      <w:autoSpaceDE w:val="0"/>
      <w:autoSpaceDN w:val="0"/>
      <w:adjustRightInd w:val="0"/>
      <w:spacing w:after="240"/>
      <w:textAlignment w:val="center"/>
    </w:pPr>
    <w:rPr>
      <w:rFonts w:eastAsiaTheme="minorEastAsia"/>
      <w:i/>
      <w:iCs/>
      <w:szCs w:val="22"/>
    </w:rPr>
  </w:style>
  <w:style w:type="paragraph" w:customStyle="1" w:styleId="caseheadunderscorespaceabove">
    <w:name w:val="case head (underscore + space above)"/>
    <w:basedOn w:val="caseheadunderscore"/>
    <w:autoRedefine/>
    <w:uiPriority w:val="99"/>
    <w:rsid w:val="007908F9"/>
    <w:pPr>
      <w:spacing w:before="240" w:after="240"/>
    </w:pPr>
  </w:style>
  <w:style w:type="paragraph" w:customStyle="1" w:styleId="textflush0">
    <w:name w:val="text flush +/+"/>
    <w:basedOn w:val="textflush"/>
    <w:autoRedefine/>
    <w:uiPriority w:val="99"/>
    <w:rsid w:val="007908F9"/>
    <w:pPr>
      <w:widowControl w:val="0"/>
      <w:autoSpaceDE w:val="0"/>
      <w:autoSpaceDN w:val="0"/>
      <w:adjustRightInd w:val="0"/>
      <w:spacing w:before="240" w:after="240"/>
      <w:textAlignment w:val="center"/>
    </w:pPr>
    <w:rPr>
      <w:rFonts w:eastAsiaTheme="minorEastAsia"/>
      <w:i/>
      <w:iCs/>
      <w:szCs w:val="22"/>
    </w:rPr>
  </w:style>
  <w:style w:type="paragraph" w:customStyle="1" w:styleId="3rdLevelHead1">
    <w:name w:val="3rd Level Head 1."/>
    <w:basedOn w:val="Normal"/>
    <w:autoRedefine/>
    <w:uiPriority w:val="99"/>
    <w:rsid w:val="007908F9"/>
    <w:pPr>
      <w:keepNext/>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ITC New Baskerville Std"/>
      <w:i/>
      <w:iCs/>
      <w:color w:val="000000"/>
      <w:sz w:val="24"/>
    </w:rPr>
  </w:style>
  <w:style w:type="paragraph" w:customStyle="1" w:styleId="Footnote1">
    <w:name w:val="Footnote *"/>
    <w:basedOn w:val="Normal"/>
    <w:autoRedefine/>
    <w:uiPriority w:val="99"/>
    <w:rsid w:val="00E44212"/>
    <w:pPr>
      <w:pBdr>
        <w:top w:val="single" w:sz="4" w:space="12" w:color="auto"/>
      </w:pBdr>
      <w:autoSpaceDE w:val="0"/>
      <w:autoSpaceDN w:val="0"/>
      <w:adjustRightInd w:val="0"/>
      <w:spacing w:after="0" w:line="240" w:lineRule="auto"/>
      <w:ind w:firstLine="720"/>
      <w:textAlignment w:val="center"/>
    </w:pPr>
    <w:rPr>
      <w:rFonts w:ascii="Times New Roman" w:hAnsi="Times New Roman" w:cs="Times New Roman"/>
      <w:color w:val="000000"/>
      <w:sz w:val="20"/>
      <w:szCs w:val="18"/>
    </w:rPr>
  </w:style>
  <w:style w:type="paragraph" w:customStyle="1" w:styleId="text-bold-">
    <w:name w:val="text-bold -/+"/>
    <w:basedOn w:val="text"/>
    <w:autoRedefine/>
    <w:uiPriority w:val="99"/>
    <w:rsid w:val="00B91025"/>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Times LT Std"/>
      <w:b/>
      <w:bCs/>
      <w:color w:val="000000"/>
      <w:szCs w:val="22"/>
    </w:rPr>
  </w:style>
  <w:style w:type="paragraph" w:customStyle="1" w:styleId="footnotenumberlist">
    <w:name w:val="footnote number list"/>
    <w:basedOn w:val="Normal"/>
    <w:autoRedefine/>
    <w:uiPriority w:val="99"/>
    <w:rsid w:val="00B91025"/>
    <w:pPr>
      <w:widowControl w:val="0"/>
      <w:tabs>
        <w:tab w:val="left" w:pos="600"/>
      </w:tabs>
      <w:autoSpaceDE w:val="0"/>
      <w:autoSpaceDN w:val="0"/>
      <w:adjustRightInd w:val="0"/>
      <w:spacing w:after="0" w:line="240" w:lineRule="auto"/>
      <w:ind w:left="960" w:hanging="240"/>
      <w:textAlignment w:val="center"/>
    </w:pPr>
    <w:rPr>
      <w:rFonts w:ascii="Times New Roman" w:hAnsi="Times New Roman" w:cs="Times LT Std"/>
      <w:color w:val="000000"/>
      <w:sz w:val="20"/>
      <w:szCs w:val="18"/>
    </w:rPr>
  </w:style>
  <w:style w:type="paragraph" w:customStyle="1" w:styleId="text-bold">
    <w:name w:val="text-bold +/+"/>
    <w:basedOn w:val="text-bold-"/>
    <w:autoRedefine/>
    <w:uiPriority w:val="99"/>
    <w:rsid w:val="00B91025"/>
    <w:pPr>
      <w:spacing w:before="240"/>
    </w:pPr>
  </w:style>
  <w:style w:type="paragraph" w:customStyle="1" w:styleId="footnoteindentwpara0">
    <w:name w:val="footnote indent/w para"/>
    <w:basedOn w:val="Normal"/>
    <w:autoRedefine/>
    <w:uiPriority w:val="99"/>
    <w:rsid w:val="00B91025"/>
    <w:pPr>
      <w:widowControl w:val="0"/>
      <w:autoSpaceDE w:val="0"/>
      <w:autoSpaceDN w:val="0"/>
      <w:adjustRightInd w:val="0"/>
      <w:spacing w:after="0" w:line="240" w:lineRule="auto"/>
      <w:ind w:left="720" w:firstLine="720"/>
      <w:textAlignment w:val="center"/>
    </w:pPr>
    <w:rPr>
      <w:rFonts w:ascii="Times New Roman" w:hAnsi="Times New Roman" w:cs="Times LT Std"/>
      <w:color w:val="000000"/>
      <w:sz w:val="20"/>
      <w:szCs w:val="18"/>
    </w:rPr>
  </w:style>
  <w:style w:type="paragraph" w:customStyle="1" w:styleId="footnotepara">
    <w:name w:val="footnote para"/>
    <w:basedOn w:val="footnote"/>
    <w:autoRedefine/>
    <w:uiPriority w:val="99"/>
    <w:rsid w:val="00B91025"/>
    <w:pPr>
      <w:widowControl w:val="0"/>
      <w:autoSpaceDE w:val="0"/>
      <w:autoSpaceDN w:val="0"/>
      <w:adjustRightInd w:val="0"/>
      <w:textAlignment w:val="center"/>
    </w:pPr>
    <w:rPr>
      <w:rFonts w:cs="Times LT Std"/>
      <w:color w:val="000000"/>
      <w:szCs w:val="18"/>
    </w:rPr>
  </w:style>
  <w:style w:type="paragraph" w:customStyle="1" w:styleId="footnotecircuit">
    <w:name w:val="footnote circuit"/>
    <w:basedOn w:val="Normal"/>
    <w:autoRedefine/>
    <w:uiPriority w:val="99"/>
    <w:rsid w:val="00B91025"/>
    <w:pPr>
      <w:widowControl w:val="0"/>
      <w:tabs>
        <w:tab w:val="left" w:pos="1680"/>
      </w:tabs>
      <w:autoSpaceDE w:val="0"/>
      <w:autoSpaceDN w:val="0"/>
      <w:adjustRightInd w:val="0"/>
      <w:spacing w:after="0" w:line="240" w:lineRule="auto"/>
      <w:ind w:left="2040" w:hanging="1320"/>
      <w:jc w:val="both"/>
      <w:textAlignment w:val="center"/>
    </w:pPr>
    <w:rPr>
      <w:rFonts w:ascii="Times New Roman" w:hAnsi="Times New Roman" w:cs="Times LT Std"/>
      <w:color w:val="000000"/>
      <w:sz w:val="20"/>
      <w:szCs w:val="18"/>
    </w:rPr>
  </w:style>
  <w:style w:type="paragraph" w:customStyle="1" w:styleId="footnotenumberpl">
    <w:name w:val="footnote number pl"/>
    <w:basedOn w:val="Normal"/>
    <w:autoRedefine/>
    <w:uiPriority w:val="99"/>
    <w:rsid w:val="00B91025"/>
    <w:pPr>
      <w:widowControl w:val="0"/>
      <w:tabs>
        <w:tab w:val="left" w:pos="720"/>
      </w:tabs>
      <w:autoSpaceDE w:val="0"/>
      <w:autoSpaceDN w:val="0"/>
      <w:adjustRightInd w:val="0"/>
      <w:spacing w:after="0" w:line="240" w:lineRule="auto"/>
      <w:ind w:left="1080" w:hanging="360"/>
      <w:textAlignment w:val="center"/>
    </w:pPr>
    <w:rPr>
      <w:rFonts w:ascii="Times New Roman" w:hAnsi="Times New Roman" w:cs="Times LT Std"/>
      <w:color w:val="000000"/>
      <w:sz w:val="20"/>
      <w:szCs w:val="18"/>
    </w:rPr>
  </w:style>
  <w:style w:type="paragraph" w:customStyle="1" w:styleId="numberlistpl2ndlevela">
    <w:name w:val="number list pl /2nd level (a)"/>
    <w:basedOn w:val="numberlistpl"/>
    <w:autoRedefine/>
    <w:uiPriority w:val="99"/>
    <w:rsid w:val="00B91025"/>
    <w:pPr>
      <w:tabs>
        <w:tab w:val="clear" w:pos="920"/>
        <w:tab w:val="left" w:pos="1180"/>
      </w:tabs>
      <w:ind w:left="1320" w:hanging="360"/>
    </w:pPr>
    <w:rPr>
      <w:rFonts w:cs="Times LT Std"/>
    </w:rPr>
  </w:style>
  <w:style w:type="paragraph" w:customStyle="1" w:styleId="2ndLevelHeadA">
    <w:name w:val="2nd Level Head A."/>
    <w:basedOn w:val="Normal"/>
    <w:autoRedefine/>
    <w:uiPriority w:val="99"/>
    <w:rsid w:val="00B91025"/>
    <w:pPr>
      <w:keepNext/>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Times LT Std"/>
      <w:b/>
      <w:bCs/>
      <w:color w:val="000000"/>
      <w:sz w:val="24"/>
    </w:rPr>
  </w:style>
  <w:style w:type="paragraph" w:customStyle="1" w:styleId="3rdLevelHeadfrom2">
    <w:name w:val="3rd Level Head from 2"/>
    <w:basedOn w:val="3rdLevelHead1"/>
    <w:autoRedefine/>
    <w:uiPriority w:val="99"/>
    <w:rsid w:val="00B91025"/>
    <w:pPr>
      <w:spacing w:before="0"/>
    </w:pPr>
    <w:rPr>
      <w:rFonts w:cs="Times LT Std"/>
    </w:rPr>
  </w:style>
  <w:style w:type="paragraph" w:customStyle="1" w:styleId="4thHeadfrom3">
    <w:name w:val="4th Head from 3"/>
    <w:basedOn w:val="Normal"/>
    <w:autoRedefine/>
    <w:uiPriority w:val="99"/>
    <w:rsid w:val="00B91025"/>
    <w:pPr>
      <w:keepNext/>
      <w:widowControl w:val="0"/>
      <w:tabs>
        <w:tab w:val="left" w:pos="800"/>
      </w:tabs>
      <w:suppressAutoHyphens/>
      <w:autoSpaceDE w:val="0"/>
      <w:autoSpaceDN w:val="0"/>
      <w:adjustRightInd w:val="0"/>
      <w:spacing w:after="240" w:line="240" w:lineRule="auto"/>
      <w:ind w:left="799" w:hanging="360"/>
      <w:textAlignment w:val="center"/>
    </w:pPr>
    <w:rPr>
      <w:rFonts w:ascii="Times New Roman" w:hAnsi="Times New Roman" w:cs="Times LT Std"/>
      <w:i/>
      <w:iCs/>
      <w:color w:val="000000"/>
      <w:sz w:val="24"/>
    </w:rPr>
  </w:style>
  <w:style w:type="paragraph" w:customStyle="1" w:styleId="4thLevelHeada">
    <w:name w:val="4th Level Head a."/>
    <w:basedOn w:val="Normal"/>
    <w:autoRedefine/>
    <w:uiPriority w:val="99"/>
    <w:rsid w:val="00B91025"/>
    <w:pPr>
      <w:keepNext/>
      <w:widowControl w:val="0"/>
      <w:tabs>
        <w:tab w:val="left" w:pos="800"/>
      </w:tabs>
      <w:suppressAutoHyphens/>
      <w:autoSpaceDE w:val="0"/>
      <w:autoSpaceDN w:val="0"/>
      <w:adjustRightInd w:val="0"/>
      <w:spacing w:before="240" w:after="240" w:line="240" w:lineRule="auto"/>
      <w:ind w:left="799" w:hanging="360"/>
      <w:textAlignment w:val="center"/>
    </w:pPr>
    <w:rPr>
      <w:rFonts w:ascii="Times New Roman" w:hAnsi="Times New Roman" w:cs="Times LT Std"/>
      <w:i/>
      <w:iCs/>
      <w:color w:val="000000"/>
      <w:sz w:val="24"/>
    </w:rPr>
  </w:style>
  <w:style w:type="paragraph" w:customStyle="1" w:styleId="Block-f-1">
    <w:name w:val="Block-f +/-"/>
    <w:basedOn w:val="blockquote"/>
    <w:autoRedefine/>
    <w:uiPriority w:val="99"/>
    <w:rsid w:val="00D13618"/>
    <w:pPr>
      <w:widowControl w:val="0"/>
      <w:autoSpaceDE w:val="0"/>
      <w:autoSpaceDN w:val="0"/>
      <w:adjustRightInd w:val="0"/>
      <w:spacing w:before="160" w:after="0" w:line="200" w:lineRule="atLeast"/>
      <w:ind w:left="440"/>
      <w:jc w:val="both"/>
      <w:textAlignment w:val="center"/>
    </w:pPr>
    <w:rPr>
      <w:rFonts w:cs="NewCenturySchlbk"/>
      <w:color w:val="000000"/>
      <w:szCs w:val="20"/>
    </w:rPr>
  </w:style>
  <w:style w:type="paragraph" w:customStyle="1" w:styleId="block-p--0">
    <w:name w:val="block-p -/-"/>
    <w:basedOn w:val="Normal"/>
    <w:autoRedefine/>
    <w:uiPriority w:val="99"/>
    <w:rsid w:val="00E05CD8"/>
    <w:pPr>
      <w:widowControl w:val="0"/>
      <w:autoSpaceDE w:val="0"/>
      <w:autoSpaceDN w:val="0"/>
      <w:adjustRightInd w:val="0"/>
      <w:spacing w:after="0" w:line="240" w:lineRule="auto"/>
      <w:ind w:left="720" w:firstLine="720"/>
      <w:textAlignment w:val="center"/>
    </w:pPr>
    <w:rPr>
      <w:rFonts w:ascii="Times New Roman" w:hAnsi="Times New Roman" w:cs="NewCenturySchlbk"/>
      <w:color w:val="000000"/>
      <w:sz w:val="20"/>
      <w:szCs w:val="20"/>
    </w:rPr>
  </w:style>
  <w:style w:type="paragraph" w:customStyle="1" w:styleId="Block-p-2">
    <w:name w:val="Block-p -/+"/>
    <w:basedOn w:val="Normal"/>
    <w:autoRedefine/>
    <w:uiPriority w:val="99"/>
    <w:rsid w:val="00D13618"/>
    <w:pPr>
      <w:widowControl w:val="0"/>
      <w:autoSpaceDE w:val="0"/>
      <w:autoSpaceDN w:val="0"/>
      <w:adjustRightInd w:val="0"/>
      <w:spacing w:line="200" w:lineRule="atLeast"/>
      <w:ind w:left="440" w:firstLine="440"/>
      <w:jc w:val="both"/>
      <w:textAlignment w:val="center"/>
    </w:pPr>
    <w:rPr>
      <w:rFonts w:ascii="Times New Roman" w:hAnsi="Times New Roman" w:cs="NewCenturySchlbk"/>
      <w:color w:val="000000"/>
      <w:sz w:val="20"/>
      <w:szCs w:val="20"/>
    </w:rPr>
  </w:style>
  <w:style w:type="paragraph" w:customStyle="1" w:styleId="footnoteblockindentwpara">
    <w:name w:val="footnote block indent w/ para"/>
    <w:basedOn w:val="footnoteblockindentnoparaindent"/>
    <w:autoRedefine/>
    <w:uiPriority w:val="99"/>
    <w:rsid w:val="00D13618"/>
    <w:pPr>
      <w:ind w:firstLine="720"/>
    </w:pPr>
  </w:style>
  <w:style w:type="paragraph" w:customStyle="1" w:styleId="texteditorsnote">
    <w:name w:val="text editors note +/+"/>
    <w:basedOn w:val="text"/>
    <w:autoRedefine/>
    <w:uiPriority w:val="99"/>
    <w:rsid w:val="003D366C"/>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textAlignment w:val="center"/>
    </w:pPr>
    <w:rPr>
      <w:rFonts w:eastAsiaTheme="minorEastAsia" w:cs="ITC New Baskerville Std"/>
      <w:color w:val="000000"/>
    </w:rPr>
  </w:style>
  <w:style w:type="paragraph" w:customStyle="1" w:styleId="texteditorsnote-">
    <w:name w:val="text editors note +/-"/>
    <w:basedOn w:val="Normal"/>
    <w:autoRedefine/>
    <w:uiPriority w:val="99"/>
    <w:rsid w:val="003D366C"/>
    <w:pPr>
      <w:widowControl w:val="0"/>
      <w:autoSpaceDE w:val="0"/>
      <w:autoSpaceDN w:val="0"/>
      <w:adjustRightInd w:val="0"/>
      <w:spacing w:before="240" w:after="0" w:line="240" w:lineRule="auto"/>
      <w:ind w:firstLine="720"/>
      <w:textAlignment w:val="center"/>
    </w:pPr>
    <w:rPr>
      <w:rFonts w:ascii="Times New Roman" w:hAnsi="Times New Roman" w:cs="ITC New Baskerville Std"/>
      <w:color w:val="000000"/>
      <w:sz w:val="24"/>
      <w:szCs w:val="24"/>
    </w:rPr>
  </w:style>
  <w:style w:type="paragraph" w:customStyle="1" w:styleId="texteditorsnote-0">
    <w:name w:val="text editors note -/+"/>
    <w:basedOn w:val="texteditorsnote"/>
    <w:autoRedefine/>
    <w:uiPriority w:val="99"/>
    <w:rsid w:val="003D366C"/>
    <w:pPr>
      <w:spacing w:before="0"/>
    </w:pPr>
  </w:style>
  <w:style w:type="paragraph" w:customStyle="1" w:styleId="footnoteblock">
    <w:name w:val="footnote block"/>
    <w:basedOn w:val="footnote"/>
    <w:autoRedefine/>
    <w:uiPriority w:val="99"/>
    <w:rsid w:val="003D366C"/>
    <w:pPr>
      <w:widowControl w:val="0"/>
      <w:autoSpaceDE w:val="0"/>
      <w:autoSpaceDN w:val="0"/>
      <w:adjustRightInd w:val="0"/>
      <w:spacing w:before="40" w:after="40"/>
      <w:ind w:left="720" w:firstLine="0"/>
      <w:textAlignment w:val="center"/>
    </w:pPr>
    <w:rPr>
      <w:rFonts w:cs="ITC New Baskerville Std"/>
      <w:color w:val="000000"/>
      <w:szCs w:val="18"/>
    </w:rPr>
  </w:style>
  <w:style w:type="paragraph" w:customStyle="1" w:styleId="textinsert-0">
    <w:name w:val="text insert /+/-"/>
    <w:basedOn w:val="texteditorsnote"/>
    <w:autoRedefine/>
    <w:uiPriority w:val="99"/>
    <w:rsid w:val="003D366C"/>
    <w:pPr>
      <w:spacing w:after="0"/>
    </w:pPr>
    <w:rPr>
      <w:b/>
      <w:bCs/>
      <w:i/>
      <w:iCs/>
    </w:rPr>
  </w:style>
  <w:style w:type="paragraph" w:customStyle="1" w:styleId="textinsert-1">
    <w:name w:val="text insert +/-"/>
    <w:basedOn w:val="texteditorsnote"/>
    <w:autoRedefine/>
    <w:uiPriority w:val="99"/>
    <w:rsid w:val="003D366C"/>
    <w:pPr>
      <w:spacing w:after="0"/>
    </w:pPr>
  </w:style>
  <w:style w:type="paragraph" w:customStyle="1" w:styleId="textflushspacebelow">
    <w:name w:val="text flush + space below"/>
    <w:basedOn w:val="textflush"/>
    <w:autoRedefine/>
    <w:uiPriority w:val="99"/>
    <w:rsid w:val="000B141A"/>
    <w:pPr>
      <w:widowControl w:val="0"/>
      <w:autoSpaceDE w:val="0"/>
      <w:autoSpaceDN w:val="0"/>
      <w:adjustRightInd w:val="0"/>
      <w:spacing w:after="240"/>
      <w:jc w:val="both"/>
      <w:textAlignment w:val="center"/>
    </w:pPr>
    <w:rPr>
      <w:rFonts w:eastAsiaTheme="minorEastAsia" w:cs="Times LT Std"/>
      <w:szCs w:val="22"/>
    </w:rPr>
  </w:style>
  <w:style w:type="paragraph" w:customStyle="1" w:styleId="1stLevelHeadI">
    <w:name w:val="1st Level Head I."/>
    <w:basedOn w:val="Normal"/>
    <w:autoRedefine/>
    <w:uiPriority w:val="99"/>
    <w:rsid w:val="00E44212"/>
    <w:pPr>
      <w:keepNext/>
      <w:widowControl w:val="0"/>
      <w:suppressAutoHyphens/>
      <w:autoSpaceDE w:val="0"/>
      <w:autoSpaceDN w:val="0"/>
      <w:adjustRightInd w:val="0"/>
      <w:spacing w:before="360" w:after="240" w:line="240" w:lineRule="auto"/>
      <w:jc w:val="center"/>
      <w:textAlignment w:val="center"/>
    </w:pPr>
    <w:rPr>
      <w:rFonts w:ascii="Times New Roman Bold" w:hAnsi="Times New Roman Bold" w:cs="Times SC"/>
      <w:b/>
      <w:bCs/>
      <w:smallCaps/>
      <w:color w:val="000000"/>
      <w:sz w:val="24"/>
      <w:szCs w:val="24"/>
    </w:rPr>
  </w:style>
  <w:style w:type="paragraph" w:customStyle="1" w:styleId="5thlevelheadai">
    <w:name w:val="5th level head (a)_i"/>
    <w:basedOn w:val="4thlevelheadnospacei"/>
    <w:autoRedefine/>
    <w:uiPriority w:val="99"/>
    <w:rsid w:val="00E44212"/>
    <w:pPr>
      <w:keepNext/>
      <w:widowControl w:val="0"/>
      <w:tabs>
        <w:tab w:val="clear" w:pos="720"/>
        <w:tab w:val="left" w:pos="1240"/>
      </w:tabs>
      <w:suppressAutoHyphens/>
      <w:autoSpaceDE w:val="0"/>
      <w:autoSpaceDN w:val="0"/>
      <w:adjustRightInd w:val="0"/>
      <w:spacing w:before="240"/>
      <w:ind w:left="1241"/>
      <w:textAlignment w:val="center"/>
    </w:pPr>
    <w:rPr>
      <w:rFonts w:cs="Times LT Std"/>
      <w:iCs/>
      <w:color w:val="000000"/>
    </w:rPr>
  </w:style>
  <w:style w:type="paragraph" w:customStyle="1" w:styleId="Block-f">
    <w:name w:val="Block-f +/+"/>
    <w:basedOn w:val="Normal"/>
    <w:autoRedefine/>
    <w:qFormat/>
    <w:rsid w:val="005043D3"/>
    <w:pPr>
      <w:spacing w:before="240" w:after="240" w:line="240" w:lineRule="auto"/>
      <w:ind w:left="720"/>
    </w:pPr>
    <w:rPr>
      <w:rFonts w:ascii="Times New Roman" w:hAnsi="Times New Roman"/>
      <w:sz w:val="20"/>
    </w:rPr>
  </w:style>
  <w:style w:type="paragraph" w:customStyle="1" w:styleId="Block-p0">
    <w:name w:val="Block-p +/+"/>
    <w:basedOn w:val="Block-f"/>
    <w:autoRedefine/>
    <w:qFormat/>
    <w:rsid w:val="009F3FCC"/>
    <w:pPr>
      <w:ind w:firstLine="720"/>
    </w:pPr>
  </w:style>
  <w:style w:type="paragraph" w:customStyle="1" w:styleId="practicetiptextnoindentwrule">
    <w:name w:val="practice tip text no indent w/rule"/>
    <w:basedOn w:val="Normal"/>
    <w:autoRedefine/>
    <w:uiPriority w:val="99"/>
    <w:rsid w:val="00FD591F"/>
    <w:pPr>
      <w:widowControl w:val="0"/>
      <w:pBdr>
        <w:bottom w:val="single" w:sz="8" w:space="12" w:color="auto"/>
      </w:pBdr>
      <w:autoSpaceDE w:val="0"/>
      <w:autoSpaceDN w:val="0"/>
      <w:adjustRightInd w:val="0"/>
      <w:spacing w:after="240" w:line="240" w:lineRule="auto"/>
      <w:textAlignment w:val="center"/>
    </w:pPr>
    <w:rPr>
      <w:rFonts w:ascii="Times New Roman" w:hAnsi="Times New Roman" w:cs="ITC New Baskerville Std"/>
      <w:color w:val="000000"/>
      <w:sz w:val="24"/>
    </w:rPr>
  </w:style>
  <w:style w:type="paragraph" w:customStyle="1" w:styleId="praticetiphead">
    <w:name w:val="pratice tip head"/>
    <w:basedOn w:val="text"/>
    <w:autoRedefine/>
    <w:uiPriority w:val="99"/>
    <w:rsid w:val="00FD591F"/>
    <w:pPr>
      <w:widowControl w:val="0"/>
      <w:pBdr>
        <w:top w:val="single" w:sz="8" w:space="18" w:color="auto"/>
      </w:pBdr>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480" w:after="240"/>
      <w:ind w:firstLine="0"/>
      <w:jc w:val="center"/>
      <w:textAlignment w:val="center"/>
    </w:pPr>
    <w:rPr>
      <w:rFonts w:ascii="Times New Roman Bold" w:eastAsiaTheme="minorEastAsia" w:hAnsi="Times New Roman Bold" w:cs="ITC New Baskerville Std"/>
      <w:b/>
      <w:bCs/>
      <w:caps/>
      <w:color w:val="000000"/>
      <w:szCs w:val="22"/>
    </w:rPr>
  </w:style>
  <w:style w:type="paragraph" w:customStyle="1" w:styleId="5thleveheadnospacer">
    <w:name w:val="5th leve head no space_r"/>
    <w:basedOn w:val="5thlevelheadiir"/>
    <w:autoRedefine/>
    <w:uiPriority w:val="99"/>
    <w:rsid w:val="00FD591F"/>
    <w:pPr>
      <w:spacing w:before="0"/>
    </w:pPr>
    <w:rPr>
      <w:rFonts w:cs="Times New Roman"/>
      <w:caps/>
      <w:spacing w:val="2"/>
    </w:rPr>
  </w:style>
  <w:style w:type="paragraph" w:customStyle="1" w:styleId="RuleHead">
    <w:name w:val="Rule Head"/>
    <w:basedOn w:val="textflush"/>
    <w:autoRedefine/>
    <w:uiPriority w:val="99"/>
    <w:rsid w:val="00FD591F"/>
    <w:pPr>
      <w:widowControl w:val="0"/>
      <w:autoSpaceDE w:val="0"/>
      <w:autoSpaceDN w:val="0"/>
      <w:adjustRightInd w:val="0"/>
      <w:spacing w:before="240" w:after="240"/>
      <w:textAlignment w:val="center"/>
    </w:pPr>
    <w:rPr>
      <w:rFonts w:eastAsiaTheme="minorEastAsia"/>
      <w:b/>
      <w:bCs/>
      <w:i/>
      <w:iCs/>
      <w:szCs w:val="22"/>
    </w:rPr>
  </w:style>
  <w:style w:type="paragraph" w:customStyle="1" w:styleId="block-p1">
    <w:name w:val="block-p +/+"/>
    <w:basedOn w:val="block-p-0"/>
    <w:autoRedefine/>
    <w:uiPriority w:val="99"/>
    <w:rsid w:val="00FB747A"/>
    <w:pPr>
      <w:widowControl w:val="0"/>
      <w:autoSpaceDE w:val="0"/>
      <w:autoSpaceDN w:val="0"/>
      <w:adjustRightInd w:val="0"/>
      <w:spacing w:before="240"/>
      <w:textAlignment w:val="center"/>
    </w:pPr>
    <w:rPr>
      <w:rFonts w:cs="ITC New Baskerville Std"/>
      <w:color w:val="000000"/>
      <w:szCs w:val="20"/>
    </w:rPr>
  </w:style>
  <w:style w:type="paragraph" w:customStyle="1" w:styleId="namecentered">
    <w:name w:val="name centered"/>
    <w:basedOn w:val="Normal"/>
    <w:autoRedefine/>
    <w:uiPriority w:val="99"/>
    <w:rsid w:val="00FD591F"/>
    <w:pPr>
      <w:widowControl w:val="0"/>
      <w:suppressAutoHyphens/>
      <w:autoSpaceDE w:val="0"/>
      <w:autoSpaceDN w:val="0"/>
      <w:adjustRightInd w:val="0"/>
      <w:spacing w:before="240" w:after="0" w:line="240" w:lineRule="auto"/>
      <w:ind w:left="221" w:hanging="221"/>
      <w:jc w:val="center"/>
      <w:textAlignment w:val="center"/>
    </w:pPr>
    <w:rPr>
      <w:rFonts w:ascii="Times New Roman Bold" w:hAnsi="Times New Roman Bold" w:cs="Times SC"/>
      <w:b/>
      <w:bCs/>
      <w:smallCaps/>
      <w:color w:val="000000"/>
      <w:sz w:val="23"/>
      <w:szCs w:val="23"/>
    </w:rPr>
  </w:style>
  <w:style w:type="paragraph" w:customStyle="1" w:styleId="bulletlistblpnl">
    <w:name w:val="bullet list/ bl/pnl"/>
    <w:basedOn w:val="bulletlist"/>
    <w:autoRedefine/>
    <w:uiPriority w:val="99"/>
    <w:rsid w:val="00D3702E"/>
    <w:pPr>
      <w:widowControl w:val="0"/>
      <w:tabs>
        <w:tab w:val="left" w:pos="1140"/>
      </w:tabs>
      <w:autoSpaceDE w:val="0"/>
      <w:autoSpaceDN w:val="0"/>
      <w:adjustRightInd w:val="0"/>
      <w:ind w:left="1140" w:hanging="480"/>
      <w:textAlignment w:val="center"/>
    </w:pPr>
    <w:rPr>
      <w:rFonts w:cs="Times LT Std"/>
      <w:color w:val="000000"/>
    </w:rPr>
  </w:style>
  <w:style w:type="paragraph" w:customStyle="1" w:styleId="TOCChapter">
    <w:name w:val="TOC Chapter"/>
    <w:basedOn w:val="Normal"/>
    <w:autoRedefine/>
    <w:uiPriority w:val="99"/>
    <w:rsid w:val="00836CB4"/>
    <w:pPr>
      <w:tabs>
        <w:tab w:val="left" w:pos="1440"/>
        <w:tab w:val="right" w:leader="dot" w:pos="5640"/>
        <w:tab w:val="right" w:pos="6240"/>
        <w:tab w:val="right" w:pos="6960"/>
      </w:tabs>
      <w:suppressAutoHyphens/>
      <w:autoSpaceDE w:val="0"/>
      <w:autoSpaceDN w:val="0"/>
      <w:adjustRightInd w:val="0"/>
      <w:spacing w:before="240" w:after="0" w:line="220" w:lineRule="atLeast"/>
      <w:ind w:left="1440" w:hanging="1440"/>
      <w:textAlignment w:val="center"/>
    </w:pPr>
    <w:rPr>
      <w:rFonts w:ascii="Times New Roman" w:eastAsiaTheme="minorHAnsi" w:hAnsi="Times New Roman" w:cs="Times"/>
      <w:smallCaps/>
      <w:color w:val="000000"/>
      <w:spacing w:val="-2"/>
      <w:sz w:val="20"/>
      <w:szCs w:val="20"/>
    </w:rPr>
  </w:style>
  <w:style w:type="paragraph" w:customStyle="1" w:styleId="toc1I">
    <w:name w:val="toc1 I."/>
    <w:basedOn w:val="text"/>
    <w:autoRedefine/>
    <w:uiPriority w:val="99"/>
    <w:rsid w:val="00297E4B"/>
    <w:pPr>
      <w:widowControl w:val="0"/>
      <w:tabs>
        <w:tab w:val="clear" w:pos="0"/>
        <w:tab w:val="clear" w:pos="720"/>
        <w:tab w:val="clear" w:pos="1440"/>
        <w:tab w:val="clear" w:pos="2160"/>
        <w:tab w:val="clear" w:pos="2880"/>
        <w:tab w:val="clear" w:pos="3600"/>
        <w:tab w:val="clear" w:pos="4320"/>
        <w:tab w:val="clear" w:pos="5040"/>
        <w:tab w:val="clear" w:pos="5760"/>
        <w:tab w:val="right" w:pos="480"/>
        <w:tab w:val="left" w:pos="600"/>
        <w:tab w:val="left" w:leader="dot" w:pos="6240"/>
        <w:tab w:val="right" w:pos="6960"/>
      </w:tabs>
      <w:autoSpaceDE w:val="0"/>
      <w:autoSpaceDN w:val="0"/>
      <w:adjustRightInd w:val="0"/>
      <w:spacing w:line="220" w:lineRule="atLeast"/>
      <w:ind w:left="600" w:hanging="600"/>
      <w:textAlignment w:val="center"/>
    </w:pPr>
    <w:rPr>
      <w:rFonts w:eastAsiaTheme="minorEastAsia" w:cs="Times New Roman"/>
      <w:color w:val="000000"/>
      <w:sz w:val="22"/>
      <w:szCs w:val="20"/>
    </w:rPr>
  </w:style>
  <w:style w:type="paragraph" w:customStyle="1" w:styleId="toc5ii">
    <w:name w:val="toc5 ii."/>
    <w:basedOn w:val="toc4a"/>
    <w:autoRedefine/>
    <w:uiPriority w:val="99"/>
    <w:rsid w:val="00870EE5"/>
    <w:pPr>
      <w:tabs>
        <w:tab w:val="clear" w:pos="1680"/>
        <w:tab w:val="right" w:pos="2160"/>
        <w:tab w:val="left" w:pos="2280"/>
        <w:tab w:val="right" w:pos="6240"/>
      </w:tabs>
      <w:spacing w:line="220" w:lineRule="atLeast"/>
      <w:ind w:left="2280" w:hanging="600"/>
    </w:pPr>
    <w:rPr>
      <w:rFonts w:cs="Times LT Std"/>
      <w:szCs w:val="20"/>
    </w:rPr>
  </w:style>
  <w:style w:type="paragraph" w:customStyle="1" w:styleId="3rdlevelheadheadnospacei">
    <w:name w:val="3rd level head head no space_i"/>
    <w:basedOn w:val="3rdlevelhead1i"/>
    <w:autoRedefine/>
    <w:uiPriority w:val="99"/>
    <w:rsid w:val="00870EE5"/>
    <w:pPr>
      <w:widowControl w:val="0"/>
      <w:autoSpaceDE w:val="0"/>
      <w:autoSpaceDN w:val="0"/>
      <w:adjustRightInd w:val="0"/>
      <w:spacing w:before="0"/>
      <w:textAlignment w:val="center"/>
    </w:pPr>
    <w:rPr>
      <w:rFonts w:cs="Times LT Std"/>
      <w:color w:val="000000"/>
    </w:rPr>
  </w:style>
  <w:style w:type="paragraph" w:customStyle="1" w:styleId="textflushednote-">
    <w:name w:val="text flush ed note -/+"/>
    <w:basedOn w:val="Normal"/>
    <w:autoRedefine/>
    <w:uiPriority w:val="99"/>
    <w:rsid w:val="00C14296"/>
    <w:pPr>
      <w:widowControl w:val="0"/>
      <w:autoSpaceDE w:val="0"/>
      <w:autoSpaceDN w:val="0"/>
      <w:adjustRightInd w:val="0"/>
      <w:spacing w:after="240" w:line="240" w:lineRule="auto"/>
      <w:textAlignment w:val="center"/>
    </w:pPr>
    <w:rPr>
      <w:rFonts w:ascii="Times New Roman" w:hAnsi="Times New Roman" w:cs="Times LT Std"/>
      <w:color w:val="000000"/>
      <w:sz w:val="24"/>
    </w:rPr>
  </w:style>
  <w:style w:type="paragraph" w:customStyle="1" w:styleId="note">
    <w:name w:val="note"/>
    <w:basedOn w:val="Normal"/>
    <w:autoRedefine/>
    <w:uiPriority w:val="99"/>
    <w:rsid w:val="00870EE5"/>
    <w:pPr>
      <w:widowControl w:val="0"/>
      <w:autoSpaceDE w:val="0"/>
      <w:autoSpaceDN w:val="0"/>
      <w:adjustRightInd w:val="0"/>
      <w:spacing w:after="0" w:line="240" w:lineRule="auto"/>
      <w:ind w:firstLine="720"/>
      <w:textAlignment w:val="center"/>
    </w:pPr>
    <w:rPr>
      <w:rFonts w:ascii="Times New Roman" w:hAnsi="Times New Roman" w:cs="Times LT Std"/>
      <w:color w:val="000000"/>
      <w:sz w:val="20"/>
      <w:szCs w:val="18"/>
    </w:rPr>
  </w:style>
  <w:style w:type="paragraph" w:customStyle="1" w:styleId="4thLevelHead">
    <w:name w:val="4th Level Head"/>
    <w:basedOn w:val="Normal"/>
    <w:autoRedefine/>
    <w:uiPriority w:val="99"/>
    <w:rsid w:val="00C14296"/>
    <w:pPr>
      <w:keepNext/>
      <w:widowControl w:val="0"/>
      <w:tabs>
        <w:tab w:val="left" w:pos="800"/>
      </w:tabs>
      <w:suppressAutoHyphens/>
      <w:autoSpaceDE w:val="0"/>
      <w:autoSpaceDN w:val="0"/>
      <w:adjustRightInd w:val="0"/>
      <w:spacing w:before="240" w:after="240" w:line="240" w:lineRule="auto"/>
      <w:ind w:left="799" w:hanging="360"/>
      <w:contextualSpacing/>
      <w:textAlignment w:val="center"/>
    </w:pPr>
    <w:rPr>
      <w:rFonts w:ascii="Times New Roman" w:hAnsi="Times New Roman" w:cs="Times LT Std"/>
      <w:i/>
      <w:iCs/>
      <w:color w:val="000000"/>
      <w:sz w:val="24"/>
    </w:rPr>
  </w:style>
  <w:style w:type="paragraph" w:customStyle="1" w:styleId="textflushednote">
    <w:name w:val="text flush ed note +/+"/>
    <w:basedOn w:val="textflushednote-"/>
    <w:autoRedefine/>
    <w:uiPriority w:val="99"/>
    <w:rsid w:val="00870EE5"/>
    <w:pPr>
      <w:spacing w:before="240"/>
    </w:pPr>
  </w:style>
  <w:style w:type="paragraph" w:customStyle="1" w:styleId="block-f0">
    <w:name w:val="block-f +/+"/>
    <w:basedOn w:val="Normal"/>
    <w:autoRedefine/>
    <w:uiPriority w:val="99"/>
    <w:qFormat/>
    <w:rsid w:val="00E05CD8"/>
    <w:pPr>
      <w:spacing w:before="240" w:after="240" w:line="240" w:lineRule="auto"/>
      <w:ind w:left="720"/>
    </w:pPr>
    <w:rPr>
      <w:rFonts w:ascii="Times New Roman" w:hAnsi="Times New Roman"/>
      <w:sz w:val="20"/>
      <w:szCs w:val="20"/>
    </w:rPr>
  </w:style>
  <w:style w:type="paragraph" w:customStyle="1" w:styleId="footnoteregparaindent">
    <w:name w:val="footnote reg para indent"/>
    <w:basedOn w:val="footnote"/>
    <w:autoRedefine/>
    <w:uiPriority w:val="99"/>
    <w:rsid w:val="00C14296"/>
    <w:pPr>
      <w:widowControl w:val="0"/>
      <w:autoSpaceDE w:val="0"/>
      <w:autoSpaceDN w:val="0"/>
      <w:adjustRightInd w:val="0"/>
      <w:textAlignment w:val="center"/>
    </w:pPr>
    <w:rPr>
      <w:rFonts w:cs="Times LT Std"/>
      <w:color w:val="000000"/>
      <w:szCs w:val="18"/>
    </w:rPr>
  </w:style>
  <w:style w:type="paragraph" w:customStyle="1" w:styleId="textbold-">
    <w:name w:val="text bold -/+"/>
    <w:basedOn w:val="text"/>
    <w:autoRedefine/>
    <w:uiPriority w:val="99"/>
    <w:rsid w:val="0000038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ITC New Baskerville Std"/>
      <w:b/>
      <w:bCs/>
      <w:color w:val="000000"/>
    </w:rPr>
  </w:style>
  <w:style w:type="paragraph" w:customStyle="1" w:styleId="3rdlevelheadnospace">
    <w:name w:val="3rd level head no space"/>
    <w:basedOn w:val="3rdlevelhead1bi"/>
    <w:autoRedefine/>
    <w:uiPriority w:val="99"/>
    <w:rsid w:val="0000038E"/>
    <w:pPr>
      <w:keepNext/>
      <w:widowControl w:val="0"/>
      <w:suppressAutoHyphens/>
      <w:autoSpaceDE w:val="0"/>
      <w:autoSpaceDN w:val="0"/>
      <w:adjustRightInd w:val="0"/>
      <w:spacing w:before="0"/>
      <w:textAlignment w:val="center"/>
    </w:pPr>
    <w:rPr>
      <w:rFonts w:cs="ITC New Baskerville Std"/>
      <w:bCs/>
      <w:iCs/>
      <w:color w:val="000000"/>
    </w:rPr>
  </w:style>
  <w:style w:type="paragraph" w:customStyle="1" w:styleId="2ndlevelheadnospace">
    <w:name w:val="2nd level head no space"/>
    <w:basedOn w:val="2ndlevelheadAb"/>
    <w:autoRedefine/>
    <w:uiPriority w:val="99"/>
    <w:rsid w:val="0000038E"/>
    <w:pPr>
      <w:keepNext/>
      <w:widowControl w:val="0"/>
      <w:suppressAutoHyphens/>
      <w:autoSpaceDE w:val="0"/>
      <w:autoSpaceDN w:val="0"/>
      <w:adjustRightInd w:val="0"/>
      <w:spacing w:before="0"/>
      <w:textAlignment w:val="center"/>
    </w:pPr>
    <w:rPr>
      <w:rFonts w:ascii="Times New Roman" w:hAnsi="Times New Roman" w:cs="ITC New Baskerville Std"/>
      <w:bCs/>
      <w:color w:val="000000"/>
    </w:rPr>
  </w:style>
  <w:style w:type="paragraph" w:customStyle="1" w:styleId="1stlevelheadI0">
    <w:name w:val="1st level head I."/>
    <w:basedOn w:val="Normal"/>
    <w:autoRedefine/>
    <w:uiPriority w:val="99"/>
    <w:rsid w:val="0000038E"/>
    <w:pPr>
      <w:keepNext/>
      <w:keepLines/>
      <w:widowControl w:val="0"/>
      <w:suppressAutoHyphens/>
      <w:autoSpaceDE w:val="0"/>
      <w:autoSpaceDN w:val="0"/>
      <w:adjustRightInd w:val="0"/>
      <w:spacing w:before="360" w:after="240" w:line="240" w:lineRule="auto"/>
      <w:jc w:val="center"/>
      <w:textAlignment w:val="center"/>
    </w:pPr>
    <w:rPr>
      <w:rFonts w:ascii="Times New Roman" w:hAnsi="Times New Roman" w:cs="ITC New Baskerville Std"/>
      <w:smallCaps/>
      <w:color w:val="000000"/>
      <w:sz w:val="24"/>
    </w:rPr>
  </w:style>
  <w:style w:type="paragraph" w:customStyle="1" w:styleId="textwith6ptbelow">
    <w:name w:val="text with 6 pt below"/>
    <w:basedOn w:val="text"/>
    <w:autoRedefine/>
    <w:uiPriority w:val="99"/>
    <w:rsid w:val="0000038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ITC New Baskerville Std"/>
      <w:b/>
      <w:bCs/>
      <w:color w:val="000000"/>
    </w:rPr>
  </w:style>
  <w:style w:type="paragraph" w:customStyle="1" w:styleId="5thlevelheadnospace">
    <w:name w:val="5th level head no space"/>
    <w:basedOn w:val="Normal"/>
    <w:autoRedefine/>
    <w:uiPriority w:val="99"/>
    <w:rsid w:val="00F81E2B"/>
    <w:pPr>
      <w:keepNext/>
      <w:widowControl w:val="0"/>
      <w:suppressAutoHyphens/>
      <w:autoSpaceDE w:val="0"/>
      <w:autoSpaceDN w:val="0"/>
      <w:adjustRightInd w:val="0"/>
      <w:spacing w:before="240" w:after="240" w:line="240" w:lineRule="auto"/>
      <w:ind w:left="821" w:hanging="360"/>
      <w:textAlignment w:val="center"/>
    </w:pPr>
    <w:rPr>
      <w:rFonts w:ascii="Times New Roman" w:hAnsi="Times New Roman" w:cs="ITC New Baskerville Std"/>
      <w:i/>
      <w:iCs/>
      <w:color w:val="000000"/>
      <w:sz w:val="24"/>
      <w:szCs w:val="24"/>
    </w:rPr>
  </w:style>
  <w:style w:type="paragraph" w:customStyle="1" w:styleId="4thlevelheadnospace">
    <w:name w:val="4th level head no space"/>
    <w:basedOn w:val="4thlevelheadai"/>
    <w:autoRedefine/>
    <w:uiPriority w:val="99"/>
    <w:rsid w:val="0000038E"/>
    <w:pPr>
      <w:keepNext/>
      <w:widowControl w:val="0"/>
      <w:tabs>
        <w:tab w:val="clear" w:pos="720"/>
        <w:tab w:val="left" w:pos="740"/>
      </w:tabs>
      <w:suppressAutoHyphens/>
      <w:autoSpaceDE w:val="0"/>
      <w:autoSpaceDN w:val="0"/>
      <w:adjustRightInd w:val="0"/>
      <w:spacing w:before="0"/>
      <w:ind w:left="701"/>
      <w:textAlignment w:val="center"/>
    </w:pPr>
    <w:rPr>
      <w:rFonts w:cs="ITC New Baskerville Std"/>
      <w:iCs/>
      <w:color w:val="000000"/>
    </w:rPr>
  </w:style>
  <w:style w:type="paragraph" w:customStyle="1" w:styleId="3rdlevelhead10">
    <w:name w:val="3rd level head 1."/>
    <w:basedOn w:val="Normal"/>
    <w:autoRedefine/>
    <w:uiPriority w:val="99"/>
    <w:rsid w:val="0000038E"/>
    <w:pPr>
      <w:keepNext/>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ITC New Baskerville Std"/>
      <w:b/>
      <w:bCs/>
      <w:i/>
      <w:iCs/>
      <w:color w:val="000000"/>
      <w:sz w:val="24"/>
    </w:rPr>
  </w:style>
  <w:style w:type="paragraph" w:customStyle="1" w:styleId="bulletlistspaceabove">
    <w:name w:val="bullet list space above"/>
    <w:basedOn w:val="bulletlist"/>
    <w:autoRedefine/>
    <w:uiPriority w:val="99"/>
    <w:rsid w:val="0000038E"/>
    <w:pPr>
      <w:widowControl w:val="0"/>
      <w:tabs>
        <w:tab w:val="left" w:pos="660"/>
      </w:tabs>
      <w:autoSpaceDE w:val="0"/>
      <w:autoSpaceDN w:val="0"/>
      <w:adjustRightInd w:val="0"/>
      <w:spacing w:before="240"/>
      <w:textAlignment w:val="center"/>
    </w:pPr>
    <w:rPr>
      <w:rFonts w:cs="ITC New Baskerville Std"/>
      <w:color w:val="000000"/>
      <w:szCs w:val="24"/>
    </w:rPr>
  </w:style>
  <w:style w:type="paragraph" w:customStyle="1" w:styleId="appestate">
    <w:name w:val="app e state"/>
    <w:basedOn w:val="Normal"/>
    <w:autoRedefine/>
    <w:uiPriority w:val="99"/>
    <w:rsid w:val="0000038E"/>
    <w:pPr>
      <w:widowControl w:val="0"/>
      <w:suppressAutoHyphens/>
      <w:autoSpaceDE w:val="0"/>
      <w:autoSpaceDN w:val="0"/>
      <w:adjustRightInd w:val="0"/>
      <w:spacing w:before="240" w:after="0" w:line="240" w:lineRule="auto"/>
      <w:jc w:val="center"/>
      <w:textAlignment w:val="center"/>
    </w:pPr>
    <w:rPr>
      <w:rFonts w:ascii="Times New Roman" w:hAnsi="Times New Roman" w:cs="ITC New Baskerville Std"/>
      <w:smallCaps/>
      <w:color w:val="000000"/>
      <w:sz w:val="24"/>
    </w:rPr>
  </w:style>
  <w:style w:type="paragraph" w:customStyle="1" w:styleId="appeboldhead">
    <w:name w:val="app e bold head"/>
    <w:basedOn w:val="Normal"/>
    <w:autoRedefine/>
    <w:uiPriority w:val="99"/>
    <w:rsid w:val="0000038E"/>
    <w:pPr>
      <w:widowControl w:val="0"/>
      <w:autoSpaceDE w:val="0"/>
      <w:autoSpaceDN w:val="0"/>
      <w:adjustRightInd w:val="0"/>
      <w:spacing w:before="240" w:after="240" w:line="240" w:lineRule="auto"/>
      <w:textAlignment w:val="center"/>
    </w:pPr>
    <w:rPr>
      <w:rFonts w:ascii="Times New Roman" w:hAnsi="Times New Roman" w:cs="ITC New Baskerville Std"/>
      <w:b/>
      <w:bCs/>
      <w:color w:val="000000"/>
    </w:rPr>
  </w:style>
  <w:style w:type="paragraph" w:customStyle="1" w:styleId="appetext">
    <w:name w:val="app e text"/>
    <w:basedOn w:val="text"/>
    <w:autoRedefine/>
    <w:uiPriority w:val="99"/>
    <w:rsid w:val="0000038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120"/>
      <w:ind w:firstLine="0"/>
      <w:textAlignment w:val="center"/>
    </w:pPr>
    <w:rPr>
      <w:rFonts w:eastAsiaTheme="minorEastAsia" w:cs="ITC New Baskerville Std"/>
      <w:color w:val="000000"/>
      <w:sz w:val="22"/>
      <w:szCs w:val="22"/>
    </w:rPr>
  </w:style>
  <w:style w:type="paragraph" w:customStyle="1" w:styleId="appeblditalic">
    <w:name w:val="app e bld italic"/>
    <w:basedOn w:val="appeboldhead"/>
    <w:autoRedefine/>
    <w:uiPriority w:val="99"/>
    <w:rsid w:val="0000038E"/>
    <w:rPr>
      <w:i/>
      <w:iCs/>
    </w:rPr>
  </w:style>
  <w:style w:type="paragraph" w:customStyle="1" w:styleId="textflushbold--">
    <w:name w:val="text flush bold -/-"/>
    <w:basedOn w:val="textflushbold-"/>
    <w:autoRedefine/>
    <w:uiPriority w:val="99"/>
    <w:rsid w:val="0000038E"/>
    <w:pPr>
      <w:spacing w:after="0"/>
    </w:pPr>
  </w:style>
  <w:style w:type="paragraph" w:customStyle="1" w:styleId="blockp">
    <w:name w:val="block p +/+"/>
    <w:basedOn w:val="Normal"/>
    <w:autoRedefine/>
    <w:uiPriority w:val="99"/>
    <w:rsid w:val="0000038E"/>
    <w:pPr>
      <w:widowControl w:val="0"/>
      <w:autoSpaceDE w:val="0"/>
      <w:autoSpaceDN w:val="0"/>
      <w:adjustRightInd w:val="0"/>
      <w:spacing w:before="240" w:after="240" w:line="240" w:lineRule="auto"/>
      <w:ind w:left="439" w:firstLine="439"/>
      <w:textAlignment w:val="center"/>
    </w:pPr>
    <w:rPr>
      <w:rFonts w:ascii="Times New Roman" w:hAnsi="Times New Roman" w:cs="ITC New Baskerville Std"/>
      <w:color w:val="000000"/>
      <w:sz w:val="20"/>
      <w:szCs w:val="20"/>
    </w:rPr>
  </w:style>
  <w:style w:type="paragraph" w:customStyle="1" w:styleId="textaddbld-">
    <w:name w:val="text add bld -/+"/>
    <w:basedOn w:val="Normal"/>
    <w:autoRedefine/>
    <w:uiPriority w:val="99"/>
    <w:rsid w:val="00922C22"/>
    <w:pPr>
      <w:widowControl w:val="0"/>
      <w:autoSpaceDE w:val="0"/>
      <w:autoSpaceDN w:val="0"/>
      <w:adjustRightInd w:val="0"/>
      <w:spacing w:after="240" w:line="240" w:lineRule="auto"/>
      <w:textAlignment w:val="center"/>
    </w:pPr>
    <w:rPr>
      <w:rFonts w:ascii="Times New Roman" w:hAnsi="Times New Roman" w:cs="NewCenturySchlbk"/>
      <w:b/>
      <w:bCs/>
      <w:color w:val="000000"/>
      <w:sz w:val="24"/>
    </w:rPr>
  </w:style>
  <w:style w:type="paragraph" w:customStyle="1" w:styleId="1stlevelheadIbfl">
    <w:name w:val="1st level head I._b_fl"/>
    <w:basedOn w:val="1stlevelheadIb"/>
    <w:autoRedefine/>
    <w:qFormat/>
    <w:rsid w:val="00922C22"/>
    <w:pPr>
      <w:ind w:firstLine="0"/>
      <w:jc w:val="left"/>
    </w:pPr>
    <w:rPr>
      <w:rFonts w:cs="Times New Roman"/>
      <w:smallCaps w:val="0"/>
    </w:rPr>
  </w:style>
  <w:style w:type="paragraph" w:customStyle="1" w:styleId="textaddbld">
    <w:name w:val="text add bld +/+"/>
    <w:basedOn w:val="textaddbld-"/>
    <w:autoRedefine/>
    <w:uiPriority w:val="99"/>
    <w:rsid w:val="00922C22"/>
    <w:pPr>
      <w:spacing w:before="240"/>
    </w:pPr>
  </w:style>
  <w:style w:type="paragraph" w:customStyle="1" w:styleId="3rdlevelhead3i">
    <w:name w:val="3rd level head 3._i"/>
    <w:basedOn w:val="Normal"/>
    <w:autoRedefine/>
    <w:uiPriority w:val="99"/>
    <w:rsid w:val="00922C22"/>
    <w:pPr>
      <w:keepNext/>
      <w:widowControl w:val="0"/>
      <w:tabs>
        <w:tab w:val="left" w:pos="920"/>
      </w:tabs>
      <w:suppressAutoHyphens/>
      <w:autoSpaceDE w:val="0"/>
      <w:autoSpaceDN w:val="0"/>
      <w:adjustRightInd w:val="0"/>
      <w:spacing w:before="240" w:after="120" w:line="240" w:lineRule="auto"/>
      <w:ind w:left="919" w:hanging="480"/>
      <w:textAlignment w:val="center"/>
    </w:pPr>
    <w:rPr>
      <w:rFonts w:ascii="Times New Roman" w:hAnsi="Times New Roman" w:cs="NewCenturySchlbk"/>
      <w:i/>
      <w:iCs/>
      <w:color w:val="000000"/>
      <w:sz w:val="24"/>
    </w:rPr>
  </w:style>
  <w:style w:type="paragraph" w:customStyle="1" w:styleId="block-f-2">
    <w:name w:val="block-f +/-"/>
    <w:basedOn w:val="Normal"/>
    <w:autoRedefine/>
    <w:uiPriority w:val="99"/>
    <w:rsid w:val="00297233"/>
    <w:pPr>
      <w:widowControl w:val="0"/>
      <w:autoSpaceDE w:val="0"/>
      <w:autoSpaceDN w:val="0"/>
      <w:adjustRightInd w:val="0"/>
      <w:spacing w:before="240" w:after="0" w:line="240" w:lineRule="auto"/>
      <w:ind w:left="720"/>
      <w:textAlignment w:val="center"/>
    </w:pPr>
    <w:rPr>
      <w:rFonts w:ascii="Times New Roman" w:hAnsi="Times New Roman" w:cs="ITC New Baskerville Std"/>
      <w:color w:val="000000"/>
      <w:sz w:val="20"/>
      <w:szCs w:val="20"/>
    </w:rPr>
  </w:style>
  <w:style w:type="paragraph" w:customStyle="1" w:styleId="5thlevelheadiii">
    <w:name w:val="5th level head ii._i"/>
    <w:basedOn w:val="Normal"/>
    <w:autoRedefine/>
    <w:uiPriority w:val="99"/>
    <w:rsid w:val="00E43E7B"/>
    <w:pPr>
      <w:keepNext/>
      <w:widowControl w:val="0"/>
      <w:tabs>
        <w:tab w:val="left" w:pos="1020"/>
      </w:tabs>
      <w:suppressAutoHyphens/>
      <w:autoSpaceDE w:val="0"/>
      <w:autoSpaceDN w:val="0"/>
      <w:adjustRightInd w:val="0"/>
      <w:spacing w:before="120" w:after="120" w:line="240" w:lineRule="auto"/>
      <w:ind w:left="1020" w:hanging="360"/>
      <w:textAlignment w:val="center"/>
    </w:pPr>
    <w:rPr>
      <w:rFonts w:ascii="Times New Roman" w:hAnsi="Times New Roman" w:cs="ITC New Baskerville Std"/>
      <w:i/>
      <w:iCs/>
      <w:color w:val="000000"/>
      <w:sz w:val="24"/>
    </w:rPr>
  </w:style>
  <w:style w:type="paragraph" w:customStyle="1" w:styleId="blockquotepara62">
    <w:name w:val="block quote para 6/2"/>
    <w:basedOn w:val="Normal"/>
    <w:autoRedefine/>
    <w:uiPriority w:val="99"/>
    <w:rsid w:val="003D3656"/>
    <w:pPr>
      <w:widowControl w:val="0"/>
      <w:autoSpaceDE w:val="0"/>
      <w:autoSpaceDN w:val="0"/>
      <w:adjustRightInd w:val="0"/>
      <w:spacing w:before="240" w:after="0" w:line="240" w:lineRule="auto"/>
      <w:ind w:left="720" w:firstLine="720"/>
      <w:textAlignment w:val="center"/>
    </w:pPr>
    <w:rPr>
      <w:rFonts w:ascii="Times New Roman" w:hAnsi="Times New Roman" w:cs="Times LT Std"/>
      <w:color w:val="000000"/>
      <w:sz w:val="20"/>
    </w:rPr>
  </w:style>
  <w:style w:type="paragraph" w:customStyle="1" w:styleId="StateBold">
    <w:name w:val="State Bold"/>
    <w:basedOn w:val="Normal"/>
    <w:uiPriority w:val="99"/>
    <w:rsid w:val="003D3656"/>
    <w:pPr>
      <w:widowControl w:val="0"/>
      <w:autoSpaceDE w:val="0"/>
      <w:autoSpaceDN w:val="0"/>
      <w:adjustRightInd w:val="0"/>
      <w:spacing w:before="240" w:after="240" w:line="240" w:lineRule="auto"/>
      <w:textAlignment w:val="center"/>
    </w:pPr>
    <w:rPr>
      <w:rFonts w:ascii="Times New Roman" w:hAnsi="Times New Roman" w:cs="Times LT Std"/>
      <w:b/>
      <w:bCs/>
      <w:color w:val="000000"/>
      <w:sz w:val="24"/>
      <w:szCs w:val="24"/>
    </w:rPr>
  </w:style>
  <w:style w:type="paragraph" w:customStyle="1" w:styleId="parttextflush">
    <w:name w:val="part text flush"/>
    <w:basedOn w:val="Normal"/>
    <w:autoRedefine/>
    <w:uiPriority w:val="99"/>
    <w:rsid w:val="003D3656"/>
    <w:pPr>
      <w:widowControl w:val="0"/>
      <w:autoSpaceDE w:val="0"/>
      <w:autoSpaceDN w:val="0"/>
      <w:adjustRightInd w:val="0"/>
      <w:spacing w:after="0" w:line="240" w:lineRule="auto"/>
      <w:textAlignment w:val="center"/>
    </w:pPr>
    <w:rPr>
      <w:rFonts w:ascii="Times New Roman" w:hAnsi="Times New Roman" w:cs="Times LT Std"/>
      <w:i/>
      <w:iCs/>
      <w:color w:val="000000"/>
      <w:sz w:val="24"/>
    </w:rPr>
  </w:style>
  <w:style w:type="paragraph" w:customStyle="1" w:styleId="textbold">
    <w:name w:val="text bold +/+"/>
    <w:basedOn w:val="textbold-"/>
    <w:autoRedefine/>
    <w:uiPriority w:val="99"/>
    <w:rsid w:val="003D3656"/>
    <w:pPr>
      <w:spacing w:before="240"/>
    </w:pPr>
    <w:rPr>
      <w:rFonts w:cs="Times LT Std"/>
      <w:szCs w:val="22"/>
    </w:rPr>
  </w:style>
  <w:style w:type="paragraph" w:customStyle="1" w:styleId="partbulletlist">
    <w:name w:val="part bullet list"/>
    <w:basedOn w:val="Normal"/>
    <w:autoRedefine/>
    <w:uiPriority w:val="99"/>
    <w:rsid w:val="003D3656"/>
    <w:pPr>
      <w:widowControl w:val="0"/>
      <w:tabs>
        <w:tab w:val="left" w:pos="180"/>
      </w:tabs>
      <w:autoSpaceDE w:val="0"/>
      <w:autoSpaceDN w:val="0"/>
      <w:adjustRightInd w:val="0"/>
      <w:spacing w:after="0" w:line="240" w:lineRule="auto"/>
      <w:ind w:left="180" w:hanging="180"/>
      <w:textAlignment w:val="center"/>
    </w:pPr>
    <w:rPr>
      <w:rFonts w:ascii="Times New Roman" w:hAnsi="Times New Roman" w:cs="Times LT Std"/>
      <w:color w:val="000000"/>
      <w:sz w:val="24"/>
    </w:rPr>
  </w:style>
  <w:style w:type="paragraph" w:customStyle="1" w:styleId="parttextitalic">
    <w:name w:val="part text italic"/>
    <w:basedOn w:val="Normal"/>
    <w:autoRedefine/>
    <w:qFormat/>
    <w:rsid w:val="003D3656"/>
    <w:pPr>
      <w:spacing w:after="0" w:line="240" w:lineRule="auto"/>
    </w:pPr>
    <w:rPr>
      <w:rFonts w:ascii="Times New Roman" w:hAnsi="Times New Roman"/>
      <w:i/>
      <w:sz w:val="24"/>
    </w:rPr>
  </w:style>
  <w:style w:type="paragraph" w:customStyle="1" w:styleId="toc2dd">
    <w:name w:val="toc2 dd"/>
    <w:basedOn w:val="Normal"/>
    <w:autoRedefine/>
    <w:uiPriority w:val="99"/>
    <w:rsid w:val="009F3FCC"/>
    <w:pPr>
      <w:widowControl w:val="0"/>
      <w:tabs>
        <w:tab w:val="left" w:pos="1500"/>
        <w:tab w:val="right" w:leader="dot" w:pos="5040"/>
        <w:tab w:val="right" w:pos="5640"/>
        <w:tab w:val="right" w:pos="6480"/>
      </w:tabs>
      <w:suppressAutoHyphens/>
      <w:autoSpaceDE w:val="0"/>
      <w:autoSpaceDN w:val="0"/>
      <w:adjustRightInd w:val="0"/>
      <w:spacing w:after="0" w:line="240" w:lineRule="atLeast"/>
      <w:ind w:left="1500" w:hanging="420"/>
      <w:textAlignment w:val="center"/>
    </w:pPr>
    <w:rPr>
      <w:rFonts w:ascii="Times New Roman" w:hAnsi="Times New Roman" w:cs="ITC New Baskerville Std"/>
      <w:color w:val="000000"/>
    </w:rPr>
  </w:style>
  <w:style w:type="paragraph" w:customStyle="1" w:styleId="toc6">
    <w:name w:val="toc6"/>
    <w:basedOn w:val="toc5"/>
    <w:autoRedefine/>
    <w:uiPriority w:val="99"/>
    <w:rsid w:val="00C54CE7"/>
    <w:pPr>
      <w:tabs>
        <w:tab w:val="clear" w:pos="2220"/>
        <w:tab w:val="clear" w:pos="2340"/>
        <w:tab w:val="left" w:pos="2520"/>
      </w:tabs>
      <w:spacing w:line="240" w:lineRule="atLeast"/>
      <w:ind w:left="2820"/>
    </w:pPr>
    <w:rPr>
      <w:rFonts w:cs="ITC New Baskerville Std"/>
    </w:rPr>
  </w:style>
  <w:style w:type="paragraph" w:customStyle="1" w:styleId="footnotebl">
    <w:name w:val="footnote bl"/>
    <w:basedOn w:val="Normal"/>
    <w:autoRedefine/>
    <w:uiPriority w:val="99"/>
    <w:rsid w:val="00C54CE7"/>
    <w:pPr>
      <w:widowControl w:val="0"/>
      <w:tabs>
        <w:tab w:val="left" w:pos="540"/>
      </w:tabs>
      <w:autoSpaceDE w:val="0"/>
      <w:autoSpaceDN w:val="0"/>
      <w:adjustRightInd w:val="0"/>
      <w:spacing w:after="0" w:line="240" w:lineRule="auto"/>
      <w:ind w:left="540" w:hanging="180"/>
      <w:textAlignment w:val="center"/>
    </w:pPr>
    <w:rPr>
      <w:rFonts w:ascii="Times New Roman" w:hAnsi="Times New Roman" w:cs="ITC New Baskerville Std"/>
      <w:color w:val="000000"/>
      <w:sz w:val="20"/>
      <w:szCs w:val="18"/>
    </w:rPr>
  </w:style>
  <w:style w:type="paragraph" w:customStyle="1" w:styleId="boldflush">
    <w:name w:val="bold flush"/>
    <w:basedOn w:val="text"/>
    <w:autoRedefine/>
    <w:uiPriority w:val="99"/>
    <w:rsid w:val="00C54CE7"/>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textAlignment w:val="center"/>
    </w:pPr>
    <w:rPr>
      <w:rFonts w:eastAsiaTheme="minorEastAsia" w:cs="ITC New Baskerville Std"/>
      <w:b/>
      <w:bCs/>
      <w:color w:val="000000"/>
      <w:szCs w:val="22"/>
    </w:rPr>
  </w:style>
  <w:style w:type="paragraph" w:customStyle="1" w:styleId="textEdNote-">
    <w:name w:val="text Ed Note -/+"/>
    <w:basedOn w:val="text"/>
    <w:autoRedefine/>
    <w:uiPriority w:val="99"/>
    <w:rsid w:val="00F81E2B"/>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Times LT Std"/>
      <w:color w:val="000000"/>
    </w:rPr>
  </w:style>
  <w:style w:type="paragraph" w:customStyle="1" w:styleId="textEdNote">
    <w:name w:val="text Ed Note"/>
    <w:basedOn w:val="text"/>
    <w:autoRedefine/>
    <w:uiPriority w:val="99"/>
    <w:rsid w:val="00F81E2B"/>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jc w:val="both"/>
      <w:textAlignment w:val="center"/>
    </w:pPr>
    <w:rPr>
      <w:rFonts w:eastAsiaTheme="minorEastAsia" w:cs="Times LT Std"/>
      <w:color w:val="000000"/>
    </w:rPr>
  </w:style>
  <w:style w:type="paragraph" w:customStyle="1" w:styleId="footnoteblockindent">
    <w:name w:val="footnote block indent"/>
    <w:basedOn w:val="footnote"/>
    <w:autoRedefine/>
    <w:uiPriority w:val="99"/>
    <w:rsid w:val="00E05CD8"/>
    <w:pPr>
      <w:widowControl w:val="0"/>
      <w:autoSpaceDE w:val="0"/>
      <w:autoSpaceDN w:val="0"/>
      <w:adjustRightInd w:val="0"/>
      <w:spacing w:before="40"/>
      <w:ind w:left="720" w:firstLine="0"/>
      <w:textAlignment w:val="center"/>
    </w:pPr>
    <w:rPr>
      <w:rFonts w:cs="NewCenturySchlbk"/>
      <w:color w:val="000000"/>
      <w:szCs w:val="18"/>
    </w:rPr>
  </w:style>
  <w:style w:type="paragraph" w:customStyle="1" w:styleId="toc3i">
    <w:name w:val="toc3 i."/>
    <w:basedOn w:val="toc2A"/>
    <w:autoRedefine/>
    <w:uiPriority w:val="99"/>
    <w:rsid w:val="00E05CD8"/>
    <w:pPr>
      <w:tabs>
        <w:tab w:val="clear" w:pos="960"/>
        <w:tab w:val="left" w:pos="1320"/>
        <w:tab w:val="left" w:pos="8900"/>
      </w:tabs>
      <w:ind w:left="1320" w:hanging="480"/>
    </w:pPr>
  </w:style>
  <w:style w:type="paragraph" w:customStyle="1" w:styleId="block-p-3">
    <w:name w:val="block-p -/+"/>
    <w:basedOn w:val="Normal"/>
    <w:autoRedefine/>
    <w:uiPriority w:val="99"/>
    <w:qFormat/>
    <w:rsid w:val="00B059B1"/>
    <w:pPr>
      <w:spacing w:after="240" w:line="240" w:lineRule="auto"/>
      <w:ind w:left="720" w:firstLine="720"/>
    </w:pPr>
    <w:rPr>
      <w:rFonts w:ascii="Times New Roman" w:hAnsi="Times New Roman"/>
      <w:sz w:val="20"/>
    </w:rPr>
  </w:style>
  <w:style w:type="paragraph" w:customStyle="1" w:styleId="block-f--0">
    <w:name w:val="block-f -/-"/>
    <w:basedOn w:val="Normal"/>
    <w:autoRedefine/>
    <w:qFormat/>
    <w:rsid w:val="00E05CD8"/>
    <w:pPr>
      <w:spacing w:after="0" w:line="240" w:lineRule="auto"/>
      <w:ind w:left="720"/>
    </w:pPr>
    <w:rPr>
      <w:rFonts w:ascii="Times New Roman" w:hAnsi="Times New Roman"/>
      <w:sz w:val="20"/>
    </w:rPr>
  </w:style>
  <w:style w:type="paragraph" w:customStyle="1" w:styleId="block-f-3">
    <w:name w:val="block-f -/+"/>
    <w:basedOn w:val="block-f-"/>
    <w:autoRedefine/>
    <w:qFormat/>
    <w:rsid w:val="00E05CD8"/>
    <w:pPr>
      <w:spacing w:before="0" w:after="240"/>
    </w:pPr>
  </w:style>
  <w:style w:type="paragraph" w:customStyle="1" w:styleId="numberliststop">
    <w:name w:val="number list stop"/>
    <w:basedOn w:val="numberliststart"/>
    <w:autoRedefine/>
    <w:uiPriority w:val="99"/>
    <w:rsid w:val="00E05CD8"/>
    <w:pPr>
      <w:widowControl w:val="0"/>
      <w:tabs>
        <w:tab w:val="left" w:pos="800"/>
      </w:tabs>
      <w:autoSpaceDE w:val="0"/>
      <w:autoSpaceDN w:val="0"/>
      <w:adjustRightInd w:val="0"/>
      <w:spacing w:before="0" w:after="240"/>
      <w:textAlignment w:val="center"/>
    </w:pPr>
    <w:rPr>
      <w:rFonts w:cs="NewCenturySchlbk"/>
      <w:color w:val="000000"/>
    </w:rPr>
  </w:style>
  <w:style w:type="paragraph" w:customStyle="1" w:styleId="footnotenumberlist2ndlevel">
    <w:name w:val="footnote number list 2nd level"/>
    <w:basedOn w:val="footnotenumberlist"/>
    <w:autoRedefine/>
    <w:uiPriority w:val="99"/>
    <w:rsid w:val="00E05CD8"/>
    <w:pPr>
      <w:tabs>
        <w:tab w:val="clear" w:pos="600"/>
        <w:tab w:val="left" w:pos="1080"/>
      </w:tabs>
      <w:spacing w:before="40"/>
      <w:ind w:left="1440" w:hanging="360"/>
    </w:pPr>
    <w:rPr>
      <w:rFonts w:cs="NewCenturySchlbk"/>
    </w:rPr>
  </w:style>
  <w:style w:type="character" w:customStyle="1" w:styleId="smallcaps">
    <w:name w:val="small caps"/>
    <w:uiPriority w:val="99"/>
    <w:rsid w:val="00E05CD8"/>
    <w:rPr>
      <w:rFonts w:ascii="Times New Roman" w:hAnsi="Times New Roman" w:cs="NewCenturySchlbk LT Std"/>
      <w:caps w:val="0"/>
      <w:smallCaps/>
      <w:w w:val="70"/>
    </w:rPr>
  </w:style>
  <w:style w:type="paragraph" w:customStyle="1" w:styleId="tocchapter0">
    <w:name w:val="toc chapter #"/>
    <w:basedOn w:val="Normal"/>
    <w:autoRedefine/>
    <w:uiPriority w:val="99"/>
    <w:rsid w:val="00E05CD8"/>
    <w:pPr>
      <w:widowControl w:val="0"/>
      <w:tabs>
        <w:tab w:val="left" w:pos="1440"/>
        <w:tab w:val="right" w:leader="dot" w:pos="6240"/>
        <w:tab w:val="right" w:pos="6960"/>
      </w:tabs>
      <w:autoSpaceDE w:val="0"/>
      <w:autoSpaceDN w:val="0"/>
      <w:adjustRightInd w:val="0"/>
      <w:spacing w:before="240" w:after="240" w:line="240" w:lineRule="auto"/>
      <w:ind w:left="1440" w:hanging="1440"/>
      <w:textAlignment w:val="center"/>
    </w:pPr>
    <w:rPr>
      <w:rFonts w:ascii="Times New Roman" w:hAnsi="Times New Roman" w:cs="NewCenturySchlbk"/>
      <w:smallCaps/>
      <w:color w:val="000000"/>
    </w:rPr>
  </w:style>
  <w:style w:type="paragraph" w:customStyle="1" w:styleId="tocflush">
    <w:name w:val="toc flush"/>
    <w:basedOn w:val="Normal"/>
    <w:autoRedefine/>
    <w:uiPriority w:val="99"/>
    <w:rsid w:val="00E05CD8"/>
    <w:pPr>
      <w:widowControl w:val="0"/>
      <w:tabs>
        <w:tab w:val="left" w:pos="480"/>
        <w:tab w:val="right" w:leader="dot" w:pos="6240"/>
        <w:tab w:val="right" w:pos="6960"/>
      </w:tabs>
      <w:autoSpaceDE w:val="0"/>
      <w:autoSpaceDN w:val="0"/>
      <w:adjustRightInd w:val="0"/>
      <w:spacing w:after="240" w:line="240" w:lineRule="auto"/>
      <w:textAlignment w:val="center"/>
    </w:pPr>
    <w:rPr>
      <w:rFonts w:ascii="Times New Roman" w:hAnsi="Times New Roman" w:cs="Times New Roman"/>
      <w:smallCaps/>
      <w:color w:val="000000"/>
    </w:rPr>
  </w:style>
  <w:style w:type="paragraph" w:customStyle="1" w:styleId="textinsertflushbold">
    <w:name w:val="text insert flush bold +/+"/>
    <w:basedOn w:val="text"/>
    <w:autoRedefine/>
    <w:uiPriority w:val="99"/>
    <w:rsid w:val="00E05CD8"/>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textAlignment w:val="center"/>
    </w:pPr>
    <w:rPr>
      <w:rFonts w:eastAsiaTheme="minorEastAsia" w:cs="Times LT Std"/>
      <w:b/>
      <w:bCs/>
      <w:color w:val="000000"/>
      <w:szCs w:val="22"/>
    </w:rPr>
  </w:style>
  <w:style w:type="paragraph" w:customStyle="1" w:styleId="textinsertflushbold-">
    <w:name w:val="text insert flush bold -/+"/>
    <w:basedOn w:val="Normal"/>
    <w:autoRedefine/>
    <w:uiPriority w:val="99"/>
    <w:rsid w:val="00E05CD8"/>
    <w:pPr>
      <w:widowControl w:val="0"/>
      <w:autoSpaceDE w:val="0"/>
      <w:autoSpaceDN w:val="0"/>
      <w:adjustRightInd w:val="0"/>
      <w:spacing w:after="240" w:line="240" w:lineRule="auto"/>
      <w:textAlignment w:val="center"/>
    </w:pPr>
    <w:rPr>
      <w:rFonts w:ascii="Times New Roman" w:hAnsi="Times New Roman" w:cs="Times LT Std"/>
      <w:b/>
      <w:bCs/>
      <w:color w:val="000000"/>
      <w:sz w:val="24"/>
    </w:rPr>
  </w:style>
  <w:style w:type="paragraph" w:customStyle="1" w:styleId="blocknumbernl">
    <w:name w:val="block number nl"/>
    <w:basedOn w:val="blockquotenumberliststart"/>
    <w:autoRedefine/>
    <w:qFormat/>
    <w:rsid w:val="00B059B1"/>
    <w:pPr>
      <w:spacing w:before="0"/>
    </w:pPr>
  </w:style>
  <w:style w:type="paragraph" w:customStyle="1" w:styleId="blocknumberlistal">
    <w:name w:val="block number list/al"/>
    <w:basedOn w:val="Normal"/>
    <w:autoRedefine/>
    <w:qFormat/>
    <w:rsid w:val="005D53AE"/>
    <w:pPr>
      <w:widowControl w:val="0"/>
      <w:tabs>
        <w:tab w:val="left" w:pos="1200"/>
      </w:tabs>
      <w:autoSpaceDE w:val="0"/>
      <w:autoSpaceDN w:val="0"/>
      <w:adjustRightInd w:val="0"/>
      <w:spacing w:after="0" w:line="240" w:lineRule="auto"/>
      <w:ind w:left="1560" w:hanging="360"/>
      <w:textAlignment w:val="center"/>
    </w:pPr>
    <w:rPr>
      <w:rFonts w:ascii="Times New Roman" w:hAnsi="Times New Roman" w:cs="Times New Roman"/>
      <w:color w:val="000000"/>
      <w:sz w:val="20"/>
      <w:szCs w:val="20"/>
    </w:rPr>
  </w:style>
  <w:style w:type="paragraph" w:customStyle="1" w:styleId="block--">
    <w:name w:val="block- /+/-"/>
    <w:basedOn w:val="block-p"/>
    <w:autoRedefine/>
    <w:qFormat/>
    <w:rsid w:val="00297233"/>
    <w:pPr>
      <w:spacing w:after="0"/>
      <w:ind w:firstLine="720"/>
    </w:pPr>
  </w:style>
  <w:style w:type="paragraph" w:customStyle="1" w:styleId="block---">
    <w:name w:val="block- /-/-"/>
    <w:basedOn w:val="block--"/>
    <w:autoRedefine/>
    <w:qFormat/>
    <w:rsid w:val="00297233"/>
    <w:pPr>
      <w:spacing w:before="0"/>
    </w:pPr>
  </w:style>
  <w:style w:type="paragraph" w:customStyle="1" w:styleId="bulletbullet">
    <w:name w:val="bullet/bullet"/>
    <w:basedOn w:val="bulletlist"/>
    <w:autoRedefine/>
    <w:uiPriority w:val="99"/>
    <w:rsid w:val="00297233"/>
    <w:pPr>
      <w:widowControl w:val="0"/>
      <w:tabs>
        <w:tab w:val="left" w:pos="800"/>
      </w:tabs>
      <w:autoSpaceDE w:val="0"/>
      <w:autoSpaceDN w:val="0"/>
      <w:adjustRightInd w:val="0"/>
      <w:ind w:left="1080"/>
      <w:textAlignment w:val="center"/>
    </w:pPr>
    <w:rPr>
      <w:rFonts w:cs="Times LT Std"/>
      <w:color w:val="000000"/>
    </w:rPr>
  </w:style>
  <w:style w:type="paragraph" w:customStyle="1" w:styleId="blockquotelist1p6">
    <w:name w:val="block quote list 1p6"/>
    <w:basedOn w:val="blockquotenumberlist"/>
    <w:autoRedefine/>
    <w:uiPriority w:val="99"/>
    <w:rsid w:val="00297233"/>
    <w:pPr>
      <w:widowControl w:val="0"/>
      <w:tabs>
        <w:tab w:val="clear" w:pos="1200"/>
        <w:tab w:val="left" w:pos="760"/>
      </w:tabs>
      <w:autoSpaceDE w:val="0"/>
      <w:autoSpaceDN w:val="0"/>
      <w:adjustRightInd w:val="0"/>
      <w:ind w:left="1080" w:hanging="360"/>
      <w:textAlignment w:val="center"/>
    </w:pPr>
    <w:rPr>
      <w:rFonts w:cs="Times LT Std"/>
      <w:color w:val="000000"/>
    </w:rPr>
  </w:style>
  <w:style w:type="paragraph" w:customStyle="1" w:styleId="text16picaindent">
    <w:name w:val="text 1.6 pica indent"/>
    <w:basedOn w:val="Normal"/>
    <w:autoRedefine/>
    <w:uiPriority w:val="99"/>
    <w:rsid w:val="00493754"/>
    <w:pPr>
      <w:widowControl w:val="0"/>
      <w:autoSpaceDE w:val="0"/>
      <w:autoSpaceDN w:val="0"/>
      <w:adjustRightInd w:val="0"/>
      <w:spacing w:after="0" w:line="240" w:lineRule="auto"/>
      <w:ind w:left="439"/>
      <w:textAlignment w:val="center"/>
    </w:pPr>
    <w:rPr>
      <w:rFonts w:ascii="Times New Roman" w:hAnsi="Times New Roman" w:cs="Times LT Std"/>
      <w:color w:val="000000"/>
      <w:sz w:val="24"/>
    </w:rPr>
  </w:style>
  <w:style w:type="paragraph" w:customStyle="1" w:styleId="textcentered">
    <w:name w:val="text centered"/>
    <w:basedOn w:val="textflush"/>
    <w:autoRedefine/>
    <w:uiPriority w:val="99"/>
    <w:rsid w:val="00493754"/>
    <w:pPr>
      <w:widowControl w:val="0"/>
      <w:autoSpaceDE w:val="0"/>
      <w:autoSpaceDN w:val="0"/>
      <w:adjustRightInd w:val="0"/>
      <w:spacing w:after="120"/>
      <w:jc w:val="center"/>
      <w:textAlignment w:val="center"/>
    </w:pPr>
    <w:rPr>
      <w:rFonts w:eastAsiaTheme="minorEastAsia" w:cs="Times LT Std"/>
      <w:szCs w:val="22"/>
    </w:rPr>
  </w:style>
  <w:style w:type="paragraph" w:customStyle="1" w:styleId="text6ptsbelow">
    <w:name w:val="text 6 pts below"/>
    <w:basedOn w:val="Normal"/>
    <w:autoRedefine/>
    <w:uiPriority w:val="99"/>
    <w:rsid w:val="00493754"/>
    <w:pPr>
      <w:widowControl w:val="0"/>
      <w:autoSpaceDE w:val="0"/>
      <w:autoSpaceDN w:val="0"/>
      <w:adjustRightInd w:val="0"/>
      <w:spacing w:after="120" w:line="240" w:lineRule="auto"/>
      <w:ind w:firstLine="720"/>
      <w:textAlignment w:val="center"/>
    </w:pPr>
    <w:rPr>
      <w:rFonts w:ascii="Times New Roman" w:hAnsi="Times New Roman" w:cs="Times LT Std"/>
      <w:color w:val="000000"/>
      <w:sz w:val="24"/>
    </w:rPr>
  </w:style>
  <w:style w:type="paragraph" w:customStyle="1" w:styleId="romanlistIIA">
    <w:name w:val="roman list II.A."/>
    <w:basedOn w:val="Normal"/>
    <w:autoRedefine/>
    <w:uiPriority w:val="99"/>
    <w:rsid w:val="00493754"/>
    <w:pPr>
      <w:widowControl w:val="0"/>
      <w:tabs>
        <w:tab w:val="left" w:pos="480"/>
      </w:tabs>
      <w:autoSpaceDE w:val="0"/>
      <w:autoSpaceDN w:val="0"/>
      <w:adjustRightInd w:val="0"/>
      <w:spacing w:before="120" w:after="240" w:line="240" w:lineRule="auto"/>
      <w:ind w:left="480" w:hanging="480"/>
      <w:textAlignment w:val="center"/>
    </w:pPr>
    <w:rPr>
      <w:rFonts w:ascii="Times New Roman" w:hAnsi="Times New Roman" w:cs="Times LT Std"/>
      <w:b/>
      <w:bCs/>
      <w:color w:val="000000"/>
      <w:sz w:val="24"/>
    </w:rPr>
  </w:style>
  <w:style w:type="paragraph" w:customStyle="1" w:styleId="5thlevelheadiiii">
    <w:name w:val="5th level head_iii._i"/>
    <w:basedOn w:val="Normal"/>
    <w:autoRedefine/>
    <w:uiPriority w:val="99"/>
    <w:rsid w:val="005D53AE"/>
    <w:pPr>
      <w:widowControl w:val="0"/>
      <w:tabs>
        <w:tab w:val="left" w:pos="1200"/>
      </w:tabs>
      <w:autoSpaceDE w:val="0"/>
      <w:autoSpaceDN w:val="0"/>
      <w:adjustRightInd w:val="0"/>
      <w:spacing w:before="120" w:after="120" w:line="240" w:lineRule="auto"/>
      <w:ind w:left="1200" w:hanging="420"/>
      <w:textAlignment w:val="center"/>
    </w:pPr>
    <w:rPr>
      <w:rFonts w:ascii="Times New Roman" w:hAnsi="Times New Roman" w:cs="ITC New Baskerville Std"/>
      <w:i/>
      <w:iCs/>
      <w:color w:val="000000"/>
      <w:sz w:val="24"/>
      <w:szCs w:val="24"/>
    </w:rPr>
  </w:style>
  <w:style w:type="paragraph" w:customStyle="1" w:styleId="4thlevelheadai0">
    <w:name w:val="4th level head_a._i"/>
    <w:basedOn w:val="Normal"/>
    <w:autoRedefine/>
    <w:uiPriority w:val="99"/>
    <w:rsid w:val="005D53AE"/>
    <w:pPr>
      <w:widowControl w:val="0"/>
      <w:tabs>
        <w:tab w:val="left" w:pos="780"/>
      </w:tabs>
      <w:autoSpaceDE w:val="0"/>
      <w:autoSpaceDN w:val="0"/>
      <w:adjustRightInd w:val="0"/>
      <w:spacing w:before="240" w:after="120" w:line="260" w:lineRule="atLeast"/>
      <w:ind w:left="780" w:hanging="300"/>
      <w:textAlignment w:val="center"/>
    </w:pPr>
    <w:rPr>
      <w:rFonts w:ascii="Times New Roman" w:hAnsi="Times New Roman" w:cs="ITC New Baskerville Std"/>
      <w:i/>
      <w:iCs/>
      <w:color w:val="000000"/>
      <w:sz w:val="24"/>
      <w:szCs w:val="24"/>
    </w:rPr>
  </w:style>
  <w:style w:type="paragraph" w:customStyle="1" w:styleId="2ndlevelheadAb0">
    <w:name w:val="2nd level head_A._b"/>
    <w:basedOn w:val="Normal"/>
    <w:autoRedefine/>
    <w:uiPriority w:val="99"/>
    <w:rsid w:val="005D53AE"/>
    <w:pPr>
      <w:widowControl w:val="0"/>
      <w:tabs>
        <w:tab w:val="left" w:pos="340"/>
      </w:tabs>
      <w:autoSpaceDE w:val="0"/>
      <w:autoSpaceDN w:val="0"/>
      <w:adjustRightInd w:val="0"/>
      <w:spacing w:before="360" w:after="240" w:line="240" w:lineRule="auto"/>
      <w:ind w:left="360" w:hanging="360"/>
      <w:textAlignment w:val="center"/>
    </w:pPr>
    <w:rPr>
      <w:rFonts w:ascii="Times New Roman" w:hAnsi="Times New Roman" w:cs="ITC New Baskerville Std"/>
      <w:b/>
      <w:bCs/>
      <w:color w:val="000000"/>
      <w:sz w:val="24"/>
      <w:szCs w:val="24"/>
    </w:rPr>
  </w:style>
  <w:style w:type="paragraph" w:customStyle="1" w:styleId="3rdlevelhead1bi0">
    <w:name w:val="3rd level head_1._bi"/>
    <w:basedOn w:val="Normal"/>
    <w:autoRedefine/>
    <w:uiPriority w:val="99"/>
    <w:rsid w:val="005D53AE"/>
    <w:pPr>
      <w:widowControl w:val="0"/>
      <w:tabs>
        <w:tab w:val="left" w:pos="360"/>
      </w:tabs>
      <w:autoSpaceDE w:val="0"/>
      <w:autoSpaceDN w:val="0"/>
      <w:adjustRightInd w:val="0"/>
      <w:spacing w:before="240" w:after="240" w:line="260" w:lineRule="atLeast"/>
      <w:ind w:left="360" w:hanging="360"/>
      <w:textAlignment w:val="center"/>
    </w:pPr>
    <w:rPr>
      <w:rFonts w:ascii="Times New Roman" w:hAnsi="Times New Roman" w:cs="ITC New Baskerville Std"/>
      <w:b/>
      <w:bCs/>
      <w:i/>
      <w:iCs/>
      <w:color w:val="000000"/>
      <w:sz w:val="24"/>
      <w:szCs w:val="24"/>
    </w:rPr>
  </w:style>
  <w:style w:type="paragraph" w:customStyle="1" w:styleId="1stlevelheadIr0">
    <w:name w:val="1st level head_I._r"/>
    <w:basedOn w:val="Normal"/>
    <w:autoRedefine/>
    <w:uiPriority w:val="99"/>
    <w:rsid w:val="005D53AE"/>
    <w:pPr>
      <w:widowControl w:val="0"/>
      <w:autoSpaceDE w:val="0"/>
      <w:autoSpaceDN w:val="0"/>
      <w:adjustRightInd w:val="0"/>
      <w:spacing w:before="480" w:after="360" w:line="240" w:lineRule="auto"/>
      <w:jc w:val="center"/>
      <w:textAlignment w:val="center"/>
    </w:pPr>
    <w:rPr>
      <w:rFonts w:ascii="Times New Roman" w:hAnsi="Times New Roman" w:cs="ITC New Baskerville Std"/>
      <w:smallCaps/>
      <w:color w:val="000000"/>
      <w:sz w:val="25"/>
      <w:szCs w:val="25"/>
    </w:rPr>
  </w:style>
  <w:style w:type="paragraph" w:customStyle="1" w:styleId="5thlevelheadiii0">
    <w:name w:val="5th level head_ii._i"/>
    <w:basedOn w:val="toc1"/>
    <w:autoRedefine/>
    <w:uiPriority w:val="99"/>
    <w:rsid w:val="005D53AE"/>
    <w:pPr>
      <w:keepNext/>
      <w:tabs>
        <w:tab w:val="clear" w:pos="480"/>
        <w:tab w:val="clear" w:pos="600"/>
        <w:tab w:val="clear" w:pos="6240"/>
        <w:tab w:val="clear" w:pos="6960"/>
        <w:tab w:val="left" w:pos="1080"/>
      </w:tabs>
      <w:spacing w:before="120" w:after="120"/>
      <w:ind w:left="1080" w:hanging="300"/>
    </w:pPr>
    <w:rPr>
      <w:rFonts w:eastAsiaTheme="minorEastAsia"/>
      <w:i/>
      <w:iCs/>
    </w:rPr>
  </w:style>
  <w:style w:type="paragraph" w:customStyle="1" w:styleId="ChapterTitle14ptBoldCentered">
    <w:name w:val="Chapter Title 14 pt Bold Centered"/>
    <w:basedOn w:val="Normal"/>
    <w:autoRedefine/>
    <w:qFormat/>
    <w:rsid w:val="005D53AE"/>
    <w:pPr>
      <w:spacing w:after="480" w:line="240" w:lineRule="auto"/>
      <w:jc w:val="center"/>
    </w:pPr>
    <w:rPr>
      <w:rFonts w:ascii="Times New Roman" w:hAnsi="Times New Roman"/>
      <w:b/>
      <w:caps/>
      <w:sz w:val="28"/>
    </w:rPr>
  </w:style>
  <w:style w:type="paragraph" w:customStyle="1" w:styleId="ExhibitNumber">
    <w:name w:val="Exhibit Number"/>
    <w:basedOn w:val="Normal"/>
    <w:autoRedefine/>
    <w:uiPriority w:val="99"/>
    <w:rsid w:val="00FC73E5"/>
    <w:pPr>
      <w:widowControl w:val="0"/>
      <w:suppressAutoHyphens/>
      <w:autoSpaceDE w:val="0"/>
      <w:autoSpaceDN w:val="0"/>
      <w:adjustRightInd w:val="0"/>
      <w:spacing w:before="240" w:after="0" w:line="240" w:lineRule="auto"/>
      <w:textAlignment w:val="center"/>
    </w:pPr>
    <w:rPr>
      <w:rFonts w:ascii="Times New Roman" w:hAnsi="Times New Roman" w:cs="Times LT Std"/>
      <w:b/>
      <w:bCs/>
      <w:color w:val="000000"/>
      <w:sz w:val="24"/>
      <w:szCs w:val="20"/>
    </w:rPr>
  </w:style>
  <w:style w:type="paragraph" w:customStyle="1" w:styleId="NoParagraphStyle">
    <w:name w:val="[No Paragraph Style]"/>
    <w:rsid w:val="00943E1C"/>
    <w:pPr>
      <w:widowControl w:val="0"/>
      <w:autoSpaceDE w:val="0"/>
      <w:autoSpaceDN w:val="0"/>
      <w:adjustRightInd w:val="0"/>
      <w:spacing w:line="288" w:lineRule="auto"/>
      <w:textAlignment w:val="center"/>
    </w:pPr>
    <w:rPr>
      <w:rFonts w:ascii="Times" w:eastAsiaTheme="minorEastAsia" w:hAnsi="Times" w:cs="Times"/>
      <w:color w:val="000000"/>
    </w:rPr>
  </w:style>
  <w:style w:type="paragraph" w:customStyle="1" w:styleId="BasicParagraph">
    <w:name w:val="[Basic Paragraph]"/>
    <w:basedOn w:val="NoParagraphStyle"/>
    <w:uiPriority w:val="99"/>
    <w:rsid w:val="00943E1C"/>
    <w:pPr>
      <w:spacing w:line="240" w:lineRule="atLeast"/>
    </w:pPr>
    <w:rPr>
      <w:rFonts w:ascii="Times LT Std" w:hAnsi="Times LT Std" w:cs="Times LT Std"/>
      <w:sz w:val="22"/>
      <w:szCs w:val="22"/>
    </w:rPr>
  </w:style>
  <w:style w:type="paragraph" w:customStyle="1" w:styleId="AuthorName0">
    <w:name w:val="Author Name"/>
    <w:basedOn w:val="NoParagraphStyle"/>
    <w:next w:val="AuthorAffl"/>
    <w:uiPriority w:val="99"/>
    <w:rsid w:val="00943E1C"/>
    <w:pPr>
      <w:suppressAutoHyphens/>
      <w:spacing w:before="120" w:line="320" w:lineRule="atLeast"/>
      <w:jc w:val="both"/>
    </w:pPr>
    <w:rPr>
      <w:rFonts w:ascii="Times LT Std" w:hAnsi="Times LT Std" w:cs="Times LT Std"/>
      <w:i/>
      <w:iCs/>
      <w:sz w:val="30"/>
      <w:szCs w:val="30"/>
    </w:rPr>
  </w:style>
  <w:style w:type="paragraph" w:customStyle="1" w:styleId="AuthorAffl">
    <w:name w:val="Author Affl"/>
    <w:basedOn w:val="NoParagraphStyle"/>
    <w:uiPriority w:val="99"/>
    <w:rsid w:val="00943E1C"/>
    <w:pPr>
      <w:suppressAutoHyphens/>
      <w:spacing w:line="260" w:lineRule="atLeast"/>
      <w:ind w:left="480" w:hanging="240"/>
    </w:pPr>
    <w:rPr>
      <w:rFonts w:ascii="Times LT Std" w:hAnsi="Times LT Std" w:cs="Times LT Std"/>
      <w:i/>
      <w:iCs/>
    </w:rPr>
  </w:style>
  <w:style w:type="paragraph" w:customStyle="1" w:styleId="1stlevelheadI10rb">
    <w:name w:val="1st level head I. (10)_rb"/>
    <w:basedOn w:val="NoParagraphStyle"/>
    <w:uiPriority w:val="99"/>
    <w:rsid w:val="00943E1C"/>
    <w:pPr>
      <w:keepNext/>
      <w:tabs>
        <w:tab w:val="left" w:pos="960"/>
      </w:tabs>
      <w:suppressAutoHyphens/>
      <w:spacing w:before="480" w:after="360" w:line="260" w:lineRule="atLeast"/>
      <w:ind w:left="960" w:hanging="960"/>
    </w:pPr>
    <w:rPr>
      <w:rFonts w:ascii="Times LT Std" w:hAnsi="Times LT Std" w:cs="Times LT Std"/>
      <w:b/>
      <w:bCs/>
    </w:rPr>
  </w:style>
  <w:style w:type="paragraph" w:customStyle="1" w:styleId="1stlevelheadIrb">
    <w:name w:val="1st level head I._rb"/>
    <w:basedOn w:val="1stlevelheadI10rb"/>
    <w:uiPriority w:val="99"/>
    <w:rsid w:val="00943E1C"/>
    <w:pPr>
      <w:tabs>
        <w:tab w:val="clear" w:pos="960"/>
        <w:tab w:val="left" w:pos="840"/>
      </w:tabs>
      <w:ind w:left="840" w:hanging="840"/>
    </w:pPr>
  </w:style>
  <w:style w:type="paragraph" w:customStyle="1" w:styleId="2ndlevelheadBbi">
    <w:name w:val="2nd level head B._bi"/>
    <w:basedOn w:val="NoParagraphStyle"/>
    <w:autoRedefine/>
    <w:uiPriority w:val="99"/>
    <w:rsid w:val="00112F7F"/>
    <w:pPr>
      <w:keepNext/>
      <w:tabs>
        <w:tab w:val="left" w:pos="360"/>
      </w:tabs>
      <w:suppressAutoHyphens/>
      <w:spacing w:before="480" w:after="360" w:line="240" w:lineRule="auto"/>
      <w:ind w:left="360" w:hanging="360"/>
    </w:pPr>
    <w:rPr>
      <w:rFonts w:ascii="Times New Roman" w:hAnsi="Times New Roman" w:cs="Times LT Std"/>
      <w:b/>
      <w:bCs/>
      <w:i/>
      <w:iCs/>
      <w:szCs w:val="22"/>
    </w:rPr>
  </w:style>
  <w:style w:type="paragraph" w:customStyle="1" w:styleId="block-f2pt">
    <w:name w:val="block-f +/2 pt"/>
    <w:basedOn w:val="block-f0"/>
    <w:uiPriority w:val="99"/>
    <w:rsid w:val="00943E1C"/>
    <w:pPr>
      <w:widowControl w:val="0"/>
      <w:autoSpaceDE w:val="0"/>
      <w:autoSpaceDN w:val="0"/>
      <w:adjustRightInd w:val="0"/>
      <w:spacing w:before="180" w:after="40" w:line="200" w:lineRule="atLeast"/>
      <w:ind w:left="440"/>
      <w:jc w:val="both"/>
      <w:textAlignment w:val="center"/>
    </w:pPr>
    <w:rPr>
      <w:rFonts w:ascii="Times LT Std" w:hAnsi="Times LT Std" w:cs="Times LT Std"/>
      <w:color w:val="000000"/>
    </w:rPr>
  </w:style>
  <w:style w:type="paragraph" w:customStyle="1" w:styleId="blocknumberlist">
    <w:name w:val="block number list"/>
    <w:basedOn w:val="block-f2pt"/>
    <w:uiPriority w:val="99"/>
    <w:rsid w:val="00943E1C"/>
    <w:pPr>
      <w:tabs>
        <w:tab w:val="left" w:pos="760"/>
      </w:tabs>
      <w:spacing w:before="40" w:after="0"/>
      <w:ind w:left="760" w:hanging="300"/>
    </w:pPr>
  </w:style>
  <w:style w:type="paragraph" w:customStyle="1" w:styleId="blocknumberrl">
    <w:name w:val="block number rl"/>
    <w:basedOn w:val="blocknumberlist"/>
    <w:uiPriority w:val="99"/>
    <w:rsid w:val="00943E1C"/>
    <w:pPr>
      <w:tabs>
        <w:tab w:val="clear" w:pos="760"/>
        <w:tab w:val="left" w:pos="880"/>
      </w:tabs>
      <w:ind w:left="880" w:hanging="420"/>
    </w:pPr>
  </w:style>
  <w:style w:type="paragraph" w:customStyle="1" w:styleId="numberlist1A">
    <w:name w:val="number list (1)(A)"/>
    <w:basedOn w:val="numberlist0"/>
    <w:uiPriority w:val="99"/>
    <w:rsid w:val="00943E1C"/>
    <w:pPr>
      <w:widowControl w:val="0"/>
      <w:tabs>
        <w:tab w:val="clear" w:pos="919"/>
        <w:tab w:val="left" w:pos="780"/>
        <w:tab w:val="left" w:pos="1160"/>
      </w:tabs>
      <w:autoSpaceDE w:val="0"/>
      <w:autoSpaceDN w:val="0"/>
      <w:adjustRightInd w:val="0"/>
      <w:spacing w:line="240" w:lineRule="atLeast"/>
      <w:ind w:left="1160" w:hanging="360"/>
      <w:jc w:val="both"/>
      <w:textAlignment w:val="center"/>
    </w:pPr>
    <w:rPr>
      <w:rFonts w:ascii="Times LT Std" w:hAnsi="Times LT Std" w:cs="Times LT Std"/>
      <w:sz w:val="22"/>
    </w:rPr>
  </w:style>
  <w:style w:type="paragraph" w:customStyle="1" w:styleId="footnoteregwpara">
    <w:name w:val="footnote reg w/para"/>
    <w:basedOn w:val="BasicParagraph"/>
    <w:autoRedefine/>
    <w:uiPriority w:val="99"/>
    <w:rsid w:val="00112F7F"/>
    <w:pPr>
      <w:spacing w:line="240" w:lineRule="auto"/>
      <w:ind w:firstLine="720"/>
    </w:pPr>
    <w:rPr>
      <w:rFonts w:ascii="Times New Roman" w:hAnsi="Times New Roman"/>
      <w:sz w:val="20"/>
      <w:szCs w:val="16"/>
    </w:rPr>
  </w:style>
  <w:style w:type="character" w:customStyle="1" w:styleId="footnotesuperscript">
    <w:name w:val="footnote superscript"/>
    <w:uiPriority w:val="99"/>
    <w:rsid w:val="00943E1C"/>
    <w:rPr>
      <w:vertAlign w:val="superscript"/>
    </w:rPr>
  </w:style>
  <w:style w:type="paragraph" w:styleId="Revision">
    <w:name w:val="Revision"/>
    <w:hidden/>
    <w:uiPriority w:val="99"/>
    <w:semiHidden/>
    <w:rsid w:val="00B907A0"/>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0A797-1F96-4919-A1FF-36E7AC98D0F8}">
  <ds:schemaRefs>
    <ds:schemaRef ds:uri="http://schemas.openxmlformats.org/officeDocument/2006/bibliography"/>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14365</Words>
  <Characters>81883</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Hoffman</dc:creator>
  <cp:keywords/>
  <dc:description/>
  <cp:lastModifiedBy>Ravulapalli, Vijay</cp:lastModifiedBy>
  <cp:revision>4</cp:revision>
  <dcterms:created xsi:type="dcterms:W3CDTF">2021-07-20T12:54:00Z</dcterms:created>
  <dcterms:modified xsi:type="dcterms:W3CDTF">2025-01-24T19:25:00Z</dcterms:modified>
</cp:coreProperties>
</file>